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F3077A" w:rsidRDefault="000E300E" w:rsidP="003276D8">
            <w:pPr>
              <w:suppressAutoHyphens w:val="0"/>
              <w:spacing w:after="20"/>
              <w:jc w:val="right"/>
            </w:pPr>
            <w:r w:rsidRPr="00F3077A">
              <w:rPr>
                <w:sz w:val="40"/>
              </w:rPr>
              <w:t>ECE</w:t>
            </w:r>
            <w:r w:rsidRPr="00F3077A">
              <w:t>/TRANS/WP.11/201</w:t>
            </w:r>
            <w:r w:rsidR="003276D8" w:rsidRPr="00F3077A">
              <w:t>8</w:t>
            </w:r>
            <w:r w:rsidR="00F3077A" w:rsidRPr="00F3077A">
              <w:t>/</w:t>
            </w:r>
            <w:r w:rsidR="00D74C93">
              <w:t>10</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s-ES" w:eastAsia="es-E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E300E" w:rsidP="000E300E">
            <w:pPr>
              <w:suppressAutoHyphens w:val="0"/>
              <w:spacing w:before="240" w:line="240" w:lineRule="exact"/>
            </w:pPr>
            <w:r>
              <w:t>Distr.: General</w:t>
            </w:r>
          </w:p>
          <w:p w:rsidR="000E300E" w:rsidRDefault="00F3077A" w:rsidP="000E300E">
            <w:pPr>
              <w:suppressAutoHyphens w:val="0"/>
            </w:pPr>
            <w:r>
              <w:t>2</w:t>
            </w:r>
            <w:r w:rsidR="001776C2">
              <w:t>4</w:t>
            </w:r>
            <w:r w:rsidR="00461194">
              <w:t xml:space="preserve"> </w:t>
            </w:r>
            <w:r w:rsidR="00D74C93">
              <w:t>July</w:t>
            </w:r>
            <w:r w:rsidR="00461194">
              <w:t xml:space="preserve"> 2018</w:t>
            </w:r>
          </w:p>
          <w:p w:rsidR="000E300E" w:rsidRDefault="000E300E" w:rsidP="000E300E">
            <w:pPr>
              <w:suppressAutoHyphens w:val="0"/>
            </w:pPr>
          </w:p>
          <w:p w:rsidR="000E300E" w:rsidRDefault="000E300E" w:rsidP="00461194">
            <w:pPr>
              <w:suppressAutoHyphens w:val="0"/>
            </w:pPr>
            <w:r>
              <w:t xml:space="preserve">Original: </w:t>
            </w:r>
            <w:r w:rsidR="00461194">
              <w:t>English</w:t>
            </w:r>
          </w:p>
        </w:tc>
      </w:tr>
    </w:tbl>
    <w:p w:rsidR="00DF0B09" w:rsidRPr="00DF0B09" w:rsidRDefault="00DF0B09" w:rsidP="00DF0B09">
      <w:pPr>
        <w:spacing w:before="120"/>
        <w:rPr>
          <w:b/>
          <w:sz w:val="28"/>
          <w:szCs w:val="28"/>
        </w:rPr>
      </w:pPr>
      <w:r w:rsidRPr="00DF0B09">
        <w:rPr>
          <w:b/>
          <w:sz w:val="28"/>
          <w:szCs w:val="28"/>
        </w:rPr>
        <w:t>Economic Commission for Europe</w:t>
      </w:r>
    </w:p>
    <w:p w:rsidR="00DF0B09" w:rsidRPr="00DF0B09" w:rsidRDefault="00DF0B09" w:rsidP="00DF0B09">
      <w:pPr>
        <w:spacing w:before="120"/>
        <w:rPr>
          <w:sz w:val="28"/>
          <w:szCs w:val="28"/>
        </w:rPr>
      </w:pPr>
      <w:r w:rsidRPr="00DF0B09">
        <w:rPr>
          <w:sz w:val="28"/>
          <w:szCs w:val="28"/>
        </w:rPr>
        <w:t>Inland Transport Committee</w:t>
      </w:r>
    </w:p>
    <w:p w:rsidR="00DF0B09" w:rsidRPr="00DF0B09" w:rsidRDefault="00DF0B09" w:rsidP="00DF0B09">
      <w:pPr>
        <w:spacing w:before="120"/>
        <w:rPr>
          <w:b/>
          <w:sz w:val="24"/>
          <w:szCs w:val="24"/>
        </w:rPr>
      </w:pPr>
      <w:r w:rsidRPr="00DF0B09">
        <w:rPr>
          <w:b/>
          <w:sz w:val="24"/>
          <w:szCs w:val="24"/>
        </w:rPr>
        <w:t>Working Party on the Transport of Perishable Foodstuffs</w:t>
      </w:r>
    </w:p>
    <w:p w:rsidR="00DF0B09" w:rsidRPr="00DF0B09" w:rsidRDefault="00DF0B09" w:rsidP="00DF0B09">
      <w:pPr>
        <w:spacing w:before="120"/>
        <w:rPr>
          <w:b/>
        </w:rPr>
      </w:pPr>
      <w:r w:rsidRPr="00DF0B09">
        <w:rPr>
          <w:b/>
        </w:rPr>
        <w:t>Seventy-</w:t>
      </w:r>
      <w:r w:rsidR="002A5BD0">
        <w:rPr>
          <w:b/>
        </w:rPr>
        <w:t>fo</w:t>
      </w:r>
      <w:r w:rsidR="00F3077A">
        <w:rPr>
          <w:b/>
        </w:rPr>
        <w:t>u</w:t>
      </w:r>
      <w:r w:rsidR="002A5BD0">
        <w:rPr>
          <w:b/>
        </w:rPr>
        <w:t>rth</w:t>
      </w:r>
      <w:r w:rsidRPr="00DF0B09">
        <w:rPr>
          <w:b/>
        </w:rPr>
        <w:t xml:space="preserve"> session</w:t>
      </w:r>
    </w:p>
    <w:p w:rsidR="00DF0B09" w:rsidRPr="006E56F2" w:rsidRDefault="00DF0B09" w:rsidP="00DF0B09">
      <w:r w:rsidRPr="006E56F2">
        <w:t xml:space="preserve">Geneva, </w:t>
      </w:r>
      <w:r w:rsidR="00407749">
        <w:t>8</w:t>
      </w:r>
      <w:bookmarkStart w:id="0" w:name="_GoBack"/>
      <w:bookmarkEnd w:id="0"/>
      <w:r w:rsidR="002A5BD0">
        <w:t>-12</w:t>
      </w:r>
      <w:r w:rsidRPr="006E56F2">
        <w:t xml:space="preserve"> October 201</w:t>
      </w:r>
      <w:r w:rsidR="002A5BD0">
        <w:t>8</w:t>
      </w:r>
    </w:p>
    <w:p w:rsidR="00DF0B09" w:rsidRPr="006E56F2" w:rsidRDefault="00DF0B09" w:rsidP="00DF0B09">
      <w:r w:rsidRPr="00AF5BEE">
        <w:t>Item</w:t>
      </w:r>
      <w:r w:rsidR="00AF5BEE" w:rsidRPr="00AF5BEE">
        <w:t xml:space="preserve"> </w:t>
      </w:r>
      <w:r w:rsidR="00AF5BEE" w:rsidRPr="001776C2">
        <w:t>6</w:t>
      </w:r>
      <w:r w:rsidR="00216EDA" w:rsidRPr="001776C2">
        <w:t xml:space="preserve"> </w:t>
      </w:r>
      <w:r w:rsidR="00F3077A" w:rsidRPr="001776C2">
        <w:t>(</w:t>
      </w:r>
      <w:r w:rsidR="00AF5BEE" w:rsidRPr="001776C2">
        <w:t>b</w:t>
      </w:r>
      <w:r w:rsidR="00F3077A" w:rsidRPr="001776C2">
        <w:t>)</w:t>
      </w:r>
      <w:r w:rsidRPr="00AF5BEE">
        <w:t xml:space="preserve"> of the provisional agenda</w:t>
      </w:r>
    </w:p>
    <w:p w:rsidR="00DF0B09" w:rsidRPr="00DF0B09" w:rsidRDefault="00DF0B09" w:rsidP="00DF0B09">
      <w:pPr>
        <w:rPr>
          <w:b/>
        </w:rPr>
      </w:pPr>
      <w:r w:rsidRPr="00DF0B09">
        <w:rPr>
          <w:b/>
        </w:rPr>
        <w:t>P</w:t>
      </w:r>
      <w:r w:rsidR="00313D9D">
        <w:rPr>
          <w:b/>
        </w:rPr>
        <w:t>roposals of amendments to ATP:</w:t>
      </w:r>
      <w:r w:rsidR="00313D9D">
        <w:rPr>
          <w:b/>
        </w:rPr>
        <w:br/>
        <w:t>n</w:t>
      </w:r>
      <w:r w:rsidRPr="00DF0B09">
        <w:rPr>
          <w:b/>
        </w:rPr>
        <w:t>ew proposals</w:t>
      </w:r>
    </w:p>
    <w:p w:rsidR="00DF0B09" w:rsidRPr="006E56F2" w:rsidRDefault="00DF0B09" w:rsidP="00750238">
      <w:pPr>
        <w:pStyle w:val="HChG"/>
      </w:pPr>
      <w:r w:rsidRPr="006E56F2">
        <w:tab/>
      </w:r>
      <w:r w:rsidRPr="006E56F2">
        <w:tab/>
      </w:r>
      <w:r w:rsidR="00750238" w:rsidRPr="00750238">
        <w:t>Proposal to amend Annex 1, Appendix 2, paragraph 6: Replacing existing refrigerants with new refrigerants with a lower GWP</w:t>
      </w:r>
      <w:r w:rsidR="00461194">
        <w:t xml:space="preserve"> </w:t>
      </w:r>
    </w:p>
    <w:p w:rsidR="00DF0B09" w:rsidRDefault="00DF0B09" w:rsidP="00940DE9">
      <w:pPr>
        <w:pStyle w:val="H1G"/>
      </w:pPr>
      <w:r w:rsidRPr="006E56F2">
        <w:tab/>
      </w:r>
      <w:r w:rsidRPr="006E56F2">
        <w:tab/>
        <w:t xml:space="preserve">Transmitted by </w:t>
      </w:r>
      <w:r w:rsidR="00FF457E">
        <w:t xml:space="preserve">the Government of </w:t>
      </w:r>
      <w:r w:rsidR="00750238" w:rsidRPr="00643710">
        <w:t>Germany</w:t>
      </w:r>
    </w:p>
    <w:tbl>
      <w:tblPr>
        <w:tblStyle w:val="TableGrid"/>
        <w:tblW w:w="0" w:type="auto"/>
        <w:jc w:val="center"/>
        <w:tblCellMar>
          <w:left w:w="0" w:type="dxa"/>
          <w:right w:w="0" w:type="dxa"/>
        </w:tblCellMar>
        <w:tblLook w:val="05E0" w:firstRow="1" w:lastRow="1" w:firstColumn="1" w:lastColumn="1" w:noHBand="0" w:noVBand="1"/>
      </w:tblPr>
      <w:tblGrid>
        <w:gridCol w:w="7955"/>
      </w:tblGrid>
      <w:tr w:rsidR="00DF0B09" w:rsidTr="00CD2553">
        <w:trPr>
          <w:jc w:val="center"/>
        </w:trPr>
        <w:tc>
          <w:tcPr>
            <w:tcW w:w="7955" w:type="dxa"/>
            <w:tcBorders>
              <w:bottom w:val="nil"/>
            </w:tcBorders>
          </w:tcPr>
          <w:p w:rsidR="00DF0B09" w:rsidRPr="00DF0B09" w:rsidRDefault="00DF0B09" w:rsidP="00DF0B09">
            <w:pPr>
              <w:tabs>
                <w:tab w:val="left" w:pos="255"/>
              </w:tabs>
              <w:suppressAutoHyphens w:val="0"/>
              <w:spacing w:before="240" w:after="120"/>
              <w:rPr>
                <w:sz w:val="24"/>
              </w:rPr>
            </w:pPr>
            <w:r>
              <w:tab/>
            </w:r>
            <w:r>
              <w:rPr>
                <w:i/>
                <w:sz w:val="24"/>
              </w:rPr>
              <w:t>Summary</w:t>
            </w:r>
          </w:p>
        </w:tc>
      </w:tr>
      <w:tr w:rsidR="00D815D2" w:rsidTr="00CD2553">
        <w:trPr>
          <w:jc w:val="center"/>
        </w:trPr>
        <w:tc>
          <w:tcPr>
            <w:tcW w:w="7955" w:type="dxa"/>
            <w:tcBorders>
              <w:top w:val="nil"/>
              <w:bottom w:val="nil"/>
            </w:tcBorders>
            <w:shd w:val="clear" w:color="auto" w:fill="auto"/>
          </w:tcPr>
          <w:p w:rsidR="00D815D2" w:rsidRPr="006E56F2" w:rsidRDefault="00D815D2" w:rsidP="00750238">
            <w:pPr>
              <w:pStyle w:val="SingleTxtG"/>
              <w:spacing w:after="60"/>
              <w:ind w:left="2552" w:right="15" w:hanging="2268"/>
              <w:jc w:val="left"/>
            </w:pPr>
            <w:r w:rsidRPr="00DF0B09">
              <w:rPr>
                <w:b/>
                <w:szCs w:val="22"/>
              </w:rPr>
              <w:t>Executive summary</w:t>
            </w:r>
            <w:r w:rsidRPr="006E56F2">
              <w:t>:</w:t>
            </w:r>
            <w:r>
              <w:tab/>
            </w:r>
            <w:r w:rsidR="00750238" w:rsidRPr="00750238">
              <w:t>The EU F-gas Regulation (517/2014) makes it necessary to gradually replace the refrigerants used so far with new refrigerants with a lower GWP. Since for many units a corresponding ATP type test report for the new refrigerants is not yet available, an alternative approach needs to be stipulated.</w:t>
            </w:r>
          </w:p>
        </w:tc>
      </w:tr>
      <w:tr w:rsidR="00D815D2" w:rsidTr="00CD2553">
        <w:trPr>
          <w:jc w:val="center"/>
        </w:trPr>
        <w:tc>
          <w:tcPr>
            <w:tcW w:w="7955" w:type="dxa"/>
            <w:tcBorders>
              <w:top w:val="nil"/>
              <w:bottom w:val="nil"/>
            </w:tcBorders>
            <w:shd w:val="clear" w:color="auto" w:fill="auto"/>
          </w:tcPr>
          <w:p w:rsidR="00D815D2" w:rsidRPr="006E56F2" w:rsidRDefault="00D815D2" w:rsidP="00750238">
            <w:pPr>
              <w:pStyle w:val="SingleTxtG"/>
              <w:spacing w:after="60"/>
              <w:ind w:left="2552" w:hanging="2268"/>
            </w:pPr>
            <w:r w:rsidRPr="00D815D2">
              <w:rPr>
                <w:b/>
                <w:szCs w:val="22"/>
              </w:rPr>
              <w:t>Action to be taken</w:t>
            </w:r>
            <w:r w:rsidRPr="006E56F2">
              <w:t>:</w:t>
            </w:r>
            <w:r>
              <w:tab/>
            </w:r>
            <w:r w:rsidR="00750238" w:rsidRPr="00750238">
              <w:t>Amend Annex 1, Appendix 2, paragraph 6</w:t>
            </w:r>
          </w:p>
        </w:tc>
      </w:tr>
      <w:tr w:rsidR="00D815D2" w:rsidTr="00CD2553">
        <w:trPr>
          <w:jc w:val="center"/>
        </w:trPr>
        <w:tc>
          <w:tcPr>
            <w:tcW w:w="7955" w:type="dxa"/>
            <w:tcBorders>
              <w:top w:val="nil"/>
              <w:bottom w:val="nil"/>
            </w:tcBorders>
            <w:shd w:val="clear" w:color="auto" w:fill="auto"/>
          </w:tcPr>
          <w:p w:rsidR="00D815D2" w:rsidRPr="006E56F2" w:rsidRDefault="00D815D2" w:rsidP="00750238">
            <w:pPr>
              <w:pStyle w:val="SingleTxtG"/>
              <w:spacing w:after="60"/>
              <w:ind w:left="2552" w:hanging="2268"/>
            </w:pPr>
            <w:r w:rsidRPr="00D815D2">
              <w:rPr>
                <w:b/>
              </w:rPr>
              <w:t xml:space="preserve">Related </w:t>
            </w:r>
            <w:r w:rsidRPr="00D815D2">
              <w:rPr>
                <w:b/>
                <w:szCs w:val="22"/>
              </w:rPr>
              <w:t>documents</w:t>
            </w:r>
            <w:r w:rsidRPr="006E56F2">
              <w:t>:</w:t>
            </w:r>
            <w:r>
              <w:tab/>
            </w:r>
            <w:r w:rsidR="00750238" w:rsidRPr="00750238">
              <w:t>ECE/TRANS/WP.11/2017/23</w:t>
            </w:r>
          </w:p>
        </w:tc>
      </w:tr>
      <w:tr w:rsidR="00D815D2" w:rsidTr="00CD2553">
        <w:trPr>
          <w:jc w:val="center"/>
        </w:trPr>
        <w:tc>
          <w:tcPr>
            <w:tcW w:w="7955" w:type="dxa"/>
            <w:tcBorders>
              <w:top w:val="nil"/>
            </w:tcBorders>
          </w:tcPr>
          <w:p w:rsidR="00D815D2" w:rsidRDefault="00D815D2" w:rsidP="00D815D2">
            <w:pPr>
              <w:suppressAutoHyphens w:val="0"/>
            </w:pPr>
          </w:p>
        </w:tc>
      </w:tr>
    </w:tbl>
    <w:p w:rsidR="00A8008F" w:rsidRPr="008F391D" w:rsidRDefault="00940DE9" w:rsidP="00940DE9">
      <w:pPr>
        <w:pStyle w:val="HChG"/>
        <w:rPr>
          <w:lang w:val="en-US"/>
        </w:rPr>
      </w:pPr>
      <w:r>
        <w:rPr>
          <w:lang w:val="en-US"/>
        </w:rPr>
        <w:tab/>
      </w:r>
      <w:r>
        <w:rPr>
          <w:lang w:val="en-US"/>
        </w:rPr>
        <w:tab/>
      </w:r>
      <w:r w:rsidR="00A8008F" w:rsidRPr="008F391D">
        <w:rPr>
          <w:lang w:val="en-US"/>
        </w:rPr>
        <w:t>Introduction</w:t>
      </w:r>
    </w:p>
    <w:p w:rsidR="00750238" w:rsidRPr="00750238" w:rsidRDefault="00750238" w:rsidP="00750238">
      <w:pPr>
        <w:pStyle w:val="SingleTxtG"/>
      </w:pPr>
      <w:r w:rsidRPr="00750238">
        <w:rPr>
          <w:lang w:val="en-US"/>
        </w:rPr>
        <w:t>1.</w:t>
      </w:r>
      <w:r w:rsidRPr="00750238">
        <w:rPr>
          <w:lang w:val="en-US"/>
        </w:rPr>
        <w:tab/>
      </w:r>
      <w:r w:rsidRPr="00750238">
        <w:t>The EU F-gas Regulation (517/2014) makes it necessary to gradually replace the refrigerants used so far with new refrigerants with a lower GWP.</w:t>
      </w:r>
    </w:p>
    <w:p w:rsidR="00750238" w:rsidRPr="00750238" w:rsidRDefault="00750238" w:rsidP="00750238">
      <w:pPr>
        <w:pStyle w:val="SingleTxtG"/>
      </w:pPr>
      <w:r w:rsidRPr="00750238">
        <w:t>2.</w:t>
      </w:r>
      <w:r w:rsidRPr="00750238">
        <w:tab/>
        <w:t xml:space="preserve">According to the ATP agreement, an exchange of the original refrigerant fluid in a refrigeration unit constitutes a major change of the unit and therefore requires a corresponding ATP type test report for the new drop-in refrigerant. </w:t>
      </w:r>
    </w:p>
    <w:p w:rsidR="00750238" w:rsidRPr="00750238" w:rsidRDefault="00750238" w:rsidP="00750238">
      <w:pPr>
        <w:pStyle w:val="SingleTxtG"/>
      </w:pPr>
      <w:r w:rsidRPr="00750238">
        <w:t>3.</w:t>
      </w:r>
      <w:r w:rsidRPr="00750238">
        <w:tab/>
        <w:t xml:space="preserve">However, for many units a corresponding ATP type test report for the new refrigerants with a lower GWP is not yet available. </w:t>
      </w:r>
    </w:p>
    <w:p w:rsidR="00750238" w:rsidRPr="00750238" w:rsidRDefault="00750238" w:rsidP="00750238">
      <w:pPr>
        <w:pStyle w:val="SingleTxtG"/>
      </w:pPr>
      <w:r w:rsidRPr="00750238">
        <w:lastRenderedPageBreak/>
        <w:t>4.</w:t>
      </w:r>
      <w:r w:rsidRPr="00750238">
        <w:tab/>
        <w:t xml:space="preserve">In addition, according to the ATP agreement, a corresponding ATP type test is only applicable if the ATP type test report had been issued before the respective ATP equipment was put into service. </w:t>
      </w:r>
    </w:p>
    <w:p w:rsidR="00750238" w:rsidRPr="00750238" w:rsidRDefault="00750238" w:rsidP="00750238">
      <w:pPr>
        <w:pStyle w:val="SingleTxtG"/>
      </w:pPr>
      <w:r w:rsidRPr="00750238">
        <w:t>5.</w:t>
      </w:r>
      <w:r w:rsidRPr="00750238">
        <w:tab/>
        <w:t xml:space="preserve">Solutions to lacking type test reports for new refrigerants with a lower GWP need to be found, </w:t>
      </w:r>
      <w:proofErr w:type="gramStart"/>
      <w:r w:rsidRPr="00750238">
        <w:t>in particular in</w:t>
      </w:r>
      <w:proofErr w:type="gramEnd"/>
      <w:r w:rsidRPr="00750238">
        <w:t xml:space="preserve"> view of the refrigerant R404A. Due to the EU F-gas Regulation, R404A is in short supply and its costs have increased significantly. </w:t>
      </w:r>
    </w:p>
    <w:p w:rsidR="00750238" w:rsidRPr="00750238" w:rsidRDefault="00750238" w:rsidP="00750238">
      <w:pPr>
        <w:pStyle w:val="SingleTxtG"/>
      </w:pPr>
      <w:r w:rsidRPr="00750238">
        <w:t>6.</w:t>
      </w:r>
      <w:r w:rsidRPr="00750238">
        <w:tab/>
        <w:t xml:space="preserve">In principle, R404A can easily be replaced with R452A, which has a lower GWP since the thermodynamic properties of both refrigerants are very similar. Relevant test data is available. </w:t>
      </w:r>
    </w:p>
    <w:p w:rsidR="00750238" w:rsidRPr="00750238" w:rsidRDefault="00750238" w:rsidP="00750238">
      <w:pPr>
        <w:pStyle w:val="SingleTxtG"/>
      </w:pPr>
      <w:r w:rsidRPr="00750238">
        <w:t>7.</w:t>
      </w:r>
      <w:r w:rsidRPr="00750238">
        <w:tab/>
        <w:t xml:space="preserve">Provided that certain conditions are met, the competent authorities should be able to verify the effectiveness of an approved drop-in refrigerant for any given unit. </w:t>
      </w:r>
    </w:p>
    <w:p w:rsidR="00750238" w:rsidRPr="00750238" w:rsidRDefault="00750238" w:rsidP="00750238">
      <w:pPr>
        <w:pStyle w:val="SingleTxtG"/>
      </w:pPr>
      <w:r w:rsidRPr="00750238">
        <w:t>8.</w:t>
      </w:r>
      <w:r w:rsidRPr="00750238">
        <w:tab/>
        <w:t xml:space="preserve">A list of all the approved drop-in refrigerants needs to be added either to the ATP Handbook or to the ATP text itself. Adding the table to the ATP Handbook would have the advantage that new approved drop-in refrigerants can be easily added. </w:t>
      </w:r>
    </w:p>
    <w:p w:rsidR="002A5BD0" w:rsidRDefault="00940DE9" w:rsidP="00940DE9">
      <w:pPr>
        <w:pStyle w:val="HChG"/>
        <w:rPr>
          <w:lang w:val="en-US"/>
        </w:rPr>
      </w:pPr>
      <w:r>
        <w:rPr>
          <w:lang w:val="en-US"/>
        </w:rPr>
        <w:tab/>
      </w:r>
      <w:r>
        <w:rPr>
          <w:lang w:val="en-US"/>
        </w:rPr>
        <w:tab/>
      </w:r>
      <w:r w:rsidR="00750238">
        <w:t>Proposed amendment</w:t>
      </w:r>
    </w:p>
    <w:p w:rsidR="00750238" w:rsidRPr="00750238" w:rsidRDefault="00750238" w:rsidP="00750238">
      <w:pPr>
        <w:pStyle w:val="SingleTxtG"/>
      </w:pPr>
      <w:r w:rsidRPr="00750238">
        <w:rPr>
          <w:lang w:val="en-US"/>
        </w:rPr>
        <w:t>6.</w:t>
      </w:r>
      <w:r w:rsidRPr="00750238">
        <w:rPr>
          <w:lang w:val="en-US"/>
        </w:rPr>
        <w:tab/>
      </w:r>
      <w:r w:rsidRPr="00750238">
        <w:t>Add a new paragraph to Annex 1, Appendix 2, paragraph 6.2 and adapt the structure as follows:</w:t>
      </w:r>
    </w:p>
    <w:p w:rsidR="00750238" w:rsidRPr="00750238" w:rsidRDefault="00750238" w:rsidP="005439EA">
      <w:pPr>
        <w:pStyle w:val="SingleTxtG"/>
        <w:ind w:left="2268" w:hanging="567"/>
        <w:rPr>
          <w:lang w:val="en-US"/>
        </w:rPr>
      </w:pPr>
      <w:r w:rsidRPr="00750238">
        <w:rPr>
          <w:b/>
          <w:lang w:val="en-US"/>
        </w:rPr>
        <w:t xml:space="preserve">6.2.1 </w:t>
      </w:r>
      <w:r w:rsidR="005439EA">
        <w:rPr>
          <w:b/>
          <w:lang w:val="en-US"/>
        </w:rPr>
        <w:tab/>
      </w:r>
      <w:r w:rsidRPr="00750238">
        <w:rPr>
          <w:lang w:val="en-US"/>
        </w:rPr>
        <w:t>Independent equipment</w:t>
      </w:r>
    </w:p>
    <w:p w:rsidR="00750238" w:rsidRPr="00750238" w:rsidRDefault="00750238" w:rsidP="005439EA">
      <w:pPr>
        <w:pStyle w:val="SingleTxtG"/>
        <w:ind w:left="2268" w:hanging="567"/>
        <w:rPr>
          <w:lang w:val="en-US"/>
        </w:rPr>
      </w:pPr>
      <w:r w:rsidRPr="00750238">
        <w:rPr>
          <w:lang w:val="en-US"/>
        </w:rPr>
        <w:t>…</w:t>
      </w:r>
    </w:p>
    <w:p w:rsidR="00750238" w:rsidRPr="00750238" w:rsidRDefault="00750238" w:rsidP="005439EA">
      <w:pPr>
        <w:pStyle w:val="SingleTxtG"/>
        <w:ind w:left="2268" w:hanging="567"/>
        <w:rPr>
          <w:b/>
          <w:lang w:val="en-US"/>
        </w:rPr>
      </w:pPr>
      <w:r w:rsidRPr="00750238">
        <w:rPr>
          <w:b/>
          <w:lang w:val="en-US"/>
        </w:rPr>
        <w:t xml:space="preserve">6.2.2 </w:t>
      </w:r>
      <w:r w:rsidR="005439EA">
        <w:rPr>
          <w:b/>
          <w:lang w:val="en-US"/>
        </w:rPr>
        <w:tab/>
      </w:r>
      <w:r w:rsidRPr="00750238">
        <w:rPr>
          <w:b/>
          <w:lang w:val="en-US"/>
        </w:rPr>
        <w:t>Non-independent equipment</w:t>
      </w:r>
    </w:p>
    <w:p w:rsidR="00750238" w:rsidRPr="00750238" w:rsidRDefault="00750238" w:rsidP="005439EA">
      <w:pPr>
        <w:pStyle w:val="SingleTxtG"/>
        <w:ind w:left="1701"/>
        <w:rPr>
          <w:lang w:val="en-US"/>
        </w:rPr>
      </w:pPr>
      <w:r w:rsidRPr="00750238">
        <w:rPr>
          <w:lang w:val="en-US"/>
        </w:rPr>
        <w:t>…</w:t>
      </w:r>
    </w:p>
    <w:p w:rsidR="00750238" w:rsidRPr="00750238" w:rsidRDefault="00750238" w:rsidP="005439EA">
      <w:pPr>
        <w:pStyle w:val="SingleTxtG"/>
        <w:ind w:left="2835" w:hanging="567"/>
        <w:rPr>
          <w:lang w:val="en-US"/>
        </w:rPr>
      </w:pPr>
      <w:r w:rsidRPr="00750238">
        <w:rPr>
          <w:b/>
          <w:lang w:val="en-US"/>
        </w:rPr>
        <w:t>(</w:t>
      </w:r>
      <w:proofErr w:type="spellStart"/>
      <w:r w:rsidRPr="00750238">
        <w:rPr>
          <w:b/>
          <w:lang w:val="en-US"/>
        </w:rPr>
        <w:t>i</w:t>
      </w:r>
      <w:proofErr w:type="spellEnd"/>
      <w:r w:rsidRPr="00750238">
        <w:rPr>
          <w:b/>
          <w:lang w:val="en-US"/>
        </w:rPr>
        <w:t>)</w:t>
      </w:r>
      <w:r w:rsidRPr="00750238">
        <w:rPr>
          <w:lang w:val="en-US"/>
        </w:rPr>
        <w:t xml:space="preserve"> </w:t>
      </w:r>
      <w:r w:rsidR="005439EA">
        <w:rPr>
          <w:lang w:val="en-US"/>
        </w:rPr>
        <w:tab/>
      </w:r>
      <w:r w:rsidRPr="00750238">
        <w:rPr>
          <w:lang w:val="en-US"/>
        </w:rPr>
        <w:t>Non-independent equipment, the refrigeration unit of which is powered by the engine of the vehicle</w:t>
      </w:r>
    </w:p>
    <w:p w:rsidR="00750238" w:rsidRPr="00750238" w:rsidRDefault="00750238" w:rsidP="005439EA">
      <w:pPr>
        <w:pStyle w:val="SingleTxtG"/>
        <w:ind w:left="2835" w:hanging="567"/>
        <w:rPr>
          <w:lang w:val="en-US"/>
        </w:rPr>
      </w:pPr>
      <w:r w:rsidRPr="00750238">
        <w:rPr>
          <w:lang w:val="en-US"/>
        </w:rPr>
        <w:t>…</w:t>
      </w:r>
    </w:p>
    <w:p w:rsidR="00750238" w:rsidRPr="00750238" w:rsidRDefault="00750238" w:rsidP="005439EA">
      <w:pPr>
        <w:pStyle w:val="SingleTxtG"/>
        <w:ind w:left="2835" w:hanging="567"/>
        <w:rPr>
          <w:lang w:val="en-US"/>
        </w:rPr>
      </w:pPr>
      <w:r w:rsidRPr="00750238">
        <w:rPr>
          <w:b/>
          <w:lang w:val="en-US"/>
        </w:rPr>
        <w:t>(ii)</w:t>
      </w:r>
      <w:r w:rsidRPr="00750238">
        <w:rPr>
          <w:lang w:val="en-US"/>
        </w:rPr>
        <w:t xml:space="preserve"> </w:t>
      </w:r>
      <w:r w:rsidR="005439EA">
        <w:rPr>
          <w:lang w:val="en-US"/>
        </w:rPr>
        <w:tab/>
      </w:r>
      <w:r w:rsidRPr="00750238">
        <w:rPr>
          <w:lang w:val="en-US"/>
        </w:rPr>
        <w:t>Transitional provisions for non-independent equipment in service:</w:t>
      </w:r>
    </w:p>
    <w:p w:rsidR="00750238" w:rsidRPr="00750238" w:rsidRDefault="00750238" w:rsidP="005439EA">
      <w:pPr>
        <w:pStyle w:val="SingleTxtG"/>
        <w:ind w:left="2835" w:hanging="567"/>
        <w:rPr>
          <w:lang w:val="en-US"/>
        </w:rPr>
      </w:pPr>
      <w:r w:rsidRPr="00750238">
        <w:rPr>
          <w:lang w:val="en-US"/>
        </w:rPr>
        <w:t>…</w:t>
      </w:r>
    </w:p>
    <w:p w:rsidR="00750238" w:rsidRPr="00750238" w:rsidRDefault="00750238" w:rsidP="005439EA">
      <w:pPr>
        <w:pStyle w:val="SingleTxtG"/>
        <w:ind w:left="2268" w:hanging="567"/>
        <w:rPr>
          <w:b/>
        </w:rPr>
      </w:pPr>
      <w:r w:rsidRPr="00750238">
        <w:rPr>
          <w:b/>
        </w:rPr>
        <w:t xml:space="preserve">6.2.3 </w:t>
      </w:r>
      <w:r w:rsidR="005439EA">
        <w:rPr>
          <w:b/>
        </w:rPr>
        <w:tab/>
      </w:r>
      <w:r w:rsidRPr="00750238">
        <w:rPr>
          <w:b/>
        </w:rPr>
        <w:t xml:space="preserve">Replacement of the original refrigerant of a transport refrigeration unit in service by an approved drop-in refrigerant </w:t>
      </w:r>
    </w:p>
    <w:p w:rsidR="00750238" w:rsidRPr="00750238" w:rsidRDefault="00750238" w:rsidP="005439EA">
      <w:pPr>
        <w:pStyle w:val="SingleTxtG"/>
        <w:ind w:left="2268"/>
        <w:rPr>
          <w:b/>
        </w:rPr>
      </w:pPr>
      <w:r w:rsidRPr="00750238">
        <w:rPr>
          <w:b/>
        </w:rPr>
        <w:t>To be able to replace the original refrigerant of a transport refrigeration unit in service by an approved drop-in refrigerant, the competent authorities shall be able to verify the effectiveness of the drop-in refrigerant in a certificate of compliance.</w:t>
      </w:r>
    </w:p>
    <w:p w:rsidR="00750238" w:rsidRPr="00750238" w:rsidRDefault="00750238" w:rsidP="005439EA">
      <w:pPr>
        <w:pStyle w:val="SingleTxtG"/>
        <w:ind w:left="2268"/>
        <w:rPr>
          <w:b/>
        </w:rPr>
      </w:pPr>
      <w:r w:rsidRPr="00750238">
        <w:rPr>
          <w:b/>
        </w:rPr>
        <w:t>A certificate of compliance can be issued provided that</w:t>
      </w:r>
    </w:p>
    <w:p w:rsidR="00750238" w:rsidRPr="00750238" w:rsidRDefault="00750238" w:rsidP="005439EA">
      <w:pPr>
        <w:pStyle w:val="SingleTxtG"/>
        <w:ind w:left="2835" w:hanging="567"/>
        <w:rPr>
          <w:b/>
        </w:rPr>
      </w:pPr>
      <w:r w:rsidRPr="00750238">
        <w:rPr>
          <w:b/>
        </w:rPr>
        <w:t xml:space="preserve">(a) </w:t>
      </w:r>
      <w:r w:rsidR="005439EA">
        <w:rPr>
          <w:b/>
        </w:rPr>
        <w:tab/>
      </w:r>
      <w:r w:rsidRPr="00750238">
        <w:rPr>
          <w:b/>
        </w:rPr>
        <w:t>the operator provides a confirmation by the manufacturer that a change to the new drop-in refrigerant can be carried out on the machine in question and</w:t>
      </w:r>
    </w:p>
    <w:p w:rsidR="00750238" w:rsidRPr="00750238" w:rsidRDefault="00750238" w:rsidP="005439EA">
      <w:pPr>
        <w:pStyle w:val="SingleTxtG"/>
        <w:ind w:left="2835" w:hanging="567"/>
        <w:rPr>
          <w:b/>
        </w:rPr>
      </w:pPr>
      <w:r w:rsidRPr="00750238">
        <w:rPr>
          <w:b/>
        </w:rPr>
        <w:t>(b)</w:t>
      </w:r>
      <w:r w:rsidR="005439EA">
        <w:rPr>
          <w:b/>
        </w:rPr>
        <w:tab/>
      </w:r>
      <w:r w:rsidRPr="00750238">
        <w:rPr>
          <w:b/>
        </w:rPr>
        <w:t xml:space="preserve">an ATP type test report or addendum confirming that the refrigeration unit in question can be operated with the drop-in refrigerant is available </w:t>
      </w:r>
    </w:p>
    <w:p w:rsidR="00750238" w:rsidRPr="00750238" w:rsidRDefault="00750238" w:rsidP="005439EA">
      <w:pPr>
        <w:pStyle w:val="SingleTxtG"/>
        <w:ind w:left="3402" w:hanging="567"/>
        <w:rPr>
          <w:b/>
        </w:rPr>
      </w:pPr>
      <w:r w:rsidRPr="00750238">
        <w:rPr>
          <w:b/>
        </w:rPr>
        <w:t>(</w:t>
      </w:r>
      <w:proofErr w:type="spellStart"/>
      <w:r w:rsidRPr="00750238">
        <w:rPr>
          <w:b/>
        </w:rPr>
        <w:t>i</w:t>
      </w:r>
      <w:proofErr w:type="spellEnd"/>
      <w:r w:rsidRPr="00750238">
        <w:rPr>
          <w:b/>
        </w:rPr>
        <w:t xml:space="preserve">) </w:t>
      </w:r>
      <w:r w:rsidR="005439EA">
        <w:rPr>
          <w:b/>
        </w:rPr>
        <w:tab/>
      </w:r>
      <w:r w:rsidRPr="00750238">
        <w:rPr>
          <w:b/>
        </w:rPr>
        <w:t xml:space="preserve">dated before the equipment </w:t>
      </w:r>
      <w:proofErr w:type="gramStart"/>
      <w:r w:rsidRPr="00750238">
        <w:rPr>
          <w:b/>
        </w:rPr>
        <w:t>entered into</w:t>
      </w:r>
      <w:proofErr w:type="gramEnd"/>
      <w:r w:rsidRPr="00750238">
        <w:rPr>
          <w:b/>
        </w:rPr>
        <w:t xml:space="preserve"> service or</w:t>
      </w:r>
    </w:p>
    <w:p w:rsidR="00750238" w:rsidRPr="00750238" w:rsidRDefault="00750238" w:rsidP="005439EA">
      <w:pPr>
        <w:pStyle w:val="SingleTxtG"/>
        <w:ind w:left="3402" w:hanging="567"/>
        <w:rPr>
          <w:b/>
        </w:rPr>
      </w:pPr>
      <w:r w:rsidRPr="00750238">
        <w:rPr>
          <w:b/>
        </w:rPr>
        <w:lastRenderedPageBreak/>
        <w:t xml:space="preserve">(ii) </w:t>
      </w:r>
      <w:r w:rsidR="005439EA">
        <w:rPr>
          <w:b/>
        </w:rPr>
        <w:tab/>
      </w:r>
      <w:r w:rsidRPr="00750238">
        <w:rPr>
          <w:b/>
        </w:rPr>
        <w:t xml:space="preserve">dated after the equipment entered into service if a declaration by the manufacturer is available that the refrigeration unit in question is identical in design and has a comparable effective refrigerating capacity that does not differ by more than 5% compared to the </w:t>
      </w:r>
      <w:proofErr w:type="gramStart"/>
      <w:r w:rsidRPr="00750238">
        <w:rPr>
          <w:b/>
        </w:rPr>
        <w:t>above mentioned</w:t>
      </w:r>
      <w:proofErr w:type="gramEnd"/>
      <w:r w:rsidRPr="00750238">
        <w:rPr>
          <w:b/>
        </w:rPr>
        <w:t xml:space="preserve"> type test report or addendum.</w:t>
      </w:r>
    </w:p>
    <w:p w:rsidR="00750238" w:rsidRPr="00750238" w:rsidRDefault="00750238" w:rsidP="005439EA">
      <w:pPr>
        <w:pStyle w:val="SingleTxtG"/>
        <w:ind w:left="2268"/>
        <w:rPr>
          <w:b/>
        </w:rPr>
      </w:pPr>
      <w:r w:rsidRPr="00750238">
        <w:rPr>
          <w:b/>
        </w:rPr>
        <w:t>If only an ATP type test report for the original refrigerant of the transport refrigeration unit in question but no addendum for the new drop-in refrigerant is available, a certificate of compliance can be issued provided that</w:t>
      </w:r>
    </w:p>
    <w:p w:rsidR="00750238" w:rsidRPr="00750238" w:rsidRDefault="00750238" w:rsidP="005439EA">
      <w:pPr>
        <w:pStyle w:val="SingleTxtG"/>
        <w:ind w:left="2835" w:hanging="567"/>
        <w:rPr>
          <w:b/>
        </w:rPr>
      </w:pPr>
      <w:r w:rsidRPr="00750238">
        <w:rPr>
          <w:b/>
        </w:rPr>
        <w:t xml:space="preserve">(a) </w:t>
      </w:r>
      <w:r w:rsidR="005439EA">
        <w:rPr>
          <w:b/>
        </w:rPr>
        <w:tab/>
      </w:r>
      <w:r w:rsidRPr="00750238">
        <w:rPr>
          <w:b/>
        </w:rPr>
        <w:t>the operator provides confirmation by the manufacturer that a change to the new drop-in refrigerant can be carried out on the machine in question and</w:t>
      </w:r>
    </w:p>
    <w:p w:rsidR="00750238" w:rsidRPr="00750238" w:rsidRDefault="00750238" w:rsidP="005439EA">
      <w:pPr>
        <w:pStyle w:val="SingleTxtG"/>
        <w:ind w:left="2835" w:hanging="567"/>
        <w:rPr>
          <w:b/>
        </w:rPr>
      </w:pPr>
      <w:r w:rsidRPr="00750238">
        <w:rPr>
          <w:b/>
        </w:rPr>
        <w:t xml:space="preserve">(b) </w:t>
      </w:r>
      <w:r w:rsidR="005439EA">
        <w:rPr>
          <w:b/>
        </w:rPr>
        <w:tab/>
      </w:r>
      <w:r w:rsidRPr="00750238">
        <w:rPr>
          <w:b/>
        </w:rPr>
        <w:t>a factor of 2.0 (instead of 1.75) based on the refrigerating capacities of the type test report with the original refrigerant is applied and</w:t>
      </w:r>
    </w:p>
    <w:p w:rsidR="00750238" w:rsidRPr="00750238" w:rsidRDefault="00750238" w:rsidP="005439EA">
      <w:pPr>
        <w:pStyle w:val="SingleTxtG"/>
        <w:ind w:left="2835" w:hanging="567"/>
        <w:rPr>
          <w:b/>
        </w:rPr>
      </w:pPr>
      <w:r w:rsidRPr="00750238">
        <w:rPr>
          <w:b/>
        </w:rPr>
        <w:t xml:space="preserve">(c) </w:t>
      </w:r>
      <w:r w:rsidR="005439EA">
        <w:rPr>
          <w:b/>
        </w:rPr>
        <w:tab/>
      </w:r>
      <w:r w:rsidRPr="00750238">
        <w:rPr>
          <w:b/>
        </w:rPr>
        <w:t xml:space="preserve">a pull-down test according to 6.2.1 has been carried out. </w:t>
      </w:r>
    </w:p>
    <w:p w:rsidR="00750238" w:rsidRPr="00750238" w:rsidRDefault="00750238" w:rsidP="00870367">
      <w:pPr>
        <w:pStyle w:val="SingleTxtG"/>
        <w:ind w:left="2268"/>
        <w:rPr>
          <w:b/>
        </w:rPr>
      </w:pPr>
      <w:r w:rsidRPr="00750238">
        <w:rPr>
          <w:b/>
        </w:rPr>
        <w:t xml:space="preserve">If all the necessary conditions are fulfilled, </w:t>
      </w:r>
    </w:p>
    <w:p w:rsidR="00750238" w:rsidRPr="00750238" w:rsidRDefault="00750238" w:rsidP="00870367">
      <w:pPr>
        <w:pStyle w:val="SingleTxtG"/>
        <w:ind w:left="2835" w:hanging="567"/>
        <w:rPr>
          <w:b/>
        </w:rPr>
      </w:pPr>
      <w:r w:rsidRPr="00750238">
        <w:rPr>
          <w:b/>
        </w:rPr>
        <w:t>(</w:t>
      </w:r>
      <w:proofErr w:type="spellStart"/>
      <w:r w:rsidRPr="00750238">
        <w:rPr>
          <w:b/>
        </w:rPr>
        <w:t>i</w:t>
      </w:r>
      <w:proofErr w:type="spellEnd"/>
      <w:r w:rsidRPr="00750238">
        <w:rPr>
          <w:b/>
        </w:rPr>
        <w:t xml:space="preserve">) </w:t>
      </w:r>
      <w:r w:rsidR="00870367">
        <w:rPr>
          <w:b/>
        </w:rPr>
        <w:tab/>
      </w:r>
      <w:r w:rsidRPr="00750238">
        <w:rPr>
          <w:b/>
        </w:rPr>
        <w:t>the competent authority shall issue an ATP certificate of compliance for the equipment in question in combination with the new drop-in refrigerant. The type test report No. shall remain the same and be supplemented by a revision index that ensures that the documentation history goes back to the original type test report valid for the original refrigerant,</w:t>
      </w:r>
    </w:p>
    <w:p w:rsidR="00750238" w:rsidRPr="00750238" w:rsidRDefault="00750238" w:rsidP="00870367">
      <w:pPr>
        <w:pStyle w:val="SingleTxtG"/>
        <w:ind w:left="2835" w:hanging="567"/>
        <w:rPr>
          <w:b/>
        </w:rPr>
      </w:pPr>
      <w:r w:rsidRPr="00750238">
        <w:rPr>
          <w:b/>
        </w:rPr>
        <w:t xml:space="preserve">(ii) </w:t>
      </w:r>
      <w:r w:rsidR="00870367">
        <w:rPr>
          <w:b/>
        </w:rPr>
        <w:tab/>
      </w:r>
      <w:r w:rsidRPr="00750238">
        <w:rPr>
          <w:b/>
        </w:rPr>
        <w:t>the manufacturer shall change the type plate of the refrigeration unit to indicate the new drop-in refrigerant and the present charge of refrigerant.</w:t>
      </w:r>
    </w:p>
    <w:p w:rsidR="00750238" w:rsidRPr="00750238" w:rsidRDefault="00750238" w:rsidP="00750238">
      <w:pPr>
        <w:pStyle w:val="SingleTxtG"/>
        <w:rPr>
          <w:lang w:val="en-US"/>
        </w:rPr>
      </w:pPr>
      <w:r w:rsidRPr="00750238">
        <w:rPr>
          <w:lang w:val="en-US"/>
        </w:rPr>
        <w:t>7.</w:t>
      </w:r>
      <w:r w:rsidRPr="00750238">
        <w:rPr>
          <w:lang w:val="en-US"/>
        </w:rPr>
        <w:tab/>
        <w:t>Add table of approved drop-in refrigerants either</w:t>
      </w:r>
    </w:p>
    <w:p w:rsidR="00750238" w:rsidRPr="00750238" w:rsidRDefault="00750238" w:rsidP="00870367">
      <w:pPr>
        <w:pStyle w:val="SingleTxtG"/>
        <w:ind w:left="2268" w:hanging="567"/>
        <w:rPr>
          <w:lang w:val="en-US"/>
        </w:rPr>
      </w:pPr>
      <w:r w:rsidRPr="00750238">
        <w:rPr>
          <w:lang w:val="en-US"/>
        </w:rPr>
        <w:t>(</w:t>
      </w:r>
      <w:proofErr w:type="spellStart"/>
      <w:r w:rsidRPr="00750238">
        <w:rPr>
          <w:lang w:val="en-US"/>
        </w:rPr>
        <w:t>i</w:t>
      </w:r>
      <w:proofErr w:type="spellEnd"/>
      <w:r w:rsidRPr="00750238">
        <w:rPr>
          <w:lang w:val="en-US"/>
        </w:rPr>
        <w:t xml:space="preserve">) </w:t>
      </w:r>
      <w:r w:rsidR="00870367">
        <w:rPr>
          <w:lang w:val="en-US"/>
        </w:rPr>
        <w:tab/>
      </w:r>
      <w:r w:rsidRPr="00750238">
        <w:rPr>
          <w:lang w:val="en-US"/>
        </w:rPr>
        <w:t>in the ATP Handbook, Annex 1, Appendix 2, paragraph 6.2 or</w:t>
      </w:r>
    </w:p>
    <w:p w:rsidR="00750238" w:rsidRPr="00750238" w:rsidRDefault="00750238" w:rsidP="00870367">
      <w:pPr>
        <w:pStyle w:val="SingleTxtG"/>
        <w:ind w:left="2268" w:hanging="567"/>
        <w:rPr>
          <w:lang w:val="en-US"/>
        </w:rPr>
      </w:pPr>
      <w:r w:rsidRPr="00750238">
        <w:rPr>
          <w:lang w:val="en-US"/>
        </w:rPr>
        <w:t xml:space="preserve">(ii) </w:t>
      </w:r>
      <w:r w:rsidR="00870367">
        <w:rPr>
          <w:lang w:val="en-US"/>
        </w:rPr>
        <w:tab/>
      </w:r>
      <w:r w:rsidRPr="00750238">
        <w:rPr>
          <w:lang w:val="en-US"/>
        </w:rPr>
        <w:t>in the ATP text.</w:t>
      </w:r>
    </w:p>
    <w:p w:rsidR="00750238" w:rsidRPr="00750238" w:rsidRDefault="00750238" w:rsidP="00750238">
      <w:pPr>
        <w:pStyle w:val="SingleTxtG"/>
      </w:pPr>
      <w:r w:rsidRPr="00750238">
        <w:rPr>
          <w:lang w:val="en-US"/>
        </w:rPr>
        <w:t>Example:</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tblGrid>
      <w:tr w:rsidR="00750238" w:rsidRPr="00750238" w:rsidTr="007A7E90">
        <w:tc>
          <w:tcPr>
            <w:tcW w:w="3118" w:type="dxa"/>
            <w:shd w:val="clear" w:color="auto" w:fill="auto"/>
          </w:tcPr>
          <w:p w:rsidR="00750238" w:rsidRPr="00750238" w:rsidRDefault="00750238" w:rsidP="00750238">
            <w:pPr>
              <w:autoSpaceDN w:val="0"/>
              <w:spacing w:line="276" w:lineRule="auto"/>
              <w:jc w:val="center"/>
              <w:textAlignment w:val="baseline"/>
              <w:rPr>
                <w:rFonts w:eastAsia="SimSun" w:cs="Arial"/>
                <w:kern w:val="3"/>
                <w:szCs w:val="22"/>
                <w:lang w:val="en-US"/>
              </w:rPr>
            </w:pPr>
            <w:r w:rsidRPr="00750238">
              <w:rPr>
                <w:rFonts w:eastAsia="SimSun" w:cs="Arial"/>
                <w:kern w:val="3"/>
                <w:szCs w:val="22"/>
                <w:lang w:val="en-US"/>
              </w:rPr>
              <w:t>Original refrigerant</w:t>
            </w:r>
          </w:p>
        </w:tc>
        <w:tc>
          <w:tcPr>
            <w:tcW w:w="2835" w:type="dxa"/>
            <w:shd w:val="clear" w:color="auto" w:fill="auto"/>
          </w:tcPr>
          <w:p w:rsidR="00750238" w:rsidRPr="00750238" w:rsidRDefault="00750238" w:rsidP="00750238">
            <w:pPr>
              <w:autoSpaceDN w:val="0"/>
              <w:spacing w:line="276" w:lineRule="auto"/>
              <w:jc w:val="center"/>
              <w:textAlignment w:val="baseline"/>
              <w:rPr>
                <w:rFonts w:eastAsia="SimSun" w:cs="Arial"/>
                <w:kern w:val="3"/>
                <w:szCs w:val="22"/>
                <w:lang w:val="en-US"/>
              </w:rPr>
            </w:pPr>
            <w:r w:rsidRPr="00750238">
              <w:rPr>
                <w:rFonts w:eastAsia="SimSun" w:cs="Arial"/>
                <w:kern w:val="3"/>
                <w:szCs w:val="22"/>
                <w:lang w:val="en-US"/>
              </w:rPr>
              <w:t>Drop-in refrigerant</w:t>
            </w:r>
          </w:p>
        </w:tc>
      </w:tr>
      <w:tr w:rsidR="00750238" w:rsidRPr="00750238" w:rsidTr="007A7E90">
        <w:tc>
          <w:tcPr>
            <w:tcW w:w="3118" w:type="dxa"/>
            <w:shd w:val="clear" w:color="auto" w:fill="auto"/>
          </w:tcPr>
          <w:p w:rsidR="00750238" w:rsidRPr="00750238" w:rsidRDefault="00750238" w:rsidP="00750238">
            <w:pPr>
              <w:autoSpaceDN w:val="0"/>
              <w:spacing w:line="276" w:lineRule="auto"/>
              <w:jc w:val="center"/>
              <w:textAlignment w:val="baseline"/>
              <w:rPr>
                <w:rFonts w:eastAsia="SimSun" w:cs="Arial"/>
                <w:kern w:val="3"/>
                <w:szCs w:val="22"/>
                <w:lang w:val="en-US"/>
              </w:rPr>
            </w:pPr>
            <w:r w:rsidRPr="00750238">
              <w:rPr>
                <w:rFonts w:eastAsia="SimSun" w:cs="Arial"/>
                <w:kern w:val="3"/>
                <w:szCs w:val="22"/>
                <w:lang w:val="en-US"/>
              </w:rPr>
              <w:t>R404A</w:t>
            </w:r>
          </w:p>
        </w:tc>
        <w:tc>
          <w:tcPr>
            <w:tcW w:w="2835" w:type="dxa"/>
            <w:shd w:val="clear" w:color="auto" w:fill="auto"/>
          </w:tcPr>
          <w:p w:rsidR="00750238" w:rsidRPr="00750238" w:rsidRDefault="00750238" w:rsidP="00750238">
            <w:pPr>
              <w:autoSpaceDN w:val="0"/>
              <w:spacing w:line="276" w:lineRule="auto"/>
              <w:jc w:val="center"/>
              <w:textAlignment w:val="baseline"/>
              <w:rPr>
                <w:rFonts w:eastAsia="SimSun" w:cs="Arial"/>
                <w:kern w:val="3"/>
                <w:szCs w:val="22"/>
                <w:lang w:val="en-US"/>
              </w:rPr>
            </w:pPr>
            <w:r w:rsidRPr="00750238">
              <w:rPr>
                <w:rFonts w:eastAsia="SimSun" w:cs="Arial"/>
                <w:kern w:val="3"/>
                <w:szCs w:val="22"/>
                <w:lang w:val="en-US"/>
              </w:rPr>
              <w:t>R452A</w:t>
            </w:r>
          </w:p>
        </w:tc>
      </w:tr>
    </w:tbl>
    <w:p w:rsidR="00546B93" w:rsidRDefault="00750238" w:rsidP="00750238">
      <w:pPr>
        <w:pStyle w:val="HChG"/>
        <w:rPr>
          <w:lang w:val="en-US"/>
        </w:rPr>
      </w:pPr>
      <w:r>
        <w:rPr>
          <w:lang w:val="en-US"/>
        </w:rPr>
        <w:tab/>
      </w:r>
      <w:r>
        <w:rPr>
          <w:lang w:val="en-US"/>
        </w:rPr>
        <w:tab/>
      </w:r>
      <w:r w:rsidRPr="00750238">
        <w:rPr>
          <w:lang w:val="en-US"/>
        </w:rPr>
        <w:t>Impact</w:t>
      </w:r>
    </w:p>
    <w:tbl>
      <w:tblPr>
        <w:tblW w:w="0" w:type="auto"/>
        <w:tblInd w:w="1134" w:type="dxa"/>
        <w:tblLayout w:type="fixed"/>
        <w:tblCellMar>
          <w:left w:w="0" w:type="dxa"/>
          <w:right w:w="0" w:type="dxa"/>
        </w:tblCellMar>
        <w:tblLook w:val="01E0" w:firstRow="1" w:lastRow="1" w:firstColumn="1" w:lastColumn="1" w:noHBand="0" w:noVBand="0"/>
      </w:tblPr>
      <w:tblGrid>
        <w:gridCol w:w="1421"/>
        <w:gridCol w:w="6092"/>
      </w:tblGrid>
      <w:tr w:rsidR="00750238" w:rsidRPr="00750238" w:rsidTr="007A7E90">
        <w:tc>
          <w:tcPr>
            <w:tcW w:w="1421" w:type="dxa"/>
            <w:shd w:val="clear" w:color="auto" w:fill="auto"/>
          </w:tcPr>
          <w:p w:rsidR="00750238" w:rsidRPr="00750238" w:rsidRDefault="00750238" w:rsidP="00750238">
            <w:pPr>
              <w:spacing w:after="120"/>
              <w:jc w:val="both"/>
            </w:pPr>
            <w:r w:rsidRPr="00750238">
              <w:t>Cost:</w:t>
            </w:r>
          </w:p>
        </w:tc>
        <w:tc>
          <w:tcPr>
            <w:tcW w:w="6092" w:type="dxa"/>
            <w:shd w:val="clear" w:color="auto" w:fill="auto"/>
          </w:tcPr>
          <w:p w:rsidR="00750238" w:rsidRPr="00750238" w:rsidRDefault="00750238" w:rsidP="00750238">
            <w:pPr>
              <w:spacing w:after="120"/>
            </w:pPr>
            <w:r w:rsidRPr="00750238">
              <w:rPr>
                <w:kern w:val="3"/>
                <w:lang w:eastAsia="zh-CN"/>
              </w:rPr>
              <w:t>The proposed amendment would have a positive economic and environmental impact.</w:t>
            </w:r>
          </w:p>
        </w:tc>
      </w:tr>
      <w:tr w:rsidR="00750238" w:rsidRPr="00750238" w:rsidTr="007A7E90">
        <w:tc>
          <w:tcPr>
            <w:tcW w:w="1421" w:type="dxa"/>
            <w:shd w:val="clear" w:color="auto" w:fill="auto"/>
          </w:tcPr>
          <w:p w:rsidR="00750238" w:rsidRPr="00750238" w:rsidRDefault="00750238" w:rsidP="00750238">
            <w:pPr>
              <w:spacing w:after="120"/>
              <w:jc w:val="both"/>
            </w:pPr>
            <w:r w:rsidRPr="00750238">
              <w:t>Feasibility:</w:t>
            </w:r>
          </w:p>
        </w:tc>
        <w:tc>
          <w:tcPr>
            <w:tcW w:w="6092" w:type="dxa"/>
            <w:shd w:val="clear" w:color="auto" w:fill="auto"/>
          </w:tcPr>
          <w:p w:rsidR="00750238" w:rsidRPr="00750238" w:rsidRDefault="00750238" w:rsidP="00750238">
            <w:pPr>
              <w:spacing w:after="120"/>
            </w:pPr>
            <w:r w:rsidRPr="00750238">
              <w:t>The proposed amendment can easily be implemented in ATP. A transitional period is not needed.</w:t>
            </w:r>
          </w:p>
        </w:tc>
      </w:tr>
      <w:tr w:rsidR="00750238" w:rsidRPr="00750238" w:rsidTr="007A7E90">
        <w:trPr>
          <w:trHeight w:val="192"/>
        </w:trPr>
        <w:tc>
          <w:tcPr>
            <w:tcW w:w="1421" w:type="dxa"/>
            <w:shd w:val="clear" w:color="auto" w:fill="auto"/>
          </w:tcPr>
          <w:p w:rsidR="00750238" w:rsidRPr="00750238" w:rsidRDefault="00750238" w:rsidP="00750238">
            <w:pPr>
              <w:spacing w:after="120"/>
              <w:jc w:val="both"/>
            </w:pPr>
            <w:r w:rsidRPr="00750238">
              <w:t>Enforceability:</w:t>
            </w:r>
          </w:p>
        </w:tc>
        <w:tc>
          <w:tcPr>
            <w:tcW w:w="6092" w:type="dxa"/>
            <w:shd w:val="clear" w:color="auto" w:fill="auto"/>
          </w:tcPr>
          <w:p w:rsidR="00750238" w:rsidRPr="00750238" w:rsidRDefault="00750238" w:rsidP="00750238">
            <w:pPr>
              <w:spacing w:after="120"/>
              <w:jc w:val="both"/>
            </w:pPr>
            <w:r w:rsidRPr="00750238">
              <w:t>No problems are expected.</w:t>
            </w:r>
          </w:p>
        </w:tc>
      </w:tr>
    </w:tbl>
    <w:p w:rsidR="002A5BD0" w:rsidRPr="00992429" w:rsidRDefault="008F391D">
      <w:pPr>
        <w:spacing w:before="240"/>
        <w:jc w:val="center"/>
        <w:rPr>
          <w:u w:val="single"/>
        </w:rPr>
      </w:pPr>
      <w:r>
        <w:rPr>
          <w:u w:val="single"/>
        </w:rPr>
        <w:tab/>
      </w:r>
      <w:r>
        <w:rPr>
          <w:u w:val="single"/>
        </w:rPr>
        <w:tab/>
      </w:r>
      <w:r>
        <w:rPr>
          <w:u w:val="single"/>
        </w:rPr>
        <w:tab/>
      </w:r>
    </w:p>
    <w:sectPr w:rsidR="002A5BD0" w:rsidRPr="00992429" w:rsidSect="00940DE9">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810" w:rsidRPr="00FB1744" w:rsidRDefault="00EC2810" w:rsidP="00FB1744">
      <w:pPr>
        <w:pStyle w:val="Footer"/>
      </w:pPr>
    </w:p>
  </w:endnote>
  <w:endnote w:type="continuationSeparator" w:id="0">
    <w:p w:rsidR="00EC2810" w:rsidRPr="00FB1744" w:rsidRDefault="00EC281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978237"/>
      <w:docPartObj>
        <w:docPartGallery w:val="Page Numbers (Bottom of Page)"/>
        <w:docPartUnique/>
      </w:docPartObj>
    </w:sdtPr>
    <w:sdtEndPr>
      <w:rPr>
        <w:rFonts w:eastAsia="Times New Roman"/>
        <w:b/>
        <w:noProof/>
        <w:sz w:val="18"/>
        <w:lang w:eastAsia="en-US"/>
      </w:rPr>
    </w:sdtEndPr>
    <w:sdtContent>
      <w:p w:rsidR="004D697E" w:rsidRPr="004D697E" w:rsidRDefault="004D697E">
        <w:pPr>
          <w:pStyle w:val="Footer"/>
          <w:rPr>
            <w:rFonts w:eastAsia="Times New Roman"/>
            <w:b/>
            <w:noProof/>
            <w:sz w:val="18"/>
            <w:lang w:eastAsia="en-US"/>
          </w:rPr>
        </w:pPr>
        <w:r w:rsidRPr="004D697E">
          <w:rPr>
            <w:rFonts w:eastAsia="Times New Roman"/>
            <w:b/>
            <w:noProof/>
            <w:sz w:val="18"/>
            <w:lang w:eastAsia="en-US"/>
          </w:rPr>
          <w:fldChar w:fldCharType="begin"/>
        </w:r>
        <w:r w:rsidRPr="004D697E">
          <w:rPr>
            <w:rFonts w:eastAsia="Times New Roman"/>
            <w:b/>
            <w:noProof/>
            <w:sz w:val="18"/>
            <w:lang w:eastAsia="en-US"/>
          </w:rPr>
          <w:instrText xml:space="preserve"> PAGE   \* MERGEFORMAT </w:instrText>
        </w:r>
        <w:r w:rsidRPr="004D697E">
          <w:rPr>
            <w:rFonts w:eastAsia="Times New Roman"/>
            <w:b/>
            <w:noProof/>
            <w:sz w:val="18"/>
            <w:lang w:eastAsia="en-US"/>
          </w:rPr>
          <w:fldChar w:fldCharType="separate"/>
        </w:r>
        <w:r w:rsidR="00407749">
          <w:rPr>
            <w:rFonts w:eastAsia="Times New Roman"/>
            <w:b/>
            <w:noProof/>
            <w:sz w:val="18"/>
            <w:lang w:eastAsia="en-US"/>
          </w:rPr>
          <w:t>2</w:t>
        </w:r>
        <w:r w:rsidRPr="004D697E">
          <w:rPr>
            <w:rFonts w:eastAsia="Times New Roman"/>
            <w:b/>
            <w:noProof/>
            <w:sz w:val="18"/>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6B" w:rsidRPr="000E300E" w:rsidRDefault="009F466B" w:rsidP="000E300E">
    <w:pPr>
      <w:pStyle w:val="Footer"/>
      <w:tabs>
        <w:tab w:val="right" w:pos="9598"/>
      </w:tabs>
      <w:rPr>
        <w:b/>
        <w:sz w:val="18"/>
      </w:rPr>
    </w:pPr>
    <w:r>
      <w:tab/>
    </w:r>
    <w:r w:rsidRPr="000E300E">
      <w:rPr>
        <w:b/>
        <w:sz w:val="18"/>
      </w:rPr>
      <w:fldChar w:fldCharType="begin"/>
    </w:r>
    <w:r w:rsidRPr="000E300E">
      <w:rPr>
        <w:b/>
        <w:sz w:val="18"/>
      </w:rPr>
      <w:instrText xml:space="preserve"> PAGE  \* MERGEFORMAT </w:instrText>
    </w:r>
    <w:r w:rsidRPr="000E300E">
      <w:rPr>
        <w:b/>
        <w:sz w:val="18"/>
      </w:rPr>
      <w:fldChar w:fldCharType="separate"/>
    </w:r>
    <w:r w:rsidR="00407749">
      <w:rPr>
        <w:b/>
        <w:noProof/>
        <w:sz w:val="18"/>
      </w:rPr>
      <w:t>3</w:t>
    </w:r>
    <w:r w:rsidRPr="000E300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810" w:rsidRPr="00FB1744" w:rsidRDefault="00EC2810" w:rsidP="00FB1744">
      <w:pPr>
        <w:tabs>
          <w:tab w:val="right" w:pos="2155"/>
        </w:tabs>
        <w:spacing w:after="80" w:line="240" w:lineRule="auto"/>
        <w:ind w:left="680"/>
      </w:pPr>
      <w:r>
        <w:rPr>
          <w:u w:val="single"/>
        </w:rPr>
        <w:tab/>
      </w:r>
    </w:p>
  </w:footnote>
  <w:footnote w:type="continuationSeparator" w:id="0">
    <w:p w:rsidR="00EC2810" w:rsidRPr="00FB1744" w:rsidRDefault="00EC2810"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6B" w:rsidRPr="000E300E" w:rsidRDefault="009F466B" w:rsidP="000E300E">
    <w:pPr>
      <w:pStyle w:val="Header"/>
    </w:pPr>
    <w:r w:rsidRPr="000E300E">
      <w:t>ECE/TRANS/WP.11/201</w:t>
    </w:r>
    <w:r>
      <w:t>8</w:t>
    </w:r>
    <w:r w:rsidR="00940DE9">
      <w:t>/</w:t>
    </w:r>
    <w:r w:rsidR="00750238">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6B" w:rsidRPr="000E300E" w:rsidRDefault="009F466B" w:rsidP="000E300E">
    <w:pPr>
      <w:pStyle w:val="Header"/>
      <w:jc w:val="right"/>
    </w:pPr>
    <w:r w:rsidRPr="000E300E">
      <w:t>ECE/TRANS/WP.11/201</w:t>
    </w:r>
    <w:r w:rsidR="00940DE9">
      <w:t>8</w:t>
    </w:r>
    <w:r w:rsidRPr="000E300E">
      <w:t>/</w:t>
    </w:r>
    <w:r w:rsidR="00750238">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529E0"/>
    <w:multiLevelType w:val="hybridMultilevel"/>
    <w:tmpl w:val="5F3CFCAE"/>
    <w:lvl w:ilvl="0" w:tplc="0C0A000F">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5508F5"/>
    <w:multiLevelType w:val="hybridMultilevel"/>
    <w:tmpl w:val="B1081696"/>
    <w:lvl w:ilvl="0" w:tplc="6BE6F1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78D026F"/>
    <w:multiLevelType w:val="hybridMultilevel"/>
    <w:tmpl w:val="EB408F9E"/>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1730A98"/>
    <w:multiLevelType w:val="hybridMultilevel"/>
    <w:tmpl w:val="E3549500"/>
    <w:lvl w:ilvl="0" w:tplc="F55EAFE8">
      <w:start w:val="1"/>
      <w:numFmt w:val="lowerRoman"/>
      <w:lvlText w:val="(%1)"/>
      <w:lvlJc w:val="left"/>
      <w:pPr>
        <w:ind w:left="1860" w:hanging="72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
  </w:num>
  <w:num w:numId="3">
    <w:abstractNumId w:val="0"/>
  </w:num>
  <w:num w:numId="4">
    <w:abstractNumId w:val="7"/>
  </w:num>
  <w:num w:numId="5">
    <w:abstractNumId w:val="8"/>
  </w:num>
  <w:num w:numId="6">
    <w:abstractNumId w:val="10"/>
  </w:num>
  <w:num w:numId="7">
    <w:abstractNumId w:val="2"/>
  </w:num>
  <w:num w:numId="8">
    <w:abstractNumId w:val="1"/>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567"/>
  <w:hyphenationZone w:val="425"/>
  <w:evenAndOddHeaders/>
  <w:characterSpacingControl w:val="doNotCompress"/>
  <w:hdrShapeDefaults>
    <o:shapedefaults v:ext="edit" spidmax="163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46"/>
    <w:rsid w:val="00046E92"/>
    <w:rsid w:val="000B48E7"/>
    <w:rsid w:val="000D1B89"/>
    <w:rsid w:val="000E300E"/>
    <w:rsid w:val="001170DC"/>
    <w:rsid w:val="001776C2"/>
    <w:rsid w:val="001A6852"/>
    <w:rsid w:val="001F7D81"/>
    <w:rsid w:val="00216EDA"/>
    <w:rsid w:val="002247B2"/>
    <w:rsid w:val="0023026B"/>
    <w:rsid w:val="00247E2C"/>
    <w:rsid w:val="002A5BD0"/>
    <w:rsid w:val="002D6C53"/>
    <w:rsid w:val="002F5595"/>
    <w:rsid w:val="00313D9D"/>
    <w:rsid w:val="00321053"/>
    <w:rsid w:val="003276D8"/>
    <w:rsid w:val="00334F6A"/>
    <w:rsid w:val="00342AC8"/>
    <w:rsid w:val="003B4550"/>
    <w:rsid w:val="003C52A1"/>
    <w:rsid w:val="00407749"/>
    <w:rsid w:val="00461194"/>
    <w:rsid w:val="00461253"/>
    <w:rsid w:val="00484A46"/>
    <w:rsid w:val="004D697E"/>
    <w:rsid w:val="005042C2"/>
    <w:rsid w:val="005439EA"/>
    <w:rsid w:val="00546B93"/>
    <w:rsid w:val="0055134C"/>
    <w:rsid w:val="0056599A"/>
    <w:rsid w:val="00587690"/>
    <w:rsid w:val="005A6453"/>
    <w:rsid w:val="005B31A3"/>
    <w:rsid w:val="005C6FAA"/>
    <w:rsid w:val="00665988"/>
    <w:rsid w:val="00671529"/>
    <w:rsid w:val="006E4EF0"/>
    <w:rsid w:val="00717266"/>
    <w:rsid w:val="007268F9"/>
    <w:rsid w:val="0073200B"/>
    <w:rsid w:val="00750238"/>
    <w:rsid w:val="00776BF5"/>
    <w:rsid w:val="007C2F6F"/>
    <w:rsid w:val="007C52B0"/>
    <w:rsid w:val="007D042A"/>
    <w:rsid w:val="007E2709"/>
    <w:rsid w:val="0081364C"/>
    <w:rsid w:val="0083170F"/>
    <w:rsid w:val="00837208"/>
    <w:rsid w:val="00840CC7"/>
    <w:rsid w:val="00870367"/>
    <w:rsid w:val="008D4A28"/>
    <w:rsid w:val="008F391D"/>
    <w:rsid w:val="00940DE9"/>
    <w:rsid w:val="009411B4"/>
    <w:rsid w:val="00972B51"/>
    <w:rsid w:val="00992429"/>
    <w:rsid w:val="009D0139"/>
    <w:rsid w:val="009F466B"/>
    <w:rsid w:val="009F5CDC"/>
    <w:rsid w:val="00A775CF"/>
    <w:rsid w:val="00A8008F"/>
    <w:rsid w:val="00AB3C7E"/>
    <w:rsid w:val="00AF5BEE"/>
    <w:rsid w:val="00B06045"/>
    <w:rsid w:val="00B26922"/>
    <w:rsid w:val="00B526DB"/>
    <w:rsid w:val="00C35A27"/>
    <w:rsid w:val="00C40EF5"/>
    <w:rsid w:val="00C9553B"/>
    <w:rsid w:val="00CA1476"/>
    <w:rsid w:val="00CC0F97"/>
    <w:rsid w:val="00CD2553"/>
    <w:rsid w:val="00D3493F"/>
    <w:rsid w:val="00D74C93"/>
    <w:rsid w:val="00D815D2"/>
    <w:rsid w:val="00DF0B09"/>
    <w:rsid w:val="00E02C2B"/>
    <w:rsid w:val="00EC2810"/>
    <w:rsid w:val="00EC5EE7"/>
    <w:rsid w:val="00ED6C48"/>
    <w:rsid w:val="00F023D2"/>
    <w:rsid w:val="00F13BF6"/>
    <w:rsid w:val="00F3077A"/>
    <w:rsid w:val="00F65F5D"/>
    <w:rsid w:val="00F6791C"/>
    <w:rsid w:val="00F84852"/>
    <w:rsid w:val="00F86A3A"/>
    <w:rsid w:val="00FB1744"/>
    <w:rsid w:val="00FC04AB"/>
    <w:rsid w:val="00FF45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B3DD3D"/>
  <w15:docId w15:val="{9AE91966-464D-4223-8086-4B02C098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HTMLPreformatted">
    <w:name w:val="HTML Preformatted"/>
    <w:basedOn w:val="Normal"/>
    <w:link w:val="HTMLPreformattedChar"/>
    <w:uiPriority w:val="99"/>
    <w:unhideWhenUsed/>
    <w:rsid w:val="002A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s-ES" w:eastAsia="es-ES"/>
    </w:rPr>
  </w:style>
  <w:style w:type="character" w:customStyle="1" w:styleId="HTMLPreformattedChar">
    <w:name w:val="HTML Preformatted Char"/>
    <w:basedOn w:val="DefaultParagraphFont"/>
    <w:link w:val="HTMLPreformatted"/>
    <w:uiPriority w:val="99"/>
    <w:rsid w:val="002A5BD0"/>
    <w:rPr>
      <w:rFonts w:ascii="Courier New" w:eastAsia="Times New Roman" w:hAnsi="Courier New" w:cs="Courier New"/>
      <w:sz w:val="20"/>
      <w:szCs w:val="20"/>
      <w:lang w:val="es-ES" w:eastAsia="es-ES"/>
    </w:rPr>
  </w:style>
  <w:style w:type="paragraph" w:styleId="ListParagraph">
    <w:name w:val="List Paragraph"/>
    <w:basedOn w:val="Normal"/>
    <w:uiPriority w:val="34"/>
    <w:qFormat/>
    <w:rsid w:val="002A5BD0"/>
    <w:pPr>
      <w:suppressAutoHyphens w:val="0"/>
      <w:spacing w:line="240" w:lineRule="auto"/>
      <w:ind w:left="720"/>
      <w:contextualSpacing/>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FA0FB-2746-422C-921C-6D2158D2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842</Words>
  <Characters>4806</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1712908</vt:lpstr>
      <vt:lpstr>1712908</vt:lpstr>
    </vt:vector>
  </TitlesOfParts>
  <Company>DCM</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1712908</dc:title>
  <dc:subject>ECE/TRANS/WP.11/2017/21</dc:subject>
  <dc:creator>Maria Rosario GATMAYTAN</dc:creator>
  <cp:lastModifiedBy>Secretariat</cp:lastModifiedBy>
  <cp:revision>7</cp:revision>
  <cp:lastPrinted>2018-06-12T08:33:00Z</cp:lastPrinted>
  <dcterms:created xsi:type="dcterms:W3CDTF">2018-07-23T13:07:00Z</dcterms:created>
  <dcterms:modified xsi:type="dcterms:W3CDTF">2018-07-24T13:11:00Z</dcterms:modified>
</cp:coreProperties>
</file>