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4A35B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4A35B3" w:rsidP="004A35B3">
            <w:pPr>
              <w:jc w:val="right"/>
            </w:pPr>
            <w:r w:rsidRPr="004A35B3">
              <w:rPr>
                <w:sz w:val="40"/>
              </w:rPr>
              <w:t>ECE</w:t>
            </w:r>
            <w:r>
              <w:t>/TRANS/WP.11/2018/5</w:t>
            </w:r>
          </w:p>
        </w:tc>
      </w:tr>
      <w:tr w:rsidR="002D5AAC" w:rsidRPr="00D526B6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4A35B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4A35B3" w:rsidRDefault="004A35B3" w:rsidP="004A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2018</w:t>
            </w:r>
          </w:p>
          <w:p w:rsidR="004A35B3" w:rsidRDefault="004A35B3" w:rsidP="004A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4A35B3" w:rsidRPr="008D53B6" w:rsidRDefault="004A35B3" w:rsidP="004A35B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A35B3" w:rsidRPr="00BD515D" w:rsidRDefault="004A35B3" w:rsidP="004A35B3">
      <w:pPr>
        <w:spacing w:before="120"/>
        <w:rPr>
          <w:sz w:val="28"/>
          <w:szCs w:val="28"/>
        </w:rPr>
      </w:pPr>
      <w:r w:rsidRPr="00BD515D">
        <w:rPr>
          <w:sz w:val="28"/>
          <w:szCs w:val="28"/>
        </w:rPr>
        <w:t>Комитет по внутреннему транспорту</w:t>
      </w:r>
    </w:p>
    <w:p w:rsidR="004A35B3" w:rsidRPr="00BD515D" w:rsidRDefault="004A35B3" w:rsidP="004A35B3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группа по перевозкам</w:t>
      </w:r>
      <w:r>
        <w:rPr>
          <w:b/>
          <w:bCs/>
          <w:sz w:val="24"/>
          <w:szCs w:val="24"/>
        </w:rPr>
        <w:br/>
      </w:r>
      <w:r w:rsidRPr="00BD515D">
        <w:rPr>
          <w:b/>
          <w:bCs/>
          <w:sz w:val="24"/>
          <w:szCs w:val="24"/>
        </w:rPr>
        <w:t>скоропортящихся пищевых продуктов</w:t>
      </w:r>
    </w:p>
    <w:p w:rsidR="004A35B3" w:rsidRPr="00BD515D" w:rsidRDefault="004A35B3" w:rsidP="004A35B3">
      <w:pPr>
        <w:spacing w:before="120"/>
        <w:rPr>
          <w:b/>
          <w:bCs/>
        </w:rPr>
      </w:pPr>
      <w:r w:rsidRPr="00BD515D">
        <w:rPr>
          <w:b/>
          <w:bCs/>
        </w:rPr>
        <w:t>Семьдесят четвертая сессия</w:t>
      </w:r>
    </w:p>
    <w:p w:rsidR="004A35B3" w:rsidRDefault="004A35B3" w:rsidP="004A35B3">
      <w:r>
        <w:t>Женева, 8–12 октября 2018 года</w:t>
      </w:r>
    </w:p>
    <w:p w:rsidR="004A35B3" w:rsidRPr="00F418C7" w:rsidRDefault="004A35B3" w:rsidP="004A35B3">
      <w:r>
        <w:t>Пункт 6 a) предварительной повестки дня</w:t>
      </w:r>
    </w:p>
    <w:p w:rsidR="004A35B3" w:rsidRPr="00BD515D" w:rsidRDefault="004A35B3" w:rsidP="004A35B3">
      <w:pPr>
        <w:rPr>
          <w:b/>
          <w:bCs/>
        </w:rPr>
      </w:pPr>
      <w:r w:rsidRPr="00BD515D">
        <w:rPr>
          <w:b/>
          <w:bCs/>
        </w:rPr>
        <w:t>Предложения по поправкам к СПС:</w:t>
      </w:r>
      <w:r>
        <w:rPr>
          <w:b/>
          <w:bCs/>
        </w:rPr>
        <w:br/>
      </w:r>
      <w:r w:rsidRPr="00BD515D">
        <w:rPr>
          <w:b/>
          <w:bCs/>
        </w:rPr>
        <w:t>предложения, по которым еще не приняты решения</w:t>
      </w:r>
    </w:p>
    <w:p w:rsidR="004A35B3" w:rsidRPr="004A35B3" w:rsidRDefault="004A35B3" w:rsidP="004A35B3">
      <w:pPr>
        <w:pStyle w:val="HChGR"/>
      </w:pPr>
      <w:r>
        <w:tab/>
      </w:r>
      <w:r>
        <w:tab/>
        <w:t>Поправки к приложению 1, добавление 2, пункт 3.2.6, и приложению 1, добавление 3</w:t>
      </w:r>
    </w:p>
    <w:p w:rsidR="004A35B3" w:rsidRPr="004A35B3" w:rsidRDefault="004A35B3" w:rsidP="004A35B3">
      <w:pPr>
        <w:pStyle w:val="H1GR"/>
      </w:pPr>
      <w:r>
        <w:tab/>
      </w:r>
      <w:r>
        <w:tab/>
        <w:t>Передано правительством Соединенного Королевства</w:t>
      </w:r>
    </w:p>
    <w:p w:rsidR="004A35B3" w:rsidRPr="004A35B3" w:rsidRDefault="004A35B3" w:rsidP="004A35B3">
      <w:pPr>
        <w:pStyle w:val="HChGR"/>
      </w:pPr>
      <w:r>
        <w:tab/>
      </w:r>
      <w:r>
        <w:tab/>
        <w:t>Введение</w:t>
      </w:r>
    </w:p>
    <w:p w:rsidR="004A35B3" w:rsidRPr="004A35B3" w:rsidRDefault="004A35B3" w:rsidP="004A35B3">
      <w:pPr>
        <w:pStyle w:val="SingleTxtGR"/>
      </w:pPr>
      <w:r>
        <w:t>1.</w:t>
      </w:r>
      <w:r>
        <w:tab/>
        <w:t>В настоящее время в СПС не предусмотрено требований в отношении расхода воздуха</w:t>
      </w:r>
      <w:r w:rsidR="008A150B">
        <w:t>,</w:t>
      </w:r>
      <w:r>
        <w:t xml:space="preserve"> несмотря на то, что вторичный хладагент имеет важнейшее значение для безопасной перевозки скоропортящихся грузов в транспортных средствах-рефрижераторах. </w:t>
      </w:r>
    </w:p>
    <w:p w:rsidR="004A35B3" w:rsidRPr="004A35B3" w:rsidRDefault="004A35B3" w:rsidP="004A35B3">
      <w:pPr>
        <w:pStyle w:val="SingleTxtGR"/>
      </w:pPr>
      <w:r>
        <w:t>2.</w:t>
      </w:r>
      <w:r>
        <w:tab/>
        <w:t xml:space="preserve">Согласно существующему тексту, измерение расхода воздуха представляется факультативным. Приложение 1, добавление 2, пункт 4.3.4 iii)), первое предложение сформулировано следующим образом: </w:t>
      </w:r>
    </w:p>
    <w:p w:rsidR="004A35B3" w:rsidRPr="004A35B3" w:rsidRDefault="004A35B3" w:rsidP="004A35B3">
      <w:pPr>
        <w:pStyle w:val="SingleTxtGR"/>
      </w:pPr>
      <w:r>
        <w:t>«Для измерения расхода воздуха, рассеиваемого вентиляторами испарителя в холодильной установке, должны использоваться методы, позволяющие измерить общий объем подачи воздуха».</w:t>
      </w:r>
    </w:p>
    <w:p w:rsidR="004A35B3" w:rsidRPr="004A35B3" w:rsidRDefault="004A35B3" w:rsidP="004A35B3">
      <w:pPr>
        <w:pStyle w:val="SingleTxtGR"/>
      </w:pPr>
      <w:r>
        <w:t>3.</w:t>
      </w:r>
      <w:r>
        <w:tab/>
        <w:t>Предложение Соединенного Королевства (ECE/TRANS/WP.11/2012/5), предусматривающее изменение положений об измерении расхода воздуха, было представлено на шестьдесят восьмой сессии. Оно не было принято, поскольку проверка значений расхода воздуха, указанных изготовителями, не предусмотрена. Для разработки пересмотренного предложения в следующем году было предложено создать рабочую группу.</w:t>
      </w:r>
    </w:p>
    <w:p w:rsidR="004A35B3" w:rsidRPr="004A35B3" w:rsidRDefault="004A35B3" w:rsidP="004A35B3">
      <w:pPr>
        <w:pStyle w:val="SingleTxtGR"/>
      </w:pPr>
      <w:r>
        <w:t>4.</w:t>
      </w:r>
      <w:r>
        <w:tab/>
        <w:t>Соединенное Королевство представило неофициальный документ (INF.5) для обсуждения на шестьдесят девятой сессии WP.1</w:t>
      </w:r>
      <w:r w:rsidR="008A150B">
        <w:t>1</w:t>
      </w:r>
      <w:r>
        <w:t>, и ему было предложено сформировать неофициальную рабочую группу.</w:t>
      </w:r>
    </w:p>
    <w:p w:rsidR="004A35B3" w:rsidRPr="004A35B3" w:rsidRDefault="004A35B3" w:rsidP="004A35B3">
      <w:pPr>
        <w:pStyle w:val="SingleTxtGR"/>
      </w:pPr>
      <w:r>
        <w:lastRenderedPageBreak/>
        <w:t>5.</w:t>
      </w:r>
      <w:r>
        <w:tab/>
        <w:t>Делегация Соединенного Королевства затем представила рабочий документ (ECE/TRANS/WP.11/2014/15, часть А), который был принят на семидесятой сессии WP.11.</w:t>
      </w:r>
    </w:p>
    <w:p w:rsidR="004A35B3" w:rsidRPr="004A35B3" w:rsidRDefault="004A35B3" w:rsidP="004A35B3">
      <w:pPr>
        <w:pStyle w:val="SingleTxtGR"/>
      </w:pPr>
      <w:r>
        <w:t>6.</w:t>
      </w:r>
      <w:r>
        <w:tab/>
        <w:t xml:space="preserve">17 сентября 2015 года правительство Финляндии высказало возражение в отношении предложенной поправки к пункту 2.3.6 добавления 2 к приложению 1 (C.N.481.2015.TREATIES-X1.B.22) (предложение по требованиям к расходу воздуха, 60-кратный воздухообмен). Возражение касалось только этого предложения и не затрагивало других. </w:t>
      </w:r>
    </w:p>
    <w:p w:rsidR="004A35B3" w:rsidRPr="004A35B3" w:rsidRDefault="004A35B3" w:rsidP="004A35B3">
      <w:pPr>
        <w:pStyle w:val="SingleTxtGR"/>
      </w:pPr>
      <w:r>
        <w:t>7.</w:t>
      </w:r>
      <w:r>
        <w:tab/>
        <w:t>На совещании Подкомиссии CERTE в этом году Соединенное Королевство представило измененное предложение, которое не было утверждено для представления WP.11, однако Подкомиссия предложила нам изменить первоначальное предложение.</w:t>
      </w:r>
    </w:p>
    <w:p w:rsidR="004A35B3" w:rsidRPr="004A35B3" w:rsidRDefault="004A35B3" w:rsidP="004A35B3">
      <w:pPr>
        <w:pStyle w:val="HChGR"/>
      </w:pPr>
      <w:r>
        <w:tab/>
      </w:r>
      <w:r>
        <w:tab/>
        <w:t>Предлагаемые поправки</w:t>
      </w:r>
    </w:p>
    <w:p w:rsidR="004A35B3" w:rsidRPr="004A35B3" w:rsidRDefault="004A35B3" w:rsidP="004A35B3">
      <w:pPr>
        <w:pStyle w:val="SingleTxtGR"/>
        <w:spacing w:line="230" w:lineRule="atLeast"/>
      </w:pPr>
      <w:r>
        <w:t>8.</w:t>
      </w:r>
      <w:r>
        <w:tab/>
        <w:t>Мы предлагаем изменить текст положений и добавить примечание следующим образом.</w:t>
      </w:r>
    </w:p>
    <w:p w:rsidR="004A35B3" w:rsidRPr="004A35B3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bCs/>
          <w:color w:val="000000"/>
        </w:rPr>
      </w:pPr>
      <w:r>
        <w:t>В конце пункта 3.2.6 добавить следующий абзац:</w:t>
      </w:r>
    </w:p>
    <w:p w:rsidR="004A35B3" w:rsidRDefault="004A35B3" w:rsidP="004A35B3">
      <w:pPr>
        <w:pStyle w:val="SingleTxtGR"/>
        <w:spacing w:line="230" w:lineRule="atLeast"/>
      </w:pPr>
      <w:r>
        <w:t>«Расход воздуха, указанный в протоколе испытания транспортного средства-рефрижератора, должен соответствовать</w:t>
      </w:r>
      <w:r>
        <w:rPr>
          <w:rStyle w:val="FootnoteReference"/>
          <w:rFonts w:cstheme="majorBidi"/>
          <w:color w:val="000000"/>
        </w:rPr>
        <w:footnoteReference w:customMarkFollows="1" w:id="1"/>
        <w:t xml:space="preserve">1, </w:t>
      </w:r>
      <w:r>
        <w:rPr>
          <w:rStyle w:val="FootnoteReference"/>
          <w:rFonts w:cstheme="majorBidi"/>
          <w:color w:val="000000"/>
        </w:rPr>
        <w:footnoteReference w:customMarkFollows="1" w:id="2"/>
        <w:t>2</w:t>
      </w:r>
      <w:r w:rsidRPr="004A35B3">
        <w:rPr>
          <w:vertAlign w:val="superscript"/>
        </w:rPr>
        <w:t xml:space="preserve"> </w:t>
      </w:r>
      <w:r w:rsidRPr="00D66033">
        <w:rPr>
          <w:vertAlign w:val="superscript"/>
        </w:rPr>
        <w:t>или</w:t>
      </w:r>
      <w:r w:rsidRPr="004A35B3">
        <w:rPr>
          <w:vertAlign w:val="superscript"/>
        </w:rPr>
        <w:t xml:space="preserve"> </w:t>
      </w:r>
      <w:r w:rsidRPr="00D66033">
        <w:rPr>
          <w:rStyle w:val="FootnoteReference"/>
          <w:rFonts w:cstheme="majorBidi"/>
          <w:color w:val="000000"/>
        </w:rPr>
        <w:footnoteReference w:customMarkFollows="1" w:id="3"/>
        <w:t>3</w:t>
      </w:r>
      <w:r>
        <w:t xml:space="preserve"> следующему:</w:t>
      </w:r>
    </w:p>
    <w:p w:rsidR="004A35B3" w:rsidRDefault="004A35B3" w:rsidP="004A35B3">
      <w:pPr>
        <w:pStyle w:val="SingleTxtGR"/>
        <w:spacing w:line="230" w:lineRule="atLeast"/>
      </w:pPr>
      <w:r>
        <w:tab/>
      </w:r>
      <w:r w:rsidRPr="00D66033">
        <w:t>V</w:t>
      </w:r>
      <w:r w:rsidRPr="00D66033">
        <w:rPr>
          <w:vertAlign w:val="subscript"/>
        </w:rPr>
        <w:t>L</w:t>
      </w:r>
      <w:r>
        <w:t xml:space="preserve"> ≥ 60</w:t>
      </w:r>
      <w:r w:rsidR="008A150B" w:rsidRPr="00D66033">
        <w:t xml:space="preserve"> ·</w:t>
      </w:r>
      <w:r w:rsidRPr="00D66033">
        <w:t>V в м</w:t>
      </w:r>
      <w:r w:rsidRPr="00D66033">
        <w:rPr>
          <w:vertAlign w:val="superscript"/>
        </w:rPr>
        <w:t>3</w:t>
      </w:r>
      <w:r w:rsidRPr="00D66033">
        <w:t>/ч</w:t>
      </w:r>
      <w:r>
        <w:t xml:space="preserve">, </w:t>
      </w:r>
    </w:p>
    <w:p w:rsidR="004A35B3" w:rsidRDefault="004A35B3" w:rsidP="004A35B3">
      <w:pPr>
        <w:pStyle w:val="SingleTxtGR"/>
        <w:spacing w:line="230" w:lineRule="atLeast"/>
      </w:pPr>
      <w:r>
        <w:tab/>
        <w:t>где</w:t>
      </w:r>
    </w:p>
    <w:p w:rsidR="004A35B3" w:rsidRDefault="004A35B3" w:rsidP="004A35B3">
      <w:pPr>
        <w:pStyle w:val="SingleTxtGR"/>
        <w:spacing w:line="230" w:lineRule="atLeast"/>
        <w:rPr>
          <w:lang w:eastAsia="zh-CN"/>
        </w:rPr>
      </w:pPr>
      <w:r>
        <w:tab/>
      </w:r>
      <w:r w:rsidRPr="00D66033">
        <w:t>V</w:t>
      </w:r>
      <w:r>
        <w:t xml:space="preserve"> – объем </w:t>
      </w:r>
      <w:r>
        <w:rPr>
          <w:lang w:eastAsia="zh-CN"/>
        </w:rPr>
        <w:t>свободного пространства в м</w:t>
      </w:r>
      <w:r w:rsidRPr="00D66033">
        <w:rPr>
          <w:vertAlign w:val="superscript"/>
          <w:lang w:eastAsia="zh-CN"/>
        </w:rPr>
        <w:t>3</w:t>
      </w:r>
      <w:r>
        <w:rPr>
          <w:lang w:eastAsia="zh-CN"/>
        </w:rPr>
        <w:t>;</w:t>
      </w:r>
    </w:p>
    <w:p w:rsidR="004A35B3" w:rsidRPr="004A35B3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color w:val="000000"/>
          <w:u w:val="single"/>
        </w:rPr>
      </w:pPr>
      <w:r>
        <w:tab/>
      </w:r>
      <w:r w:rsidRPr="00D66033">
        <w:t>V</w:t>
      </w:r>
      <w:r w:rsidRPr="00D66033">
        <w:rPr>
          <w:vertAlign w:val="subscript"/>
        </w:rPr>
        <w:t>L</w:t>
      </w:r>
      <w:r>
        <w:t xml:space="preserve"> – расход воздуха.</w:t>
      </w:r>
    </w:p>
    <w:p w:rsidR="004A35B3" w:rsidRPr="004A35B3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color w:val="000000"/>
        </w:rPr>
      </w:pPr>
      <w:r>
        <w:t>Для системы подачи воздуха предусматривается компенсация любого снижения расхода воздуха, обусловленного внутренним оборудованием, в частности воздуховодами и обмерзанием поверхности испарителя(ей)».</w:t>
      </w:r>
    </w:p>
    <w:p w:rsidR="004A35B3" w:rsidRPr="00DC22FA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bCs/>
          <w:color w:val="000000"/>
        </w:rPr>
      </w:pPr>
      <w:r>
        <w:t>9.</w:t>
      </w:r>
      <w:r>
        <w:tab/>
        <w:t>В случае принятия сноски 3 свидетельство СПС необходимо будет дополнить новым разделом ниже в добавлении 3 к приложению 1.</w:t>
      </w:r>
    </w:p>
    <w:p w:rsidR="004A35B3" w:rsidRPr="00DC22FA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color w:val="000000"/>
        </w:rPr>
      </w:pPr>
      <w:r>
        <w:t>«7.2.6</w:t>
      </w:r>
      <w:r>
        <w:tab/>
        <w:t>XX воздухообменов в час».</w:t>
      </w:r>
    </w:p>
    <w:p w:rsidR="004A35B3" w:rsidRPr="004A35B3" w:rsidRDefault="004A35B3" w:rsidP="004A35B3">
      <w:pPr>
        <w:pStyle w:val="SingleTxtGR"/>
        <w:spacing w:line="230" w:lineRule="atLeast"/>
        <w:rPr>
          <w:rFonts w:asciiTheme="majorBidi" w:hAnsiTheme="majorBidi" w:cstheme="majorBidi"/>
          <w:color w:val="000000"/>
        </w:rPr>
      </w:pPr>
      <w:r>
        <w:t>10.</w:t>
      </w:r>
      <w:r>
        <w:tab/>
        <w:t>XX – количество воздухообменов в час, рассчитываемое путем деления общего расхода воздуха, рассеиваемого вентиляторами испарителя, на общий внутренний объем установки.</w:t>
      </w:r>
    </w:p>
    <w:p w:rsidR="004A35B3" w:rsidRPr="004A35B3" w:rsidRDefault="004A35B3" w:rsidP="004A35B3">
      <w:pPr>
        <w:pStyle w:val="HChGR"/>
      </w:pPr>
      <w:r>
        <w:tab/>
      </w:r>
      <w:r>
        <w:tab/>
        <w:t>Последствия</w:t>
      </w:r>
    </w:p>
    <w:p w:rsidR="004A35B3" w:rsidRPr="004A35B3" w:rsidRDefault="004A35B3" w:rsidP="004A35B3">
      <w:pPr>
        <w:pStyle w:val="SingleTxtG"/>
        <w:spacing w:line="230" w:lineRule="atLeast"/>
        <w:rPr>
          <w:rFonts w:asciiTheme="majorBidi" w:hAnsiTheme="majorBidi" w:cstheme="majorBidi"/>
          <w:color w:val="000000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>Положительный эффект будет заключаться в повышении качества и безопасности пищевых продуктов. Финансовые последствия для отрасли будут состоять в дополнительных расходах на измерение расхода воздуха в тех случаях, когда оно не проводилось.</w:t>
      </w:r>
    </w:p>
    <w:p w:rsidR="004A35B3" w:rsidRPr="004A35B3" w:rsidRDefault="004A35B3" w:rsidP="004A35B3">
      <w:pPr>
        <w:pStyle w:val="SingleTxtG"/>
        <w:spacing w:line="230" w:lineRule="atLeast"/>
        <w:rPr>
          <w:rFonts w:asciiTheme="majorBidi" w:hAnsiTheme="majorBidi" w:cstheme="majorBidi"/>
          <w:color w:val="000000"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 xml:space="preserve">Установленный расход потока для вторичных хладагентов позволит обеспечить соответствие всех продуктов в грузовом отделении требованиям приложений 2 и 3. </w:t>
      </w:r>
    </w:p>
    <w:p w:rsidR="004A35B3" w:rsidRPr="004A35B3" w:rsidRDefault="004A35B3" w:rsidP="004A35B3">
      <w:pPr>
        <w:pStyle w:val="SingleTxtG"/>
        <w:spacing w:line="230" w:lineRule="atLeast"/>
        <w:rPr>
          <w:rFonts w:asciiTheme="majorBidi" w:hAnsiTheme="majorBidi" w:cstheme="majorBidi"/>
          <w:color w:val="000000"/>
          <w:lang w:val="ru-RU"/>
        </w:rPr>
      </w:pPr>
      <w:r>
        <w:rPr>
          <w:lang w:val="ru-RU"/>
        </w:rPr>
        <w:lastRenderedPageBreak/>
        <w:t>13.</w:t>
      </w:r>
      <w:r>
        <w:rPr>
          <w:lang w:val="ru-RU"/>
        </w:rPr>
        <w:tab/>
        <w:t>Вместе с тем результат измерения расхода воздуха необходимо указывать в протоколе испытания установки; таким образом, в настоящее время</w:t>
      </w:r>
      <w:r w:rsidR="008A150B">
        <w:rPr>
          <w:lang w:val="ru-RU"/>
        </w:rPr>
        <w:t>,</w:t>
      </w:r>
      <w:r>
        <w:rPr>
          <w:lang w:val="ru-RU"/>
        </w:rPr>
        <w:t xml:space="preserve"> как представляется, наблюдается некоторая непоследовательность.</w:t>
      </w:r>
    </w:p>
    <w:p w:rsidR="00E12C5F" w:rsidRPr="004A35B3" w:rsidRDefault="004A35B3" w:rsidP="004A35B3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4A35B3" w:rsidSect="004A35B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A23" w:rsidRPr="00A312BC" w:rsidRDefault="00D61A23" w:rsidP="00A312BC"/>
  </w:endnote>
  <w:endnote w:type="continuationSeparator" w:id="0">
    <w:p w:rsidR="00D61A23" w:rsidRPr="00A312BC" w:rsidRDefault="00D61A2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B3" w:rsidRPr="004A35B3" w:rsidRDefault="004A35B3">
    <w:pPr>
      <w:pStyle w:val="Footer"/>
    </w:pPr>
    <w:r w:rsidRPr="004A35B3">
      <w:rPr>
        <w:b/>
        <w:sz w:val="18"/>
      </w:rPr>
      <w:fldChar w:fldCharType="begin"/>
    </w:r>
    <w:r w:rsidRPr="004A35B3">
      <w:rPr>
        <w:b/>
        <w:sz w:val="18"/>
      </w:rPr>
      <w:instrText xml:space="preserve"> PAGE  \* MERGEFORMAT </w:instrText>
    </w:r>
    <w:r w:rsidRPr="004A35B3">
      <w:rPr>
        <w:b/>
        <w:sz w:val="18"/>
      </w:rPr>
      <w:fldChar w:fldCharType="separate"/>
    </w:r>
    <w:r w:rsidR="00292AF2">
      <w:rPr>
        <w:b/>
        <w:noProof/>
        <w:sz w:val="18"/>
      </w:rPr>
      <w:t>2</w:t>
    </w:r>
    <w:r w:rsidRPr="004A35B3">
      <w:rPr>
        <w:b/>
        <w:sz w:val="18"/>
      </w:rPr>
      <w:fldChar w:fldCharType="end"/>
    </w:r>
    <w:r>
      <w:rPr>
        <w:b/>
        <w:sz w:val="18"/>
      </w:rPr>
      <w:tab/>
    </w:r>
    <w:r>
      <w:t>GE.18-10761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B3" w:rsidRPr="004A35B3" w:rsidRDefault="004A35B3" w:rsidP="004A35B3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GE.18-10761</w:t>
    </w:r>
    <w:r>
      <w:tab/>
    </w:r>
    <w:r w:rsidRPr="004A35B3">
      <w:rPr>
        <w:b/>
        <w:sz w:val="18"/>
      </w:rPr>
      <w:fldChar w:fldCharType="begin"/>
    </w:r>
    <w:r w:rsidRPr="004A35B3">
      <w:rPr>
        <w:b/>
        <w:sz w:val="18"/>
      </w:rPr>
      <w:instrText xml:space="preserve"> PAGE  \* MERGEFORMAT </w:instrText>
    </w:r>
    <w:r w:rsidRPr="004A35B3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A35B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4A35B3" w:rsidRDefault="004A35B3" w:rsidP="004A35B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18-10761  (R)</w:t>
    </w:r>
    <w:r>
      <w:rPr>
        <w:lang w:val="en-US"/>
      </w:rPr>
      <w:t xml:space="preserve">  130818  130818</w:t>
    </w:r>
    <w:r>
      <w:br/>
    </w:r>
    <w:r w:rsidRPr="004A35B3">
      <w:rPr>
        <w:rFonts w:ascii="C39T30Lfz" w:hAnsi="C39T30Lfz"/>
        <w:kern w:val="14"/>
        <w:sz w:val="56"/>
      </w:rPr>
      <w:t></w:t>
    </w:r>
    <w:r w:rsidRPr="004A35B3">
      <w:rPr>
        <w:rFonts w:ascii="C39T30Lfz" w:hAnsi="C39T30Lfz"/>
        <w:kern w:val="14"/>
        <w:sz w:val="56"/>
      </w:rPr>
      <w:t></w:t>
    </w:r>
    <w:r w:rsidRPr="004A35B3">
      <w:rPr>
        <w:rFonts w:ascii="C39T30Lfz" w:hAnsi="C39T30Lfz"/>
        <w:kern w:val="14"/>
        <w:sz w:val="56"/>
      </w:rPr>
      <w:t></w:t>
    </w:r>
    <w:r w:rsidRPr="004A35B3">
      <w:rPr>
        <w:rFonts w:ascii="C39T30Lfz" w:hAnsi="C39T30Lfz"/>
        <w:kern w:val="14"/>
        <w:sz w:val="56"/>
      </w:rPr>
      <w:t></w:t>
    </w:r>
    <w:r w:rsidRPr="004A35B3">
      <w:rPr>
        <w:rFonts w:ascii="C39T30Lfz" w:hAnsi="C39T30Lfz"/>
        <w:kern w:val="14"/>
        <w:sz w:val="56"/>
      </w:rPr>
      <w:t></w:t>
    </w:r>
    <w:r w:rsidRPr="004A35B3">
      <w:rPr>
        <w:rFonts w:ascii="C39T30Lfz" w:hAnsi="C39T30Lfz"/>
        <w:kern w:val="14"/>
        <w:sz w:val="56"/>
      </w:rPr>
      <w:t></w:t>
    </w:r>
    <w:r w:rsidRPr="004A35B3">
      <w:rPr>
        <w:rFonts w:ascii="C39T30Lfz" w:hAnsi="C39T30Lfz"/>
        <w:kern w:val="14"/>
        <w:sz w:val="56"/>
      </w:rPr>
      <w:t></w:t>
    </w:r>
    <w:r w:rsidRPr="004A35B3">
      <w:rPr>
        <w:rFonts w:ascii="C39T30Lfz" w:hAnsi="C39T30Lfz"/>
        <w:kern w:val="14"/>
        <w:sz w:val="56"/>
      </w:rPr>
      <w:t></w:t>
    </w:r>
    <w:r w:rsidRPr="004A35B3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18/5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18/5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A23" w:rsidRPr="001075E9" w:rsidRDefault="00D61A2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61A23" w:rsidRDefault="00D61A2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4A35B3" w:rsidRPr="00D04F9F" w:rsidRDefault="004A35B3" w:rsidP="008A150B">
      <w:pPr>
        <w:pStyle w:val="FootnoteText"/>
      </w:pPr>
      <w:r>
        <w:tab/>
      </w:r>
      <w:r w:rsidRPr="00D526B6">
        <w:rPr>
          <w:vertAlign w:val="superscript"/>
        </w:rPr>
        <w:t>1</w:t>
      </w:r>
      <w:r>
        <w:tab/>
        <w:t>Для допущения прицепов с расходом воздуха ниже предусмотренного требованиями пункта 3.2.6 могут применяться многосторонние и двусторонние соглашения.</w:t>
      </w:r>
    </w:p>
  </w:footnote>
  <w:footnote w:id="2">
    <w:p w:rsidR="004A35B3" w:rsidRPr="00D04F9F" w:rsidRDefault="004A35B3" w:rsidP="008A150B">
      <w:pPr>
        <w:pStyle w:val="FootnoteText"/>
      </w:pPr>
      <w:r>
        <w:tab/>
      </w:r>
      <w:r w:rsidRPr="00D526B6">
        <w:rPr>
          <w:vertAlign w:val="superscript"/>
        </w:rPr>
        <w:t>2</w:t>
      </w:r>
      <w:r>
        <w:tab/>
        <w:t>Для допущения прицепов, имеющих свидетельство СПС, с расходом воздуха ниже предусмотренного требованиями пункта 3.2.6 могут применяться многосторонние и двусторонние соглашения.</w:t>
      </w:r>
    </w:p>
  </w:footnote>
  <w:footnote w:id="3">
    <w:p w:rsidR="004A35B3" w:rsidRPr="00535832" w:rsidRDefault="004A35B3" w:rsidP="008A150B">
      <w:pPr>
        <w:pStyle w:val="FootnoteText"/>
      </w:pPr>
      <w:r>
        <w:tab/>
      </w:r>
      <w:r w:rsidRPr="00D526B6">
        <w:rPr>
          <w:vertAlign w:val="superscript"/>
        </w:rPr>
        <w:t>3</w:t>
      </w:r>
      <w:r>
        <w:tab/>
        <w:t>Для допущения прицепов, имеющих свидетельство СПС, с расходом воздуха ниже предусмотренного требованиями пункта 3.2.6 могут применяться многосторонние и двусторонние соглашения; это должно быть указано в свидетельстве СПС.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B3" w:rsidRPr="004A35B3" w:rsidRDefault="00292AF2">
    <w:pPr>
      <w:pStyle w:val="Header"/>
    </w:pPr>
    <w:fldSimple w:instr=" TITLE  \* MERGEFORMAT ">
      <w:r>
        <w:t>ECE/TRANS/WP.11/2018/5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5B3" w:rsidRPr="004A35B3" w:rsidRDefault="00292AF2" w:rsidP="004A35B3">
    <w:pPr>
      <w:pStyle w:val="Header"/>
      <w:jc w:val="right"/>
    </w:pPr>
    <w:fldSimple w:instr=" TITLE  \* MERGEFORMAT ">
      <w:r>
        <w:t>ECE/TRANS/WP.11/2018/5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409C6"/>
    <w:multiLevelType w:val="hybridMultilevel"/>
    <w:tmpl w:val="78F6D8B0"/>
    <w:lvl w:ilvl="0" w:tplc="B83EAAD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A23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92AF2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A35B3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7D2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150B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3783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526B6"/>
    <w:rsid w:val="00D61A23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D1268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B2D6AF19-371E-41DA-B1BB-98928D2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rsid w:val="004A35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4A35B3"/>
    <w:pPr>
      <w:spacing w:after="120"/>
      <w:ind w:left="1134" w:right="1134"/>
      <w:jc w:val="both"/>
    </w:pPr>
    <w:rPr>
      <w:rFonts w:eastAsia="SimSun" w:cs="Times New Roman"/>
      <w:szCs w:val="20"/>
      <w:lang w:val="en-GB"/>
    </w:rPr>
  </w:style>
  <w:style w:type="paragraph" w:customStyle="1" w:styleId="H1G">
    <w:name w:val="_ H_1_G"/>
    <w:basedOn w:val="Normal"/>
    <w:next w:val="Normal"/>
    <w:rsid w:val="004A35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4A35B3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ECE/TRANS/WP.11/2018/5</vt:lpstr>
      <vt:lpstr>A/</vt:lpstr>
      <vt:lpstr>A/</vt:lpstr>
    </vt:vector>
  </TitlesOfParts>
  <Company>DCM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ECE/TRANS/WP.11/2018/5</dc:title>
  <dc:subject/>
  <dc:creator>Uliana ANTIPOVA</dc:creator>
  <cp:keywords/>
  <cp:lastModifiedBy>Secretariat</cp:lastModifiedBy>
  <cp:revision>2</cp:revision>
  <cp:lastPrinted>2018-08-13T10:03:00Z</cp:lastPrinted>
  <dcterms:created xsi:type="dcterms:W3CDTF">2018-08-27T14:12:00Z</dcterms:created>
  <dcterms:modified xsi:type="dcterms:W3CDTF">2018-08-27T14:12:00Z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