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C8679E">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C8679E" w:rsidP="00C8679E">
            <w:pPr>
              <w:jc w:val="right"/>
            </w:pPr>
            <w:r w:rsidRPr="00C8679E">
              <w:rPr>
                <w:sz w:val="40"/>
              </w:rPr>
              <w:t>ECE</w:t>
            </w:r>
            <w:r>
              <w:t>/TRANS/SC.1/S/398</w:t>
            </w:r>
          </w:p>
        </w:tc>
      </w:tr>
      <w:tr w:rsidR="002D5AAC" w:rsidRPr="00C8679E"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C8679E" w:rsidP="00387CD4">
            <w:pPr>
              <w:spacing w:before="240"/>
              <w:rPr>
                <w:lang w:val="en-US"/>
              </w:rPr>
            </w:pPr>
            <w:r>
              <w:rPr>
                <w:lang w:val="en-US"/>
              </w:rPr>
              <w:t>Distr.: General</w:t>
            </w:r>
          </w:p>
          <w:p w:rsidR="00C8679E" w:rsidRDefault="00C8679E" w:rsidP="00C8679E">
            <w:pPr>
              <w:spacing w:line="240" w:lineRule="exact"/>
              <w:rPr>
                <w:lang w:val="en-US"/>
              </w:rPr>
            </w:pPr>
            <w:r>
              <w:rPr>
                <w:lang w:val="en-US"/>
              </w:rPr>
              <w:t>16 April 2018</w:t>
            </w:r>
          </w:p>
          <w:p w:rsidR="00C8679E" w:rsidRDefault="00C8679E" w:rsidP="00C8679E">
            <w:pPr>
              <w:spacing w:line="240" w:lineRule="exact"/>
              <w:rPr>
                <w:lang w:val="en-US"/>
              </w:rPr>
            </w:pPr>
            <w:r>
              <w:rPr>
                <w:lang w:val="en-US"/>
              </w:rPr>
              <w:t>Russian</w:t>
            </w:r>
          </w:p>
          <w:p w:rsidR="00C8679E" w:rsidRPr="008D53B6" w:rsidRDefault="00C8679E" w:rsidP="00C8679E">
            <w:pPr>
              <w:spacing w:line="240" w:lineRule="exact"/>
              <w:rPr>
                <w:lang w:val="en-US"/>
              </w:rPr>
            </w:pPr>
            <w:r>
              <w:rPr>
                <w:lang w:val="en-US"/>
              </w:rPr>
              <w:t>Original: English</w:t>
            </w:r>
          </w:p>
        </w:tc>
      </w:tr>
    </w:tbl>
    <w:p w:rsidR="008A37C8" w:rsidRPr="00C8679E" w:rsidRDefault="008A37C8" w:rsidP="00C8679E">
      <w:pPr>
        <w:spacing w:before="120"/>
        <w:rPr>
          <w:b/>
          <w:sz w:val="28"/>
          <w:szCs w:val="28"/>
        </w:rPr>
      </w:pPr>
      <w:r w:rsidRPr="00C8679E">
        <w:rPr>
          <w:b/>
          <w:sz w:val="28"/>
          <w:szCs w:val="28"/>
        </w:rPr>
        <w:t>Европейская экономическая комиссия</w:t>
      </w:r>
    </w:p>
    <w:p w:rsidR="00C8679E" w:rsidRPr="00C8679E" w:rsidRDefault="00C8679E" w:rsidP="00C8679E">
      <w:pPr>
        <w:spacing w:before="120"/>
        <w:rPr>
          <w:sz w:val="28"/>
          <w:szCs w:val="28"/>
        </w:rPr>
      </w:pPr>
      <w:r w:rsidRPr="00C8679E">
        <w:rPr>
          <w:sz w:val="28"/>
          <w:szCs w:val="28"/>
        </w:rPr>
        <w:t>Комитет по внутреннему транспорту</w:t>
      </w:r>
    </w:p>
    <w:p w:rsidR="00C8679E" w:rsidRPr="00C8679E" w:rsidRDefault="00C8679E" w:rsidP="00C8679E">
      <w:pPr>
        <w:spacing w:before="120"/>
        <w:rPr>
          <w:b/>
          <w:bCs/>
          <w:sz w:val="24"/>
          <w:szCs w:val="24"/>
        </w:rPr>
      </w:pPr>
      <w:r w:rsidRPr="00C8679E">
        <w:rPr>
          <w:b/>
          <w:bCs/>
          <w:sz w:val="24"/>
          <w:szCs w:val="24"/>
        </w:rPr>
        <w:t xml:space="preserve">Рабочая группа по автомобильному транспорту </w:t>
      </w:r>
    </w:p>
    <w:p w:rsidR="00C8679E" w:rsidRPr="00C8679E" w:rsidRDefault="00C8679E" w:rsidP="00C8679E">
      <w:pPr>
        <w:spacing w:before="120"/>
        <w:rPr>
          <w:b/>
          <w:bCs/>
        </w:rPr>
      </w:pPr>
      <w:r w:rsidRPr="00C8679E">
        <w:rPr>
          <w:b/>
          <w:bCs/>
        </w:rPr>
        <w:t>Специальная сессия</w:t>
      </w:r>
      <w:bookmarkStart w:id="0" w:name="_GoBack"/>
      <w:bookmarkEnd w:id="0"/>
    </w:p>
    <w:p w:rsidR="00C8679E" w:rsidRPr="00C8679E" w:rsidRDefault="00C8679E" w:rsidP="00C8679E">
      <w:r w:rsidRPr="00C8679E">
        <w:t>Женева, 4–6 апреля 2018 года</w:t>
      </w:r>
    </w:p>
    <w:p w:rsidR="00C8679E" w:rsidRPr="00C8679E" w:rsidRDefault="00C8679E" w:rsidP="00C8679E">
      <w:pPr>
        <w:pStyle w:val="HChG"/>
        <w:rPr>
          <w:lang w:val="ru-RU"/>
        </w:rPr>
      </w:pPr>
      <w:r w:rsidRPr="00C8679E">
        <w:rPr>
          <w:lang w:val="ru-RU"/>
        </w:rPr>
        <w:tab/>
      </w:r>
      <w:r w:rsidRPr="00C8679E">
        <w:rPr>
          <w:lang w:val="ru-RU"/>
        </w:rPr>
        <w:tab/>
      </w:r>
      <w:r w:rsidRPr="00C8679E">
        <w:rPr>
          <w:bCs/>
          <w:lang w:val="ru-RU"/>
        </w:rPr>
        <w:t>Доклад о работе специальной сессии Рабочей группы по</w:t>
      </w:r>
      <w:r>
        <w:rPr>
          <w:bCs/>
          <w:lang w:val="en-US"/>
        </w:rPr>
        <w:t> </w:t>
      </w:r>
      <w:r w:rsidRPr="00C8679E">
        <w:rPr>
          <w:bCs/>
          <w:lang w:val="ru-RU"/>
        </w:rPr>
        <w:t>автомобильному транспорту</w:t>
      </w:r>
    </w:p>
    <w:p w:rsidR="00C8679E" w:rsidRPr="00C8679E" w:rsidRDefault="00C8679E" w:rsidP="00C8679E">
      <w:pPr>
        <w:pStyle w:val="HChG"/>
        <w:rPr>
          <w:lang w:val="ru-RU"/>
        </w:rPr>
      </w:pPr>
      <w:r w:rsidRPr="00C8679E">
        <w:rPr>
          <w:lang w:val="ru-RU"/>
        </w:rPr>
        <w:tab/>
        <w:t>I.</w:t>
      </w:r>
      <w:r w:rsidRPr="00C8679E">
        <w:rPr>
          <w:lang w:val="ru-RU"/>
        </w:rPr>
        <w:tab/>
        <w:t>Участники</w:t>
      </w:r>
    </w:p>
    <w:p w:rsidR="00C8679E" w:rsidRPr="00C8679E" w:rsidRDefault="00C8679E" w:rsidP="00C8679E">
      <w:pPr>
        <w:pStyle w:val="SingleTxtG"/>
        <w:rPr>
          <w:lang w:val="ru-RU"/>
        </w:rPr>
      </w:pPr>
      <w:r w:rsidRPr="00C8679E">
        <w:rPr>
          <w:lang w:val="ru-RU"/>
        </w:rPr>
        <w:t>1.</w:t>
      </w:r>
      <w:r w:rsidRPr="00C8679E">
        <w:rPr>
          <w:lang w:val="ru-RU"/>
        </w:rPr>
        <w:tab/>
        <w:t>Рабочая группа по автомобильному транспорту (SC.1) провела специальную сессию 4−6 апреля 2018 года под председательством г-на Р. Симоненко (Украина). На</w:t>
      </w:r>
      <w:r>
        <w:rPr>
          <w:lang w:val="en-US"/>
        </w:rPr>
        <w:t> </w:t>
      </w:r>
      <w:r w:rsidRPr="00C8679E">
        <w:rPr>
          <w:lang w:val="ru-RU"/>
        </w:rPr>
        <w:t>сессии были представлены следующие государства − члены Европейской экономической комиссии Организации Объединенных Наций (ЕЭК ООН): Бельгия, Финляндия, Германия, Италия, Люксембург, Нидерланды, Польша, Румыния, Российская Федерация, Швейцария, Турция, Украина и Соединенное Королевство Великобритании и Северной Ирландии.</w:t>
      </w:r>
    </w:p>
    <w:p w:rsidR="00C8679E" w:rsidRPr="00C8679E" w:rsidRDefault="00C8679E" w:rsidP="00C8679E">
      <w:pPr>
        <w:pStyle w:val="SingleTxtG"/>
        <w:rPr>
          <w:lang w:val="ru-RU"/>
        </w:rPr>
      </w:pPr>
      <w:r w:rsidRPr="00C8679E">
        <w:rPr>
          <w:lang w:val="ru-RU"/>
        </w:rPr>
        <w:t>2.</w:t>
      </w:r>
      <w:r w:rsidRPr="00C8679E">
        <w:rPr>
          <w:lang w:val="ru-RU"/>
        </w:rPr>
        <w:tab/>
      </w:r>
      <w:proofErr w:type="gramStart"/>
      <w:r w:rsidRPr="00C8679E">
        <w:rPr>
          <w:lang w:val="ru-RU"/>
        </w:rPr>
        <w:t>В</w:t>
      </w:r>
      <w:proofErr w:type="gramEnd"/>
      <w:r w:rsidRPr="00C8679E">
        <w:rPr>
          <w:lang w:val="ru-RU"/>
        </w:rPr>
        <w:t xml:space="preserve"> работе сессии также принял участие представитель Ирана (Исламская Республика), не являющегося членом ЕЭК.</w:t>
      </w:r>
    </w:p>
    <w:p w:rsidR="00C8679E" w:rsidRPr="00C8679E" w:rsidRDefault="00C8679E" w:rsidP="00C8679E">
      <w:pPr>
        <w:pStyle w:val="SingleTxtG"/>
        <w:rPr>
          <w:lang w:val="ru-RU"/>
        </w:rPr>
      </w:pPr>
      <w:r w:rsidRPr="00C8679E">
        <w:rPr>
          <w:lang w:val="ru-RU"/>
        </w:rPr>
        <w:t>3.</w:t>
      </w:r>
      <w:r w:rsidRPr="00C8679E">
        <w:rPr>
          <w:lang w:val="ru-RU"/>
        </w:rPr>
        <w:tab/>
        <w:t>Были представлены также Европейский союз, Комиссия Организации Объединенных Наций по праву международной торговли (ЮНСИТРАЛ) и Международный союз электросвязи (Исследовательская группа 20 МСЭ-Т).</w:t>
      </w:r>
    </w:p>
    <w:p w:rsidR="00C8679E" w:rsidRPr="00C8679E" w:rsidRDefault="00C8679E" w:rsidP="00C8679E">
      <w:pPr>
        <w:pStyle w:val="SingleTxtG"/>
        <w:rPr>
          <w:lang w:val="ru-RU"/>
        </w:rPr>
      </w:pPr>
      <w:r w:rsidRPr="00C8679E">
        <w:rPr>
          <w:lang w:val="ru-RU"/>
        </w:rPr>
        <w:t>4.</w:t>
      </w:r>
      <w:r w:rsidRPr="00C8679E">
        <w:rPr>
          <w:lang w:val="ru-RU"/>
        </w:rPr>
        <w:tab/>
        <w:t>Были представлены следующие неправительственные организации: Международная автомобильная федерация (ФИА), Международная ассоциация транспортных предприятий (МАТП), Международный комитет железнодорожного транспорта (МКЖТ) и Международный союз автомобильного транспорта (МСАТ).</w:t>
      </w:r>
      <w:bookmarkStart w:id="1" w:name="_Hlk511380584"/>
      <w:bookmarkEnd w:id="1"/>
    </w:p>
    <w:p w:rsidR="00C8679E" w:rsidRPr="00C8679E" w:rsidRDefault="00C8679E" w:rsidP="00C8679E">
      <w:pPr>
        <w:pStyle w:val="SingleTxtG"/>
        <w:rPr>
          <w:lang w:val="ru-RU"/>
        </w:rPr>
      </w:pPr>
      <w:r w:rsidRPr="00C8679E">
        <w:rPr>
          <w:lang w:val="ru-RU"/>
        </w:rPr>
        <w:t>5.</w:t>
      </w:r>
      <w:r w:rsidRPr="00C8679E">
        <w:rPr>
          <w:lang w:val="ru-RU"/>
        </w:rPr>
        <w:tab/>
        <w:t>Частный сектор представляли Управление по эксплуатации платных автодорог Аттики, «</w:t>
      </w:r>
      <w:proofErr w:type="spellStart"/>
      <w:r w:rsidRPr="00C8679E">
        <w:rPr>
          <w:lang w:val="ru-RU"/>
        </w:rPr>
        <w:t>Джулиус</w:t>
      </w:r>
      <w:proofErr w:type="spellEnd"/>
      <w:r w:rsidRPr="00C8679E">
        <w:rPr>
          <w:lang w:val="ru-RU"/>
        </w:rPr>
        <w:t xml:space="preserve"> </w:t>
      </w:r>
      <w:proofErr w:type="spellStart"/>
      <w:r w:rsidRPr="00C8679E">
        <w:rPr>
          <w:lang w:val="ru-RU"/>
        </w:rPr>
        <w:t>байер</w:t>
      </w:r>
      <w:proofErr w:type="spellEnd"/>
      <w:r w:rsidRPr="00C8679E">
        <w:rPr>
          <w:lang w:val="ru-RU"/>
        </w:rPr>
        <w:t>», «</w:t>
      </w:r>
      <w:proofErr w:type="spellStart"/>
      <w:r w:rsidRPr="00C8679E">
        <w:rPr>
          <w:lang w:val="ru-RU"/>
        </w:rPr>
        <w:t>СиДата</w:t>
      </w:r>
      <w:proofErr w:type="spellEnd"/>
      <w:r w:rsidRPr="00C8679E">
        <w:rPr>
          <w:lang w:val="ru-RU"/>
        </w:rPr>
        <w:t xml:space="preserve">», «Си Экспресс </w:t>
      </w:r>
      <w:proofErr w:type="spellStart"/>
      <w:r w:rsidRPr="00C8679E">
        <w:rPr>
          <w:lang w:val="ru-RU"/>
        </w:rPr>
        <w:t>Груп</w:t>
      </w:r>
      <w:proofErr w:type="spellEnd"/>
      <w:r w:rsidRPr="00C8679E">
        <w:rPr>
          <w:lang w:val="ru-RU"/>
        </w:rPr>
        <w:t>» и «</w:t>
      </w:r>
      <w:proofErr w:type="spellStart"/>
      <w:r w:rsidRPr="00C8679E">
        <w:rPr>
          <w:lang w:val="ru-RU"/>
        </w:rPr>
        <w:t>Телеспацио</w:t>
      </w:r>
      <w:proofErr w:type="spellEnd"/>
      <w:r w:rsidRPr="00C8679E">
        <w:rPr>
          <w:lang w:val="ru-RU"/>
        </w:rPr>
        <w:t>».</w:t>
      </w:r>
    </w:p>
    <w:p w:rsidR="00C8679E" w:rsidRPr="00C8679E" w:rsidRDefault="00C8679E" w:rsidP="00C8679E">
      <w:pPr>
        <w:pStyle w:val="HChG"/>
        <w:rPr>
          <w:lang w:val="ru-RU"/>
        </w:rPr>
      </w:pPr>
      <w:r w:rsidRPr="00C8679E">
        <w:rPr>
          <w:lang w:val="ru-RU"/>
        </w:rPr>
        <w:tab/>
        <w:t>II.</w:t>
      </w:r>
      <w:r w:rsidRPr="00C8679E">
        <w:rPr>
          <w:lang w:val="ru-RU"/>
        </w:rPr>
        <w:tab/>
        <w:t xml:space="preserve">Утверждение повестки дня </w:t>
      </w:r>
    </w:p>
    <w:p w:rsidR="00C8679E" w:rsidRPr="00C8679E" w:rsidRDefault="00C8679E" w:rsidP="00C8679E">
      <w:pPr>
        <w:pStyle w:val="SingleTxtG"/>
        <w:rPr>
          <w:lang w:val="ru-RU"/>
        </w:rPr>
      </w:pPr>
      <w:r w:rsidRPr="00C8679E">
        <w:rPr>
          <w:lang w:val="ru-RU"/>
        </w:rPr>
        <w:t>6.</w:t>
      </w:r>
      <w:r w:rsidRPr="00C8679E">
        <w:rPr>
          <w:lang w:val="ru-RU"/>
        </w:rPr>
        <w:tab/>
        <w:t>SC.1 утвердила повестку дня сессии (ECE/TRANS/SC.1/S/397).</w:t>
      </w:r>
    </w:p>
    <w:p w:rsidR="00C8679E" w:rsidRPr="00C8679E" w:rsidRDefault="00C8679E" w:rsidP="00C8679E">
      <w:pPr>
        <w:pStyle w:val="HChG"/>
        <w:rPr>
          <w:lang w:val="ru-RU"/>
        </w:rPr>
      </w:pPr>
      <w:r w:rsidRPr="00C8679E">
        <w:rPr>
          <w:lang w:val="ru-RU"/>
        </w:rPr>
        <w:lastRenderedPageBreak/>
        <w:tab/>
        <w:t>III.</w:t>
      </w:r>
      <w:r w:rsidRPr="00C8679E">
        <w:rPr>
          <w:lang w:val="ru-RU"/>
        </w:rPr>
        <w:tab/>
      </w:r>
      <w:r w:rsidRPr="00C8679E">
        <w:rPr>
          <w:lang w:val="ru-RU"/>
        </w:rPr>
        <w:tab/>
        <w:t xml:space="preserve">Дополнительный протокол к </w:t>
      </w:r>
      <w:r w:rsidRPr="00C8679E">
        <w:rPr>
          <w:rFonts w:eastAsiaTheme="minorEastAsia"/>
          <w:lang w:val="ru-RU" w:eastAsia="zh-CN"/>
        </w:rPr>
        <w:t>Д</w:t>
      </w:r>
      <w:r w:rsidRPr="00C8679E">
        <w:rPr>
          <w:lang w:val="ru-RU"/>
        </w:rPr>
        <w:t xml:space="preserve">оговору международной дорожной перевозки грузов, касающийся электронной накладной (e-CMR) </w:t>
      </w:r>
    </w:p>
    <w:p w:rsidR="00C8679E" w:rsidRPr="00C8679E" w:rsidRDefault="00C8679E" w:rsidP="00C8679E">
      <w:pPr>
        <w:pStyle w:val="SingleTxtG"/>
        <w:rPr>
          <w:rFonts w:asciiTheme="majorBidi" w:hAnsiTheme="majorBidi" w:cstheme="majorBidi"/>
          <w:sz w:val="28"/>
          <w:szCs w:val="28"/>
          <w:lang w:val="ru-RU"/>
        </w:rPr>
      </w:pPr>
      <w:r w:rsidRPr="00C8679E">
        <w:rPr>
          <w:lang w:val="ru-RU"/>
        </w:rPr>
        <w:t>7.</w:t>
      </w:r>
      <w:r w:rsidRPr="00C8679E">
        <w:rPr>
          <w:lang w:val="ru-RU"/>
        </w:rPr>
        <w:tab/>
        <w:t>На последней сессии «SC.1 просила секретариат провести специальную сессию</w:t>
      </w:r>
      <w:r>
        <w:rPr>
          <w:lang w:val="en-US"/>
        </w:rPr>
        <w:t> </w:t>
      </w:r>
      <w:r w:rsidRPr="00C8679E">
        <w:rPr>
          <w:lang w:val="ru-RU"/>
        </w:rPr>
        <w:t xml:space="preserve">SC.1, посвященную е-CMR, в начале 2018 года с устным переводом для продолжения изучения этого вопроса и принятия решения относительно дальнейших действий». SC.1 было предложено рассмотреть и обсудить варианты для внедрения электронной накладной (e-CMR), включая разработку единой центральной платформы и альтернативных решений. </w:t>
      </w:r>
    </w:p>
    <w:p w:rsidR="00C8679E" w:rsidRPr="00C8679E" w:rsidRDefault="00C8679E" w:rsidP="00C8679E">
      <w:pPr>
        <w:pStyle w:val="SingleTxtG"/>
        <w:rPr>
          <w:lang w:val="ru-RU"/>
        </w:rPr>
      </w:pPr>
      <w:r w:rsidRPr="00C8679E">
        <w:rPr>
          <w:lang w:val="ru-RU"/>
        </w:rPr>
        <w:t>8.</w:t>
      </w:r>
      <w:r w:rsidRPr="00C8679E">
        <w:rPr>
          <w:lang w:val="ru-RU"/>
        </w:rPr>
        <w:tab/>
        <w:t xml:space="preserve">Для содействия обсуждению этого вопроса в рамках SC.1 секретариат составил краткий справочный документ (ECE/TRANS/SC.1/S/2018/1) и представил обзор истории вопроса, в частности в том, что касается разработки e-CMR, недавно присоединившихся стран, ключевых статей и проблем внедрения e-CMR. </w:t>
      </w:r>
    </w:p>
    <w:p w:rsidR="00C8679E" w:rsidRPr="00C8679E" w:rsidRDefault="00C8679E" w:rsidP="00C8679E">
      <w:pPr>
        <w:pStyle w:val="SingleTxtG"/>
        <w:rPr>
          <w:lang w:val="ru-RU"/>
        </w:rPr>
      </w:pPr>
      <w:r w:rsidRPr="00C8679E">
        <w:rPr>
          <w:lang w:val="ru-RU"/>
        </w:rPr>
        <w:t>9.</w:t>
      </w:r>
      <w:r w:rsidRPr="00C8679E">
        <w:rPr>
          <w:lang w:val="ru-RU"/>
        </w:rPr>
        <w:tab/>
        <w:t xml:space="preserve">SC.1 с удовлетворением отметила, что со времени проведения ее последнего совещания в октябре 2017 года к e-CMR присоединились еще пять государств. Новыми Договаривающимися сторонами </w:t>
      </w:r>
      <w:r w:rsidRPr="00C8679E">
        <w:rPr>
          <w:rFonts w:eastAsiaTheme="minorEastAsia"/>
          <w:lang w:val="ru-RU" w:eastAsia="zh-CN"/>
        </w:rPr>
        <w:t>стали</w:t>
      </w:r>
      <w:r w:rsidRPr="00C8679E">
        <w:rPr>
          <w:lang w:val="ru-RU"/>
        </w:rPr>
        <w:t xml:space="preserve"> Иран (Исламская Республика), Люксембург, Турция, Российская Федерация и Республика Молдова.</w:t>
      </w:r>
    </w:p>
    <w:p w:rsidR="00C8679E" w:rsidRPr="00C8679E" w:rsidRDefault="00C8679E" w:rsidP="00C8679E">
      <w:pPr>
        <w:pStyle w:val="SingleTxtG"/>
        <w:rPr>
          <w:lang w:val="ru-RU"/>
        </w:rPr>
      </w:pPr>
      <w:r w:rsidRPr="00C8679E">
        <w:rPr>
          <w:lang w:val="ru-RU"/>
        </w:rPr>
        <w:t>10.</w:t>
      </w:r>
      <w:r w:rsidRPr="00C8679E">
        <w:rPr>
          <w:lang w:val="ru-RU"/>
        </w:rPr>
        <w:tab/>
        <w:t>Финляндия, Польша, Румыния, Украина и Соединенное Королевство проинформировали Рабочую группу о том, что они рассматривают вопрос о присоединении к e-CMR.</w:t>
      </w:r>
    </w:p>
    <w:p w:rsidR="00C8679E" w:rsidRPr="00C8679E" w:rsidRDefault="00C8679E" w:rsidP="00C8679E">
      <w:pPr>
        <w:pStyle w:val="SingleTxtG"/>
        <w:rPr>
          <w:lang w:val="ru-RU"/>
        </w:rPr>
      </w:pPr>
      <w:r w:rsidRPr="00C8679E">
        <w:rPr>
          <w:lang w:val="ru-RU"/>
        </w:rPr>
        <w:t>11.</w:t>
      </w:r>
      <w:r w:rsidRPr="00C8679E">
        <w:rPr>
          <w:lang w:val="ru-RU"/>
        </w:rPr>
        <w:tab/>
        <w:t xml:space="preserve">ЮНСИТРАЛ выступила с обзором Типового закона об электронных передаваемых записях (ТЗЭПЗ) 2017 </w:t>
      </w:r>
      <w:r w:rsidRPr="00C8679E">
        <w:rPr>
          <w:rFonts w:eastAsiaTheme="minorEastAsia"/>
          <w:lang w:val="ru-RU" w:eastAsia="zh-CN"/>
        </w:rPr>
        <w:t>года</w:t>
      </w:r>
      <w:r w:rsidRPr="00C8679E">
        <w:rPr>
          <w:lang w:val="ru-RU"/>
        </w:rPr>
        <w:t xml:space="preserve">, который служит юридической основой для использования электронных передаваемых записей (ЭПЗ). Кроме того, ЮНСИТРАЛ представила краткую информацию о том, каким образом ТЗЭПЗ мог бы содействовать применению e-CMR, и предложила подготовить руководящую записку для SC.1 по соответствующим правовым аспектам. </w:t>
      </w:r>
    </w:p>
    <w:p w:rsidR="00C8679E" w:rsidRPr="00C8679E" w:rsidRDefault="00C8679E" w:rsidP="00C8679E">
      <w:pPr>
        <w:pStyle w:val="SingleTxtG"/>
        <w:rPr>
          <w:lang w:val="ru-RU"/>
        </w:rPr>
      </w:pPr>
      <w:r w:rsidRPr="00C8679E">
        <w:rPr>
          <w:lang w:val="ru-RU"/>
        </w:rPr>
        <w:t>12.</w:t>
      </w:r>
      <w:r w:rsidRPr="00C8679E">
        <w:rPr>
          <w:lang w:val="ru-RU"/>
        </w:rPr>
        <w:tab/>
        <w:t>Технические стандарты в поддержку создания и обмена электронными накладными для международной перевозки грузов автомобильным транспортом, разработанные Центром Организации Объединенных Наций по упрощению процедур торговли и электронным деловым операциям (СЕФАКТ ООН), были утверждены 19</w:t>
      </w:r>
      <w:r>
        <w:rPr>
          <w:lang w:val="en-US"/>
        </w:rPr>
        <w:t> </w:t>
      </w:r>
      <w:r w:rsidRPr="00C8679E">
        <w:rPr>
          <w:lang w:val="ru-RU"/>
        </w:rPr>
        <w:t>февраля 2018 года (</w:t>
      </w:r>
      <w:hyperlink r:id="rId8" w:history="1">
        <w:r w:rsidRPr="00C8679E">
          <w:rPr>
            <w:rStyle w:val="af1"/>
            <w:lang w:val="ru-RU"/>
          </w:rPr>
          <w:t>www.unece.org/cefact/brs/brs_index.html</w:t>
        </w:r>
      </w:hyperlink>
      <w:r w:rsidRPr="00C8679E">
        <w:rPr>
          <w:lang w:val="ru-RU"/>
        </w:rPr>
        <w:t>). Они были официально представлены директорами Отдела экономического сотрудничества и торговли и Отдела устойчивого транспорта ЕЭК. Представитель СЕФАКТ ООН также представил обзор стандартной модели, которая позволяет участникам торговли «говорить на одном языке».</w:t>
      </w:r>
    </w:p>
    <w:p w:rsidR="00C8679E" w:rsidRPr="00C8679E" w:rsidRDefault="00C8679E" w:rsidP="00C8679E">
      <w:pPr>
        <w:pStyle w:val="SingleTxtG"/>
        <w:rPr>
          <w:lang w:val="ru-RU"/>
        </w:rPr>
      </w:pPr>
      <w:r w:rsidRPr="00C8679E">
        <w:rPr>
          <w:lang w:val="ru-RU"/>
        </w:rPr>
        <w:t>13.</w:t>
      </w:r>
      <w:r w:rsidRPr="00C8679E">
        <w:rPr>
          <w:lang w:val="ru-RU"/>
        </w:rPr>
        <w:tab/>
        <w:t xml:space="preserve">Нидерланды представили информацию об экспериментальном проекте стран Бенилюкса и пояснили, что их стратегический подход состоит в </w:t>
      </w:r>
      <w:proofErr w:type="spellStart"/>
      <w:r w:rsidRPr="00C8679E">
        <w:rPr>
          <w:lang w:val="ru-RU"/>
        </w:rPr>
        <w:t>уделении</w:t>
      </w:r>
      <w:proofErr w:type="spellEnd"/>
      <w:r w:rsidRPr="00C8679E">
        <w:rPr>
          <w:lang w:val="ru-RU"/>
        </w:rPr>
        <w:t xml:space="preserve"> основного внимания данным и </w:t>
      </w:r>
      <w:proofErr w:type="spellStart"/>
      <w:r w:rsidRPr="00C8679E">
        <w:rPr>
          <w:lang w:val="ru-RU"/>
        </w:rPr>
        <w:t>мультимодальному</w:t>
      </w:r>
      <w:proofErr w:type="spellEnd"/>
      <w:r w:rsidRPr="00C8679E">
        <w:rPr>
          <w:lang w:val="ru-RU"/>
        </w:rPr>
        <w:t xml:space="preserve"> обмену ими, а также использованию уже существующих ресурсов (т.</w:t>
      </w:r>
      <w:r>
        <w:rPr>
          <w:lang w:val="en-US"/>
        </w:rPr>
        <w:t> </w:t>
      </w:r>
      <w:r w:rsidRPr="00C8679E">
        <w:rPr>
          <w:lang w:val="ru-RU"/>
        </w:rPr>
        <w:t>е. на основе информационных технологий, имеющихся в распоряжении предприятий). Этот подход соответствует разработанной Европейским союзом концепции федеративной платформы, которая бы объединила и связала друг с другом коммерческие и некоммерческие платформы и включала бы разнообразные технические решения и различных поставщиков. Представитель Нидерландов также перечислил ряд правовых и технических аспектов, которые могут оказаться полезными для Договаривающихся сторон, которым необходима консультационная поддержка в связи с внедрением e-CMR.</w:t>
      </w:r>
    </w:p>
    <w:p w:rsidR="00C8679E" w:rsidRPr="00C8679E" w:rsidRDefault="00C8679E" w:rsidP="00C8679E">
      <w:pPr>
        <w:pStyle w:val="SingleTxtG"/>
        <w:rPr>
          <w:lang w:val="ru-RU"/>
        </w:rPr>
      </w:pPr>
      <w:r w:rsidRPr="00C8679E">
        <w:rPr>
          <w:lang w:val="ru-RU"/>
        </w:rPr>
        <w:t>14.</w:t>
      </w:r>
      <w:r w:rsidRPr="00C8679E">
        <w:rPr>
          <w:lang w:val="ru-RU"/>
        </w:rPr>
        <w:tab/>
        <w:t>МСАТ подчеркнул важность экспериментальных проектов для опробования или внедрения e-CMR и представил подготовленный им видеоматериал по e-CMR. Представитель итальянской телекоммуникационной компании «</w:t>
      </w:r>
      <w:proofErr w:type="spellStart"/>
      <w:r w:rsidRPr="00C8679E">
        <w:rPr>
          <w:lang w:val="ru-RU"/>
        </w:rPr>
        <w:t>Телеспацио</w:t>
      </w:r>
      <w:proofErr w:type="spellEnd"/>
      <w:r w:rsidRPr="00C8679E">
        <w:rPr>
          <w:lang w:val="ru-RU"/>
        </w:rPr>
        <w:t xml:space="preserve">» сообщил о некоторых технических аспектах реализованного ею экспериментального </w:t>
      </w:r>
      <w:r w:rsidRPr="00C8679E">
        <w:rPr>
          <w:rFonts w:eastAsiaTheme="minorEastAsia"/>
          <w:lang w:val="ru-RU" w:eastAsia="zh-CN"/>
        </w:rPr>
        <w:t>электронного</w:t>
      </w:r>
      <w:r w:rsidRPr="00C8679E">
        <w:rPr>
          <w:lang w:val="ru-RU"/>
        </w:rPr>
        <w:t xml:space="preserve"> проекта по перевозке опасных грузов.</w:t>
      </w:r>
    </w:p>
    <w:p w:rsidR="00C8679E" w:rsidRPr="00C8679E" w:rsidRDefault="00C8679E" w:rsidP="00C8679E">
      <w:pPr>
        <w:pStyle w:val="SingleTxtG"/>
        <w:rPr>
          <w:lang w:val="ru-RU"/>
        </w:rPr>
      </w:pPr>
      <w:r w:rsidRPr="00C8679E">
        <w:rPr>
          <w:lang w:val="ru-RU"/>
        </w:rPr>
        <w:t>15.</w:t>
      </w:r>
      <w:r w:rsidRPr="00C8679E">
        <w:rPr>
          <w:lang w:val="ru-RU"/>
        </w:rPr>
        <w:tab/>
        <w:t>МКЖТ представил последнюю информацию в связи с разработкой эквивалента</w:t>
      </w:r>
      <w:r>
        <w:rPr>
          <w:lang w:val="en-US"/>
        </w:rPr>
        <w:t> </w:t>
      </w:r>
      <w:r w:rsidRPr="00C8679E">
        <w:rPr>
          <w:lang w:val="ru-RU"/>
        </w:rPr>
        <w:t>e-CMR для железнодорожного транспорта, известного как e-CIM.</w:t>
      </w:r>
    </w:p>
    <w:p w:rsidR="00C8679E" w:rsidRPr="00C8679E" w:rsidRDefault="00C8679E" w:rsidP="00C8679E">
      <w:pPr>
        <w:pStyle w:val="SingleTxtG"/>
        <w:rPr>
          <w:lang w:val="ru-RU"/>
        </w:rPr>
      </w:pPr>
      <w:r w:rsidRPr="00C8679E">
        <w:rPr>
          <w:lang w:val="ru-RU"/>
        </w:rPr>
        <w:lastRenderedPageBreak/>
        <w:t>16.</w:t>
      </w:r>
      <w:r w:rsidRPr="00C8679E">
        <w:rPr>
          <w:lang w:val="ru-RU"/>
        </w:rPr>
        <w:tab/>
        <w:t>Российская Федерация и Турция выразили заинтересованность в реализации экспериментальных проектов с e-CMR в их странах.</w:t>
      </w:r>
    </w:p>
    <w:p w:rsidR="00C8679E" w:rsidRPr="00C8679E" w:rsidRDefault="00C8679E" w:rsidP="00C8679E">
      <w:pPr>
        <w:pStyle w:val="SingleTxtG"/>
        <w:rPr>
          <w:lang w:val="ru-RU"/>
        </w:rPr>
      </w:pPr>
      <w:r w:rsidRPr="00C8679E">
        <w:rPr>
          <w:lang w:val="ru-RU"/>
        </w:rPr>
        <w:t>17.</w:t>
      </w:r>
      <w:r w:rsidRPr="00C8679E">
        <w:rPr>
          <w:lang w:val="ru-RU"/>
        </w:rPr>
        <w:tab/>
        <w:t>SC.1 выразила выступающим благодарность за ценные и информативные сообщения.</w:t>
      </w:r>
    </w:p>
    <w:p w:rsidR="00C8679E" w:rsidRPr="00C8679E" w:rsidRDefault="00C8679E" w:rsidP="00C8679E">
      <w:pPr>
        <w:pStyle w:val="SingleTxtG"/>
        <w:rPr>
          <w:lang w:val="ru-RU"/>
        </w:rPr>
      </w:pPr>
      <w:r w:rsidRPr="00C8679E">
        <w:rPr>
          <w:lang w:val="ru-RU"/>
        </w:rPr>
        <w:t>18.</w:t>
      </w:r>
      <w:r w:rsidRPr="00C8679E">
        <w:rPr>
          <w:lang w:val="ru-RU"/>
        </w:rPr>
        <w:tab/>
        <w:t>SC.1 предложила ЮНСИТРАЛ в сотрудничестве с секретариатом подготовить руководящую записку по правовым аспектам e-CMR для следующей сессии SC.1. Она</w:t>
      </w:r>
      <w:r>
        <w:rPr>
          <w:lang w:val="en-US"/>
        </w:rPr>
        <w:t> </w:t>
      </w:r>
      <w:r w:rsidRPr="00C8679E">
        <w:rPr>
          <w:lang w:val="ru-RU"/>
        </w:rPr>
        <w:t xml:space="preserve">просила представить этот документ в середине июля 2018 года, с тем чтобы можно было выполнить его перевод. SC.1 предлагается как можно скорее направить свои вопросы правового характера в секретариат для содействия подготовке руководящей записки. </w:t>
      </w:r>
    </w:p>
    <w:p w:rsidR="00C8679E" w:rsidRPr="00C8679E" w:rsidRDefault="00C8679E" w:rsidP="00C8679E">
      <w:pPr>
        <w:pStyle w:val="SingleTxtG"/>
        <w:rPr>
          <w:lang w:val="ru-RU"/>
        </w:rPr>
      </w:pPr>
      <w:r w:rsidRPr="00C8679E">
        <w:rPr>
          <w:lang w:val="ru-RU"/>
        </w:rPr>
        <w:t>19.</w:t>
      </w:r>
      <w:r w:rsidRPr="00C8679E">
        <w:rPr>
          <w:lang w:val="ru-RU"/>
        </w:rPr>
        <w:tab/>
      </w:r>
      <w:proofErr w:type="gramStart"/>
      <w:r w:rsidRPr="00C8679E">
        <w:rPr>
          <w:lang w:val="ru-RU"/>
        </w:rPr>
        <w:t>В</w:t>
      </w:r>
      <w:proofErr w:type="gramEnd"/>
      <w:r w:rsidRPr="00C8679E">
        <w:rPr>
          <w:lang w:val="ru-RU"/>
        </w:rPr>
        <w:t xml:space="preserve"> ответ на просьбы некоторых участников об информации, касающейся тематических исследований и оптимальной практики, SС.1 предложила Нидерландам как можно скорее передать секретариату документацию по проекту Бенилюкса, с тем чтобы она могла быть переведена для обсуждения на следующей сессии.</w:t>
      </w:r>
    </w:p>
    <w:p w:rsidR="00C8679E" w:rsidRPr="00C8679E" w:rsidRDefault="00C8679E" w:rsidP="00C8679E">
      <w:pPr>
        <w:pStyle w:val="SingleTxtG"/>
        <w:rPr>
          <w:rFonts w:asciiTheme="majorBidi" w:hAnsiTheme="majorBidi" w:cstheme="majorBidi"/>
          <w:sz w:val="28"/>
          <w:szCs w:val="28"/>
          <w:lang w:val="ru-RU"/>
        </w:rPr>
      </w:pPr>
      <w:r w:rsidRPr="00C8679E">
        <w:rPr>
          <w:lang w:val="ru-RU"/>
        </w:rPr>
        <w:t>20.</w:t>
      </w:r>
      <w:r w:rsidRPr="00C8679E">
        <w:rPr>
          <w:lang w:val="ru-RU"/>
        </w:rPr>
        <w:tab/>
      </w:r>
      <w:proofErr w:type="gramStart"/>
      <w:r w:rsidRPr="00C8679E">
        <w:rPr>
          <w:lang w:val="ru-RU"/>
        </w:rPr>
        <w:t>В</w:t>
      </w:r>
      <w:proofErr w:type="gramEnd"/>
      <w:r w:rsidRPr="00C8679E">
        <w:rPr>
          <w:lang w:val="ru-RU"/>
        </w:rPr>
        <w:t xml:space="preserve"> целях дальнейшего содействия обсуждению этого вопроса на следующей сессии Председатель предложил SC.1 направить в секретариат имеющиеся у нее технические вопросы, связанные с внедрением e-CMR к середине июля 2018 года. Секретариат подготовит сводный перечень вопросов до начала следующей сессии.</w:t>
      </w:r>
    </w:p>
    <w:p w:rsidR="00C8679E" w:rsidRPr="00C8679E" w:rsidRDefault="00C8679E" w:rsidP="00C8679E">
      <w:pPr>
        <w:pStyle w:val="HChG"/>
        <w:rPr>
          <w:lang w:val="ru-RU"/>
        </w:rPr>
      </w:pPr>
      <w:r>
        <w:rPr>
          <w:lang w:val="ru-RU"/>
        </w:rPr>
        <w:tab/>
      </w:r>
      <w:r w:rsidRPr="00C8679E">
        <w:rPr>
          <w:lang w:val="ru-RU"/>
        </w:rPr>
        <w:t>IV.</w:t>
      </w:r>
      <w:r w:rsidRPr="00C8679E">
        <w:rPr>
          <w:lang w:val="ru-RU"/>
        </w:rPr>
        <w:tab/>
        <w:t>Цифровая</w:t>
      </w:r>
      <w:proofErr w:type="gramStart"/>
      <w:r w:rsidRPr="00C8679E">
        <w:rPr>
          <w:lang w:val="ru-RU"/>
        </w:rPr>
        <w:t>/«</w:t>
      </w:r>
      <w:proofErr w:type="gramEnd"/>
      <w:r w:rsidRPr="00C8679E">
        <w:rPr>
          <w:lang w:val="ru-RU"/>
        </w:rPr>
        <w:t xml:space="preserve">интеллектуальная» инфраструктура </w:t>
      </w:r>
    </w:p>
    <w:p w:rsidR="00C8679E" w:rsidRPr="00C8679E" w:rsidRDefault="00C8679E" w:rsidP="00C8679E">
      <w:pPr>
        <w:pStyle w:val="SingleTxtG"/>
        <w:rPr>
          <w:lang w:val="ru-RU"/>
        </w:rPr>
      </w:pPr>
      <w:r w:rsidRPr="00C8679E">
        <w:rPr>
          <w:lang w:val="ru-RU"/>
        </w:rPr>
        <w:t>21.</w:t>
      </w:r>
      <w:r w:rsidRPr="00C8679E">
        <w:rPr>
          <w:lang w:val="ru-RU"/>
        </w:rPr>
        <w:tab/>
      </w:r>
      <w:proofErr w:type="gramStart"/>
      <w:r w:rsidRPr="00C8679E">
        <w:rPr>
          <w:lang w:val="ru-RU"/>
        </w:rPr>
        <w:t>В</w:t>
      </w:r>
      <w:proofErr w:type="gramEnd"/>
      <w:r w:rsidRPr="00C8679E">
        <w:rPr>
          <w:lang w:val="ru-RU"/>
        </w:rPr>
        <w:t xml:space="preserve"> ходе последней сессии SC.1 выразила готовность «предпринять усилия для</w:t>
      </w:r>
      <w:r w:rsidR="002C5CAC">
        <w:rPr>
          <w:lang w:val="en-US"/>
        </w:rPr>
        <w:t> </w:t>
      </w:r>
      <w:r w:rsidRPr="00C8679E">
        <w:rPr>
          <w:lang w:val="ru-RU"/>
        </w:rPr>
        <w:t xml:space="preserve">организации мероприятий, связанных с цифровой/"интеллектуальной" инфраструктурой, в целях получения более полной информации о возникающих проблемах и рассмотрения возможности учета этих изменений в своей программе работы». </w:t>
      </w:r>
    </w:p>
    <w:p w:rsidR="00C8679E" w:rsidRPr="00C8679E" w:rsidRDefault="00C8679E" w:rsidP="00C8679E">
      <w:pPr>
        <w:pStyle w:val="SingleTxtG"/>
        <w:rPr>
          <w:lang w:val="ru-RU"/>
        </w:rPr>
      </w:pPr>
      <w:r w:rsidRPr="00C8679E">
        <w:rPr>
          <w:lang w:val="ru-RU"/>
        </w:rPr>
        <w:t>22.</w:t>
      </w:r>
      <w:r w:rsidRPr="00C8679E">
        <w:rPr>
          <w:lang w:val="ru-RU"/>
        </w:rPr>
        <w:tab/>
        <w:t>Рабочее совещание открыл Директор Отдела устойчивого транспорта. Он</w:t>
      </w:r>
      <w:r>
        <w:rPr>
          <w:lang w:val="en-US"/>
        </w:rPr>
        <w:t> </w:t>
      </w:r>
      <w:r w:rsidRPr="00C8679E">
        <w:rPr>
          <w:lang w:val="ru-RU"/>
        </w:rPr>
        <w:t xml:space="preserve">выступил с сообщением о том, как инновации в сфере транспорта a) вызвали радикальные изменения в сфере мобильности, b) изменили то, каким образом люди перемещаются, общаются друг с другом и оплачивают транспортные услуги, а также </w:t>
      </w:r>
      <w:r w:rsidR="002C5CAC">
        <w:rPr>
          <w:lang w:val="ru-RU"/>
        </w:rPr>
        <w:br/>
      </w:r>
      <w:r w:rsidRPr="00C8679E">
        <w:rPr>
          <w:lang w:val="ru-RU"/>
        </w:rPr>
        <w:t>с)</w:t>
      </w:r>
      <w:r w:rsidR="002C5CAC" w:rsidRPr="002C5CAC">
        <w:rPr>
          <w:lang w:val="ru-RU"/>
        </w:rPr>
        <w:t xml:space="preserve"> </w:t>
      </w:r>
      <w:r w:rsidRPr="00C8679E">
        <w:rPr>
          <w:lang w:val="ru-RU"/>
        </w:rPr>
        <w:t>об изменениях, которые претерпевает транспортное законодательство. Он</w:t>
      </w:r>
      <w:r>
        <w:rPr>
          <w:lang w:val="en-US"/>
        </w:rPr>
        <w:t> </w:t>
      </w:r>
      <w:r w:rsidRPr="00C8679E">
        <w:rPr>
          <w:lang w:val="ru-RU"/>
        </w:rPr>
        <w:t xml:space="preserve">подчеркнул, что устойчивый транспорт </w:t>
      </w:r>
      <w:r w:rsidR="002C5CAC">
        <w:rPr>
          <w:lang w:val="ru-RU"/>
        </w:rPr>
        <w:t>ХХ</w:t>
      </w:r>
      <w:r w:rsidR="002C5CAC">
        <w:rPr>
          <w:lang w:val="en-US"/>
        </w:rPr>
        <w:t>I</w:t>
      </w:r>
      <w:r w:rsidRPr="00C8679E">
        <w:rPr>
          <w:lang w:val="ru-RU"/>
        </w:rPr>
        <w:t xml:space="preserve"> века безопасен, отличается высоким качеством обслуживания, доступен для всех, экологически рационален, экономически жизнестоек и вносит положительный вклад в устойчивое развитие на местном, национальном и глобальном уровн</w:t>
      </w:r>
      <w:r w:rsidR="002C5CAC">
        <w:rPr>
          <w:lang w:val="ru-RU"/>
        </w:rPr>
        <w:t>ях</w:t>
      </w:r>
      <w:r w:rsidRPr="00C8679E">
        <w:rPr>
          <w:lang w:val="ru-RU"/>
        </w:rPr>
        <w:t>. Он также проследил связи с приоритетами Комитета по внутреннему транспорту и целями в области устойчивого развития 3, 7, 8, 9, 11 и 13.</w:t>
      </w:r>
    </w:p>
    <w:p w:rsidR="00C8679E" w:rsidRPr="00C8679E" w:rsidRDefault="00C8679E" w:rsidP="00C8679E">
      <w:pPr>
        <w:pStyle w:val="SingleTxtG"/>
        <w:rPr>
          <w:lang w:val="ru-RU"/>
        </w:rPr>
      </w:pPr>
      <w:r w:rsidRPr="00C8679E">
        <w:rPr>
          <w:lang w:val="ru-RU"/>
        </w:rPr>
        <w:t>23.</w:t>
      </w:r>
      <w:r w:rsidRPr="00C8679E">
        <w:rPr>
          <w:lang w:val="ru-RU"/>
        </w:rPr>
        <w:tab/>
        <w:t>От имени SC.1 секретариат пригласил следующих выступающих.</w:t>
      </w:r>
    </w:p>
    <w:p w:rsidR="00C8679E" w:rsidRPr="00C8679E" w:rsidRDefault="00C8679E" w:rsidP="00C8679E">
      <w:pPr>
        <w:pStyle w:val="SingleTxtG"/>
        <w:ind w:firstLine="567"/>
        <w:rPr>
          <w:lang w:val="ru-RU"/>
        </w:rPr>
      </w:pPr>
      <w:r w:rsidRPr="00C8679E">
        <w:rPr>
          <w:lang w:val="ru-RU"/>
        </w:rPr>
        <w:t>a)</w:t>
      </w:r>
      <w:r w:rsidRPr="00C8679E">
        <w:rPr>
          <w:lang w:val="ru-RU"/>
        </w:rPr>
        <w:tab/>
        <w:t>Представитель «</w:t>
      </w:r>
      <w:proofErr w:type="spellStart"/>
      <w:r w:rsidRPr="00C8679E">
        <w:rPr>
          <w:lang w:val="ru-RU"/>
        </w:rPr>
        <w:t>Джулиус</w:t>
      </w:r>
      <w:proofErr w:type="spellEnd"/>
      <w:r w:rsidRPr="00C8679E">
        <w:rPr>
          <w:lang w:val="ru-RU"/>
        </w:rPr>
        <w:t xml:space="preserve"> </w:t>
      </w:r>
      <w:proofErr w:type="spellStart"/>
      <w:r w:rsidRPr="00C8679E">
        <w:rPr>
          <w:lang w:val="ru-RU"/>
        </w:rPr>
        <w:t>байер</w:t>
      </w:r>
      <w:proofErr w:type="spellEnd"/>
      <w:r w:rsidRPr="00C8679E">
        <w:rPr>
          <w:lang w:val="ru-RU"/>
        </w:rPr>
        <w:t xml:space="preserve">» рассказал о том, как новые технологии, нормативное регулирование и изменение образа жизни приводят к перераспределению энергопотребления и трансформации отраслей. Оратор также представил информацию о двух альтернативных сценариях будущего развития или преобразования сегодняшних тенденций, которые включают увеличение численности населения, рост среднего класса в Азии, урбанизацию, экономию топлива и </w:t>
      </w:r>
      <w:proofErr w:type="spellStart"/>
      <w:r w:rsidRPr="00C8679E">
        <w:rPr>
          <w:lang w:val="ru-RU"/>
        </w:rPr>
        <w:t>электромобильность</w:t>
      </w:r>
      <w:proofErr w:type="spellEnd"/>
      <w:r w:rsidRPr="00C8679E">
        <w:rPr>
          <w:lang w:val="ru-RU"/>
        </w:rPr>
        <w:t>, автоматизированное вождение и экономику совместного потребления.</w:t>
      </w:r>
    </w:p>
    <w:p w:rsidR="00C8679E" w:rsidRPr="00C8679E" w:rsidRDefault="00C8679E" w:rsidP="00C8679E">
      <w:pPr>
        <w:pStyle w:val="SingleTxtG"/>
        <w:ind w:firstLine="567"/>
        <w:rPr>
          <w:lang w:val="ru-RU"/>
        </w:rPr>
      </w:pPr>
      <w:r w:rsidRPr="00C8679E">
        <w:rPr>
          <w:lang w:val="ru-RU"/>
        </w:rPr>
        <w:t>b)</w:t>
      </w:r>
      <w:r w:rsidRPr="00C8679E">
        <w:rPr>
          <w:lang w:val="ru-RU"/>
        </w:rPr>
        <w:tab/>
        <w:t xml:space="preserve">Представитель администрации города Гента (Бельгия) представил концепцию управления дорожным движением в качестве услуги. Выступающий пояснил, что для преодоления трудностей, связанных с традиционными системами управления дорожным движением, которые функционируют независимо друг от друга на базе аппаратных средств, ведется разработка виртуального управления движением на основе центральной облачной платформы, которая объединяет местные и глобальные источники информации. Преимущество заключается в том, что власти смогут мгновенно получать доступ к этой платформе и осуществлять управление движением. </w:t>
      </w:r>
    </w:p>
    <w:p w:rsidR="00C8679E" w:rsidRPr="00C8679E" w:rsidRDefault="00C8679E" w:rsidP="00C8679E">
      <w:pPr>
        <w:pStyle w:val="SingleTxtG"/>
        <w:ind w:firstLine="567"/>
        <w:rPr>
          <w:lang w:val="ru-RU"/>
        </w:rPr>
      </w:pPr>
      <w:r w:rsidRPr="00C8679E">
        <w:rPr>
          <w:lang w:val="ru-RU"/>
        </w:rPr>
        <w:lastRenderedPageBreak/>
        <w:t>c)</w:t>
      </w:r>
      <w:r w:rsidRPr="00C8679E">
        <w:rPr>
          <w:lang w:val="ru-RU"/>
        </w:rPr>
        <w:tab/>
        <w:t>Представитель Министерства инфраструктуры и водных ресурсов (Нидерланды) выступил с сообщением о том, каким образом в Нидерландах осуществляется переход к цифровой/ «интеллектуальной» дорожной инфраструктуре. Выступающий привел примеры существующих партнерств между государственным и частным секторами и проектов, осуществляемых по их линии, с тем чтобы проиллюстрировать подход, применяемый в Нидерландах.</w:t>
      </w:r>
    </w:p>
    <w:p w:rsidR="00C8679E" w:rsidRPr="00C8679E" w:rsidRDefault="00C8679E" w:rsidP="00C8679E">
      <w:pPr>
        <w:pStyle w:val="SingleTxtG"/>
        <w:ind w:firstLine="567"/>
        <w:rPr>
          <w:lang w:val="ru-RU"/>
        </w:rPr>
      </w:pPr>
      <w:r w:rsidRPr="00C8679E">
        <w:rPr>
          <w:lang w:val="ru-RU"/>
        </w:rPr>
        <w:t>d)</w:t>
      </w:r>
      <w:r w:rsidRPr="00C8679E">
        <w:rPr>
          <w:lang w:val="ru-RU"/>
        </w:rPr>
        <w:tab/>
        <w:t>Представитель «</w:t>
      </w:r>
      <w:proofErr w:type="spellStart"/>
      <w:r w:rsidRPr="00C8679E">
        <w:rPr>
          <w:lang w:val="ru-RU"/>
        </w:rPr>
        <w:t>Хелластрон</w:t>
      </w:r>
      <w:proofErr w:type="spellEnd"/>
      <w:r w:rsidRPr="00C8679E">
        <w:rPr>
          <w:lang w:val="ru-RU"/>
        </w:rPr>
        <w:t>» рассказал о его организации, которая была основана в конце 2014 года и охватывает все управления современных автомагистралей и системы эксплуатации платных автодорог, действующие в Греции. На примере «</w:t>
      </w:r>
      <w:proofErr w:type="spellStart"/>
      <w:r w:rsidRPr="00C8679E">
        <w:rPr>
          <w:lang w:val="ru-RU"/>
        </w:rPr>
        <w:t>Эджиан</w:t>
      </w:r>
      <w:proofErr w:type="spellEnd"/>
      <w:r w:rsidRPr="00C8679E">
        <w:rPr>
          <w:lang w:val="ru-RU"/>
        </w:rPr>
        <w:t xml:space="preserve"> </w:t>
      </w:r>
      <w:proofErr w:type="spellStart"/>
      <w:r w:rsidRPr="00C8679E">
        <w:rPr>
          <w:lang w:val="ru-RU"/>
        </w:rPr>
        <w:t>моторуэй</w:t>
      </w:r>
      <w:proofErr w:type="spellEnd"/>
      <w:r w:rsidRPr="00C8679E">
        <w:rPr>
          <w:lang w:val="ru-RU"/>
        </w:rPr>
        <w:t xml:space="preserve"> СА» выступающий продемонстрировал процесс постоянного совершенствования автодорожной инфраструктуры и услуг для потребителей, что в свою очередь содействует повышению безопасности дорожного движения и накоплению опыта в области строительства и эксплуатации автодорожной инфраструктуры.</w:t>
      </w:r>
    </w:p>
    <w:p w:rsidR="00C8679E" w:rsidRPr="00C8679E" w:rsidRDefault="00C8679E" w:rsidP="00C8679E">
      <w:pPr>
        <w:pStyle w:val="SingleTxtG"/>
        <w:ind w:firstLine="567"/>
        <w:rPr>
          <w:lang w:val="ru-RU"/>
        </w:rPr>
      </w:pPr>
      <w:r w:rsidRPr="00C8679E">
        <w:rPr>
          <w:lang w:val="ru-RU"/>
        </w:rPr>
        <w:t>е)</w:t>
      </w:r>
      <w:r w:rsidRPr="00C8679E">
        <w:rPr>
          <w:lang w:val="ru-RU"/>
        </w:rPr>
        <w:tab/>
        <w:t>Представитель ФИА выступил с сообщением об истоках инициативы ФИА «Интеллектуальные города». Она был</w:t>
      </w:r>
      <w:r w:rsidR="002C5CAC">
        <w:rPr>
          <w:lang w:val="ru-RU"/>
        </w:rPr>
        <w:t>а</w:t>
      </w:r>
      <w:r w:rsidRPr="00C8679E">
        <w:rPr>
          <w:lang w:val="ru-RU"/>
        </w:rPr>
        <w:t xml:space="preserve"> создана в качестве платформы для накапливания знаний и обмена информацией в области устойчивой городской мобильности. Эта инициатива включает в себя три основных компонента – форумы, «</w:t>
      </w:r>
      <w:proofErr w:type="spellStart"/>
      <w:r w:rsidRPr="00C8679E">
        <w:rPr>
          <w:lang w:val="ru-RU"/>
        </w:rPr>
        <w:t>Ситиз</w:t>
      </w:r>
      <w:proofErr w:type="spellEnd"/>
      <w:r w:rsidRPr="00C8679E">
        <w:rPr>
          <w:lang w:val="ru-RU"/>
        </w:rPr>
        <w:t xml:space="preserve"> </w:t>
      </w:r>
      <w:proofErr w:type="spellStart"/>
      <w:r w:rsidRPr="00C8679E">
        <w:rPr>
          <w:lang w:val="ru-RU"/>
        </w:rPr>
        <w:t>эуэр</w:t>
      </w:r>
      <w:proofErr w:type="spellEnd"/>
      <w:r w:rsidRPr="00C8679E">
        <w:rPr>
          <w:lang w:val="ru-RU"/>
        </w:rPr>
        <w:t>» и «</w:t>
      </w:r>
      <w:proofErr w:type="spellStart"/>
      <w:r w:rsidRPr="00C8679E">
        <w:rPr>
          <w:lang w:val="ru-RU"/>
        </w:rPr>
        <w:t>Глобал</w:t>
      </w:r>
      <w:proofErr w:type="spellEnd"/>
      <w:r w:rsidRPr="00C8679E">
        <w:rPr>
          <w:lang w:val="ru-RU"/>
        </w:rPr>
        <w:t xml:space="preserve"> </w:t>
      </w:r>
      <w:proofErr w:type="spellStart"/>
      <w:r w:rsidRPr="00C8679E">
        <w:rPr>
          <w:lang w:val="ru-RU"/>
        </w:rPr>
        <w:t>стартап</w:t>
      </w:r>
      <w:proofErr w:type="spellEnd"/>
      <w:r w:rsidRPr="00C8679E">
        <w:rPr>
          <w:lang w:val="ru-RU"/>
        </w:rPr>
        <w:t xml:space="preserve"> контекст». Многоаспектный подход позволил ФИА привлечь широкий круг участников – от предпринимателей до представителей директивных органов – и ускорить процесс обмена знаниями со многими заинтересованными сторонами.</w:t>
      </w:r>
    </w:p>
    <w:p w:rsidR="00C8679E" w:rsidRPr="00C8679E" w:rsidRDefault="00C8679E" w:rsidP="00C8679E">
      <w:pPr>
        <w:pStyle w:val="SingleTxtG"/>
        <w:rPr>
          <w:lang w:val="ru-RU"/>
        </w:rPr>
      </w:pPr>
      <w:r w:rsidRPr="00C8679E">
        <w:rPr>
          <w:lang w:val="ru-RU"/>
        </w:rPr>
        <w:t>24.</w:t>
      </w:r>
      <w:r w:rsidRPr="00C8679E">
        <w:rPr>
          <w:lang w:val="ru-RU"/>
        </w:rPr>
        <w:tab/>
        <w:t>Кроме того, вклад в работу совещания внесли следующие структуры системы Организации Объединенных Наций, занимающиеся проблемами интеллектуальной инфраструктуры и мобильности.</w:t>
      </w:r>
    </w:p>
    <w:p w:rsidR="00C8679E" w:rsidRPr="00C8679E" w:rsidRDefault="00C8679E" w:rsidP="00C8679E">
      <w:pPr>
        <w:pStyle w:val="SingleTxtG"/>
        <w:ind w:firstLine="567"/>
        <w:rPr>
          <w:lang w:val="ru-RU"/>
        </w:rPr>
      </w:pPr>
      <w:r w:rsidRPr="00C8679E">
        <w:rPr>
          <w:lang w:val="ru-RU"/>
        </w:rPr>
        <w:t>a)</w:t>
      </w:r>
      <w:r w:rsidRPr="00C8679E">
        <w:rPr>
          <w:lang w:val="ru-RU"/>
        </w:rPr>
        <w:tab/>
        <w:t>Секретариат (Отдел по лесам, землепользованию и жилищному хозяйству) проинформировал участников об инициативе «Вместе в интересах "умных" устойчивых городов» (U4SSC) и программе «Объединенные "умные" города». По</w:t>
      </w:r>
      <w:r>
        <w:rPr>
          <w:lang w:val="en-US"/>
        </w:rPr>
        <w:t> </w:t>
      </w:r>
      <w:r w:rsidRPr="00C8679E">
        <w:rPr>
          <w:lang w:val="ru-RU"/>
        </w:rPr>
        <w:t>результатам этих исследований секретариат сформулировал конкретные рекомендации, касающиеся создания «умных» устойчивых городов. SC.1 было предложено принять участие в последующей деятельности и обзоре хода осуществления Повестки дня на период до 2030 года, Новой программе развития городов, а также в разработке профилей «умных» устойчивых городов и реализации демонстрационных проектов в городах региона ЕЭК.</w:t>
      </w:r>
    </w:p>
    <w:p w:rsidR="00C8679E" w:rsidRPr="00C8679E" w:rsidRDefault="00C8679E" w:rsidP="00C8679E">
      <w:pPr>
        <w:pStyle w:val="SingleTxtG"/>
        <w:ind w:firstLine="567"/>
        <w:rPr>
          <w:lang w:val="ru-RU"/>
        </w:rPr>
      </w:pPr>
      <w:r w:rsidRPr="00C8679E">
        <w:rPr>
          <w:lang w:val="ru-RU"/>
        </w:rPr>
        <w:t>b)</w:t>
      </w:r>
      <w:r w:rsidRPr="00C8679E">
        <w:rPr>
          <w:lang w:val="ru-RU"/>
        </w:rPr>
        <w:tab/>
        <w:t>Секретариат (Отдел устойчивого транспорта) представил информацию о международном центре мониторинга транспортной инфраструктуры, который в настоящее время создается Рабочей группой по тенденциям и экономике транспорта в сотрудничестве с Исламским банком развития. Центр мониторинга будет представлять собой онлайновую платформу, на которой: a) правительства смогут найти все необходимые данные для подготовки, сопоставления и представления своих проектов в области транспортной инфраструктуры и b) финансовые учреждения смогут рассматривать, анализировать и сравнивать проекты с региональной/</w:t>
      </w:r>
      <w:r w:rsidRPr="00C8679E">
        <w:rPr>
          <w:lang w:val="ru-RU"/>
        </w:rPr>
        <w:t xml:space="preserve"> </w:t>
      </w:r>
      <w:r w:rsidRPr="00C8679E">
        <w:rPr>
          <w:lang w:val="ru-RU"/>
        </w:rPr>
        <w:t>международной точки зрения и выбирать проекты для финансирования.</w:t>
      </w:r>
    </w:p>
    <w:p w:rsidR="00C8679E" w:rsidRPr="00C8679E" w:rsidRDefault="00C8679E" w:rsidP="00C8679E">
      <w:pPr>
        <w:pStyle w:val="SingleTxtG"/>
        <w:ind w:firstLine="567"/>
        <w:rPr>
          <w:lang w:val="ru-RU"/>
        </w:rPr>
      </w:pPr>
      <w:r w:rsidRPr="00C8679E">
        <w:rPr>
          <w:lang w:val="ru-RU"/>
        </w:rPr>
        <w:t>c)</w:t>
      </w:r>
      <w:r w:rsidRPr="00C8679E">
        <w:rPr>
          <w:lang w:val="ru-RU"/>
        </w:rPr>
        <w:tab/>
        <w:t>Исследовательская группа 20 МСЭ-Т представила информацию об осуществляемой ею деятельности (достижения и ведущиеся в настоящее время исследования) в области стандартизации применительно к интеллектуальным транспортным системам (ИТС) (Интернет вещей (ИВ) и «умные» города и сообщества (УГ&amp;C)); основной упор в контексте этих мероприятий делается на поддержку ИТС, к</w:t>
      </w:r>
      <w:r w:rsidR="00F01AB3">
        <w:rPr>
          <w:lang w:val="ru-RU"/>
        </w:rPr>
        <w:t>оторую обеспечивают технологии И</w:t>
      </w:r>
      <w:r w:rsidRPr="00C8679E">
        <w:rPr>
          <w:lang w:val="ru-RU"/>
        </w:rPr>
        <w:t xml:space="preserve">нтернета вещей. Рассмотренные вопросы включают услуги в сфере безопасности перевозок, основанные на технологиях Интернета вещей системы чрезвычайного реагирования </w:t>
      </w:r>
      <w:r w:rsidRPr="00C8679E">
        <w:rPr>
          <w:rFonts w:eastAsiaTheme="minorEastAsia"/>
          <w:lang w:val="ru-RU" w:eastAsia="zh-CN"/>
        </w:rPr>
        <w:t xml:space="preserve">на аварийные дорожные ситуации </w:t>
      </w:r>
      <w:r w:rsidRPr="00C8679E">
        <w:rPr>
          <w:lang w:val="ru-RU"/>
        </w:rPr>
        <w:t xml:space="preserve">и кооперативные ИТС. В контексте деятельности МСЭ-Т в области стандартизации применительно к интеллектуальным транспортным системам (ИТС) была предоставлена дополнительная информация о </w:t>
      </w:r>
      <w:proofErr w:type="spellStart"/>
      <w:r w:rsidRPr="00C8679E">
        <w:rPr>
          <w:lang w:val="ru-RU"/>
        </w:rPr>
        <w:t>международно</w:t>
      </w:r>
      <w:proofErr w:type="spellEnd"/>
      <w:r w:rsidRPr="00C8679E">
        <w:rPr>
          <w:lang w:val="ru-RU"/>
        </w:rPr>
        <w:t xml:space="preserve"> признанном форуме «Сотрудничество в контексте стандартов связи ИТС», который был создан</w:t>
      </w:r>
      <w:r>
        <w:rPr>
          <w:lang w:val="en-US"/>
        </w:rPr>
        <w:t> </w:t>
      </w:r>
      <w:r w:rsidRPr="00C8679E">
        <w:rPr>
          <w:lang w:val="ru-RU"/>
        </w:rPr>
        <w:t xml:space="preserve">МСЭ-Т и функционирует уже в течение нескольких лет в качестве платформы </w:t>
      </w:r>
      <w:r w:rsidRPr="00C8679E">
        <w:rPr>
          <w:lang w:val="ru-RU"/>
        </w:rPr>
        <w:lastRenderedPageBreak/>
        <w:t>для обмена знаниями и координации международных усилий в области стандартизации ИТС.</w:t>
      </w:r>
    </w:p>
    <w:p w:rsidR="00C8679E" w:rsidRPr="00C8679E" w:rsidRDefault="00C8679E" w:rsidP="00C8679E">
      <w:pPr>
        <w:pStyle w:val="SingleTxtG"/>
        <w:rPr>
          <w:lang w:val="ru-RU"/>
        </w:rPr>
      </w:pPr>
      <w:r w:rsidRPr="00C8679E">
        <w:rPr>
          <w:lang w:val="ru-RU"/>
        </w:rPr>
        <w:t>25.</w:t>
      </w:r>
      <w:r w:rsidRPr="00C8679E">
        <w:rPr>
          <w:lang w:val="ru-RU"/>
        </w:rPr>
        <w:tab/>
        <w:t>SC.1 отметила усилия, предпринимаемые администрацией города Гента и Министерством инфраструктуры и водного хозяйства (Нидерланды), и выразила заинтересованность в периодическом получении обновленной информации в ходе будущих сессий SC.1 либо непосредственно от делегатов, либо через секретариат.</w:t>
      </w:r>
    </w:p>
    <w:p w:rsidR="00C8679E" w:rsidRPr="00C8679E" w:rsidRDefault="00C8679E" w:rsidP="00C8679E">
      <w:pPr>
        <w:pStyle w:val="SingleTxtG"/>
        <w:rPr>
          <w:lang w:val="ru-RU"/>
        </w:rPr>
      </w:pPr>
      <w:r w:rsidRPr="00C8679E">
        <w:rPr>
          <w:lang w:val="ru-RU"/>
        </w:rPr>
        <w:t>26.</w:t>
      </w:r>
      <w:r w:rsidRPr="00C8679E">
        <w:rPr>
          <w:lang w:val="ru-RU"/>
        </w:rPr>
        <w:tab/>
        <w:t>SC.1 дал высокую оценку национальных и глобальных инициатив, включая инициативу ФИА «Умные города» и инициативу группы «</w:t>
      </w:r>
      <w:proofErr w:type="spellStart"/>
      <w:r w:rsidRPr="00C8679E">
        <w:rPr>
          <w:lang w:val="ru-RU"/>
        </w:rPr>
        <w:t>Хелластрон</w:t>
      </w:r>
      <w:proofErr w:type="spellEnd"/>
      <w:r w:rsidRPr="00C8679E">
        <w:rPr>
          <w:lang w:val="ru-RU"/>
        </w:rPr>
        <w:t>», объединяющей предприятия, управляющие дорожной инфраструктурой.</w:t>
      </w:r>
    </w:p>
    <w:p w:rsidR="00C8679E" w:rsidRPr="00C8679E" w:rsidRDefault="00C8679E" w:rsidP="00C8679E">
      <w:pPr>
        <w:pStyle w:val="SingleTxtG"/>
        <w:rPr>
          <w:lang w:val="ru-RU"/>
        </w:rPr>
      </w:pPr>
      <w:r w:rsidRPr="00C8679E">
        <w:rPr>
          <w:lang w:val="ru-RU"/>
        </w:rPr>
        <w:t>27.</w:t>
      </w:r>
      <w:r w:rsidRPr="00C8679E">
        <w:rPr>
          <w:lang w:val="ru-RU"/>
        </w:rPr>
        <w:tab/>
        <w:t>SC.1 приняла также к сведению усилия учреждений Организации Объединенных Наций, в частности отделов ЕЭК ООН по лесам, землепользованию и жилищному хозяйству, а также по устойчивому транспорту, и исследовательской группы 20 МСЭ-Т. Он отметил также, что существуют и другие учреждения Организации Объединенных Наций, такие как ООН-</w:t>
      </w:r>
      <w:proofErr w:type="spellStart"/>
      <w:r w:rsidRPr="00C8679E">
        <w:rPr>
          <w:lang w:val="ru-RU"/>
        </w:rPr>
        <w:t>Хабитат</w:t>
      </w:r>
      <w:proofErr w:type="spellEnd"/>
      <w:r w:rsidRPr="00C8679E">
        <w:rPr>
          <w:lang w:val="ru-RU"/>
        </w:rPr>
        <w:t>, которые занимаются проработкой этой темы, но не смогли присутствовать на совещании. Она предложила секретариату выявить подходящие возможности для сотрудничества между различными учреждениями Организации Объединенных Наций. Группа отметила также потенциальную связь этой темы с целями в области устойчивого развития № 3, 7, 8, 9, 11 и 13.</w:t>
      </w:r>
    </w:p>
    <w:p w:rsidR="00C8679E" w:rsidRPr="00C8679E" w:rsidRDefault="00C8679E" w:rsidP="00C8679E">
      <w:pPr>
        <w:pStyle w:val="SingleTxtG"/>
        <w:rPr>
          <w:lang w:val="ru-RU"/>
        </w:rPr>
      </w:pPr>
      <w:r w:rsidRPr="00C8679E">
        <w:rPr>
          <w:lang w:val="ru-RU"/>
        </w:rPr>
        <w:t>28.</w:t>
      </w:r>
      <w:r w:rsidRPr="00C8679E">
        <w:rPr>
          <w:lang w:val="ru-RU"/>
        </w:rPr>
        <w:tab/>
        <w:t>SC.1 опубликует этот доклад и материалы этого рабочего совещания, с тем чтобы заинтересованные стороны смогли получить информацию о новых цифровых/интеллектуальных технологиях для планирования новых объектов дорожной инфраструктуры или модернизации уже существующих (см.</w:t>
      </w:r>
      <w:r>
        <w:rPr>
          <w:lang w:val="en-US"/>
        </w:rPr>
        <w:t> </w:t>
      </w:r>
      <w:hyperlink r:id="rId9" w:history="1">
        <w:r w:rsidR="00F01AB3" w:rsidRPr="00AC343E">
          <w:rPr>
            <w:rStyle w:val="af1"/>
            <w:lang w:val="ru-RU"/>
          </w:rPr>
          <w:t>http://www.unece.org/index.php?id=48262</w:t>
        </w:r>
      </w:hyperlink>
      <w:r w:rsidRPr="00C8679E">
        <w:rPr>
          <w:lang w:val="ru-RU"/>
        </w:rPr>
        <w:t>).</w:t>
      </w:r>
    </w:p>
    <w:p w:rsidR="00C8679E" w:rsidRPr="00C8679E" w:rsidRDefault="00C8679E" w:rsidP="00C8679E">
      <w:pPr>
        <w:pStyle w:val="SingleTxtG"/>
        <w:rPr>
          <w:lang w:val="ru-RU"/>
        </w:rPr>
      </w:pPr>
      <w:r w:rsidRPr="00C8679E">
        <w:rPr>
          <w:lang w:val="ru-RU"/>
        </w:rPr>
        <w:t>29.</w:t>
      </w:r>
      <w:r w:rsidRPr="00C8679E">
        <w:rPr>
          <w:lang w:val="ru-RU"/>
        </w:rPr>
        <w:tab/>
        <w:t>Признавая актуальность этой темы («интеллектуальная»/цифровая дорожная инфраструктура) для автомобильных перевозок в целом, а также тот факт, что она перекликается с несколькими целями в области устойчивого развития и «дорожной картой» Комитета по внутреннему транспорту по интеллектуальным транспортным системам</w:t>
      </w:r>
      <w:r w:rsidR="00F01AB3">
        <w:rPr>
          <w:lang w:val="ru-RU"/>
        </w:rPr>
        <w:t>,</w:t>
      </w:r>
      <w:r w:rsidRPr="00C8679E">
        <w:rPr>
          <w:lang w:val="ru-RU"/>
        </w:rPr>
        <w:t xml:space="preserve"> SC.1 решила включить ее в качестве одного из пунктов своей повестки дня в информационно-пропагандистских целях. </w:t>
      </w:r>
    </w:p>
    <w:p w:rsidR="00C8679E" w:rsidRPr="00C8679E" w:rsidRDefault="00C8679E" w:rsidP="00C8679E">
      <w:pPr>
        <w:pStyle w:val="SingleTxtG"/>
        <w:rPr>
          <w:lang w:val="ru-RU"/>
        </w:rPr>
      </w:pPr>
      <w:r w:rsidRPr="00C8679E">
        <w:rPr>
          <w:lang w:val="ru-RU"/>
        </w:rPr>
        <w:t>30.</w:t>
      </w:r>
      <w:r w:rsidRPr="00C8679E">
        <w:rPr>
          <w:lang w:val="ru-RU"/>
        </w:rPr>
        <w:tab/>
        <w:t>SC.1 предложила Румынии выступить на следующей сессии Группы с презентацией о действующей в этой стране интеллектуальной системе раннего выявления рисков в сфере автомобильных перевозок. Она также просила секретариат рассмотреть вопрос о представлении предложений относительно возможных мероприятий для следующей сессии Группы.</w:t>
      </w:r>
    </w:p>
    <w:p w:rsidR="00C8679E" w:rsidRPr="00C8679E" w:rsidRDefault="00C8679E" w:rsidP="00C8679E">
      <w:pPr>
        <w:pStyle w:val="SingleTxtG"/>
        <w:rPr>
          <w:lang w:val="ru-RU"/>
        </w:rPr>
      </w:pPr>
      <w:r w:rsidRPr="00C8679E">
        <w:rPr>
          <w:lang w:val="ru-RU"/>
        </w:rPr>
        <w:t>31.</w:t>
      </w:r>
      <w:r w:rsidRPr="00C8679E">
        <w:rPr>
          <w:lang w:val="ru-RU"/>
        </w:rPr>
        <w:tab/>
        <w:t>SC.1 поручила секретариату составить подборку тематических исследований и выдержек из проектных документов на основе материалов, представленных докладчиками на добровольной основе.</w:t>
      </w:r>
    </w:p>
    <w:p w:rsidR="00C8679E" w:rsidRPr="00C8679E" w:rsidRDefault="00C8679E" w:rsidP="00C8679E">
      <w:pPr>
        <w:pStyle w:val="HChG"/>
        <w:rPr>
          <w:lang w:val="ru-RU"/>
        </w:rPr>
      </w:pPr>
      <w:r>
        <w:rPr>
          <w:lang w:val="ru-RU"/>
        </w:rPr>
        <w:tab/>
      </w:r>
      <w:r w:rsidRPr="00C8679E">
        <w:rPr>
          <w:lang w:val="ru-RU"/>
        </w:rPr>
        <w:t>V.</w:t>
      </w:r>
      <w:r>
        <w:rPr>
          <w:lang w:val="ru-RU"/>
        </w:rPr>
        <w:tab/>
      </w:r>
      <w:r w:rsidRPr="00C8679E">
        <w:rPr>
          <w:lang w:val="ru-RU"/>
        </w:rPr>
        <w:tab/>
        <w:t>Предложение по глобальному многостороннему соглашению о международных регулярных перевозках пассажиров междугородными и городскими автобусами (</w:t>
      </w:r>
      <w:proofErr w:type="spellStart"/>
      <w:r w:rsidRPr="00C8679E">
        <w:rPr>
          <w:lang w:val="ru-RU"/>
        </w:rPr>
        <w:t>ОмниБУС</w:t>
      </w:r>
      <w:proofErr w:type="spellEnd"/>
      <w:r w:rsidRPr="00C8679E">
        <w:rPr>
          <w:lang w:val="ru-RU"/>
        </w:rPr>
        <w:t xml:space="preserve">) </w:t>
      </w:r>
    </w:p>
    <w:p w:rsidR="00C8679E" w:rsidRPr="00C8679E" w:rsidRDefault="00C8679E" w:rsidP="00C8679E">
      <w:pPr>
        <w:pStyle w:val="SingleTxtG"/>
        <w:rPr>
          <w:lang w:val="ru-RU"/>
        </w:rPr>
      </w:pPr>
      <w:r w:rsidRPr="00C8679E">
        <w:rPr>
          <w:lang w:val="ru-RU"/>
        </w:rPr>
        <w:t>32.</w:t>
      </w:r>
      <w:r w:rsidRPr="00C8679E">
        <w:rPr>
          <w:lang w:val="ru-RU"/>
        </w:rPr>
        <w:tab/>
        <w:t xml:space="preserve">На последней сессии SC.1 решила также продолжить работу по завершению проекта соглашения </w:t>
      </w:r>
      <w:proofErr w:type="spellStart"/>
      <w:r w:rsidRPr="00C8679E">
        <w:rPr>
          <w:lang w:val="ru-RU"/>
        </w:rPr>
        <w:t>ОмниБУС</w:t>
      </w:r>
      <w:proofErr w:type="spellEnd"/>
      <w:r w:rsidRPr="00C8679E">
        <w:rPr>
          <w:lang w:val="ru-RU"/>
        </w:rPr>
        <w:t xml:space="preserve"> и поручила секретариату найти подходящие даты в 2018 году для организации совещаний, посвященных выполнению этой задачи. </w:t>
      </w:r>
    </w:p>
    <w:p w:rsidR="00C8679E" w:rsidRPr="00C8679E" w:rsidRDefault="00C8679E" w:rsidP="00C8679E">
      <w:pPr>
        <w:pStyle w:val="SingleTxtG"/>
        <w:rPr>
          <w:lang w:val="ru-RU"/>
        </w:rPr>
      </w:pPr>
      <w:r w:rsidRPr="00C8679E">
        <w:rPr>
          <w:lang w:val="ru-RU"/>
        </w:rPr>
        <w:t>33.</w:t>
      </w:r>
      <w:r w:rsidRPr="00C8679E">
        <w:rPr>
          <w:lang w:val="ru-RU"/>
        </w:rPr>
        <w:tab/>
        <w:t>Для содействия возобновлению работы SC.1 по этому пункту повестки дня секретариат кратко представил хронологию рабочей документации, связанной с проектом соглашения «</w:t>
      </w:r>
      <w:proofErr w:type="spellStart"/>
      <w:r w:rsidRPr="00C8679E">
        <w:rPr>
          <w:lang w:val="ru-RU"/>
        </w:rPr>
        <w:t>ОмниБУС</w:t>
      </w:r>
      <w:proofErr w:type="spellEnd"/>
      <w:r w:rsidRPr="00C8679E">
        <w:rPr>
          <w:lang w:val="ru-RU"/>
        </w:rPr>
        <w:t>».</w:t>
      </w:r>
    </w:p>
    <w:p w:rsidR="00C8679E" w:rsidRPr="00C8679E" w:rsidRDefault="00C8679E" w:rsidP="00C8679E">
      <w:pPr>
        <w:pStyle w:val="SingleTxtG"/>
        <w:rPr>
          <w:lang w:val="ru-RU"/>
        </w:rPr>
      </w:pPr>
      <w:r w:rsidRPr="00C8679E">
        <w:rPr>
          <w:lang w:val="ru-RU"/>
        </w:rPr>
        <w:t>34.</w:t>
      </w:r>
      <w:r w:rsidRPr="00C8679E">
        <w:rPr>
          <w:lang w:val="ru-RU"/>
        </w:rPr>
        <w:tab/>
        <w:t xml:space="preserve">SC.1 возобновила обсуждение документа ECE/TRANS/SC.1/2015/3 с </w:t>
      </w:r>
      <w:proofErr w:type="spellStart"/>
      <w:r w:rsidRPr="00C8679E">
        <w:rPr>
          <w:lang w:val="ru-RU"/>
        </w:rPr>
        <w:t>уделением</w:t>
      </w:r>
      <w:proofErr w:type="spellEnd"/>
      <w:r w:rsidRPr="00C8679E">
        <w:rPr>
          <w:lang w:val="ru-RU"/>
        </w:rPr>
        <w:t xml:space="preserve"> особого внимания статьям 6, 8 и 25, а также приложению VI. Она внесла изменения в статьи 6 и 8.</w:t>
      </w:r>
    </w:p>
    <w:p w:rsidR="00C8679E" w:rsidRPr="00C8679E" w:rsidRDefault="00C8679E" w:rsidP="00C8679E">
      <w:pPr>
        <w:pStyle w:val="SingleTxtG"/>
        <w:rPr>
          <w:lang w:val="ru-RU"/>
        </w:rPr>
      </w:pPr>
      <w:r w:rsidRPr="00C8679E">
        <w:rPr>
          <w:lang w:val="ru-RU"/>
        </w:rPr>
        <w:lastRenderedPageBreak/>
        <w:t>35.</w:t>
      </w:r>
      <w:r w:rsidRPr="00C8679E">
        <w:rPr>
          <w:lang w:val="ru-RU"/>
        </w:rPr>
        <w:tab/>
        <w:t>Российская Федерация не изменила своей позиции в отношении оговорки к проекту текста статьи 25 и приложения VI.</w:t>
      </w:r>
    </w:p>
    <w:p w:rsidR="00C8679E" w:rsidRPr="00C8679E" w:rsidRDefault="00C8679E" w:rsidP="00C8679E">
      <w:pPr>
        <w:pStyle w:val="SingleTxtG"/>
        <w:rPr>
          <w:lang w:val="ru-RU"/>
        </w:rPr>
      </w:pPr>
      <w:r w:rsidRPr="00C8679E">
        <w:rPr>
          <w:lang w:val="ru-RU"/>
        </w:rPr>
        <w:t>36.</w:t>
      </w:r>
      <w:r w:rsidRPr="00C8679E">
        <w:rPr>
          <w:lang w:val="ru-RU"/>
        </w:rPr>
        <w:tab/>
        <w:t>SC.1 просила Российскую Федерацию, Швейцарию и Турцию согласовать и представить предложение по проекту текста статьи 25 и приложения VI к следующей сессии SC.1.</w:t>
      </w:r>
    </w:p>
    <w:p w:rsidR="00C8679E" w:rsidRPr="00C8679E" w:rsidRDefault="00C8679E" w:rsidP="00C8679E">
      <w:pPr>
        <w:pStyle w:val="SingleTxtG"/>
        <w:rPr>
          <w:lang w:val="ru-RU"/>
        </w:rPr>
      </w:pPr>
      <w:r w:rsidRPr="00C8679E">
        <w:rPr>
          <w:lang w:val="ru-RU"/>
        </w:rPr>
        <w:t>37.</w:t>
      </w:r>
      <w:r w:rsidRPr="00C8679E">
        <w:rPr>
          <w:lang w:val="ru-RU"/>
        </w:rPr>
        <w:tab/>
        <w:t>SC.1 также просила Европейскую комиссию представить обновленную информацию о статусе Соглашения «</w:t>
      </w:r>
      <w:proofErr w:type="spellStart"/>
      <w:r w:rsidRPr="00C8679E">
        <w:rPr>
          <w:lang w:val="ru-RU"/>
        </w:rPr>
        <w:t>ИнтерБус</w:t>
      </w:r>
      <w:proofErr w:type="spellEnd"/>
      <w:r w:rsidRPr="00C8679E">
        <w:rPr>
          <w:lang w:val="ru-RU"/>
        </w:rPr>
        <w:t>» на следующей сессии SC.1. В этой связи ссылка на соглашение «</w:t>
      </w:r>
      <w:proofErr w:type="spellStart"/>
      <w:r w:rsidRPr="00C8679E">
        <w:rPr>
          <w:lang w:val="ru-RU"/>
        </w:rPr>
        <w:t>ИнтерБус</w:t>
      </w:r>
      <w:proofErr w:type="spellEnd"/>
      <w:r w:rsidRPr="00C8679E">
        <w:rPr>
          <w:lang w:val="ru-RU"/>
        </w:rPr>
        <w:t>» (если оно будет принято Европейским советом в июне 2018 года) будет включена в аннотированную повестку дня следующей сессии SC.1.</w:t>
      </w:r>
    </w:p>
    <w:p w:rsidR="00C8679E" w:rsidRPr="00C8679E" w:rsidRDefault="00C8679E" w:rsidP="00C8679E">
      <w:pPr>
        <w:pStyle w:val="HChG"/>
        <w:rPr>
          <w:lang w:val="ru-RU"/>
        </w:rPr>
      </w:pPr>
      <w:r>
        <w:rPr>
          <w:lang w:val="ru-RU"/>
        </w:rPr>
        <w:tab/>
      </w:r>
      <w:r w:rsidRPr="00C8679E">
        <w:rPr>
          <w:lang w:val="ru-RU"/>
        </w:rPr>
        <w:t>VI.</w:t>
      </w:r>
      <w:r w:rsidRPr="00C8679E">
        <w:rPr>
          <w:lang w:val="ru-RU"/>
        </w:rPr>
        <w:tab/>
        <w:t xml:space="preserve">Прочие вопросы </w:t>
      </w:r>
    </w:p>
    <w:p w:rsidR="00C8679E" w:rsidRPr="00C8679E" w:rsidRDefault="00C8679E" w:rsidP="00C8679E">
      <w:pPr>
        <w:pStyle w:val="SingleTxtG"/>
        <w:rPr>
          <w:lang w:val="ru-RU"/>
        </w:rPr>
      </w:pPr>
      <w:r w:rsidRPr="00C8679E">
        <w:rPr>
          <w:lang w:val="ru-RU"/>
        </w:rPr>
        <w:t>38.</w:t>
      </w:r>
      <w:r w:rsidRPr="00C8679E">
        <w:rPr>
          <w:lang w:val="ru-RU"/>
        </w:rPr>
        <w:tab/>
        <w:t xml:space="preserve">Европейская комиссия проинформировала SC.1 о включении электронных накладных в предложение о поправках к законодательству Европейского союза в области автомобильных перевозок. </w:t>
      </w:r>
    </w:p>
    <w:p w:rsidR="00C8679E" w:rsidRPr="00C8679E" w:rsidRDefault="00C8679E" w:rsidP="00C8679E">
      <w:pPr>
        <w:pStyle w:val="SingleTxtG"/>
        <w:rPr>
          <w:lang w:val="ru-RU"/>
        </w:rPr>
      </w:pPr>
      <w:r w:rsidRPr="00C8679E">
        <w:rPr>
          <w:lang w:val="ru-RU"/>
        </w:rPr>
        <w:t>39.</w:t>
      </w:r>
      <w:r w:rsidRPr="00C8679E">
        <w:rPr>
          <w:lang w:val="ru-RU"/>
        </w:rPr>
        <w:tab/>
        <w:t>SC.1 не обсуждала никаких других вопросов.</w:t>
      </w:r>
    </w:p>
    <w:p w:rsidR="00C8679E" w:rsidRPr="00C8679E" w:rsidRDefault="00C8679E" w:rsidP="00C8679E">
      <w:pPr>
        <w:pStyle w:val="HChG"/>
        <w:rPr>
          <w:lang w:val="ru-RU"/>
        </w:rPr>
      </w:pPr>
      <w:r>
        <w:rPr>
          <w:lang w:val="ru-RU"/>
        </w:rPr>
        <w:tab/>
      </w:r>
      <w:r w:rsidRPr="00C8679E">
        <w:rPr>
          <w:lang w:val="ru-RU"/>
        </w:rPr>
        <w:t>VII.</w:t>
      </w:r>
      <w:r w:rsidRPr="00C8679E">
        <w:rPr>
          <w:lang w:val="ru-RU"/>
        </w:rPr>
        <w:tab/>
        <w:t xml:space="preserve">Сроки проведения следующей сессии </w:t>
      </w:r>
    </w:p>
    <w:p w:rsidR="00C8679E" w:rsidRPr="00C8679E" w:rsidRDefault="00C8679E" w:rsidP="00C8679E">
      <w:pPr>
        <w:pStyle w:val="SingleTxtG"/>
        <w:rPr>
          <w:lang w:val="ru-RU"/>
        </w:rPr>
      </w:pPr>
      <w:r w:rsidRPr="00C8679E">
        <w:rPr>
          <w:lang w:val="ru-RU"/>
        </w:rPr>
        <w:t>40.</w:t>
      </w:r>
      <w:r w:rsidRPr="00C8679E">
        <w:rPr>
          <w:lang w:val="ru-RU"/>
        </w:rPr>
        <w:tab/>
        <w:t xml:space="preserve">Следующую сессию SC.1 планируется провести 16–18 октября 2018 года в Женеве. </w:t>
      </w:r>
    </w:p>
    <w:p w:rsidR="00C8679E" w:rsidRPr="00C8679E" w:rsidRDefault="00C8679E" w:rsidP="00C8679E">
      <w:pPr>
        <w:pStyle w:val="SingleTxtG"/>
        <w:rPr>
          <w:lang w:val="ru-RU"/>
        </w:rPr>
      </w:pPr>
      <w:r w:rsidRPr="00C8679E">
        <w:rPr>
          <w:lang w:val="ru-RU"/>
        </w:rPr>
        <w:t>41.</w:t>
      </w:r>
      <w:r w:rsidRPr="00C8679E">
        <w:rPr>
          <w:lang w:val="ru-RU"/>
        </w:rPr>
        <w:tab/>
        <w:t>SC.1 напомнила о том, что следующее совещание Группы экспертов по ЕСТР запланировано на 4 июня и 15 октября 2018 года.</w:t>
      </w:r>
    </w:p>
    <w:p w:rsidR="00C8679E" w:rsidRPr="00C8679E" w:rsidRDefault="00C8679E" w:rsidP="00C8679E">
      <w:pPr>
        <w:pStyle w:val="HChG"/>
        <w:rPr>
          <w:lang w:val="ru-RU"/>
        </w:rPr>
      </w:pPr>
      <w:r w:rsidRPr="00C8679E">
        <w:rPr>
          <w:lang w:val="ru-RU"/>
        </w:rPr>
        <w:tab/>
        <w:t>VIII.</w:t>
      </w:r>
      <w:r w:rsidRPr="00C8679E">
        <w:rPr>
          <w:lang w:val="ru-RU"/>
        </w:rPr>
        <w:tab/>
        <w:t xml:space="preserve">Утверждение доклада о работе специальной сессии </w:t>
      </w:r>
    </w:p>
    <w:p w:rsidR="00C8679E" w:rsidRPr="00C8679E" w:rsidRDefault="00C8679E" w:rsidP="00C8679E">
      <w:pPr>
        <w:pStyle w:val="SingleTxtG"/>
      </w:pPr>
      <w:r w:rsidRPr="00C8679E">
        <w:rPr>
          <w:lang w:val="ru-RU"/>
        </w:rPr>
        <w:t>42.</w:t>
      </w:r>
      <w:r w:rsidRPr="00C8679E">
        <w:rPr>
          <w:lang w:val="ru-RU"/>
        </w:rPr>
        <w:tab/>
        <w:t>Рабочая группа приняла доклад о работе своей специальной сессии.</w:t>
      </w:r>
    </w:p>
    <w:p w:rsidR="00C8679E" w:rsidRPr="00C8679E" w:rsidRDefault="00C8679E" w:rsidP="00C8679E">
      <w:pPr>
        <w:pStyle w:val="SingleTxtGR"/>
        <w:spacing w:before="240" w:after="0"/>
        <w:jc w:val="center"/>
        <w:rPr>
          <w:u w:val="single"/>
        </w:rPr>
      </w:pPr>
      <w:r w:rsidRPr="00C8679E">
        <w:rPr>
          <w:u w:val="single"/>
        </w:rPr>
        <w:tab/>
      </w:r>
      <w:r w:rsidRPr="00C8679E">
        <w:rPr>
          <w:u w:val="single"/>
        </w:rPr>
        <w:tab/>
      </w:r>
      <w:r w:rsidRPr="00C8679E">
        <w:rPr>
          <w:u w:val="single"/>
        </w:rPr>
        <w:tab/>
      </w:r>
    </w:p>
    <w:sectPr w:rsidR="00C8679E" w:rsidRPr="00C8679E" w:rsidSect="00C8679E">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E61" w:rsidRPr="00A312BC" w:rsidRDefault="00806E61" w:rsidP="00A312BC"/>
  </w:endnote>
  <w:endnote w:type="continuationSeparator" w:id="0">
    <w:p w:rsidR="00806E61" w:rsidRPr="00A312BC" w:rsidRDefault="00806E6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9E" w:rsidRPr="00C8679E" w:rsidRDefault="00C8679E">
    <w:pPr>
      <w:pStyle w:val="a8"/>
    </w:pPr>
    <w:r w:rsidRPr="00C8679E">
      <w:rPr>
        <w:b/>
        <w:sz w:val="18"/>
      </w:rPr>
      <w:fldChar w:fldCharType="begin"/>
    </w:r>
    <w:r w:rsidRPr="00C8679E">
      <w:rPr>
        <w:b/>
        <w:sz w:val="18"/>
      </w:rPr>
      <w:instrText xml:space="preserve"> PAGE  \* MERGEFORMAT </w:instrText>
    </w:r>
    <w:r w:rsidRPr="00C8679E">
      <w:rPr>
        <w:b/>
        <w:sz w:val="18"/>
      </w:rPr>
      <w:fldChar w:fldCharType="separate"/>
    </w:r>
    <w:r w:rsidR="00D12B00">
      <w:rPr>
        <w:b/>
        <w:noProof/>
        <w:sz w:val="18"/>
      </w:rPr>
      <w:t>6</w:t>
    </w:r>
    <w:r w:rsidRPr="00C8679E">
      <w:rPr>
        <w:b/>
        <w:sz w:val="18"/>
      </w:rPr>
      <w:fldChar w:fldCharType="end"/>
    </w:r>
    <w:r>
      <w:rPr>
        <w:b/>
        <w:sz w:val="18"/>
      </w:rPr>
      <w:tab/>
    </w:r>
    <w:r>
      <w:t>GE.18-06002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9E" w:rsidRPr="00C8679E" w:rsidRDefault="00C8679E" w:rsidP="00C8679E">
    <w:pPr>
      <w:pStyle w:val="a8"/>
      <w:tabs>
        <w:tab w:val="clear" w:pos="9639"/>
        <w:tab w:val="right" w:pos="9638"/>
      </w:tabs>
      <w:rPr>
        <w:b/>
        <w:sz w:val="18"/>
      </w:rPr>
    </w:pPr>
    <w:r>
      <w:t>GE.18-06002</w:t>
    </w:r>
    <w:r>
      <w:tab/>
    </w:r>
    <w:r w:rsidRPr="00C8679E">
      <w:rPr>
        <w:b/>
        <w:sz w:val="18"/>
      </w:rPr>
      <w:fldChar w:fldCharType="begin"/>
    </w:r>
    <w:r w:rsidRPr="00C8679E">
      <w:rPr>
        <w:b/>
        <w:sz w:val="18"/>
      </w:rPr>
      <w:instrText xml:space="preserve"> PAGE  \* MERGEFORMAT </w:instrText>
    </w:r>
    <w:r w:rsidRPr="00C8679E">
      <w:rPr>
        <w:b/>
        <w:sz w:val="18"/>
      </w:rPr>
      <w:fldChar w:fldCharType="separate"/>
    </w:r>
    <w:r w:rsidR="00D12B00">
      <w:rPr>
        <w:b/>
        <w:noProof/>
        <w:sz w:val="18"/>
      </w:rPr>
      <w:t>5</w:t>
    </w:r>
    <w:r w:rsidRPr="00C867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C8679E" w:rsidRDefault="00C8679E" w:rsidP="00C8679E">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06002  (</w:t>
    </w:r>
    <w:proofErr w:type="gramEnd"/>
    <w:r>
      <w:t>R)</w:t>
    </w:r>
    <w:r>
      <w:rPr>
        <w:lang w:val="en-US"/>
      </w:rPr>
      <w:t xml:space="preserve">  090518  090518</w:t>
    </w:r>
    <w:r>
      <w:br/>
    </w:r>
    <w:r w:rsidRPr="00C8679E">
      <w:rPr>
        <w:rFonts w:ascii="C39T30Lfz" w:hAnsi="C39T30Lfz"/>
        <w:kern w:val="14"/>
        <w:sz w:val="56"/>
      </w:rPr>
      <w:t></w:t>
    </w:r>
    <w:r w:rsidRPr="00C8679E">
      <w:rPr>
        <w:rFonts w:ascii="C39T30Lfz" w:hAnsi="C39T30Lfz"/>
        <w:kern w:val="14"/>
        <w:sz w:val="56"/>
      </w:rPr>
      <w:t></w:t>
    </w:r>
    <w:r w:rsidRPr="00C8679E">
      <w:rPr>
        <w:rFonts w:ascii="C39T30Lfz" w:hAnsi="C39T30Lfz"/>
        <w:kern w:val="14"/>
        <w:sz w:val="56"/>
      </w:rPr>
      <w:t></w:t>
    </w:r>
    <w:r w:rsidRPr="00C8679E">
      <w:rPr>
        <w:rFonts w:ascii="C39T30Lfz" w:hAnsi="C39T30Lfz"/>
        <w:kern w:val="14"/>
        <w:sz w:val="56"/>
      </w:rPr>
      <w:t></w:t>
    </w:r>
    <w:r w:rsidRPr="00C8679E">
      <w:rPr>
        <w:rFonts w:ascii="C39T30Lfz" w:hAnsi="C39T30Lfz"/>
        <w:kern w:val="14"/>
        <w:sz w:val="56"/>
      </w:rPr>
      <w:t></w:t>
    </w:r>
    <w:r w:rsidRPr="00C8679E">
      <w:rPr>
        <w:rFonts w:ascii="C39T30Lfz" w:hAnsi="C39T30Lfz"/>
        <w:kern w:val="14"/>
        <w:sz w:val="56"/>
      </w:rPr>
      <w:t></w:t>
    </w:r>
    <w:r w:rsidRPr="00C8679E">
      <w:rPr>
        <w:rFonts w:ascii="C39T30Lfz" w:hAnsi="C39T30Lfz"/>
        <w:kern w:val="14"/>
        <w:sz w:val="56"/>
      </w:rPr>
      <w:t></w:t>
    </w:r>
    <w:r w:rsidRPr="00C8679E">
      <w:rPr>
        <w:rFonts w:ascii="C39T30Lfz" w:hAnsi="C39T30Lfz"/>
        <w:kern w:val="14"/>
        <w:sz w:val="56"/>
      </w:rPr>
      <w:t></w:t>
    </w:r>
    <w:r w:rsidRPr="00C8679E">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SC.1/S/39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SC.1/S/39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E61" w:rsidRPr="001075E9" w:rsidRDefault="00806E61" w:rsidP="001075E9">
      <w:pPr>
        <w:tabs>
          <w:tab w:val="right" w:pos="2155"/>
        </w:tabs>
        <w:spacing w:after="80" w:line="240" w:lineRule="auto"/>
        <w:ind w:left="680"/>
        <w:rPr>
          <w:u w:val="single"/>
        </w:rPr>
      </w:pPr>
      <w:r>
        <w:rPr>
          <w:u w:val="single"/>
        </w:rPr>
        <w:tab/>
      </w:r>
    </w:p>
  </w:footnote>
  <w:footnote w:type="continuationSeparator" w:id="0">
    <w:p w:rsidR="00806E61" w:rsidRDefault="00806E61"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9E" w:rsidRPr="00C8679E" w:rsidRDefault="00C8679E">
    <w:pPr>
      <w:pStyle w:val="a5"/>
    </w:pPr>
    <w:fldSimple w:instr=" TITLE  \* MERGEFORMAT ">
      <w:r w:rsidR="00D12B00">
        <w:t>ECE/TRANS/SC.1/S/398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9E" w:rsidRPr="00C8679E" w:rsidRDefault="00C8679E" w:rsidP="00C8679E">
    <w:pPr>
      <w:pStyle w:val="a5"/>
      <w:jc w:val="right"/>
    </w:pPr>
    <w:fldSimple w:instr=" TITLE  \* MERGEFORMAT ">
      <w:r w:rsidR="00D12B00">
        <w:t>ECE/TRANS/SC.1/S/398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61"/>
    <w:rsid w:val="00033EE1"/>
    <w:rsid w:val="00042B72"/>
    <w:rsid w:val="000558BD"/>
    <w:rsid w:val="000A286C"/>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C5CAC"/>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03BB7"/>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06E61"/>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805C9"/>
    <w:rsid w:val="00C8679E"/>
    <w:rsid w:val="00C92939"/>
    <w:rsid w:val="00CA1679"/>
    <w:rsid w:val="00CA46FF"/>
    <w:rsid w:val="00CB151C"/>
    <w:rsid w:val="00CE5A1A"/>
    <w:rsid w:val="00CF55F6"/>
    <w:rsid w:val="00D12B00"/>
    <w:rsid w:val="00D33D63"/>
    <w:rsid w:val="00D5253A"/>
    <w:rsid w:val="00D873A8"/>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01AB3"/>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ED2C23"/>
  <w15:docId w15:val="{73E3F09C-9F14-4034-A225-52C9B223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C59D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C6FE6"/>
    <w:pPr>
      <w:spacing w:line="240" w:lineRule="auto"/>
    </w:pPr>
    <w:rPr>
      <w:rFonts w:ascii="Tahoma" w:hAnsi="Tahoma" w:cs="Tahoma"/>
      <w:sz w:val="16"/>
      <w:szCs w:val="16"/>
    </w:rPr>
  </w:style>
  <w:style w:type="character" w:customStyle="1" w:styleId="a4">
    <w:name w:val="Текст выноски Знак"/>
    <w:basedOn w:val="a0"/>
    <w:link w:val="a3"/>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617A43"/>
    <w:rPr>
      <w:b/>
      <w:sz w:val="18"/>
      <w:lang w:val="en-GB" w:eastAsia="ru-RU"/>
    </w:rPr>
  </w:style>
  <w:style w:type="character" w:styleId="a7">
    <w:name w:val="page number"/>
    <w:aliases w:val="7_GR"/>
    <w:basedOn w:val="a0"/>
    <w:qFormat/>
    <w:rsid w:val="00617A43"/>
    <w:rPr>
      <w:rFonts w:ascii="Times New Roman" w:hAnsi="Times New Roman"/>
      <w:b/>
      <w:sz w:val="18"/>
    </w:rPr>
  </w:style>
  <w:style w:type="paragraph" w:styleId="a8">
    <w:name w:val="footer"/>
    <w:aliases w:val="3_GR"/>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617A43"/>
    <w:rPr>
      <w:sz w:val="16"/>
      <w:lang w:val="en-GB" w:eastAsia="ru-RU"/>
    </w:rPr>
  </w:style>
  <w:style w:type="character" w:styleId="aa">
    <w:name w:val="footnote reference"/>
    <w:aliases w:val="4_GR"/>
    <w:basedOn w:val="a0"/>
    <w:qFormat/>
    <w:rsid w:val="00617A43"/>
    <w:rPr>
      <w:rFonts w:ascii="Times New Roman" w:hAnsi="Times New Roman"/>
      <w:dstrike w:val="0"/>
      <w:sz w:val="18"/>
      <w:vertAlign w:val="superscript"/>
    </w:rPr>
  </w:style>
  <w:style w:type="character" w:styleId="ab">
    <w:name w:val="endnote reference"/>
    <w:aliases w:val="1_GR"/>
    <w:basedOn w:val="aa"/>
    <w:qFormat/>
    <w:rsid w:val="00617A43"/>
    <w:rPr>
      <w:rFonts w:ascii="Times New Roman" w:hAnsi="Times New Roman"/>
      <w:dstrike w:val="0"/>
      <w:sz w:val="18"/>
      <w:vertAlign w:val="superscript"/>
    </w:rPr>
  </w:style>
  <w:style w:type="table" w:styleId="ac">
    <w:name w:val="Table Grid"/>
    <w:basedOn w:val="a1"/>
    <w:uiPriority w:val="59"/>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617A43"/>
    <w:rPr>
      <w:sz w:val="18"/>
      <w:lang w:val="ru-RU" w:eastAsia="ru-RU"/>
    </w:rPr>
  </w:style>
  <w:style w:type="paragraph" w:styleId="af">
    <w:name w:val="endnote text"/>
    <w:aliases w:val="2_GR"/>
    <w:basedOn w:val="ad"/>
    <w:link w:val="af0"/>
    <w:qFormat/>
    <w:rsid w:val="00617A43"/>
  </w:style>
  <w:style w:type="character" w:customStyle="1" w:styleId="af0">
    <w:name w:val="Текст концевой сноски Знак"/>
    <w:aliases w:val="2_GR Знак"/>
    <w:basedOn w:val="a0"/>
    <w:link w:val="af"/>
    <w:rsid w:val="00617A43"/>
    <w:rPr>
      <w:sz w:val="18"/>
      <w:lang w:val="ru-RU" w:eastAsia="ru-RU"/>
    </w:rPr>
  </w:style>
  <w:style w:type="character" w:customStyle="1" w:styleId="10">
    <w:name w:val="Заголовок 1 Знак"/>
    <w:aliases w:val="Table_GR Знак"/>
    <w:basedOn w:val="a0"/>
    <w:link w:val="1"/>
    <w:rsid w:val="00617A43"/>
    <w:rPr>
      <w:rFonts w:cs="Arial"/>
      <w:b/>
      <w:bCs/>
      <w:szCs w:val="32"/>
      <w:lang w:val="ru-RU" w:eastAsia="ru-RU"/>
    </w:rPr>
  </w:style>
  <w:style w:type="character" w:styleId="af1">
    <w:name w:val="Hyperlink"/>
    <w:basedOn w:val="a0"/>
    <w:uiPriority w:val="99"/>
    <w:unhideWhenUsed/>
    <w:rsid w:val="00617A43"/>
    <w:rPr>
      <w:color w:val="0000FF" w:themeColor="hyperlink"/>
      <w:u w:val="none"/>
    </w:rPr>
  </w:style>
  <w:style w:type="character" w:styleId="af2">
    <w:name w:val="FollowedHyperlink"/>
    <w:basedOn w:val="a0"/>
    <w:uiPriority w:val="99"/>
    <w:semiHidden/>
    <w:unhideWhenUsed/>
    <w:rsid w:val="00617A43"/>
    <w:rPr>
      <w:color w:val="800080" w:themeColor="followedHyperlink"/>
      <w:u w:val="none"/>
    </w:rPr>
  </w:style>
  <w:style w:type="paragraph" w:customStyle="1" w:styleId="HChG">
    <w:name w:val="_ H _Ch_G"/>
    <w:basedOn w:val="a"/>
    <w:next w:val="a"/>
    <w:rsid w:val="00C8679E"/>
    <w:pPr>
      <w:keepNext/>
      <w:keepLines/>
      <w:tabs>
        <w:tab w:val="right" w:pos="851"/>
      </w:tabs>
      <w:spacing w:before="360" w:after="240" w:line="300" w:lineRule="exact"/>
      <w:ind w:left="1134" w:right="1134" w:hanging="1134"/>
    </w:pPr>
    <w:rPr>
      <w:rFonts w:eastAsia="SimSun" w:cs="Times New Roman"/>
      <w:b/>
      <w:sz w:val="28"/>
      <w:szCs w:val="20"/>
      <w:lang w:val="en-GB"/>
    </w:rPr>
  </w:style>
  <w:style w:type="paragraph" w:customStyle="1" w:styleId="SingleTxtG">
    <w:name w:val="_ Single Txt_G"/>
    <w:basedOn w:val="a"/>
    <w:link w:val="SingleTxtGChar"/>
    <w:rsid w:val="00C8679E"/>
    <w:pPr>
      <w:spacing w:after="120"/>
      <w:ind w:left="1134" w:right="1134"/>
      <w:jc w:val="both"/>
    </w:pPr>
    <w:rPr>
      <w:rFonts w:eastAsia="SimSun" w:cs="Times New Roman"/>
      <w:szCs w:val="20"/>
      <w:lang w:val="en-GB"/>
    </w:rPr>
  </w:style>
  <w:style w:type="character" w:customStyle="1" w:styleId="SingleTxtGChar">
    <w:name w:val="_ Single Txt_G Char"/>
    <w:link w:val="SingleTxtG"/>
    <w:locked/>
    <w:rsid w:val="00C8679E"/>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ndocs.org/ru/www.unece.org/cefact/brs/brs_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ce.org/index.php?id=48262"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6</Pages>
  <Words>2110</Words>
  <Characters>15026</Characters>
  <Application>Microsoft Office Word</Application>
  <DocSecurity>0</DocSecurity>
  <Lines>273</Lines>
  <Paragraphs>71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ECE/TRANS/SC.1/S/398</vt:lpstr>
      <vt:lpstr>A/</vt:lpstr>
      <vt:lpstr>A/</vt:lpstr>
    </vt:vector>
  </TitlesOfParts>
  <Company>DCM</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ECE/TRANS/SC.1/S/398</dc:title>
  <dc:subject/>
  <dc:creator>Svetlana PROKOUDINA</dc:creator>
  <cp:keywords/>
  <cp:lastModifiedBy>Svetlana Prokoudina</cp:lastModifiedBy>
  <cp:revision>3</cp:revision>
  <cp:lastPrinted>2018-05-09T11:52:00Z</cp:lastPrinted>
  <dcterms:created xsi:type="dcterms:W3CDTF">2018-05-09T11:52:00Z</dcterms:created>
  <dcterms:modified xsi:type="dcterms:W3CDTF">2018-05-09T11:53:00Z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