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57D83" w14:paraId="3DDAB517" w14:textId="77777777" w:rsidTr="009E6CB7">
        <w:trPr>
          <w:cantSplit/>
          <w:trHeight w:hRule="exact" w:val="851"/>
        </w:trPr>
        <w:tc>
          <w:tcPr>
            <w:tcW w:w="1276" w:type="dxa"/>
            <w:tcBorders>
              <w:bottom w:val="single" w:sz="4" w:space="0" w:color="auto"/>
            </w:tcBorders>
            <w:vAlign w:val="bottom"/>
          </w:tcPr>
          <w:p w14:paraId="41065548" w14:textId="77777777" w:rsidR="009E6CB7" w:rsidRPr="00957D83" w:rsidRDefault="009E6CB7" w:rsidP="009E6CB7">
            <w:pPr>
              <w:spacing w:after="80"/>
            </w:pPr>
          </w:p>
        </w:tc>
        <w:tc>
          <w:tcPr>
            <w:tcW w:w="2268" w:type="dxa"/>
            <w:tcBorders>
              <w:bottom w:val="single" w:sz="4" w:space="0" w:color="auto"/>
            </w:tcBorders>
            <w:vAlign w:val="bottom"/>
          </w:tcPr>
          <w:p w14:paraId="2B0289CB" w14:textId="77777777" w:rsidR="009E6CB7" w:rsidRPr="00957D83" w:rsidRDefault="009E6CB7" w:rsidP="009E6CB7">
            <w:pPr>
              <w:spacing w:after="80" w:line="300" w:lineRule="exact"/>
              <w:rPr>
                <w:b/>
                <w:sz w:val="24"/>
                <w:szCs w:val="24"/>
              </w:rPr>
            </w:pPr>
            <w:r w:rsidRPr="00957D83">
              <w:rPr>
                <w:sz w:val="28"/>
                <w:szCs w:val="28"/>
              </w:rPr>
              <w:t>United Nations</w:t>
            </w:r>
          </w:p>
        </w:tc>
        <w:tc>
          <w:tcPr>
            <w:tcW w:w="6095" w:type="dxa"/>
            <w:gridSpan w:val="2"/>
            <w:tcBorders>
              <w:bottom w:val="single" w:sz="4" w:space="0" w:color="auto"/>
            </w:tcBorders>
            <w:vAlign w:val="bottom"/>
          </w:tcPr>
          <w:p w14:paraId="1B6CF409" w14:textId="77777777" w:rsidR="009E6CB7" w:rsidRPr="00957D83" w:rsidRDefault="003A5F98" w:rsidP="002539AD">
            <w:pPr>
              <w:jc w:val="right"/>
            </w:pPr>
            <w:r w:rsidRPr="00957D83">
              <w:rPr>
                <w:sz w:val="40"/>
              </w:rPr>
              <w:t>ECE</w:t>
            </w:r>
            <w:r w:rsidR="00AD0CC4" w:rsidRPr="00957D83">
              <w:t>/TRANS/201</w:t>
            </w:r>
            <w:r w:rsidR="002539AD" w:rsidRPr="00957D83">
              <w:t>8</w:t>
            </w:r>
            <w:r w:rsidRPr="00957D83">
              <w:t>/</w:t>
            </w:r>
            <w:r w:rsidR="002539AD" w:rsidRPr="00957D83">
              <w:t>7</w:t>
            </w:r>
          </w:p>
        </w:tc>
      </w:tr>
      <w:tr w:rsidR="009E6CB7" w:rsidRPr="00957D83" w14:paraId="68172BC2" w14:textId="77777777" w:rsidTr="009E6CB7">
        <w:trPr>
          <w:cantSplit/>
          <w:trHeight w:hRule="exact" w:val="2835"/>
        </w:trPr>
        <w:tc>
          <w:tcPr>
            <w:tcW w:w="1276" w:type="dxa"/>
            <w:tcBorders>
              <w:top w:val="single" w:sz="4" w:space="0" w:color="auto"/>
              <w:bottom w:val="single" w:sz="12" w:space="0" w:color="auto"/>
            </w:tcBorders>
          </w:tcPr>
          <w:p w14:paraId="0A621990" w14:textId="77777777" w:rsidR="009E6CB7" w:rsidRPr="00957D83" w:rsidRDefault="00BC7F91" w:rsidP="009E6CB7">
            <w:pPr>
              <w:spacing w:before="120"/>
            </w:pPr>
            <w:r w:rsidRPr="008A1135">
              <w:rPr>
                <w:noProof/>
                <w:lang w:val="en-US"/>
              </w:rPr>
              <w:drawing>
                <wp:inline distT="0" distB="0" distL="0" distR="0" wp14:anchorId="7EB5783B" wp14:editId="12D259D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7B537F" w14:textId="77777777" w:rsidR="009E6CB7" w:rsidRPr="00957D83" w:rsidRDefault="009E6CB7" w:rsidP="009E6CB7">
            <w:pPr>
              <w:spacing w:before="120" w:line="420" w:lineRule="exact"/>
              <w:rPr>
                <w:sz w:val="40"/>
                <w:szCs w:val="40"/>
              </w:rPr>
            </w:pPr>
            <w:r w:rsidRPr="00957D83">
              <w:rPr>
                <w:b/>
                <w:sz w:val="40"/>
                <w:szCs w:val="40"/>
              </w:rPr>
              <w:t>Economic and Social Council</w:t>
            </w:r>
          </w:p>
        </w:tc>
        <w:tc>
          <w:tcPr>
            <w:tcW w:w="2835" w:type="dxa"/>
            <w:tcBorders>
              <w:top w:val="single" w:sz="4" w:space="0" w:color="auto"/>
              <w:bottom w:val="single" w:sz="12" w:space="0" w:color="auto"/>
            </w:tcBorders>
          </w:tcPr>
          <w:p w14:paraId="463F1317" w14:textId="77777777" w:rsidR="009E6CB7" w:rsidRPr="00957D83" w:rsidRDefault="003A5F98" w:rsidP="003A5F98">
            <w:pPr>
              <w:spacing w:before="240" w:line="240" w:lineRule="exact"/>
            </w:pPr>
            <w:r w:rsidRPr="00957D83">
              <w:t>Distr.: General</w:t>
            </w:r>
          </w:p>
          <w:p w14:paraId="7CCC3F2E" w14:textId="2EB58C17" w:rsidR="003A5F98" w:rsidRPr="00957D83" w:rsidRDefault="000B5E33" w:rsidP="003A5F98">
            <w:pPr>
              <w:spacing w:line="240" w:lineRule="exact"/>
            </w:pPr>
            <w:r>
              <w:t>12</w:t>
            </w:r>
            <w:r w:rsidR="00AD0CC4" w:rsidRPr="00957D83">
              <w:t xml:space="preserve"> December 201</w:t>
            </w:r>
            <w:r w:rsidR="002539AD" w:rsidRPr="00957D83">
              <w:t>7</w:t>
            </w:r>
          </w:p>
          <w:p w14:paraId="42A0C225" w14:textId="77777777" w:rsidR="003A5F98" w:rsidRPr="00957D83" w:rsidRDefault="003A5F98" w:rsidP="003A5F98">
            <w:pPr>
              <w:spacing w:line="240" w:lineRule="exact"/>
            </w:pPr>
          </w:p>
          <w:p w14:paraId="2C44D7CA" w14:textId="77777777" w:rsidR="003A5F98" w:rsidRPr="00957D83" w:rsidRDefault="003A5F98" w:rsidP="003A5F98">
            <w:pPr>
              <w:spacing w:line="240" w:lineRule="exact"/>
            </w:pPr>
            <w:r w:rsidRPr="00957D83">
              <w:t>Original: English</w:t>
            </w:r>
          </w:p>
        </w:tc>
      </w:tr>
    </w:tbl>
    <w:p w14:paraId="5BF6A756" w14:textId="77777777" w:rsidR="003A5F98" w:rsidRPr="00957D83" w:rsidRDefault="003A5F98" w:rsidP="003A5F98">
      <w:pPr>
        <w:spacing w:before="120"/>
        <w:rPr>
          <w:b/>
          <w:bCs/>
          <w:sz w:val="28"/>
          <w:szCs w:val="28"/>
        </w:rPr>
      </w:pPr>
      <w:r w:rsidRPr="00957D83">
        <w:rPr>
          <w:b/>
          <w:bCs/>
          <w:sz w:val="28"/>
          <w:szCs w:val="28"/>
        </w:rPr>
        <w:t>Economic Commission for Europe</w:t>
      </w:r>
    </w:p>
    <w:p w14:paraId="207E83BB" w14:textId="77777777" w:rsidR="003A5F98" w:rsidRPr="00957D83" w:rsidRDefault="003A5F98" w:rsidP="003A5F98">
      <w:pPr>
        <w:spacing w:before="120"/>
        <w:rPr>
          <w:sz w:val="28"/>
          <w:szCs w:val="28"/>
        </w:rPr>
      </w:pPr>
      <w:r w:rsidRPr="00957D83">
        <w:rPr>
          <w:sz w:val="28"/>
          <w:szCs w:val="28"/>
        </w:rPr>
        <w:t>Inland Transport Committee</w:t>
      </w:r>
    </w:p>
    <w:p w14:paraId="30906F95" w14:textId="77777777" w:rsidR="00AD0CC4" w:rsidRPr="00957D83" w:rsidRDefault="002539AD" w:rsidP="00AD0CC4">
      <w:pPr>
        <w:rPr>
          <w:b/>
          <w:bCs/>
        </w:rPr>
      </w:pPr>
      <w:r w:rsidRPr="00957D83">
        <w:rPr>
          <w:b/>
          <w:bCs/>
        </w:rPr>
        <w:t>Eightieth</w:t>
      </w:r>
      <w:r w:rsidR="00AD0CC4" w:rsidRPr="00957D83">
        <w:rPr>
          <w:b/>
          <w:bCs/>
        </w:rPr>
        <w:t xml:space="preserve"> session</w:t>
      </w:r>
    </w:p>
    <w:p w14:paraId="30156805" w14:textId="77777777" w:rsidR="00AD0CC4" w:rsidRPr="00957D83" w:rsidRDefault="001E1546" w:rsidP="00AD0CC4">
      <w:pPr>
        <w:rPr>
          <w:bCs/>
        </w:rPr>
      </w:pPr>
      <w:r w:rsidRPr="00957D83">
        <w:rPr>
          <w:bCs/>
        </w:rPr>
        <w:t>Geneva, 2</w:t>
      </w:r>
      <w:r w:rsidR="002539AD" w:rsidRPr="00957D83">
        <w:rPr>
          <w:bCs/>
        </w:rPr>
        <w:t>0</w:t>
      </w:r>
      <w:r w:rsidRPr="00957D83">
        <w:rPr>
          <w:bCs/>
        </w:rPr>
        <w:t>-</w:t>
      </w:r>
      <w:r w:rsidR="00AD0CC4" w:rsidRPr="00957D83">
        <w:rPr>
          <w:bCs/>
        </w:rPr>
        <w:t>2</w:t>
      </w:r>
      <w:r w:rsidR="002539AD" w:rsidRPr="00957D83">
        <w:rPr>
          <w:bCs/>
        </w:rPr>
        <w:t>3</w:t>
      </w:r>
      <w:r w:rsidR="00AD0CC4" w:rsidRPr="00957D83">
        <w:rPr>
          <w:bCs/>
        </w:rPr>
        <w:t xml:space="preserve"> February 201</w:t>
      </w:r>
      <w:r w:rsidR="002539AD" w:rsidRPr="00957D83">
        <w:rPr>
          <w:bCs/>
        </w:rPr>
        <w:t>8</w:t>
      </w:r>
    </w:p>
    <w:p w14:paraId="404446D5" w14:textId="77777777" w:rsidR="003A5F98" w:rsidRPr="00957D83" w:rsidRDefault="008A7D38" w:rsidP="00AD0CC4">
      <w:pPr>
        <w:rPr>
          <w:b/>
          <w:bCs/>
        </w:rPr>
      </w:pPr>
      <w:r w:rsidRPr="00957D83">
        <w:t xml:space="preserve">Item </w:t>
      </w:r>
      <w:proofErr w:type="gramStart"/>
      <w:r w:rsidRPr="00957D83">
        <w:t>4</w:t>
      </w:r>
      <w:proofErr w:type="gramEnd"/>
      <w:r w:rsidRPr="00957D83">
        <w:t xml:space="preserve"> (d) (</w:t>
      </w:r>
      <w:proofErr w:type="spellStart"/>
      <w:r w:rsidRPr="00957D83">
        <w:t>i</w:t>
      </w:r>
      <w:proofErr w:type="spellEnd"/>
      <w:r w:rsidRPr="00957D83">
        <w:t>) of the provisional agenda</w:t>
      </w:r>
      <w:r w:rsidRPr="00957D83">
        <w:br/>
      </w:r>
      <w:r w:rsidRPr="00957D83">
        <w:rPr>
          <w:b/>
          <w:bCs/>
        </w:rPr>
        <w:t xml:space="preserve">Strategic questions of a horizontal policy nature: </w:t>
      </w:r>
      <w:r w:rsidRPr="00957D83">
        <w:rPr>
          <w:b/>
          <w:bCs/>
        </w:rPr>
        <w:br/>
        <w:t>Environment</w:t>
      </w:r>
      <w:r w:rsidR="001E1546" w:rsidRPr="00957D83">
        <w:rPr>
          <w:b/>
          <w:bCs/>
        </w:rPr>
        <w:t>, climate change and transport:</w:t>
      </w:r>
      <w:r w:rsidRPr="00957D83">
        <w:rPr>
          <w:b/>
          <w:bCs/>
        </w:rPr>
        <w:t xml:space="preserve"> </w:t>
      </w:r>
      <w:r w:rsidRPr="00957D83">
        <w:rPr>
          <w:b/>
          <w:bCs/>
        </w:rPr>
        <w:br/>
      </w:r>
      <w:r w:rsidR="00492D0C" w:rsidRPr="00957D83">
        <w:rPr>
          <w:b/>
          <w:bCs/>
        </w:rPr>
        <w:t>Inland Transport Committee (</w:t>
      </w:r>
      <w:r w:rsidRPr="00957D83">
        <w:rPr>
          <w:b/>
          <w:bCs/>
        </w:rPr>
        <w:t>ITC</w:t>
      </w:r>
      <w:r w:rsidR="00492D0C" w:rsidRPr="00957D83">
        <w:rPr>
          <w:b/>
          <w:bCs/>
        </w:rPr>
        <w:t>)</w:t>
      </w:r>
      <w:r w:rsidRPr="00957D83">
        <w:rPr>
          <w:b/>
          <w:bCs/>
        </w:rPr>
        <w:t xml:space="preserve"> follow-up to the 2030 Agenda</w:t>
      </w:r>
    </w:p>
    <w:p w14:paraId="165E2A01" w14:textId="77777777" w:rsidR="00CD49C5" w:rsidRPr="00957D83" w:rsidRDefault="00CD49C5" w:rsidP="00753ABC">
      <w:pPr>
        <w:pStyle w:val="HChG"/>
      </w:pPr>
      <w:r w:rsidRPr="00957D83">
        <w:tab/>
      </w:r>
      <w:r w:rsidRPr="00957D83">
        <w:tab/>
      </w:r>
      <w:r w:rsidR="0073494E" w:rsidRPr="00957D83">
        <w:t>The role of inland transport in a</w:t>
      </w:r>
      <w:r w:rsidR="00C65F56" w:rsidRPr="00957D83">
        <w:t xml:space="preserve">chieving the </w:t>
      </w:r>
      <w:r w:rsidR="0073514E" w:rsidRPr="00957D83">
        <w:t>Sustainable Develo</w:t>
      </w:r>
      <w:r w:rsidR="00C65F56" w:rsidRPr="00957D83">
        <w:t>pment Goals</w:t>
      </w:r>
      <w:r w:rsidR="00D448A6" w:rsidRPr="00957D83">
        <w:t>: i</w:t>
      </w:r>
      <w:r w:rsidR="00C65F56" w:rsidRPr="00957D83">
        <w:t xml:space="preserve">mplementation, monitoring and </w:t>
      </w:r>
      <w:r w:rsidR="00947EBF" w:rsidRPr="00957D83">
        <w:t>U</w:t>
      </w:r>
      <w:r w:rsidR="00753ABC" w:rsidRPr="00957D83">
        <w:t xml:space="preserve">nited </w:t>
      </w:r>
      <w:bookmarkStart w:id="0" w:name="_GoBack"/>
      <w:bookmarkEnd w:id="0"/>
      <w:r w:rsidR="00947EBF" w:rsidRPr="00957D83">
        <w:t>N</w:t>
      </w:r>
      <w:r w:rsidR="00753ABC" w:rsidRPr="00957D83">
        <w:t>ations</w:t>
      </w:r>
      <w:r w:rsidR="00947EBF" w:rsidRPr="00957D83">
        <w:t xml:space="preserve"> system repositioning </w:t>
      </w:r>
    </w:p>
    <w:p w14:paraId="357E2CEC" w14:textId="77777777" w:rsidR="00CD49C5" w:rsidRPr="00957D83" w:rsidRDefault="00CD49C5" w:rsidP="00CD49C5">
      <w:pPr>
        <w:pStyle w:val="H1G"/>
      </w:pPr>
      <w:r w:rsidRPr="00957D83">
        <w:tab/>
      </w:r>
      <w:r w:rsidRPr="00957D83">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CD49C5" w:rsidRPr="00957D83" w14:paraId="1F8572C2" w14:textId="77777777" w:rsidTr="002F4EE0">
        <w:trPr>
          <w:jc w:val="center"/>
        </w:trPr>
        <w:tc>
          <w:tcPr>
            <w:tcW w:w="9637" w:type="dxa"/>
            <w:shd w:val="clear" w:color="auto" w:fill="auto"/>
          </w:tcPr>
          <w:p w14:paraId="448E3B4B" w14:textId="77777777" w:rsidR="00CD49C5" w:rsidRPr="00957D83" w:rsidRDefault="00CD49C5" w:rsidP="002F4EE0">
            <w:pPr>
              <w:spacing w:before="240" w:after="120"/>
              <w:ind w:left="255"/>
              <w:rPr>
                <w:i/>
                <w:sz w:val="24"/>
              </w:rPr>
            </w:pPr>
            <w:r w:rsidRPr="00957D83">
              <w:rPr>
                <w:i/>
                <w:sz w:val="24"/>
              </w:rPr>
              <w:t>Summary</w:t>
            </w:r>
          </w:p>
        </w:tc>
      </w:tr>
      <w:tr w:rsidR="002B68B2" w:rsidRPr="00957D83" w14:paraId="7F1C5A5A" w14:textId="77777777" w:rsidTr="002F4EE0">
        <w:trPr>
          <w:jc w:val="center"/>
        </w:trPr>
        <w:tc>
          <w:tcPr>
            <w:tcW w:w="9637" w:type="dxa"/>
            <w:shd w:val="clear" w:color="auto" w:fill="auto"/>
          </w:tcPr>
          <w:p w14:paraId="5D902D07" w14:textId="44EA957A" w:rsidR="002B68B2" w:rsidRPr="00957D83" w:rsidRDefault="002B68B2">
            <w:pPr>
              <w:pStyle w:val="SingleTxtG"/>
            </w:pPr>
            <w:r w:rsidRPr="00957D83">
              <w:tab/>
              <w:t>This document provides information about the main developments on the position of sustainable transport in the recently adopted 2030 Agenda for Sustainable Development and the Sustainable Development Goals.</w:t>
            </w:r>
            <w:r w:rsidR="00033CF5" w:rsidRPr="00957D83">
              <w:t xml:space="preserve"> Among them, there are three major global processes/initiatives to track progress</w:t>
            </w:r>
            <w:r w:rsidR="0073494E" w:rsidRPr="00957D83">
              <w:t xml:space="preserve">: the </w:t>
            </w:r>
            <w:r w:rsidR="00626691" w:rsidRPr="00957D83">
              <w:t xml:space="preserve">Sustainable Development Goals </w:t>
            </w:r>
            <w:r w:rsidR="00957D83">
              <w:t xml:space="preserve">and </w:t>
            </w:r>
            <w:r w:rsidR="0073494E" w:rsidRPr="00957D83">
              <w:t xml:space="preserve">targets and indicators, the Sustainable Mobility for All (SUM4ALL) Initiative, and the initiative to develop </w:t>
            </w:r>
            <w:r w:rsidR="0073494E" w:rsidRPr="00957D83">
              <w:rPr>
                <w:szCs w:val="24"/>
              </w:rPr>
              <w:t xml:space="preserve">voluntary global </w:t>
            </w:r>
            <w:proofErr w:type="gramStart"/>
            <w:r w:rsidR="0073494E" w:rsidRPr="00957D83">
              <w:rPr>
                <w:szCs w:val="24"/>
              </w:rPr>
              <w:t xml:space="preserve">road safety performance </w:t>
            </w:r>
            <w:r w:rsidR="008C4682" w:rsidRPr="00957D83">
              <w:rPr>
                <w:szCs w:val="24"/>
              </w:rPr>
              <w:t>targets</w:t>
            </w:r>
            <w:proofErr w:type="gramEnd"/>
            <w:r w:rsidR="008C4682" w:rsidRPr="00957D83">
              <w:rPr>
                <w:szCs w:val="24"/>
              </w:rPr>
              <w:t xml:space="preserve"> and </w:t>
            </w:r>
            <w:r w:rsidR="0073494E" w:rsidRPr="00957D83">
              <w:rPr>
                <w:szCs w:val="24"/>
              </w:rPr>
              <w:t>indicators</w:t>
            </w:r>
            <w:r w:rsidR="00033CF5" w:rsidRPr="00957D83">
              <w:t xml:space="preserve">. The </w:t>
            </w:r>
            <w:r w:rsidR="00033CF5" w:rsidRPr="00957D83">
              <w:rPr>
                <w:szCs w:val="24"/>
              </w:rPr>
              <w:t>Inland Transport Committee (ITC</w:t>
            </w:r>
            <w:r w:rsidR="00033CF5" w:rsidRPr="00957D83">
              <w:t>) directly contributes to all three processes</w:t>
            </w:r>
            <w:r w:rsidR="0073494E" w:rsidRPr="00957D83">
              <w:t xml:space="preserve"> through its regulatory, analytical, capacity-building and policy-relevant work</w:t>
            </w:r>
            <w:r w:rsidR="00033CF5" w:rsidRPr="00957D83">
              <w:t>.</w:t>
            </w:r>
            <w:r w:rsidRPr="00957D83">
              <w:t xml:space="preserve"> </w:t>
            </w:r>
          </w:p>
        </w:tc>
      </w:tr>
      <w:tr w:rsidR="00CD49C5" w:rsidRPr="00957D83" w14:paraId="44F0939C" w14:textId="77777777" w:rsidTr="002F4EE0">
        <w:trPr>
          <w:jc w:val="center"/>
        </w:trPr>
        <w:tc>
          <w:tcPr>
            <w:tcW w:w="9637" w:type="dxa"/>
            <w:shd w:val="clear" w:color="auto" w:fill="auto"/>
          </w:tcPr>
          <w:p w14:paraId="7DC335B6" w14:textId="0BDD8ABA" w:rsidR="00CD49C5" w:rsidRPr="00957D83" w:rsidRDefault="00CE4F30" w:rsidP="00947EBF">
            <w:pPr>
              <w:pStyle w:val="SingleTxtG"/>
            </w:pPr>
            <w:r w:rsidRPr="00957D83">
              <w:tab/>
            </w:r>
            <w:r w:rsidR="00033CF5" w:rsidRPr="00957D83">
              <w:t xml:space="preserve">In light of the ongoing efforts to reposition the </w:t>
            </w:r>
            <w:r w:rsidR="00957D83">
              <w:t xml:space="preserve">United Nations </w:t>
            </w:r>
            <w:r w:rsidR="00033CF5" w:rsidRPr="00957D83">
              <w:t xml:space="preserve">Development System and gear it toward the effective implementation of the </w:t>
            </w:r>
            <w:r w:rsidR="00957D83">
              <w:t>Sustainable Development Goal</w:t>
            </w:r>
            <w:r w:rsidR="00033CF5" w:rsidRPr="00957D83">
              <w:t>s</w:t>
            </w:r>
            <w:r w:rsidR="00947EBF" w:rsidRPr="00957D83">
              <w:t>,</w:t>
            </w:r>
            <w:r w:rsidR="00033CF5" w:rsidRPr="00957D83">
              <w:t xml:space="preserve"> </w:t>
            </w:r>
            <w:r w:rsidR="00436585" w:rsidRPr="00957D83">
              <w:rPr>
                <w:szCs w:val="24"/>
              </w:rPr>
              <w:t xml:space="preserve">the role of </w:t>
            </w:r>
            <w:r w:rsidR="005851F1" w:rsidRPr="00957D83">
              <w:rPr>
                <w:szCs w:val="24"/>
              </w:rPr>
              <w:t xml:space="preserve">the </w:t>
            </w:r>
            <w:r w:rsidR="00436585" w:rsidRPr="00957D83">
              <w:rPr>
                <w:szCs w:val="24"/>
              </w:rPr>
              <w:t>ITC in addressing global transport issues</w:t>
            </w:r>
            <w:r w:rsidR="007C7B94" w:rsidRPr="00957D83">
              <w:rPr>
                <w:szCs w:val="24"/>
              </w:rPr>
              <w:t>, among others</w:t>
            </w:r>
            <w:r w:rsidR="00947EBF" w:rsidRPr="00957D83">
              <w:rPr>
                <w:szCs w:val="24"/>
              </w:rPr>
              <w:t>,</w:t>
            </w:r>
            <w:r w:rsidR="007C7B94" w:rsidRPr="00957D83">
              <w:rPr>
                <w:szCs w:val="24"/>
              </w:rPr>
              <w:t xml:space="preserve"> through</w:t>
            </w:r>
            <w:r w:rsidR="001C35E3" w:rsidRPr="00957D83">
              <w:rPr>
                <w:szCs w:val="24"/>
              </w:rPr>
              <w:t xml:space="preserve"> </w:t>
            </w:r>
            <w:r w:rsidR="00947EBF" w:rsidRPr="00957D83">
              <w:rPr>
                <w:szCs w:val="24"/>
              </w:rPr>
              <w:t>its regulatory, analytical, capacity-building and policy-relevant work becomes even more important. T</w:t>
            </w:r>
            <w:r w:rsidR="00436585" w:rsidRPr="00957D83">
              <w:rPr>
                <w:szCs w:val="24"/>
              </w:rPr>
              <w:t xml:space="preserve">he Committee </w:t>
            </w:r>
            <w:r w:rsidR="00CD49C5" w:rsidRPr="00957D83">
              <w:t xml:space="preserve">may wish to </w:t>
            </w:r>
            <w:r w:rsidR="00CD49C5" w:rsidRPr="00957D83">
              <w:rPr>
                <w:b/>
              </w:rPr>
              <w:t xml:space="preserve">reflect on ways </w:t>
            </w:r>
            <w:r w:rsidR="00436585" w:rsidRPr="00957D83">
              <w:rPr>
                <w:b/>
              </w:rPr>
              <w:t>to strengthen</w:t>
            </w:r>
            <w:r w:rsidR="00436585" w:rsidRPr="00957D83">
              <w:t xml:space="preserve"> </w:t>
            </w:r>
            <w:r w:rsidR="00CD49C5" w:rsidRPr="00957D83">
              <w:t>its role and contribution in</w:t>
            </w:r>
            <w:r w:rsidR="001C35E3" w:rsidRPr="00957D83">
              <w:t xml:space="preserve"> implementing </w:t>
            </w:r>
            <w:r w:rsidR="00CD49C5" w:rsidRPr="00957D83">
              <w:t>the transport-related targets of the 2030 Agenda</w:t>
            </w:r>
            <w:r w:rsidR="00955583" w:rsidRPr="00957D83">
              <w:t>.</w:t>
            </w:r>
          </w:p>
        </w:tc>
      </w:tr>
      <w:tr w:rsidR="00CD49C5" w:rsidRPr="00957D83" w14:paraId="3FE30C32" w14:textId="77777777" w:rsidTr="002F4EE0">
        <w:trPr>
          <w:jc w:val="center"/>
        </w:trPr>
        <w:tc>
          <w:tcPr>
            <w:tcW w:w="9637" w:type="dxa"/>
            <w:shd w:val="clear" w:color="auto" w:fill="auto"/>
          </w:tcPr>
          <w:p w14:paraId="5C5B9153" w14:textId="77777777" w:rsidR="00CD49C5" w:rsidRPr="00957D83" w:rsidRDefault="00CD49C5" w:rsidP="002F4EE0"/>
        </w:tc>
      </w:tr>
    </w:tbl>
    <w:p w14:paraId="0457BB5A" w14:textId="4D1FA6A9" w:rsidR="00CD49C5" w:rsidRPr="00957D83" w:rsidRDefault="00CD49C5" w:rsidP="00227E65">
      <w:pPr>
        <w:pStyle w:val="HChG"/>
      </w:pPr>
      <w:r w:rsidRPr="00957D83">
        <w:lastRenderedPageBreak/>
        <w:tab/>
        <w:t>I.</w:t>
      </w:r>
      <w:r w:rsidRPr="00957D83">
        <w:tab/>
      </w:r>
      <w:r w:rsidR="00207D9B" w:rsidRPr="00957D83">
        <w:t xml:space="preserve">The </w:t>
      </w:r>
      <w:r w:rsidRPr="00957D83">
        <w:t xml:space="preserve">2030 </w:t>
      </w:r>
      <w:r w:rsidR="00957D83">
        <w:t>A</w:t>
      </w:r>
      <w:r w:rsidRPr="00957D83">
        <w:t>genda</w:t>
      </w:r>
      <w:r w:rsidR="00C65F56" w:rsidRPr="00957D83">
        <w:t xml:space="preserve"> </w:t>
      </w:r>
      <w:r w:rsidR="00F54072" w:rsidRPr="00957D83">
        <w:t>and the role of sustainable transport</w:t>
      </w:r>
    </w:p>
    <w:p w14:paraId="34BB0F5D" w14:textId="67882449" w:rsidR="00187EFB" w:rsidRPr="00957D83" w:rsidRDefault="00CD49C5" w:rsidP="00227E65">
      <w:pPr>
        <w:pStyle w:val="SingleTxtG"/>
      </w:pPr>
      <w:r w:rsidRPr="00957D83">
        <w:t>1.</w:t>
      </w:r>
      <w:r w:rsidRPr="00957D83">
        <w:tab/>
      </w:r>
      <w:r w:rsidR="002C029E" w:rsidRPr="00957D83">
        <w:t>Global leader</w:t>
      </w:r>
      <w:r w:rsidR="00C65F56" w:rsidRPr="00957D83">
        <w:t>s</w:t>
      </w:r>
      <w:r w:rsidR="002C029E" w:rsidRPr="00957D83">
        <w:t xml:space="preserve"> adopted in 2015 a set of 17 Sustainable Development Goals and 169 targets for 2030 that aspire to help humanity revert to a virtuous path of sustainability. </w:t>
      </w:r>
      <w:r w:rsidR="00187EFB" w:rsidRPr="00957D83">
        <w:t xml:space="preserve">Sustainable transport and mobility are key elements in achieving the </w:t>
      </w:r>
      <w:r w:rsidR="00957D83">
        <w:t>Sustainable Development Goal</w:t>
      </w:r>
      <w:r w:rsidR="00187EFB" w:rsidRPr="00957D83">
        <w:t xml:space="preserve">s, as the mapping </w:t>
      </w:r>
      <w:r w:rsidR="00187EFB" w:rsidRPr="00957D83">
        <w:rPr>
          <w:spacing w:val="-2"/>
        </w:rPr>
        <w:t xml:space="preserve">of ITC activities against the </w:t>
      </w:r>
      <w:r w:rsidR="00187EFB" w:rsidRPr="00957D83">
        <w:t>Sustainable Development Goals has shown</w:t>
      </w:r>
      <w:r w:rsidR="00947EBF" w:rsidRPr="00957D83">
        <w:t>. In fact,</w:t>
      </w:r>
      <w:r w:rsidR="00187EFB" w:rsidRPr="00957D83">
        <w:t xml:space="preserve"> the Committee’s work relates directly to fourteen of the seventeen </w:t>
      </w:r>
      <w:r w:rsidR="00957D83">
        <w:t>Sustainable Development Goal</w:t>
      </w:r>
      <w:r w:rsidR="00187EFB" w:rsidRPr="00957D83">
        <w:t>s, mainly through the United Nations legal instruments and regulations of global and regional geographical coverage under its purview, relevant analytical and capacity-building activities, as well as policy dialogue.</w:t>
      </w:r>
    </w:p>
    <w:p w14:paraId="074927F3" w14:textId="5A213327" w:rsidR="00033CF5" w:rsidRPr="00957D83" w:rsidRDefault="00033CF5" w:rsidP="00C65F56">
      <w:pPr>
        <w:pStyle w:val="SingleTxtG"/>
        <w:rPr>
          <w:szCs w:val="24"/>
        </w:rPr>
      </w:pPr>
      <w:r w:rsidRPr="00957D83">
        <w:rPr>
          <w:szCs w:val="24"/>
        </w:rPr>
        <w:t>2.</w:t>
      </w:r>
      <w:r w:rsidRPr="00957D83">
        <w:rPr>
          <w:szCs w:val="24"/>
        </w:rPr>
        <w:tab/>
        <w:t xml:space="preserve">The ability to achieve the </w:t>
      </w:r>
      <w:r w:rsidR="00957D83">
        <w:rPr>
          <w:szCs w:val="24"/>
        </w:rPr>
        <w:t>Sustainable Development Goal</w:t>
      </w:r>
      <w:r w:rsidR="00947EBF" w:rsidRPr="00957D83">
        <w:rPr>
          <w:szCs w:val="24"/>
        </w:rPr>
        <w:t>s</w:t>
      </w:r>
      <w:r w:rsidRPr="00957D83">
        <w:rPr>
          <w:szCs w:val="24"/>
        </w:rPr>
        <w:t xml:space="preserve"> </w:t>
      </w:r>
      <w:proofErr w:type="gramStart"/>
      <w:r w:rsidRPr="00957D83">
        <w:rPr>
          <w:szCs w:val="24"/>
        </w:rPr>
        <w:t>will also be largely determined</w:t>
      </w:r>
      <w:proofErr w:type="gramEnd"/>
      <w:r w:rsidRPr="00957D83">
        <w:rPr>
          <w:szCs w:val="24"/>
        </w:rPr>
        <w:t xml:space="preserve"> by their operationalization in order to track progress. The importance of tracking progress and setting performance targets for the achievement of the </w:t>
      </w:r>
      <w:r w:rsidR="00957D83">
        <w:rPr>
          <w:szCs w:val="24"/>
        </w:rPr>
        <w:t>Sustainable Development Goal</w:t>
      </w:r>
      <w:r w:rsidRPr="00957D83">
        <w:rPr>
          <w:szCs w:val="24"/>
        </w:rPr>
        <w:t xml:space="preserve"> targets </w:t>
      </w:r>
      <w:proofErr w:type="gramStart"/>
      <w:r w:rsidRPr="00957D83">
        <w:rPr>
          <w:szCs w:val="24"/>
        </w:rPr>
        <w:t>was highlighted</w:t>
      </w:r>
      <w:proofErr w:type="gramEnd"/>
      <w:r w:rsidRPr="00957D83">
        <w:rPr>
          <w:szCs w:val="24"/>
        </w:rPr>
        <w:t xml:space="preserve"> in United Nations General Assembly </w:t>
      </w:r>
      <w:r w:rsidR="00957D83">
        <w:rPr>
          <w:szCs w:val="24"/>
        </w:rPr>
        <w:t>r</w:t>
      </w:r>
      <w:r w:rsidRPr="00957D83">
        <w:rPr>
          <w:szCs w:val="24"/>
        </w:rPr>
        <w:t>esolution A/70/260, adopted in April 2016.</w:t>
      </w:r>
      <w:r w:rsidR="0073494E" w:rsidRPr="00957D83">
        <w:rPr>
          <w:szCs w:val="24"/>
        </w:rPr>
        <w:t xml:space="preserve"> </w:t>
      </w:r>
      <w:r w:rsidR="00947EBF" w:rsidRPr="00957D83">
        <w:rPr>
          <w:szCs w:val="24"/>
        </w:rPr>
        <w:t>Section II</w:t>
      </w:r>
      <w:r w:rsidR="00957D83">
        <w:rPr>
          <w:szCs w:val="24"/>
        </w:rPr>
        <w:t xml:space="preserve"> of this document</w:t>
      </w:r>
      <w:r w:rsidR="00947EBF" w:rsidRPr="00957D83">
        <w:rPr>
          <w:szCs w:val="24"/>
        </w:rPr>
        <w:t xml:space="preserve"> discusses </w:t>
      </w:r>
      <w:r w:rsidR="0073494E" w:rsidRPr="00957D83">
        <w:rPr>
          <w:szCs w:val="24"/>
        </w:rPr>
        <w:t>the three major processes for tracking progress to which the Committee contributes</w:t>
      </w:r>
      <w:r w:rsidR="00947EBF" w:rsidRPr="00957D83">
        <w:rPr>
          <w:szCs w:val="24"/>
        </w:rPr>
        <w:t>.</w:t>
      </w:r>
    </w:p>
    <w:p w14:paraId="1C8E3B7E" w14:textId="0AED740C" w:rsidR="00C65F56" w:rsidRPr="00957D83" w:rsidRDefault="00033CF5" w:rsidP="00C65F56">
      <w:pPr>
        <w:pStyle w:val="SingleTxtG"/>
        <w:rPr>
          <w:szCs w:val="24"/>
        </w:rPr>
      </w:pPr>
      <w:r w:rsidRPr="00957D83">
        <w:rPr>
          <w:szCs w:val="24"/>
        </w:rPr>
        <w:t>3.</w:t>
      </w:r>
      <w:r w:rsidRPr="00957D83">
        <w:rPr>
          <w:szCs w:val="24"/>
        </w:rPr>
        <w:tab/>
      </w:r>
      <w:r w:rsidR="00C65F56" w:rsidRPr="00957D83">
        <w:rPr>
          <w:szCs w:val="24"/>
        </w:rPr>
        <w:t xml:space="preserve">The scale and ambition of this new universal agenda is such that its success will </w:t>
      </w:r>
      <w:r w:rsidRPr="00957D83">
        <w:rPr>
          <w:szCs w:val="24"/>
        </w:rPr>
        <w:t xml:space="preserve">also </w:t>
      </w:r>
      <w:r w:rsidR="00972045" w:rsidRPr="00957D83">
        <w:rPr>
          <w:szCs w:val="24"/>
        </w:rPr>
        <w:t xml:space="preserve">largely </w:t>
      </w:r>
      <w:r w:rsidRPr="00957D83">
        <w:rPr>
          <w:szCs w:val="24"/>
        </w:rPr>
        <w:t xml:space="preserve">require that </w:t>
      </w:r>
      <w:r w:rsidR="00972045" w:rsidRPr="00957D83">
        <w:rPr>
          <w:szCs w:val="24"/>
        </w:rPr>
        <w:t xml:space="preserve">the </w:t>
      </w:r>
      <w:r w:rsidR="00957D83">
        <w:rPr>
          <w:szCs w:val="24"/>
        </w:rPr>
        <w:t xml:space="preserve">United Nations </w:t>
      </w:r>
      <w:r w:rsidR="00972045" w:rsidRPr="00957D83">
        <w:rPr>
          <w:szCs w:val="24"/>
        </w:rPr>
        <w:t xml:space="preserve">system is “fit for purpose” in delivering the desired results and </w:t>
      </w:r>
      <w:r w:rsidR="0073494E" w:rsidRPr="00957D83">
        <w:rPr>
          <w:szCs w:val="24"/>
        </w:rPr>
        <w:t xml:space="preserve">supports the efforts </w:t>
      </w:r>
      <w:r w:rsidR="00972045" w:rsidRPr="00957D83">
        <w:rPr>
          <w:szCs w:val="24"/>
        </w:rPr>
        <w:t xml:space="preserve">of the global community </w:t>
      </w:r>
      <w:r w:rsidR="0073494E" w:rsidRPr="00957D83">
        <w:rPr>
          <w:szCs w:val="24"/>
        </w:rPr>
        <w:t xml:space="preserve">by </w:t>
      </w:r>
      <w:r w:rsidR="00972045" w:rsidRPr="00957D83">
        <w:rPr>
          <w:szCs w:val="24"/>
        </w:rPr>
        <w:t>track</w:t>
      </w:r>
      <w:r w:rsidR="0073494E" w:rsidRPr="00957D83">
        <w:rPr>
          <w:szCs w:val="24"/>
        </w:rPr>
        <w:t>ing</w:t>
      </w:r>
      <w:r w:rsidR="00972045" w:rsidRPr="00957D83">
        <w:rPr>
          <w:szCs w:val="24"/>
        </w:rPr>
        <w:t xml:space="preserve"> progress in achieving the </w:t>
      </w:r>
      <w:r w:rsidR="00957D83">
        <w:rPr>
          <w:szCs w:val="24"/>
        </w:rPr>
        <w:t>Sustainable Development Goal</w:t>
      </w:r>
      <w:r w:rsidR="00972045" w:rsidRPr="00957D83">
        <w:rPr>
          <w:szCs w:val="24"/>
        </w:rPr>
        <w:t>s</w:t>
      </w:r>
      <w:r w:rsidR="00C65F56" w:rsidRPr="00957D83">
        <w:rPr>
          <w:szCs w:val="24"/>
        </w:rPr>
        <w:t xml:space="preserve">. </w:t>
      </w:r>
      <w:r w:rsidR="00947EBF" w:rsidRPr="00957D83">
        <w:rPr>
          <w:szCs w:val="24"/>
        </w:rPr>
        <w:t>Section III discuses ongoing developments of high importance.</w:t>
      </w:r>
    </w:p>
    <w:p w14:paraId="178D1CAE" w14:textId="77777777" w:rsidR="0054083D" w:rsidRPr="00957D83" w:rsidRDefault="0054083D" w:rsidP="00227E65">
      <w:pPr>
        <w:pStyle w:val="HChG"/>
      </w:pPr>
      <w:r w:rsidRPr="00957D83">
        <w:tab/>
        <w:t>II.</w:t>
      </w:r>
      <w:r w:rsidRPr="00957D83">
        <w:tab/>
      </w:r>
      <w:r w:rsidR="00947EBF" w:rsidRPr="00957D83">
        <w:t>Three</w:t>
      </w:r>
      <w:r w:rsidR="00187EFB" w:rsidRPr="00957D83">
        <w:t xml:space="preserve"> global processes</w:t>
      </w:r>
      <w:r w:rsidR="0073494E" w:rsidRPr="00957D83">
        <w:t>/initiatives</w:t>
      </w:r>
      <w:r w:rsidR="00187EFB" w:rsidRPr="00957D83">
        <w:t xml:space="preserve"> for tracking progress in the achievement of transport-related </w:t>
      </w:r>
      <w:r w:rsidR="00626691" w:rsidRPr="00957D83">
        <w:t>Sustainable Development Goals</w:t>
      </w:r>
    </w:p>
    <w:p w14:paraId="1B91F2C4" w14:textId="5289B7FD" w:rsidR="00207D9B" w:rsidRPr="008A1135" w:rsidRDefault="00187EFB" w:rsidP="00227E65">
      <w:pPr>
        <w:pStyle w:val="SingleTxtG"/>
      </w:pPr>
      <w:r w:rsidRPr="00957D83">
        <w:t>4.</w:t>
      </w:r>
      <w:r w:rsidRPr="00957D83">
        <w:tab/>
      </w:r>
      <w:r w:rsidR="00207D9B" w:rsidRPr="00957D83">
        <w:t xml:space="preserve">Currently there are three major global processes/initiatives of tracking progress towards achieving the transport-related aspects of the </w:t>
      </w:r>
      <w:r w:rsidR="00957D83">
        <w:t>Sustainable Development Goal</w:t>
      </w:r>
      <w:r w:rsidR="00207D9B" w:rsidRPr="00957D83">
        <w:t xml:space="preserve">s and </w:t>
      </w:r>
      <w:r w:rsidR="00207D9B" w:rsidRPr="00640C82">
        <w:t>the Committee is directly involved in all three of them</w:t>
      </w:r>
      <w:r w:rsidR="00207D9B" w:rsidRPr="008A1135">
        <w:t xml:space="preserve">. </w:t>
      </w:r>
    </w:p>
    <w:p w14:paraId="491AFB7B" w14:textId="506078AB" w:rsidR="00E21DDA" w:rsidRPr="00957D83" w:rsidRDefault="00957D83" w:rsidP="0054083D">
      <w:pPr>
        <w:pStyle w:val="SingleTxtG"/>
        <w:rPr>
          <w:i/>
          <w:szCs w:val="24"/>
        </w:rPr>
      </w:pPr>
      <w:r w:rsidRPr="00341FD1">
        <w:rPr>
          <w:i/>
          <w:szCs w:val="24"/>
        </w:rPr>
        <w:t>Indicators</w:t>
      </w:r>
      <w:r w:rsidRPr="00957D83" w:rsidDel="00957D83">
        <w:rPr>
          <w:i/>
          <w:szCs w:val="24"/>
        </w:rPr>
        <w:t xml:space="preserve"> </w:t>
      </w:r>
      <w:r>
        <w:rPr>
          <w:i/>
          <w:szCs w:val="24"/>
        </w:rPr>
        <w:t>of Sustainable Development Goals</w:t>
      </w:r>
    </w:p>
    <w:p w14:paraId="2B2E72F4" w14:textId="71DAD5A0" w:rsidR="0054083D" w:rsidRPr="00957D83" w:rsidRDefault="00187EFB" w:rsidP="00227E65">
      <w:pPr>
        <w:pStyle w:val="SingleTxtG"/>
      </w:pPr>
      <w:proofErr w:type="gramStart"/>
      <w:r w:rsidRPr="00957D83">
        <w:t>5</w:t>
      </w:r>
      <w:r w:rsidR="0054083D" w:rsidRPr="00957D83">
        <w:t>.</w:t>
      </w:r>
      <w:r w:rsidR="0054083D" w:rsidRPr="00957D83">
        <w:tab/>
      </w:r>
      <w:r w:rsidR="00E21DDA" w:rsidRPr="00957D83">
        <w:t>First, t</w:t>
      </w:r>
      <w:r w:rsidR="0054083D" w:rsidRPr="00957D83">
        <w:t xml:space="preserve">he tracking of progress towards achieving the </w:t>
      </w:r>
      <w:r w:rsidR="00D448A6" w:rsidRPr="00957D83">
        <w:t xml:space="preserve">17 </w:t>
      </w:r>
      <w:r w:rsidR="00957D83">
        <w:t>Sustainable Development Goal</w:t>
      </w:r>
      <w:r w:rsidR="0054083D" w:rsidRPr="00957D83">
        <w:t>s</w:t>
      </w:r>
      <w:r w:rsidR="00D448A6" w:rsidRPr="00957D83">
        <w:t xml:space="preserve"> and relevant indicators</w:t>
      </w:r>
      <w:r w:rsidR="00207D9B" w:rsidRPr="00957D83">
        <w:t xml:space="preserve"> </w:t>
      </w:r>
      <w:r w:rsidR="0054083D" w:rsidRPr="00957D83">
        <w:t xml:space="preserve">is coordinated by </w:t>
      </w:r>
      <w:r w:rsidR="00957D83">
        <w:t xml:space="preserve">United Nations </w:t>
      </w:r>
      <w:r w:rsidR="0054083D" w:rsidRPr="00957D83">
        <w:t>D</w:t>
      </w:r>
      <w:r w:rsidR="008A1135">
        <w:t>epartment of Economic and Social Affairs (UN D</w:t>
      </w:r>
      <w:r w:rsidR="0054083D" w:rsidRPr="00957D83">
        <w:t>ESA</w:t>
      </w:r>
      <w:r w:rsidR="008A1135">
        <w:t>)</w:t>
      </w:r>
      <w:r w:rsidR="0054083D" w:rsidRPr="00957D83">
        <w:t xml:space="preserve"> as secretariat to the Inter-Agency Expert Group on the Sustainable Development Goals (IAEG-</w:t>
      </w:r>
      <w:r w:rsidR="00957D83">
        <w:t>Sustainable Development Goals</w:t>
      </w:r>
      <w:r w:rsidR="0054083D" w:rsidRPr="00957D83">
        <w:t>)</w:t>
      </w:r>
      <w:proofErr w:type="gramEnd"/>
      <w:r w:rsidR="0054083D" w:rsidRPr="00957D83">
        <w:t xml:space="preserve">. </w:t>
      </w:r>
    </w:p>
    <w:p w14:paraId="2FFCC93E" w14:textId="4FA02656" w:rsidR="008C4682" w:rsidRPr="00957D83" w:rsidRDefault="00187EFB" w:rsidP="0054083D">
      <w:pPr>
        <w:pStyle w:val="SingleTxtG"/>
        <w:rPr>
          <w:szCs w:val="24"/>
        </w:rPr>
      </w:pPr>
      <w:r w:rsidRPr="00957D83">
        <w:rPr>
          <w:szCs w:val="24"/>
        </w:rPr>
        <w:t>6</w:t>
      </w:r>
      <w:r w:rsidR="00227E65" w:rsidRPr="00957D83">
        <w:rPr>
          <w:szCs w:val="24"/>
        </w:rPr>
        <w:t>.</w:t>
      </w:r>
      <w:r w:rsidR="0054083D" w:rsidRPr="00957D83">
        <w:rPr>
          <w:szCs w:val="24"/>
        </w:rPr>
        <w:tab/>
        <w:t xml:space="preserve">Four indicators under three </w:t>
      </w:r>
      <w:r w:rsidR="00957D83">
        <w:rPr>
          <w:szCs w:val="24"/>
        </w:rPr>
        <w:t>Sustainable Development Goal</w:t>
      </w:r>
      <w:r w:rsidR="0054083D" w:rsidRPr="00957D83">
        <w:rPr>
          <w:szCs w:val="24"/>
        </w:rPr>
        <w:t xml:space="preserve">s </w:t>
      </w:r>
      <w:r w:rsidR="00CE2656" w:rsidRPr="00957D83">
        <w:rPr>
          <w:szCs w:val="24"/>
        </w:rPr>
        <w:t xml:space="preserve">(3, 9 and 11) </w:t>
      </w:r>
      <w:proofErr w:type="gramStart"/>
      <w:r w:rsidR="00CE2656" w:rsidRPr="00957D83">
        <w:rPr>
          <w:szCs w:val="24"/>
        </w:rPr>
        <w:t>are directly linked</w:t>
      </w:r>
      <w:proofErr w:type="gramEnd"/>
      <w:r w:rsidR="00CE2656" w:rsidRPr="00957D83">
        <w:rPr>
          <w:szCs w:val="24"/>
        </w:rPr>
        <w:t xml:space="preserve"> to the work of </w:t>
      </w:r>
      <w:r w:rsidR="0054083D" w:rsidRPr="00957D83">
        <w:rPr>
          <w:szCs w:val="24"/>
        </w:rPr>
        <w:t>ITC</w:t>
      </w:r>
      <w:r w:rsidR="00227E65" w:rsidRPr="00957D83">
        <w:rPr>
          <w:rStyle w:val="FootnoteReference"/>
          <w:szCs w:val="24"/>
        </w:rPr>
        <w:footnoteReference w:id="2"/>
      </w:r>
      <w:r w:rsidR="00F64356" w:rsidRPr="00957D83">
        <w:rPr>
          <w:szCs w:val="24"/>
        </w:rPr>
        <w:t>, as table 1 shows.</w:t>
      </w:r>
      <w:r w:rsidR="0054083D" w:rsidRPr="00957D83">
        <w:rPr>
          <w:szCs w:val="24"/>
        </w:rPr>
        <w:t xml:space="preserve"> The Committee contributes to the monitoring of the four indicators as a </w:t>
      </w:r>
      <w:r w:rsidR="00CE2656" w:rsidRPr="00957D83">
        <w:rPr>
          <w:i/>
          <w:szCs w:val="24"/>
        </w:rPr>
        <w:t>P</w:t>
      </w:r>
      <w:r w:rsidR="0054083D" w:rsidRPr="00957D83">
        <w:rPr>
          <w:i/>
          <w:szCs w:val="24"/>
        </w:rPr>
        <w:t xml:space="preserve">artner </w:t>
      </w:r>
      <w:r w:rsidR="00CE2656" w:rsidRPr="00957D83">
        <w:rPr>
          <w:i/>
          <w:szCs w:val="24"/>
        </w:rPr>
        <w:t>A</w:t>
      </w:r>
      <w:r w:rsidR="0054083D" w:rsidRPr="00957D83">
        <w:rPr>
          <w:i/>
          <w:szCs w:val="24"/>
        </w:rPr>
        <w:t>gency</w:t>
      </w:r>
      <w:r w:rsidR="0054083D" w:rsidRPr="00957D83">
        <w:rPr>
          <w:szCs w:val="24"/>
        </w:rPr>
        <w:t>.</w:t>
      </w:r>
    </w:p>
    <w:p w14:paraId="0FC117C2" w14:textId="77777777" w:rsidR="00947EBF" w:rsidRPr="00957D83" w:rsidRDefault="008C4682" w:rsidP="00947EBF">
      <w:pPr>
        <w:pStyle w:val="SingleTxtG"/>
        <w:rPr>
          <w:szCs w:val="24"/>
        </w:rPr>
      </w:pPr>
      <w:r w:rsidRPr="00957D83">
        <w:rPr>
          <w:szCs w:val="24"/>
        </w:rPr>
        <w:t>7.</w:t>
      </w:r>
      <w:r w:rsidRPr="00957D83">
        <w:rPr>
          <w:szCs w:val="24"/>
        </w:rPr>
        <w:tab/>
      </w:r>
      <w:r w:rsidR="00F64356" w:rsidRPr="00957D83">
        <w:rPr>
          <w:szCs w:val="24"/>
        </w:rPr>
        <w:t>For a more detailed reference to the indicators and related contributions from the Committee, see Annex I</w:t>
      </w:r>
      <w:r w:rsidR="00033CF5" w:rsidRPr="00957D83">
        <w:rPr>
          <w:szCs w:val="24"/>
        </w:rPr>
        <w:t>.</w:t>
      </w:r>
    </w:p>
    <w:p w14:paraId="7DB924D8" w14:textId="77777777" w:rsidR="00E21DDA" w:rsidRPr="00957D83" w:rsidRDefault="00E21DDA" w:rsidP="00947EBF">
      <w:pPr>
        <w:pStyle w:val="SingleTxtG"/>
        <w:rPr>
          <w:i/>
          <w:szCs w:val="24"/>
        </w:rPr>
      </w:pPr>
      <w:r w:rsidRPr="00957D83">
        <w:rPr>
          <w:i/>
          <w:szCs w:val="24"/>
        </w:rPr>
        <w:t>Sustainable Mobility for All (SUM4ALL)</w:t>
      </w:r>
    </w:p>
    <w:p w14:paraId="42C77B96" w14:textId="77777777" w:rsidR="00947EBF" w:rsidRPr="00957D83" w:rsidRDefault="00947EBF" w:rsidP="00947EBF">
      <w:pPr>
        <w:pStyle w:val="SingleTxtG"/>
        <w:rPr>
          <w:szCs w:val="24"/>
        </w:rPr>
      </w:pPr>
      <w:r w:rsidRPr="00957D83">
        <w:rPr>
          <w:szCs w:val="24"/>
        </w:rPr>
        <w:t>8.</w:t>
      </w:r>
      <w:r w:rsidRPr="00957D83">
        <w:rPr>
          <w:szCs w:val="24"/>
        </w:rPr>
        <w:tab/>
        <w:t xml:space="preserve">The </w:t>
      </w:r>
      <w:r w:rsidR="008C4682" w:rsidRPr="00957D83">
        <w:rPr>
          <w:szCs w:val="24"/>
        </w:rPr>
        <w:t>second</w:t>
      </w:r>
      <w:r w:rsidRPr="00957D83">
        <w:rPr>
          <w:szCs w:val="24"/>
        </w:rPr>
        <w:t xml:space="preserve"> </w:t>
      </w:r>
      <w:r w:rsidR="008C4682" w:rsidRPr="00957D83">
        <w:rPr>
          <w:szCs w:val="24"/>
        </w:rPr>
        <w:t xml:space="preserve">major global initiative </w:t>
      </w:r>
      <w:r w:rsidRPr="00957D83">
        <w:rPr>
          <w:szCs w:val="24"/>
        </w:rPr>
        <w:t>is the Sustainable Mobility for All (SUM4ALL) initiative, pursued by the World Bank and a number of key partners, involving among other things the development of a Global Tracking Framework</w:t>
      </w:r>
      <w:r w:rsidR="00EC626D" w:rsidRPr="00957D83">
        <w:rPr>
          <w:szCs w:val="24"/>
        </w:rPr>
        <w:t>.</w:t>
      </w:r>
    </w:p>
    <w:p w14:paraId="79DD12EA" w14:textId="4112D6E3" w:rsidR="00947EBF" w:rsidRPr="00957D83" w:rsidRDefault="00947EBF" w:rsidP="00947EBF">
      <w:pPr>
        <w:pStyle w:val="SingleTxtG"/>
        <w:rPr>
          <w:szCs w:val="24"/>
        </w:rPr>
      </w:pPr>
      <w:r w:rsidRPr="00957D83">
        <w:rPr>
          <w:szCs w:val="24"/>
        </w:rPr>
        <w:lastRenderedPageBreak/>
        <w:t>9.</w:t>
      </w:r>
      <w:r w:rsidRPr="00957D83">
        <w:rPr>
          <w:szCs w:val="24"/>
        </w:rPr>
        <w:tab/>
        <w:t xml:space="preserve">The goal of SUM4ALL is to support </w:t>
      </w:r>
      <w:r w:rsidR="008F6A09">
        <w:rPr>
          <w:szCs w:val="24"/>
        </w:rPr>
        <w:t xml:space="preserve">the </w:t>
      </w:r>
      <w:r w:rsidR="008F6A09" w:rsidRPr="00957D83">
        <w:rPr>
          <w:szCs w:val="24"/>
        </w:rPr>
        <w:t>achiev</w:t>
      </w:r>
      <w:r w:rsidR="008F6A09">
        <w:rPr>
          <w:szCs w:val="24"/>
        </w:rPr>
        <w:t>ement of</w:t>
      </w:r>
      <w:r w:rsidR="008F6A09" w:rsidRPr="00957D83">
        <w:rPr>
          <w:szCs w:val="24"/>
        </w:rPr>
        <w:t xml:space="preserve"> transport</w:t>
      </w:r>
      <w:r w:rsidR="008F6A09">
        <w:rPr>
          <w:szCs w:val="24"/>
        </w:rPr>
        <w:t>-</w:t>
      </w:r>
      <w:r w:rsidRPr="00957D83">
        <w:rPr>
          <w:szCs w:val="24"/>
        </w:rPr>
        <w:t xml:space="preserve">related </w:t>
      </w:r>
      <w:r w:rsidR="00957D83">
        <w:rPr>
          <w:szCs w:val="24"/>
        </w:rPr>
        <w:t>Sustainable Development Goal</w:t>
      </w:r>
      <w:r w:rsidRPr="00957D83">
        <w:rPr>
          <w:szCs w:val="24"/>
        </w:rPr>
        <w:t xml:space="preserve">s and keep track of progress towards these goals. Its focus is on four pillars that define sustainable mobility under SUM4ALL: universal access, efficiency, safety, </w:t>
      </w:r>
      <w:proofErr w:type="gramStart"/>
      <w:r w:rsidRPr="00957D83">
        <w:rPr>
          <w:szCs w:val="24"/>
        </w:rPr>
        <w:t>greening</w:t>
      </w:r>
      <w:proofErr w:type="gramEnd"/>
      <w:r w:rsidRPr="00957D83">
        <w:rPr>
          <w:szCs w:val="24"/>
        </w:rPr>
        <w:t xml:space="preserve">. </w:t>
      </w:r>
      <w:r w:rsidR="00626691" w:rsidRPr="00957D83">
        <w:rPr>
          <w:szCs w:val="24"/>
        </w:rPr>
        <w:t>T</w:t>
      </w:r>
      <w:r w:rsidR="00626691" w:rsidRPr="00957D83">
        <w:t xml:space="preserve">he Economic Commission for Europe (ECE) </w:t>
      </w:r>
      <w:r w:rsidR="00F53C08" w:rsidRPr="00957D83">
        <w:rPr>
          <w:szCs w:val="24"/>
        </w:rPr>
        <w:t>is directly involved with SUM4ALL as convener of the efficiency pillar.</w:t>
      </w:r>
    </w:p>
    <w:p w14:paraId="312B8AA7" w14:textId="184E7FDC" w:rsidR="00947EBF" w:rsidRPr="00957D83" w:rsidRDefault="00947EBF" w:rsidP="00947EBF">
      <w:pPr>
        <w:pStyle w:val="SingleTxtG"/>
        <w:rPr>
          <w:szCs w:val="24"/>
        </w:rPr>
      </w:pPr>
      <w:r w:rsidRPr="00957D83">
        <w:rPr>
          <w:szCs w:val="24"/>
        </w:rPr>
        <w:t>10.</w:t>
      </w:r>
      <w:r w:rsidRPr="00957D83">
        <w:rPr>
          <w:szCs w:val="24"/>
        </w:rPr>
        <w:tab/>
        <w:t xml:space="preserve">Among the completed activities of the initiative is the first Global Mobility Report (GMR) prepared with contributions from </w:t>
      </w:r>
      <w:r w:rsidR="008F6A09">
        <w:rPr>
          <w:szCs w:val="24"/>
        </w:rPr>
        <w:t>ECE</w:t>
      </w:r>
      <w:r w:rsidRPr="00957D83">
        <w:rPr>
          <w:szCs w:val="24"/>
        </w:rPr>
        <w:t xml:space="preserve"> under the chapter on efficiency (</w:t>
      </w:r>
      <w:r w:rsidR="008F6A09">
        <w:rPr>
          <w:szCs w:val="24"/>
        </w:rPr>
        <w:t>ECE</w:t>
      </w:r>
      <w:r w:rsidRPr="00957D83">
        <w:rPr>
          <w:szCs w:val="24"/>
        </w:rPr>
        <w:t>-Convener).</w:t>
      </w:r>
    </w:p>
    <w:p w14:paraId="6E72F504" w14:textId="77777777" w:rsidR="00E21DDA" w:rsidRPr="00957D83" w:rsidRDefault="00E21DDA" w:rsidP="00947EBF">
      <w:pPr>
        <w:pStyle w:val="SingleTxtG"/>
        <w:rPr>
          <w:i/>
          <w:szCs w:val="24"/>
        </w:rPr>
      </w:pPr>
      <w:r w:rsidRPr="00957D83">
        <w:rPr>
          <w:i/>
          <w:szCs w:val="24"/>
        </w:rPr>
        <w:t xml:space="preserve">Voluntary global performance </w:t>
      </w:r>
      <w:r w:rsidR="004D678D" w:rsidRPr="00957D83">
        <w:rPr>
          <w:i/>
          <w:szCs w:val="24"/>
        </w:rPr>
        <w:t xml:space="preserve">targets and </w:t>
      </w:r>
      <w:r w:rsidRPr="00957D83">
        <w:rPr>
          <w:i/>
          <w:szCs w:val="24"/>
        </w:rPr>
        <w:t>indicators on road safety</w:t>
      </w:r>
    </w:p>
    <w:p w14:paraId="4B2E9E2D" w14:textId="62AD3374" w:rsidR="00F53C08" w:rsidRPr="00957D83" w:rsidRDefault="00F53C08" w:rsidP="00F53C08">
      <w:pPr>
        <w:pStyle w:val="SingleTxtG"/>
        <w:rPr>
          <w:szCs w:val="24"/>
        </w:rPr>
      </w:pPr>
      <w:r w:rsidRPr="00957D83">
        <w:rPr>
          <w:szCs w:val="24"/>
        </w:rPr>
        <w:t>11.</w:t>
      </w:r>
      <w:r w:rsidRPr="00957D83">
        <w:rPr>
          <w:szCs w:val="24"/>
        </w:rPr>
        <w:tab/>
        <w:t xml:space="preserve">The </w:t>
      </w:r>
      <w:r w:rsidR="008C4682" w:rsidRPr="00957D83">
        <w:rPr>
          <w:szCs w:val="24"/>
        </w:rPr>
        <w:t>third</w:t>
      </w:r>
      <w:r w:rsidRPr="00957D83">
        <w:rPr>
          <w:szCs w:val="24"/>
        </w:rPr>
        <w:t xml:space="preserve"> initiative is the development and monitoring of voluntary global performance </w:t>
      </w:r>
      <w:r w:rsidR="008C4682" w:rsidRPr="00957D83">
        <w:rPr>
          <w:szCs w:val="24"/>
        </w:rPr>
        <w:t xml:space="preserve">targets and </w:t>
      </w:r>
      <w:r w:rsidRPr="00957D83">
        <w:rPr>
          <w:szCs w:val="24"/>
        </w:rPr>
        <w:t xml:space="preserve">indicators on road safety. In recognition of the scale of the road safety crisis, in 2011 the United Nations declared a Decade of Action for Road Safety, with the aim of reducing the number of global road traffic deaths. In September 2015, the </w:t>
      </w:r>
      <w:r w:rsidR="00EC626D" w:rsidRPr="00957D83">
        <w:rPr>
          <w:szCs w:val="24"/>
        </w:rPr>
        <w:t xml:space="preserve">ambitious </w:t>
      </w:r>
      <w:r w:rsidRPr="00957D83">
        <w:rPr>
          <w:szCs w:val="24"/>
        </w:rPr>
        <w:t>global</w:t>
      </w:r>
      <w:r w:rsidR="00F91C67" w:rsidRPr="00957D83">
        <w:rPr>
          <w:szCs w:val="24"/>
        </w:rPr>
        <w:t xml:space="preserve"> </w:t>
      </w:r>
      <w:r w:rsidRPr="00957D83">
        <w:rPr>
          <w:szCs w:val="24"/>
        </w:rPr>
        <w:t>targets of the U</w:t>
      </w:r>
      <w:r w:rsidR="00626691" w:rsidRPr="00957D83">
        <w:rPr>
          <w:szCs w:val="24"/>
        </w:rPr>
        <w:t xml:space="preserve">nited </w:t>
      </w:r>
      <w:r w:rsidRPr="00957D83">
        <w:rPr>
          <w:szCs w:val="24"/>
        </w:rPr>
        <w:t>N</w:t>
      </w:r>
      <w:r w:rsidR="00626691" w:rsidRPr="00957D83">
        <w:rPr>
          <w:szCs w:val="24"/>
        </w:rPr>
        <w:t>ations</w:t>
      </w:r>
      <w:r w:rsidRPr="00957D83">
        <w:rPr>
          <w:szCs w:val="24"/>
        </w:rPr>
        <w:t xml:space="preserve"> Decade of Action </w:t>
      </w:r>
      <w:proofErr w:type="gramStart"/>
      <w:r w:rsidRPr="00957D83">
        <w:rPr>
          <w:szCs w:val="24"/>
        </w:rPr>
        <w:t>were further reinforced</w:t>
      </w:r>
      <w:proofErr w:type="gramEnd"/>
      <w:r w:rsidRPr="00957D83">
        <w:rPr>
          <w:szCs w:val="24"/>
        </w:rPr>
        <w:t xml:space="preserve"> with the Sustainable Development </w:t>
      </w:r>
      <w:r w:rsidR="008F6A09">
        <w:rPr>
          <w:szCs w:val="24"/>
        </w:rPr>
        <w:t>target</w:t>
      </w:r>
      <w:r w:rsidR="008F6A09" w:rsidRPr="00957D83">
        <w:rPr>
          <w:szCs w:val="24"/>
        </w:rPr>
        <w:t xml:space="preserve">s </w:t>
      </w:r>
      <w:r w:rsidRPr="00957D83">
        <w:rPr>
          <w:szCs w:val="24"/>
        </w:rPr>
        <w:t xml:space="preserve">3.6 and 11.2. The process of developing voluntary global performance targets on road safety aims to complement the relevant </w:t>
      </w:r>
      <w:r w:rsidR="00957D83">
        <w:rPr>
          <w:szCs w:val="24"/>
        </w:rPr>
        <w:t>Sustainable Development Goal</w:t>
      </w:r>
      <w:r w:rsidRPr="00957D83">
        <w:rPr>
          <w:szCs w:val="24"/>
        </w:rPr>
        <w:t xml:space="preserve"> targets. </w:t>
      </w:r>
      <w:r w:rsidR="008F6A09">
        <w:rPr>
          <w:szCs w:val="24"/>
        </w:rPr>
        <w:t>ECE</w:t>
      </w:r>
      <w:r w:rsidRPr="00957D83">
        <w:rPr>
          <w:szCs w:val="24"/>
        </w:rPr>
        <w:t xml:space="preserve"> is actively participating in the formulation and monitoring of these targets.</w:t>
      </w:r>
    </w:p>
    <w:p w14:paraId="56770AC6" w14:textId="77777777" w:rsidR="00307E78" w:rsidRPr="00957D83" w:rsidRDefault="008A2D73" w:rsidP="00307E78">
      <w:pPr>
        <w:pStyle w:val="Heading1"/>
      </w:pPr>
      <w:r w:rsidRPr="00957D83">
        <w:t>Table 1</w:t>
      </w:r>
    </w:p>
    <w:p w14:paraId="2FE53362" w14:textId="299BE021" w:rsidR="008A2D73" w:rsidRPr="00957D83" w:rsidRDefault="00947EBF" w:rsidP="0054083D">
      <w:pPr>
        <w:pStyle w:val="SingleTxtG"/>
        <w:rPr>
          <w:b/>
        </w:rPr>
      </w:pPr>
      <w:r w:rsidRPr="00957D83">
        <w:rPr>
          <w:b/>
        </w:rPr>
        <w:t xml:space="preserve">Transport-related </w:t>
      </w:r>
      <w:r w:rsidR="00957D83">
        <w:rPr>
          <w:b/>
        </w:rPr>
        <w:t>Sustainable Development Goal</w:t>
      </w:r>
      <w:r w:rsidRPr="00957D83">
        <w:rPr>
          <w:b/>
        </w:rPr>
        <w:t xml:space="preserve"> indicators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5C1F02" w:rsidRPr="00957D83" w14:paraId="68BA549A" w14:textId="77777777" w:rsidTr="005C1F02">
        <w:trPr>
          <w:tblHeader/>
        </w:trPr>
        <w:tc>
          <w:tcPr>
            <w:tcW w:w="7370" w:type="dxa"/>
            <w:tcBorders>
              <w:top w:val="single" w:sz="4" w:space="0" w:color="auto"/>
              <w:bottom w:val="single" w:sz="12" w:space="0" w:color="auto"/>
            </w:tcBorders>
            <w:shd w:val="clear" w:color="auto" w:fill="auto"/>
            <w:vAlign w:val="bottom"/>
          </w:tcPr>
          <w:p w14:paraId="06F10E32" w14:textId="5BF2168C" w:rsidR="005C1F02" w:rsidRPr="00957D83" w:rsidRDefault="005C1F02" w:rsidP="005C1F02">
            <w:pPr>
              <w:suppressAutoHyphens w:val="0"/>
              <w:spacing w:before="80" w:after="80" w:line="200" w:lineRule="exact"/>
              <w:ind w:right="113"/>
              <w:rPr>
                <w:i/>
                <w:sz w:val="16"/>
              </w:rPr>
            </w:pPr>
            <w:r w:rsidRPr="00957D83">
              <w:rPr>
                <w:i/>
                <w:sz w:val="16"/>
              </w:rPr>
              <w:t xml:space="preserve">Transport-related </w:t>
            </w:r>
            <w:r w:rsidR="00957D83">
              <w:rPr>
                <w:i/>
                <w:sz w:val="16"/>
              </w:rPr>
              <w:t>Sustainable Development Goal</w:t>
            </w:r>
            <w:r w:rsidRPr="00957D83">
              <w:rPr>
                <w:i/>
                <w:sz w:val="16"/>
              </w:rPr>
              <w:t xml:space="preserve"> indicators</w:t>
            </w:r>
          </w:p>
        </w:tc>
      </w:tr>
      <w:tr w:rsidR="00CE2656" w:rsidRPr="00957D83" w14:paraId="346D526D" w14:textId="77777777" w:rsidTr="005C1F02">
        <w:tc>
          <w:tcPr>
            <w:tcW w:w="7370" w:type="dxa"/>
            <w:tcBorders>
              <w:top w:val="single" w:sz="12" w:space="0" w:color="auto"/>
            </w:tcBorders>
            <w:shd w:val="clear" w:color="auto" w:fill="auto"/>
          </w:tcPr>
          <w:p w14:paraId="4F4C79E0" w14:textId="77777777" w:rsidR="00D448A6" w:rsidRPr="00957D83" w:rsidRDefault="00D448A6" w:rsidP="005C1F02">
            <w:pPr>
              <w:suppressAutoHyphens w:val="0"/>
              <w:spacing w:before="40" w:after="120" w:line="220" w:lineRule="exact"/>
              <w:ind w:right="113"/>
              <w:rPr>
                <w:b/>
              </w:rPr>
            </w:pPr>
            <w:r w:rsidRPr="00957D83">
              <w:rPr>
                <w:b/>
                <w:i/>
              </w:rPr>
              <w:t>Indicator 3.6.1</w:t>
            </w:r>
            <w:r w:rsidRPr="00957D83">
              <w:rPr>
                <w:b/>
              </w:rPr>
              <w:t>: Death rate due to road traffic injuries</w:t>
            </w:r>
          </w:p>
          <w:p w14:paraId="43EC6FB9" w14:textId="77777777" w:rsidR="00D448A6" w:rsidRPr="00957D83" w:rsidRDefault="00D448A6" w:rsidP="005C1F02">
            <w:pPr>
              <w:suppressAutoHyphens w:val="0"/>
              <w:spacing w:before="40" w:after="120" w:line="220" w:lineRule="exact"/>
              <w:ind w:right="113"/>
              <w:rPr>
                <w:u w:val="single"/>
              </w:rPr>
            </w:pPr>
            <w:r w:rsidRPr="00957D83">
              <w:rPr>
                <w:i/>
              </w:rPr>
              <w:t>Possible Custodian Agency:</w:t>
            </w:r>
            <w:r w:rsidRPr="00957D83">
              <w:t xml:space="preserve"> World Health Organization (WHO)</w:t>
            </w:r>
          </w:p>
          <w:p w14:paraId="6086F4E1" w14:textId="7157DA6A" w:rsidR="00CE2656" w:rsidRPr="00957D83" w:rsidRDefault="00D448A6" w:rsidP="005C1F02">
            <w:pPr>
              <w:suppressAutoHyphens w:val="0"/>
              <w:spacing w:before="40" w:after="120" w:line="220" w:lineRule="exact"/>
              <w:ind w:right="113"/>
            </w:pPr>
            <w:r w:rsidRPr="00957D83">
              <w:rPr>
                <w:i/>
              </w:rPr>
              <w:t>Partner Agencies:</w:t>
            </w:r>
            <w:r w:rsidRPr="00957D83">
              <w:t xml:space="preserve"> </w:t>
            </w:r>
            <w:r w:rsidR="008F6A09">
              <w:t>ECE</w:t>
            </w:r>
            <w:r w:rsidRPr="00957D83">
              <w:rPr>
                <w:b/>
              </w:rPr>
              <w:t xml:space="preserve"> </w:t>
            </w:r>
          </w:p>
        </w:tc>
      </w:tr>
      <w:tr w:rsidR="008A2D73" w:rsidRPr="00957D83" w14:paraId="3B014E17" w14:textId="77777777" w:rsidTr="005C1F02">
        <w:tc>
          <w:tcPr>
            <w:tcW w:w="7370" w:type="dxa"/>
            <w:shd w:val="clear" w:color="auto" w:fill="auto"/>
          </w:tcPr>
          <w:p w14:paraId="60FFEEA5" w14:textId="77777777" w:rsidR="00D448A6" w:rsidRPr="00957D83" w:rsidRDefault="00D448A6" w:rsidP="005C1F02">
            <w:pPr>
              <w:suppressAutoHyphens w:val="0"/>
              <w:spacing w:before="40" w:after="120" w:line="220" w:lineRule="exact"/>
              <w:ind w:right="113"/>
              <w:rPr>
                <w:b/>
              </w:rPr>
            </w:pPr>
            <w:r w:rsidRPr="00957D83">
              <w:rPr>
                <w:b/>
                <w:i/>
              </w:rPr>
              <w:t>Indicator 9.1.1</w:t>
            </w:r>
            <w:r w:rsidRPr="00957D83">
              <w:rPr>
                <w:b/>
              </w:rPr>
              <w:t>: Proportion of the rural population who live within 2 km of an all season road</w:t>
            </w:r>
          </w:p>
          <w:p w14:paraId="557321FB" w14:textId="77777777" w:rsidR="00D448A6" w:rsidRPr="00957D83" w:rsidRDefault="00D448A6" w:rsidP="005C1F02">
            <w:pPr>
              <w:suppressAutoHyphens w:val="0"/>
              <w:spacing w:before="40" w:after="120" w:line="220" w:lineRule="exact"/>
              <w:ind w:right="113"/>
              <w:rPr>
                <w:u w:val="single"/>
              </w:rPr>
            </w:pPr>
            <w:r w:rsidRPr="00957D83">
              <w:rPr>
                <w:i/>
              </w:rPr>
              <w:t>Possible Custodian Agency:</w:t>
            </w:r>
            <w:r w:rsidRPr="00957D83">
              <w:t xml:space="preserve"> World Bank</w:t>
            </w:r>
          </w:p>
          <w:p w14:paraId="3CEB858E" w14:textId="52630161" w:rsidR="008A2D73" w:rsidRPr="00957D83" w:rsidRDefault="00D448A6" w:rsidP="005C1F02">
            <w:pPr>
              <w:suppressAutoHyphens w:val="0"/>
              <w:spacing w:before="40" w:after="120" w:line="220" w:lineRule="exact"/>
              <w:ind w:right="113"/>
            </w:pPr>
            <w:r w:rsidRPr="00957D83">
              <w:rPr>
                <w:i/>
              </w:rPr>
              <w:t>Partner Agencies:</w:t>
            </w:r>
            <w:r w:rsidRPr="00957D83">
              <w:t xml:space="preserve"> </w:t>
            </w:r>
            <w:r w:rsidR="008F6A09">
              <w:t>ECE</w:t>
            </w:r>
            <w:r w:rsidRPr="00957D83">
              <w:t xml:space="preserve">; United Nations Environment Programme (UNEP) </w:t>
            </w:r>
          </w:p>
          <w:p w14:paraId="326F7D97" w14:textId="77777777" w:rsidR="00D448A6" w:rsidRPr="00957D83" w:rsidRDefault="00D448A6" w:rsidP="005C1F02">
            <w:pPr>
              <w:suppressAutoHyphens w:val="0"/>
              <w:spacing w:before="40" w:after="120" w:line="220" w:lineRule="exact"/>
              <w:ind w:right="113"/>
              <w:rPr>
                <w:b/>
              </w:rPr>
            </w:pPr>
            <w:r w:rsidRPr="00957D83">
              <w:rPr>
                <w:b/>
                <w:i/>
              </w:rPr>
              <w:t>Indicator 9.1.2</w:t>
            </w:r>
            <w:r w:rsidRPr="00957D83">
              <w:rPr>
                <w:b/>
              </w:rPr>
              <w:t>: Passenger and freight volumes</w:t>
            </w:r>
          </w:p>
          <w:p w14:paraId="7A31DDFF" w14:textId="0AC055DB" w:rsidR="00D448A6" w:rsidRPr="00957D83" w:rsidRDefault="00D448A6" w:rsidP="002F5581">
            <w:pPr>
              <w:suppressAutoHyphens w:val="0"/>
              <w:spacing w:after="120" w:line="220" w:lineRule="exact"/>
              <w:ind w:right="113"/>
            </w:pPr>
            <w:r w:rsidRPr="00957D83">
              <w:rPr>
                <w:i/>
              </w:rPr>
              <w:t>Possible Custodian Agency:</w:t>
            </w:r>
            <w:r w:rsidRPr="00957D83">
              <w:t xml:space="preserve"> International Civil Aviation Organization (ICAO); </w:t>
            </w:r>
            <w:r w:rsidR="002F5581" w:rsidRPr="00957D83">
              <w:rPr>
                <w:rStyle w:val="SingleTxtGChar"/>
              </w:rPr>
              <w:t>International Transport Forum - Organi</w:t>
            </w:r>
            <w:r w:rsidR="008F6A09">
              <w:rPr>
                <w:rStyle w:val="SingleTxtGChar"/>
              </w:rPr>
              <w:t>z</w:t>
            </w:r>
            <w:r w:rsidR="002F5581" w:rsidRPr="00957D83">
              <w:rPr>
                <w:rStyle w:val="SingleTxtGChar"/>
              </w:rPr>
              <w:t>ation for Economic Cooperation and Development (ITF-OECD)</w:t>
            </w:r>
            <w:r w:rsidR="002F5581" w:rsidRPr="00957D83">
              <w:t xml:space="preserve"> </w:t>
            </w:r>
          </w:p>
          <w:p w14:paraId="661E7F2A" w14:textId="0FAA68BC" w:rsidR="00D448A6" w:rsidRPr="00957D83" w:rsidRDefault="00D448A6" w:rsidP="005C1F02">
            <w:pPr>
              <w:suppressAutoHyphens w:val="0"/>
              <w:spacing w:before="40" w:after="120" w:line="220" w:lineRule="exact"/>
              <w:ind w:right="113"/>
            </w:pPr>
            <w:r w:rsidRPr="00957D83">
              <w:rPr>
                <w:i/>
              </w:rPr>
              <w:t>Partner Agencies:</w:t>
            </w:r>
            <w:r w:rsidRPr="00957D83">
              <w:t xml:space="preserve"> </w:t>
            </w:r>
            <w:r w:rsidR="008F6A09">
              <w:t>ECE</w:t>
            </w:r>
            <w:r w:rsidRPr="00957D83">
              <w:t>, Universal Postal Union (UPU), UNEP</w:t>
            </w:r>
          </w:p>
        </w:tc>
      </w:tr>
      <w:tr w:rsidR="005C1F02" w:rsidRPr="00957D83" w14:paraId="4A4587A1" w14:textId="77777777" w:rsidTr="005C1F02">
        <w:trPr>
          <w:trHeight w:val="1547"/>
        </w:trPr>
        <w:tc>
          <w:tcPr>
            <w:tcW w:w="7370" w:type="dxa"/>
            <w:shd w:val="clear" w:color="auto" w:fill="auto"/>
          </w:tcPr>
          <w:p w14:paraId="3C1DAE69" w14:textId="77777777" w:rsidR="005C1F02" w:rsidRPr="00957D83" w:rsidRDefault="005C1F02" w:rsidP="005C1F02">
            <w:pPr>
              <w:suppressAutoHyphens w:val="0"/>
              <w:spacing w:before="40" w:after="120" w:line="220" w:lineRule="exact"/>
              <w:ind w:right="113"/>
              <w:rPr>
                <w:b/>
              </w:rPr>
            </w:pPr>
            <w:r w:rsidRPr="00957D83">
              <w:rPr>
                <w:b/>
                <w:i/>
              </w:rPr>
              <w:t>Indicator 11.2.1</w:t>
            </w:r>
            <w:r w:rsidRPr="00957D83">
              <w:rPr>
                <w:b/>
              </w:rPr>
              <w:t>: Proportion of population that has convenient access to public transport, by sex, age and persons with disabilities</w:t>
            </w:r>
          </w:p>
          <w:p w14:paraId="59B8B4C1" w14:textId="77777777" w:rsidR="005C1F02" w:rsidRPr="00957D83" w:rsidRDefault="005C1F02" w:rsidP="005C1F02">
            <w:pPr>
              <w:suppressAutoHyphens w:val="0"/>
              <w:spacing w:before="40" w:after="120" w:line="220" w:lineRule="exact"/>
              <w:ind w:right="113"/>
              <w:rPr>
                <w:u w:val="single"/>
              </w:rPr>
            </w:pPr>
            <w:r w:rsidRPr="00957D83">
              <w:rPr>
                <w:i/>
              </w:rPr>
              <w:t xml:space="preserve">Possible Custodian Agency: </w:t>
            </w:r>
            <w:r w:rsidRPr="00957D83">
              <w:t>United Nations Human Settlements Programme (UN-HABITAT)</w:t>
            </w:r>
          </w:p>
          <w:p w14:paraId="1DFB3C50" w14:textId="1780B44A" w:rsidR="005C1F02" w:rsidRPr="00957D83" w:rsidRDefault="005C1F02" w:rsidP="005C1F02">
            <w:pPr>
              <w:suppressAutoHyphens w:val="0"/>
              <w:spacing w:before="40" w:after="120" w:line="220" w:lineRule="exact"/>
              <w:ind w:right="113"/>
            </w:pPr>
            <w:r w:rsidRPr="00957D83">
              <w:rPr>
                <w:i/>
              </w:rPr>
              <w:t>Partner Agencies:</w:t>
            </w:r>
            <w:r w:rsidRPr="00957D83">
              <w:t xml:space="preserve"> </w:t>
            </w:r>
            <w:r w:rsidR="008F6A09">
              <w:t>ECE</w:t>
            </w:r>
            <w:r w:rsidRPr="00957D83">
              <w:t>; UNEP</w:t>
            </w:r>
          </w:p>
        </w:tc>
      </w:tr>
    </w:tbl>
    <w:p w14:paraId="6870F8AA" w14:textId="3F913301" w:rsidR="00F54072" w:rsidRPr="00957D83" w:rsidRDefault="00F54072" w:rsidP="00F54072">
      <w:pPr>
        <w:pStyle w:val="HChG"/>
      </w:pPr>
      <w:r w:rsidRPr="00957D83">
        <w:tab/>
        <w:t>III.</w:t>
      </w:r>
      <w:r w:rsidRPr="00957D83">
        <w:tab/>
      </w:r>
      <w:r w:rsidR="00033CF5" w:rsidRPr="00957D83">
        <w:t xml:space="preserve">“Fit for purpose”: </w:t>
      </w:r>
      <w:r w:rsidRPr="00957D83">
        <w:t>A call to reposition the U</w:t>
      </w:r>
      <w:r w:rsidR="00626691" w:rsidRPr="00957D83">
        <w:t xml:space="preserve">nited </w:t>
      </w:r>
      <w:r w:rsidRPr="00957D83">
        <w:t>N</w:t>
      </w:r>
      <w:r w:rsidR="00626691" w:rsidRPr="00957D83">
        <w:t>ations</w:t>
      </w:r>
      <w:r w:rsidRPr="00957D83">
        <w:t xml:space="preserve"> </w:t>
      </w:r>
      <w:r w:rsidR="008F6A09">
        <w:t>d</w:t>
      </w:r>
      <w:r w:rsidRPr="00957D83">
        <w:t>evelopment system</w:t>
      </w:r>
    </w:p>
    <w:p w14:paraId="51006F0B" w14:textId="3C1BA460" w:rsidR="00F54072" w:rsidRPr="00957D83" w:rsidRDefault="00187EFB" w:rsidP="00F54072">
      <w:pPr>
        <w:pStyle w:val="SingleTxtG"/>
        <w:rPr>
          <w:szCs w:val="24"/>
        </w:rPr>
      </w:pPr>
      <w:r w:rsidRPr="00957D83">
        <w:rPr>
          <w:szCs w:val="24"/>
        </w:rPr>
        <w:t>1</w:t>
      </w:r>
      <w:r w:rsidR="00F54072" w:rsidRPr="00957D83">
        <w:rPr>
          <w:szCs w:val="24"/>
        </w:rPr>
        <w:t>2.</w:t>
      </w:r>
      <w:r w:rsidR="00F54072" w:rsidRPr="00957D83">
        <w:rPr>
          <w:szCs w:val="24"/>
        </w:rPr>
        <w:tab/>
      </w:r>
      <w:r w:rsidR="00F53C08" w:rsidRPr="00957D83">
        <w:rPr>
          <w:szCs w:val="24"/>
        </w:rPr>
        <w:t xml:space="preserve">The scale and ambition of the 2030 Agenda suggests that the </w:t>
      </w:r>
      <w:r w:rsidR="00957D83">
        <w:rPr>
          <w:szCs w:val="24"/>
        </w:rPr>
        <w:t xml:space="preserve">United Nations </w:t>
      </w:r>
      <w:r w:rsidR="008F6A09">
        <w:rPr>
          <w:szCs w:val="24"/>
        </w:rPr>
        <w:t>d</w:t>
      </w:r>
      <w:r w:rsidR="00F53C08" w:rsidRPr="00957D83">
        <w:rPr>
          <w:szCs w:val="24"/>
        </w:rPr>
        <w:t xml:space="preserve">evelopment system needs to adapt to the circumstances with a sense of purpose in order to </w:t>
      </w:r>
      <w:r w:rsidR="00F53C08" w:rsidRPr="00957D83">
        <w:rPr>
          <w:szCs w:val="24"/>
        </w:rPr>
        <w:lastRenderedPageBreak/>
        <w:t>become “fit for purpose” in delivering the desired results and supporting Member States in their efforts. To underline this, o</w:t>
      </w:r>
      <w:r w:rsidR="00F54072" w:rsidRPr="00957D83">
        <w:rPr>
          <w:szCs w:val="24"/>
        </w:rPr>
        <w:t xml:space="preserve">n 30 June 2017 the Secretary-General released his report “Repositioning the </w:t>
      </w:r>
      <w:r w:rsidR="00957D83">
        <w:rPr>
          <w:szCs w:val="24"/>
        </w:rPr>
        <w:t xml:space="preserve">United Nations </w:t>
      </w:r>
      <w:r w:rsidR="00F54072" w:rsidRPr="00957D83">
        <w:rPr>
          <w:szCs w:val="24"/>
        </w:rPr>
        <w:t>development system to deliver on the 2030 Agenda</w:t>
      </w:r>
      <w:r w:rsidR="00626691" w:rsidRPr="00957D83">
        <w:rPr>
          <w:szCs w:val="24"/>
        </w:rPr>
        <w:t xml:space="preserve"> </w:t>
      </w:r>
      <w:r w:rsidR="00F54072" w:rsidRPr="00957D83">
        <w:rPr>
          <w:szCs w:val="24"/>
        </w:rPr>
        <w:t>- Ensuring a Better Future for All” (A/72/124</w:t>
      </w:r>
      <w:r w:rsidR="00F91C67" w:rsidRPr="00957D83">
        <w:rPr>
          <w:szCs w:val="24"/>
        </w:rPr>
        <w:t>-</w:t>
      </w:r>
      <w:r w:rsidR="00F54072" w:rsidRPr="00957D83">
        <w:rPr>
          <w:szCs w:val="24"/>
        </w:rPr>
        <w:t>E/2018/3)</w:t>
      </w:r>
      <w:r w:rsidR="00033CF5" w:rsidRPr="00957D83">
        <w:rPr>
          <w:szCs w:val="24"/>
        </w:rPr>
        <w:t xml:space="preserve"> to</w:t>
      </w:r>
      <w:r w:rsidR="00F54072" w:rsidRPr="00957D83">
        <w:rPr>
          <w:szCs w:val="24"/>
        </w:rPr>
        <w:t xml:space="preserve"> be followed by a second one in December 2017 with more concrete reform proposals. In preparation for this report, Dalberg, an international consultancy, prepared a document on the system-wide functions and capacities of the </w:t>
      </w:r>
      <w:r w:rsidR="00957D83">
        <w:rPr>
          <w:szCs w:val="24"/>
        </w:rPr>
        <w:t xml:space="preserve">United Nations </w:t>
      </w:r>
      <w:r w:rsidR="00F54072" w:rsidRPr="00957D83">
        <w:rPr>
          <w:szCs w:val="24"/>
        </w:rPr>
        <w:t>development system</w:t>
      </w:r>
      <w:r w:rsidR="008F6A09" w:rsidRPr="00341FD1">
        <w:rPr>
          <w:szCs w:val="24"/>
        </w:rPr>
        <w:t>.</w:t>
      </w:r>
      <w:r w:rsidR="00EC626D" w:rsidRPr="00957D83">
        <w:rPr>
          <w:rStyle w:val="FootnoteReference"/>
          <w:szCs w:val="24"/>
        </w:rPr>
        <w:footnoteReference w:id="3"/>
      </w:r>
    </w:p>
    <w:p w14:paraId="18B0D84F" w14:textId="0B7DD8CF" w:rsidR="00F54072" w:rsidRPr="00957D83" w:rsidRDefault="00187EFB" w:rsidP="00F54072">
      <w:pPr>
        <w:pStyle w:val="SingleTxtG"/>
        <w:rPr>
          <w:szCs w:val="24"/>
        </w:rPr>
      </w:pPr>
      <w:r w:rsidRPr="00957D83">
        <w:rPr>
          <w:szCs w:val="24"/>
        </w:rPr>
        <w:t>1</w:t>
      </w:r>
      <w:r w:rsidR="00F54072" w:rsidRPr="00957D83">
        <w:rPr>
          <w:szCs w:val="24"/>
        </w:rPr>
        <w:t>3.</w:t>
      </w:r>
      <w:r w:rsidR="00F54072" w:rsidRPr="00957D83">
        <w:rPr>
          <w:szCs w:val="24"/>
        </w:rPr>
        <w:tab/>
        <w:t>At the centr</w:t>
      </w:r>
      <w:r w:rsidR="008F6A09">
        <w:rPr>
          <w:szCs w:val="24"/>
        </w:rPr>
        <w:t>e</w:t>
      </w:r>
      <w:r w:rsidR="00F54072" w:rsidRPr="00957D83">
        <w:rPr>
          <w:szCs w:val="24"/>
        </w:rPr>
        <w:t xml:space="preserve"> of the Secretary-General’s vision </w:t>
      </w:r>
      <w:proofErr w:type="gramStart"/>
      <w:r w:rsidR="00F54072" w:rsidRPr="00957D83">
        <w:rPr>
          <w:szCs w:val="24"/>
        </w:rPr>
        <w:t>is</w:t>
      </w:r>
      <w:proofErr w:type="gramEnd"/>
      <w:r w:rsidR="00F54072" w:rsidRPr="00957D83">
        <w:rPr>
          <w:szCs w:val="24"/>
        </w:rPr>
        <w:t xml:space="preserve"> strengthened leadership, accountability, transparency and cohesion, to better support to the 2030 Agenda. To enable this, the Secretary-General has outlined concrete changes that</w:t>
      </w:r>
      <w:r w:rsidR="00F91C67" w:rsidRPr="00957D83">
        <w:rPr>
          <w:szCs w:val="24"/>
        </w:rPr>
        <w:t xml:space="preserve"> need to happen at all levels —</w:t>
      </w:r>
      <w:r w:rsidR="00F54072" w:rsidRPr="00957D83">
        <w:rPr>
          <w:szCs w:val="24"/>
        </w:rPr>
        <w:t xml:space="preserve"> including in terms of skillsets, coordination mechanisms, planning tools, funding incentives, accountability lines and oversight.</w:t>
      </w:r>
    </w:p>
    <w:p w14:paraId="536703F9" w14:textId="59B81D26" w:rsidR="00F54072" w:rsidRPr="00957D83" w:rsidRDefault="00187EFB" w:rsidP="00F54072">
      <w:pPr>
        <w:pStyle w:val="SingleTxtG"/>
        <w:rPr>
          <w:szCs w:val="24"/>
        </w:rPr>
      </w:pPr>
      <w:r w:rsidRPr="00957D83">
        <w:rPr>
          <w:szCs w:val="24"/>
        </w:rPr>
        <w:t>1</w:t>
      </w:r>
      <w:r w:rsidR="00F54072" w:rsidRPr="00957D83">
        <w:rPr>
          <w:szCs w:val="24"/>
        </w:rPr>
        <w:t>4.</w:t>
      </w:r>
      <w:r w:rsidR="00F54072" w:rsidRPr="00957D83">
        <w:rPr>
          <w:szCs w:val="24"/>
        </w:rPr>
        <w:tab/>
        <w:t xml:space="preserve">In anticipation of the new report, it is likely that the call of the </w:t>
      </w:r>
      <w:r w:rsidR="008F6A09">
        <w:rPr>
          <w:szCs w:val="24"/>
        </w:rPr>
        <w:t xml:space="preserve">Secretary-General </w:t>
      </w:r>
      <w:r w:rsidR="00F54072" w:rsidRPr="00957D83">
        <w:rPr>
          <w:szCs w:val="24"/>
        </w:rPr>
        <w:t xml:space="preserve">for repositioning the </w:t>
      </w:r>
      <w:r w:rsidR="00957D83">
        <w:rPr>
          <w:szCs w:val="24"/>
        </w:rPr>
        <w:t xml:space="preserve">United Nations </w:t>
      </w:r>
      <w:r w:rsidR="008F6A09" w:rsidRPr="00957D83">
        <w:rPr>
          <w:szCs w:val="24"/>
        </w:rPr>
        <w:t>development sy</w:t>
      </w:r>
      <w:r w:rsidR="00F54072" w:rsidRPr="00957D83">
        <w:rPr>
          <w:szCs w:val="24"/>
        </w:rPr>
        <w:t xml:space="preserve">stem will entail increased focus on the link between work accomplished on the one hand and the achievement of the </w:t>
      </w:r>
      <w:r w:rsidR="00957D83">
        <w:rPr>
          <w:szCs w:val="24"/>
        </w:rPr>
        <w:t>Sustainable Development Goal</w:t>
      </w:r>
      <w:r w:rsidR="00F54072" w:rsidRPr="00957D83">
        <w:rPr>
          <w:szCs w:val="24"/>
        </w:rPr>
        <w:t>s.</w:t>
      </w:r>
    </w:p>
    <w:p w14:paraId="321046EB" w14:textId="12BCD47C" w:rsidR="00F53C08" w:rsidRPr="00957D83" w:rsidRDefault="00971904" w:rsidP="00F53C08">
      <w:pPr>
        <w:pStyle w:val="SingleTxtG"/>
        <w:rPr>
          <w:szCs w:val="24"/>
        </w:rPr>
      </w:pPr>
      <w:r w:rsidRPr="00957D83">
        <w:rPr>
          <w:szCs w:val="24"/>
        </w:rPr>
        <w:t>15.</w:t>
      </w:r>
      <w:r w:rsidRPr="00957D83">
        <w:rPr>
          <w:szCs w:val="24"/>
        </w:rPr>
        <w:tab/>
      </w:r>
      <w:r w:rsidR="00F53C08" w:rsidRPr="00957D83">
        <w:rPr>
          <w:szCs w:val="24"/>
        </w:rPr>
        <w:t xml:space="preserve">In light of the </w:t>
      </w:r>
      <w:r w:rsidR="0098052E" w:rsidRPr="00957D83">
        <w:rPr>
          <w:szCs w:val="24"/>
        </w:rPr>
        <w:t>potential</w:t>
      </w:r>
      <w:r w:rsidR="00F53C08" w:rsidRPr="00957D83">
        <w:rPr>
          <w:szCs w:val="24"/>
        </w:rPr>
        <w:t xml:space="preserve"> </w:t>
      </w:r>
      <w:r w:rsidR="0098052E" w:rsidRPr="00957D83">
        <w:rPr>
          <w:szCs w:val="24"/>
        </w:rPr>
        <w:t>reform</w:t>
      </w:r>
      <w:r w:rsidR="00F53C08" w:rsidRPr="00957D83">
        <w:rPr>
          <w:szCs w:val="24"/>
        </w:rPr>
        <w:t xml:space="preserve"> of the </w:t>
      </w:r>
      <w:r w:rsidR="00957D83">
        <w:rPr>
          <w:szCs w:val="24"/>
        </w:rPr>
        <w:t xml:space="preserve">United Nations </w:t>
      </w:r>
      <w:r w:rsidR="008F6A09" w:rsidRPr="00957D83">
        <w:rPr>
          <w:szCs w:val="24"/>
        </w:rPr>
        <w:t>development s</w:t>
      </w:r>
      <w:r w:rsidR="00F53C08" w:rsidRPr="00957D83">
        <w:rPr>
          <w:szCs w:val="24"/>
        </w:rPr>
        <w:t xml:space="preserve">ystem, the Committee has positioned itself strategically. </w:t>
      </w:r>
      <w:proofErr w:type="gramStart"/>
      <w:r w:rsidR="0098052E" w:rsidRPr="00957D83">
        <w:rPr>
          <w:szCs w:val="24"/>
        </w:rPr>
        <w:t xml:space="preserve">In terms of </w:t>
      </w:r>
      <w:r w:rsidR="00F53C08" w:rsidRPr="00957D83">
        <w:rPr>
          <w:szCs w:val="24"/>
        </w:rPr>
        <w:t xml:space="preserve">high-level political support and mandates, the 2017 </w:t>
      </w:r>
      <w:r w:rsidR="008F6A09">
        <w:rPr>
          <w:szCs w:val="24"/>
        </w:rPr>
        <w:t>m</w:t>
      </w:r>
      <w:r w:rsidR="00F53C08" w:rsidRPr="00957D83">
        <w:rPr>
          <w:szCs w:val="24"/>
        </w:rPr>
        <w:t xml:space="preserve">inisterial </w:t>
      </w:r>
      <w:r w:rsidR="008F6A09">
        <w:rPr>
          <w:szCs w:val="24"/>
        </w:rPr>
        <w:t>r</w:t>
      </w:r>
      <w:r w:rsidR="008F6A09" w:rsidRPr="00957D83">
        <w:rPr>
          <w:szCs w:val="24"/>
        </w:rPr>
        <w:t>esolution</w:t>
      </w:r>
      <w:r w:rsidR="0098052E" w:rsidRPr="00957D83">
        <w:rPr>
          <w:szCs w:val="24"/>
        </w:rPr>
        <w:t>,</w:t>
      </w:r>
      <w:r w:rsidR="00F53C08" w:rsidRPr="00957D83">
        <w:rPr>
          <w:szCs w:val="24"/>
        </w:rPr>
        <w:t xml:space="preserve"> that was signed on the occasion of the seventieth anniversary of the Committee on 21 February 2017, and endorsed by the Committee on 24 February 2017 contains multiple references to the </w:t>
      </w:r>
      <w:r w:rsidR="00957D83">
        <w:rPr>
          <w:szCs w:val="24"/>
        </w:rPr>
        <w:t>Sustainable Development Goal</w:t>
      </w:r>
      <w:r w:rsidR="00F53C08" w:rsidRPr="00957D83">
        <w:rPr>
          <w:szCs w:val="24"/>
        </w:rPr>
        <w:t>s and links with the work of the Committee and its subsidiary bodies (see Annex II to this note).</w:t>
      </w:r>
      <w:proofErr w:type="gramEnd"/>
      <w:r w:rsidR="00F53C08" w:rsidRPr="00957D83">
        <w:rPr>
          <w:szCs w:val="24"/>
        </w:rPr>
        <w:t xml:space="preserve"> </w:t>
      </w:r>
      <w:r w:rsidR="0098052E" w:rsidRPr="00957D83">
        <w:rPr>
          <w:szCs w:val="24"/>
        </w:rPr>
        <w:t xml:space="preserve">Additionally, the Committee expressed its support to the implementation of the </w:t>
      </w:r>
      <w:r w:rsidR="00957D83">
        <w:rPr>
          <w:szCs w:val="24"/>
        </w:rPr>
        <w:t>Sustainable Development Goal</w:t>
      </w:r>
      <w:r w:rsidR="0098052E" w:rsidRPr="00957D83">
        <w:rPr>
          <w:szCs w:val="24"/>
        </w:rPr>
        <w:t xml:space="preserve">s in numerous </w:t>
      </w:r>
      <w:proofErr w:type="gramStart"/>
      <w:r w:rsidR="0098052E" w:rsidRPr="00957D83">
        <w:rPr>
          <w:szCs w:val="24"/>
        </w:rPr>
        <w:t>decision</w:t>
      </w:r>
      <w:proofErr w:type="gramEnd"/>
      <w:r w:rsidR="0098052E" w:rsidRPr="00957D83">
        <w:rPr>
          <w:szCs w:val="24"/>
        </w:rPr>
        <w:t xml:space="preserve"> at its annual </w:t>
      </w:r>
      <w:r w:rsidR="00F53C08" w:rsidRPr="00957D83">
        <w:rPr>
          <w:szCs w:val="24"/>
        </w:rPr>
        <w:t>sessions since 2015 (not reproduce</w:t>
      </w:r>
      <w:r w:rsidR="00CE7792">
        <w:rPr>
          <w:szCs w:val="24"/>
        </w:rPr>
        <w:t>d</w:t>
      </w:r>
      <w:r w:rsidR="00F53C08" w:rsidRPr="00957D83">
        <w:rPr>
          <w:szCs w:val="24"/>
        </w:rPr>
        <w:t xml:space="preserve"> </w:t>
      </w:r>
      <w:r w:rsidR="00CE7792">
        <w:rPr>
          <w:szCs w:val="24"/>
        </w:rPr>
        <w:t xml:space="preserve">in </w:t>
      </w:r>
      <w:r w:rsidR="00F53C08" w:rsidRPr="00957D83">
        <w:rPr>
          <w:szCs w:val="24"/>
        </w:rPr>
        <w:t>this note).</w:t>
      </w:r>
    </w:p>
    <w:p w14:paraId="357D6895" w14:textId="5A84F6A5" w:rsidR="00971904" w:rsidRPr="00957D83" w:rsidRDefault="00E40B7A" w:rsidP="00E40B7A">
      <w:pPr>
        <w:pStyle w:val="SingleTxtG"/>
        <w:rPr>
          <w:szCs w:val="24"/>
        </w:rPr>
      </w:pPr>
      <w:r w:rsidRPr="00957D83">
        <w:rPr>
          <w:szCs w:val="24"/>
        </w:rPr>
        <w:t>16.</w:t>
      </w:r>
      <w:r w:rsidRPr="00957D83">
        <w:rPr>
          <w:szCs w:val="24"/>
        </w:rPr>
        <w:tab/>
      </w:r>
      <w:proofErr w:type="gramStart"/>
      <w:r w:rsidR="0098052E" w:rsidRPr="00957D83">
        <w:rPr>
          <w:szCs w:val="24"/>
        </w:rPr>
        <w:t>At</w:t>
      </w:r>
      <w:proofErr w:type="gramEnd"/>
      <w:r w:rsidR="0098052E" w:rsidRPr="00957D83">
        <w:rPr>
          <w:szCs w:val="24"/>
        </w:rPr>
        <w:t xml:space="preserve"> the same time, in terms of implementation and monitoring, </w:t>
      </w:r>
      <w:r w:rsidRPr="00957D83">
        <w:rPr>
          <w:szCs w:val="24"/>
        </w:rPr>
        <w:t xml:space="preserve">the Committee is directly involved in </w:t>
      </w:r>
      <w:r w:rsidR="00D82084" w:rsidRPr="00957D83">
        <w:rPr>
          <w:szCs w:val="24"/>
        </w:rPr>
        <w:t xml:space="preserve">global efforts to track progress in the implementation of the </w:t>
      </w:r>
      <w:r w:rsidR="00957D83">
        <w:rPr>
          <w:szCs w:val="24"/>
        </w:rPr>
        <w:t>Sustainable Development Goal</w:t>
      </w:r>
      <w:r w:rsidR="00D82084" w:rsidRPr="00957D83">
        <w:rPr>
          <w:szCs w:val="24"/>
        </w:rPr>
        <w:t>s discussed earlier in this paper</w:t>
      </w:r>
      <w:r w:rsidRPr="00957D83">
        <w:rPr>
          <w:szCs w:val="24"/>
        </w:rPr>
        <w:t xml:space="preserve">. </w:t>
      </w:r>
      <w:r w:rsidR="0098052E" w:rsidRPr="00957D83">
        <w:rPr>
          <w:szCs w:val="24"/>
        </w:rPr>
        <w:t xml:space="preserve">To better illustrate the Committee’s direct contribution to the </w:t>
      </w:r>
      <w:r w:rsidR="00957D83">
        <w:rPr>
          <w:szCs w:val="24"/>
        </w:rPr>
        <w:t>Sustainable Development Goal</w:t>
      </w:r>
      <w:r w:rsidR="0098052E" w:rsidRPr="00957D83">
        <w:rPr>
          <w:szCs w:val="24"/>
        </w:rPr>
        <w:t xml:space="preserve">s, in addition to the mapping of its activities in terms of </w:t>
      </w:r>
      <w:r w:rsidR="00957D83">
        <w:rPr>
          <w:szCs w:val="24"/>
        </w:rPr>
        <w:t>Sustainable Development Goal</w:t>
      </w:r>
      <w:r w:rsidR="0098052E" w:rsidRPr="00957D83">
        <w:rPr>
          <w:szCs w:val="24"/>
        </w:rPr>
        <w:t>s impacted by its work, t</w:t>
      </w:r>
      <w:r w:rsidR="00D82084" w:rsidRPr="00957D83">
        <w:rPr>
          <w:szCs w:val="24"/>
        </w:rPr>
        <w:t xml:space="preserve">his year’s </w:t>
      </w:r>
      <w:r w:rsidR="00CE7792">
        <w:rPr>
          <w:szCs w:val="24"/>
        </w:rPr>
        <w:t>a</w:t>
      </w:r>
      <w:r w:rsidR="00D82084" w:rsidRPr="00957D83">
        <w:rPr>
          <w:szCs w:val="24"/>
        </w:rPr>
        <w:t xml:space="preserve">nnual </w:t>
      </w:r>
      <w:r w:rsidR="00CE7792">
        <w:rPr>
          <w:szCs w:val="24"/>
        </w:rPr>
        <w:t>r</w:t>
      </w:r>
      <w:r w:rsidR="00CE7792" w:rsidRPr="00957D83">
        <w:rPr>
          <w:szCs w:val="24"/>
        </w:rPr>
        <w:t xml:space="preserve">eport </w:t>
      </w:r>
      <w:r w:rsidR="0098052E" w:rsidRPr="00957D83">
        <w:rPr>
          <w:szCs w:val="24"/>
        </w:rPr>
        <w:t xml:space="preserve">(ECE/TRANS/2018/18) </w:t>
      </w:r>
      <w:r w:rsidR="00D82084" w:rsidRPr="00957D83">
        <w:rPr>
          <w:szCs w:val="24"/>
        </w:rPr>
        <w:t>explicitly show</w:t>
      </w:r>
      <w:r w:rsidR="00CE7792">
        <w:rPr>
          <w:szCs w:val="24"/>
        </w:rPr>
        <w:t>s</w:t>
      </w:r>
      <w:r w:rsidR="00D82084" w:rsidRPr="00957D83">
        <w:rPr>
          <w:szCs w:val="24"/>
        </w:rPr>
        <w:t xml:space="preserve"> the links of the Committee’s work with the achievement of the </w:t>
      </w:r>
      <w:r w:rsidR="00957D83">
        <w:rPr>
          <w:szCs w:val="24"/>
        </w:rPr>
        <w:t>Sustainable Development Goal</w:t>
      </w:r>
      <w:r w:rsidR="00D82084" w:rsidRPr="00957D83">
        <w:rPr>
          <w:szCs w:val="24"/>
        </w:rPr>
        <w:t>s.</w:t>
      </w:r>
      <w:r w:rsidRPr="00957D83">
        <w:rPr>
          <w:szCs w:val="24"/>
        </w:rPr>
        <w:t xml:space="preserve"> </w:t>
      </w:r>
    </w:p>
    <w:p w14:paraId="2721F359" w14:textId="54A5D4CC" w:rsidR="00E40B7A" w:rsidRPr="00957D83" w:rsidRDefault="00E40B7A" w:rsidP="00E40B7A">
      <w:pPr>
        <w:pStyle w:val="SingleTxtG"/>
        <w:rPr>
          <w:szCs w:val="24"/>
        </w:rPr>
      </w:pPr>
      <w:r w:rsidRPr="00957D83">
        <w:rPr>
          <w:szCs w:val="24"/>
        </w:rPr>
        <w:t>17.</w:t>
      </w:r>
      <w:r w:rsidRPr="00957D83">
        <w:rPr>
          <w:szCs w:val="24"/>
        </w:rPr>
        <w:tab/>
        <w:t xml:space="preserve">Last but not least, the strategic review of the Committee </w:t>
      </w:r>
      <w:proofErr w:type="gramStart"/>
      <w:r w:rsidRPr="00957D83">
        <w:rPr>
          <w:szCs w:val="24"/>
        </w:rPr>
        <w:t xml:space="preserve">is </w:t>
      </w:r>
      <w:r w:rsidR="0098052E" w:rsidRPr="00957D83">
        <w:rPr>
          <w:szCs w:val="24"/>
        </w:rPr>
        <w:t>geared</w:t>
      </w:r>
      <w:proofErr w:type="gramEnd"/>
      <w:r w:rsidR="0098052E" w:rsidRPr="00957D83">
        <w:rPr>
          <w:szCs w:val="24"/>
        </w:rPr>
        <w:t xml:space="preserve"> towards</w:t>
      </w:r>
      <w:r w:rsidRPr="00957D83">
        <w:rPr>
          <w:szCs w:val="24"/>
        </w:rPr>
        <w:t xml:space="preserve"> ensuring that its mission i</w:t>
      </w:r>
      <w:r w:rsidR="009C4119">
        <w:rPr>
          <w:szCs w:val="24"/>
        </w:rPr>
        <w:t>s</w:t>
      </w:r>
      <w:r w:rsidRPr="00957D83">
        <w:rPr>
          <w:szCs w:val="24"/>
        </w:rPr>
        <w:t xml:space="preserve"> fully compatible with and contributes to the achievement of the </w:t>
      </w:r>
      <w:r w:rsidR="00957D83">
        <w:rPr>
          <w:szCs w:val="24"/>
        </w:rPr>
        <w:t>Sustainable Development Goal</w:t>
      </w:r>
      <w:r w:rsidRPr="00957D83">
        <w:rPr>
          <w:szCs w:val="24"/>
        </w:rPr>
        <w:t>s.</w:t>
      </w:r>
    </w:p>
    <w:p w14:paraId="5C81614A" w14:textId="78E17BB6" w:rsidR="00581C88" w:rsidRPr="00957D83" w:rsidRDefault="00581C88" w:rsidP="00581C88">
      <w:pPr>
        <w:pStyle w:val="HChG"/>
      </w:pPr>
      <w:r w:rsidRPr="00957D83">
        <w:tab/>
        <w:t>III.</w:t>
      </w:r>
      <w:r w:rsidRPr="00957D83">
        <w:tab/>
        <w:t xml:space="preserve">Conclusion: </w:t>
      </w:r>
      <w:r w:rsidR="00CE7792">
        <w:t>E</w:t>
      </w:r>
      <w:r w:rsidRPr="00957D83">
        <w:t>nhancing the role of the Committee in achieving the transport-related Sustainable Development Goals</w:t>
      </w:r>
    </w:p>
    <w:p w14:paraId="6A7E4A6B" w14:textId="77B27242" w:rsidR="00021649" w:rsidRPr="00957D83" w:rsidRDefault="00581C88" w:rsidP="00021649">
      <w:pPr>
        <w:pStyle w:val="SingleTxtG"/>
        <w:rPr>
          <w:szCs w:val="24"/>
        </w:rPr>
      </w:pPr>
      <w:r w:rsidRPr="00957D83">
        <w:rPr>
          <w:szCs w:val="24"/>
        </w:rPr>
        <w:t>1</w:t>
      </w:r>
      <w:r w:rsidR="000F1E9C" w:rsidRPr="00957D83">
        <w:rPr>
          <w:szCs w:val="24"/>
        </w:rPr>
        <w:t>8</w:t>
      </w:r>
      <w:r w:rsidRPr="00957D83">
        <w:rPr>
          <w:szCs w:val="24"/>
        </w:rPr>
        <w:t>.</w:t>
      </w:r>
      <w:r w:rsidRPr="00957D83">
        <w:rPr>
          <w:szCs w:val="24"/>
        </w:rPr>
        <w:tab/>
      </w:r>
      <w:r w:rsidR="00021649" w:rsidRPr="00957D83">
        <w:rPr>
          <w:szCs w:val="24"/>
        </w:rPr>
        <w:t>The Committee is directly involved in the major global efforts to track progress in implement</w:t>
      </w:r>
      <w:r w:rsidR="00CE7792">
        <w:rPr>
          <w:szCs w:val="24"/>
        </w:rPr>
        <w:t>ing</w:t>
      </w:r>
      <w:r w:rsidR="00021649" w:rsidRPr="00957D83">
        <w:rPr>
          <w:szCs w:val="24"/>
        </w:rPr>
        <w:t xml:space="preserve"> the transport-related </w:t>
      </w:r>
      <w:r w:rsidR="00957D83">
        <w:rPr>
          <w:szCs w:val="24"/>
        </w:rPr>
        <w:t>Sustainable Development Goal</w:t>
      </w:r>
      <w:r w:rsidR="00021649" w:rsidRPr="00957D83">
        <w:rPr>
          <w:szCs w:val="24"/>
        </w:rPr>
        <w:t xml:space="preserve">s. Its strategic review currently underway pays particular attention to the achievement of the </w:t>
      </w:r>
      <w:r w:rsidR="00957D83">
        <w:rPr>
          <w:szCs w:val="24"/>
        </w:rPr>
        <w:t>Sustainable Development Goal</w:t>
      </w:r>
      <w:r w:rsidR="00021649" w:rsidRPr="00957D83">
        <w:rPr>
          <w:szCs w:val="24"/>
        </w:rPr>
        <w:t xml:space="preserve">s. Overall, the work of ITC and its subsidiary bodies relates directly to fourteen of the seventeen </w:t>
      </w:r>
      <w:r w:rsidR="00957D83">
        <w:rPr>
          <w:szCs w:val="24"/>
        </w:rPr>
        <w:t>Sustainable Development Goal</w:t>
      </w:r>
      <w:r w:rsidR="00021649" w:rsidRPr="00957D83">
        <w:rPr>
          <w:szCs w:val="24"/>
        </w:rPr>
        <w:t xml:space="preserve">s. Yet serious gaps of capacity and </w:t>
      </w:r>
      <w:r w:rsidR="00021649" w:rsidRPr="00957D83">
        <w:rPr>
          <w:szCs w:val="24"/>
        </w:rPr>
        <w:lastRenderedPageBreak/>
        <w:t>implementation remain to ensure that sustainable transport and mobility play their full role in the global efforts towards sustainability.</w:t>
      </w:r>
    </w:p>
    <w:p w14:paraId="09F9D25A" w14:textId="22228A9C" w:rsidR="00F54072" w:rsidRPr="00957D83" w:rsidRDefault="000F1E9C" w:rsidP="00D82084">
      <w:pPr>
        <w:pStyle w:val="SingleTxtG"/>
        <w:rPr>
          <w:szCs w:val="24"/>
        </w:rPr>
      </w:pPr>
      <w:proofErr w:type="gramStart"/>
      <w:r w:rsidRPr="00957D83">
        <w:rPr>
          <w:szCs w:val="24"/>
        </w:rPr>
        <w:t>19.</w:t>
      </w:r>
      <w:r w:rsidRPr="00957D83">
        <w:rPr>
          <w:szCs w:val="24"/>
        </w:rPr>
        <w:tab/>
      </w:r>
      <w:r w:rsidR="00021649" w:rsidRPr="00957D83">
        <w:rPr>
          <w:szCs w:val="24"/>
        </w:rPr>
        <w:t xml:space="preserve">With these in mind, and considering the ongoing discussions about the repositioning of the </w:t>
      </w:r>
      <w:r w:rsidR="00957D83">
        <w:rPr>
          <w:szCs w:val="24"/>
        </w:rPr>
        <w:t xml:space="preserve">United Nations </w:t>
      </w:r>
      <w:r w:rsidR="00CE7792">
        <w:rPr>
          <w:szCs w:val="24"/>
        </w:rPr>
        <w:t>d</w:t>
      </w:r>
      <w:r w:rsidR="00021649" w:rsidRPr="00957D83">
        <w:rPr>
          <w:szCs w:val="24"/>
        </w:rPr>
        <w:t xml:space="preserve">evelopment </w:t>
      </w:r>
      <w:r w:rsidR="00CE7792">
        <w:rPr>
          <w:szCs w:val="24"/>
        </w:rPr>
        <w:t>s</w:t>
      </w:r>
      <w:r w:rsidR="00021649" w:rsidRPr="00957D83">
        <w:rPr>
          <w:szCs w:val="24"/>
        </w:rPr>
        <w:t xml:space="preserve">ystem, the Committee may wish to </w:t>
      </w:r>
      <w:r w:rsidR="009319DF" w:rsidRPr="00957D83">
        <w:rPr>
          <w:szCs w:val="24"/>
        </w:rPr>
        <w:t xml:space="preserve">invite members States to ensure a strong role for the ITC, its subsidiary bodies, and the </w:t>
      </w:r>
      <w:r w:rsidR="008F6A09">
        <w:rPr>
          <w:szCs w:val="24"/>
        </w:rPr>
        <w:t>ECE</w:t>
      </w:r>
      <w:r w:rsidR="009319DF" w:rsidRPr="00957D83">
        <w:rPr>
          <w:szCs w:val="24"/>
        </w:rPr>
        <w:t xml:space="preserve">/ITC secretariat, in monitoring the Sustainable Development Goals and request the secretariat to further enhance its contribution in the ongoing </w:t>
      </w:r>
      <w:r w:rsidR="00957D83">
        <w:rPr>
          <w:szCs w:val="24"/>
        </w:rPr>
        <w:t>Sustainable Development Goal</w:t>
      </w:r>
      <w:r w:rsidR="009319DF" w:rsidRPr="00957D83">
        <w:rPr>
          <w:szCs w:val="24"/>
        </w:rPr>
        <w:t xml:space="preserve"> tracking frameworks.</w:t>
      </w:r>
      <w:proofErr w:type="gramEnd"/>
    </w:p>
    <w:p w14:paraId="50077440" w14:textId="77777777" w:rsidR="008A2D73" w:rsidRPr="00957D83" w:rsidRDefault="008A2D73">
      <w:pPr>
        <w:suppressAutoHyphens w:val="0"/>
        <w:spacing w:line="240" w:lineRule="auto"/>
      </w:pPr>
      <w:r w:rsidRPr="00957D83">
        <w:br w:type="page"/>
      </w:r>
    </w:p>
    <w:p w14:paraId="4903A5DF" w14:textId="77777777" w:rsidR="00581C88" w:rsidRPr="00957D83" w:rsidRDefault="00581C88" w:rsidP="00581C88">
      <w:pPr>
        <w:keepNext/>
        <w:keepLines/>
        <w:tabs>
          <w:tab w:val="right" w:pos="851"/>
        </w:tabs>
        <w:spacing w:before="360" w:after="240" w:line="300" w:lineRule="exact"/>
        <w:ind w:left="1134" w:right="1134" w:hanging="1134"/>
        <w:rPr>
          <w:b/>
          <w:sz w:val="28"/>
        </w:rPr>
      </w:pPr>
      <w:r w:rsidRPr="00957D83">
        <w:rPr>
          <w:b/>
          <w:sz w:val="28"/>
        </w:rPr>
        <w:lastRenderedPageBreak/>
        <w:t>Annex I</w:t>
      </w:r>
    </w:p>
    <w:p w14:paraId="2BFF480F" w14:textId="77777777" w:rsidR="00581C88" w:rsidRPr="00957D83" w:rsidRDefault="00581C88" w:rsidP="00581C88">
      <w:pPr>
        <w:keepNext/>
        <w:keepLines/>
        <w:tabs>
          <w:tab w:val="right" w:pos="851"/>
        </w:tabs>
        <w:spacing w:before="360" w:after="240" w:line="300" w:lineRule="exact"/>
        <w:ind w:left="1134" w:right="1134" w:hanging="1134"/>
        <w:rPr>
          <w:b/>
          <w:sz w:val="28"/>
        </w:rPr>
      </w:pPr>
      <w:r w:rsidRPr="00957D83">
        <w:rPr>
          <w:b/>
          <w:sz w:val="28"/>
        </w:rPr>
        <w:tab/>
      </w:r>
      <w:r w:rsidRPr="00957D83">
        <w:rPr>
          <w:b/>
          <w:sz w:val="28"/>
        </w:rPr>
        <w:tab/>
        <w:t>Transport-related Sustainable Development Goals, targets and indicators</w:t>
      </w:r>
    </w:p>
    <w:p w14:paraId="7B7C3E70" w14:textId="222C3480" w:rsidR="00187EFB" w:rsidRPr="00957D83" w:rsidRDefault="00187EFB" w:rsidP="00187EFB">
      <w:pPr>
        <w:pStyle w:val="SingleTxtG"/>
        <w:rPr>
          <w:szCs w:val="24"/>
        </w:rPr>
      </w:pPr>
      <w:r w:rsidRPr="00957D83">
        <w:rPr>
          <w:szCs w:val="24"/>
        </w:rPr>
        <w:t xml:space="preserve">In March 2016, 230 indicators </w:t>
      </w:r>
      <w:proofErr w:type="gramStart"/>
      <w:r w:rsidRPr="00957D83">
        <w:rPr>
          <w:szCs w:val="24"/>
        </w:rPr>
        <w:t>were created</w:t>
      </w:r>
      <w:proofErr w:type="gramEnd"/>
      <w:r w:rsidRPr="00957D83">
        <w:rPr>
          <w:szCs w:val="24"/>
        </w:rPr>
        <w:t xml:space="preserve"> to measure the achievement of the </w:t>
      </w:r>
      <w:r w:rsidR="00957D83">
        <w:t>Sustainable Development Goal</w:t>
      </w:r>
      <w:r w:rsidRPr="00957D83">
        <w:t>s</w:t>
      </w:r>
      <w:r w:rsidRPr="00957D83">
        <w:rPr>
          <w:szCs w:val="24"/>
        </w:rPr>
        <w:t xml:space="preserve">. Subsequently, the indicators were categorized </w:t>
      </w:r>
      <w:proofErr w:type="gramStart"/>
      <w:r w:rsidRPr="00957D83">
        <w:rPr>
          <w:szCs w:val="24"/>
        </w:rPr>
        <w:t>on the basis of</w:t>
      </w:r>
      <w:proofErr w:type="gramEnd"/>
      <w:r w:rsidRPr="00957D83">
        <w:rPr>
          <w:szCs w:val="24"/>
        </w:rPr>
        <w:t xml:space="preserve"> the availability of the source data in three categories:</w:t>
      </w:r>
    </w:p>
    <w:p w14:paraId="68744A78" w14:textId="77777777" w:rsidR="00187EFB" w:rsidRPr="00957D83" w:rsidRDefault="00187EFB" w:rsidP="00187EFB">
      <w:pPr>
        <w:pStyle w:val="SingleTxtG"/>
        <w:numPr>
          <w:ilvl w:val="0"/>
          <w:numId w:val="20"/>
        </w:numPr>
        <w:jc w:val="left"/>
        <w:rPr>
          <w:szCs w:val="24"/>
        </w:rPr>
      </w:pPr>
      <w:r w:rsidRPr="00957D83">
        <w:rPr>
          <w:szCs w:val="24"/>
        </w:rPr>
        <w:t xml:space="preserve">Tier I: Indicator conceptually clear, established </w:t>
      </w:r>
      <w:proofErr w:type="gramStart"/>
      <w:r w:rsidRPr="00957D83">
        <w:rPr>
          <w:szCs w:val="24"/>
        </w:rPr>
        <w:t>methodology and standards available</w:t>
      </w:r>
      <w:proofErr w:type="gramEnd"/>
      <w:r w:rsidRPr="00957D83">
        <w:rPr>
          <w:szCs w:val="24"/>
        </w:rPr>
        <w:t xml:space="preserve"> and data regularly produced by countries.</w:t>
      </w:r>
    </w:p>
    <w:p w14:paraId="16B5DC48" w14:textId="14E6E453" w:rsidR="000B5E33" w:rsidRPr="00640C82" w:rsidRDefault="00187EFB" w:rsidP="00640C82">
      <w:pPr>
        <w:pStyle w:val="SingleTxtG"/>
        <w:numPr>
          <w:ilvl w:val="0"/>
          <w:numId w:val="20"/>
        </w:numPr>
        <w:jc w:val="left"/>
        <w:rPr>
          <w:b/>
        </w:rPr>
      </w:pPr>
      <w:r w:rsidRPr="000B5E33">
        <w:rPr>
          <w:szCs w:val="24"/>
        </w:rPr>
        <w:t>Tier II: Indicator conceptually clear, established methodology and standards available but data are not regularly produced by countries</w:t>
      </w:r>
    </w:p>
    <w:p w14:paraId="1D466A58" w14:textId="3F7F6E43" w:rsidR="00187EFB" w:rsidRPr="000B5E33" w:rsidRDefault="00187EFB" w:rsidP="00640C82">
      <w:pPr>
        <w:pStyle w:val="SingleTxtG"/>
        <w:numPr>
          <w:ilvl w:val="0"/>
          <w:numId w:val="20"/>
        </w:numPr>
        <w:jc w:val="left"/>
        <w:rPr>
          <w:b/>
        </w:rPr>
      </w:pPr>
      <w:r w:rsidRPr="000B5E33">
        <w:rPr>
          <w:szCs w:val="24"/>
        </w:rPr>
        <w:t>Tier III: Indicator for which there are no established methodology and standards or methodology/standards are being developed/tested</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67C01" w:rsidRPr="00957D83" w14:paraId="5A74D011" w14:textId="77777777" w:rsidTr="0025106F">
        <w:trPr>
          <w:cantSplit/>
          <w:tblHeader/>
        </w:trPr>
        <w:tc>
          <w:tcPr>
            <w:tcW w:w="7370" w:type="dxa"/>
            <w:tcBorders>
              <w:top w:val="single" w:sz="4" w:space="0" w:color="auto"/>
              <w:bottom w:val="single" w:sz="12" w:space="0" w:color="auto"/>
            </w:tcBorders>
            <w:shd w:val="clear" w:color="auto" w:fill="auto"/>
            <w:vAlign w:val="bottom"/>
          </w:tcPr>
          <w:p w14:paraId="316A6A17" w14:textId="77777777" w:rsidR="00667C01" w:rsidRPr="00957D83" w:rsidRDefault="00667C01" w:rsidP="00B23EFB">
            <w:pPr>
              <w:spacing w:before="80" w:after="80" w:line="200" w:lineRule="exact"/>
              <w:ind w:right="113"/>
              <w:rPr>
                <w:i/>
                <w:sz w:val="16"/>
              </w:rPr>
            </w:pPr>
            <w:r w:rsidRPr="00957D83">
              <w:rPr>
                <w:i/>
                <w:sz w:val="16"/>
              </w:rPr>
              <w:t>Transport-related goals</w:t>
            </w:r>
          </w:p>
        </w:tc>
      </w:tr>
      <w:tr w:rsidR="00667C01" w:rsidRPr="00957D83" w14:paraId="2DF3B366" w14:textId="77777777" w:rsidTr="0025106F">
        <w:trPr>
          <w:cantSplit/>
        </w:trPr>
        <w:tc>
          <w:tcPr>
            <w:tcW w:w="7370" w:type="dxa"/>
            <w:tcBorders>
              <w:top w:val="single" w:sz="12" w:space="0" w:color="auto"/>
              <w:bottom w:val="single" w:sz="4" w:space="0" w:color="auto"/>
            </w:tcBorders>
            <w:shd w:val="clear" w:color="auto" w:fill="auto"/>
          </w:tcPr>
          <w:p w14:paraId="4E5F029A" w14:textId="77777777" w:rsidR="00667C01" w:rsidRPr="00957D83" w:rsidRDefault="002D3413" w:rsidP="00B23EFB">
            <w:pPr>
              <w:spacing w:before="40" w:after="120"/>
              <w:ind w:right="113"/>
            </w:pPr>
            <w:r w:rsidRPr="00957D83">
              <w:rPr>
                <w:b/>
              </w:rPr>
              <w:t>Goal 3.</w:t>
            </w:r>
            <w:r w:rsidRPr="00957D83">
              <w:rPr>
                <w:b/>
              </w:rPr>
              <w:tab/>
            </w:r>
            <w:r w:rsidR="00667C01" w:rsidRPr="00957D83">
              <w:rPr>
                <w:b/>
              </w:rPr>
              <w:t>Ensure healthy lives and promote well-being for all at all ages</w:t>
            </w:r>
          </w:p>
        </w:tc>
      </w:tr>
      <w:tr w:rsidR="00667C01" w:rsidRPr="00957D83" w14:paraId="2D9BCBBF" w14:textId="77777777" w:rsidTr="0025106F">
        <w:trPr>
          <w:cantSplit/>
        </w:trPr>
        <w:tc>
          <w:tcPr>
            <w:tcW w:w="7370" w:type="dxa"/>
            <w:tcBorders>
              <w:top w:val="single" w:sz="4" w:space="0" w:color="auto"/>
            </w:tcBorders>
            <w:shd w:val="clear" w:color="auto" w:fill="auto"/>
          </w:tcPr>
          <w:p w14:paraId="793627A5" w14:textId="77777777" w:rsidR="00667C01" w:rsidRPr="00957D83" w:rsidRDefault="00667C01" w:rsidP="00B23EFB">
            <w:pPr>
              <w:spacing w:before="40" w:after="120"/>
              <w:ind w:right="113"/>
            </w:pPr>
            <w:r w:rsidRPr="00957D83">
              <w:rPr>
                <w:b/>
                <w:i/>
              </w:rPr>
              <w:t>3.6</w:t>
            </w:r>
            <w:r w:rsidRPr="00957D83">
              <w:rPr>
                <w:b/>
                <w:i/>
              </w:rPr>
              <w:tab/>
              <w:t>By 2020, halve the number of global deaths and injuries from road traffic accidents.</w:t>
            </w:r>
          </w:p>
        </w:tc>
      </w:tr>
      <w:tr w:rsidR="00667C01" w:rsidRPr="00957D83" w14:paraId="57B1AAF9" w14:textId="77777777" w:rsidTr="0025106F">
        <w:trPr>
          <w:cantSplit/>
        </w:trPr>
        <w:tc>
          <w:tcPr>
            <w:tcW w:w="7370" w:type="dxa"/>
            <w:shd w:val="clear" w:color="auto" w:fill="auto"/>
          </w:tcPr>
          <w:p w14:paraId="4CE419F4" w14:textId="77777777" w:rsidR="00667C01" w:rsidRPr="00957D83" w:rsidRDefault="00667C01" w:rsidP="00B23EFB">
            <w:pPr>
              <w:spacing w:before="40" w:after="120"/>
              <w:ind w:right="113"/>
            </w:pPr>
            <w:r w:rsidRPr="00957D83">
              <w:rPr>
                <w:i/>
              </w:rPr>
              <w:t>Indicator</w:t>
            </w:r>
            <w:r w:rsidR="004531BB" w:rsidRPr="00957D83">
              <w:rPr>
                <w:i/>
              </w:rPr>
              <w:t xml:space="preserve"> 3.6.1</w:t>
            </w:r>
            <w:r w:rsidRPr="00957D83">
              <w:t xml:space="preserve">: </w:t>
            </w:r>
            <w:r w:rsidR="004531BB" w:rsidRPr="00957D83">
              <w:t>Death rate due to road traffic injuries</w:t>
            </w:r>
          </w:p>
          <w:p w14:paraId="65C48EFD" w14:textId="77777777" w:rsidR="00967FDA" w:rsidRPr="00957D83" w:rsidRDefault="00967FDA" w:rsidP="00B23EFB">
            <w:pPr>
              <w:spacing w:before="40" w:after="120"/>
              <w:ind w:right="113"/>
              <w:rPr>
                <w:u w:val="single"/>
              </w:rPr>
            </w:pPr>
            <w:r w:rsidRPr="00957D83">
              <w:rPr>
                <w:i/>
              </w:rPr>
              <w:t>Possible Custodian Agency:</w:t>
            </w:r>
            <w:r w:rsidR="004531BB" w:rsidRPr="00957D83">
              <w:t xml:space="preserve"> </w:t>
            </w:r>
            <w:r w:rsidR="00664A95" w:rsidRPr="00957D83">
              <w:t>World Health Organization (</w:t>
            </w:r>
            <w:r w:rsidR="004531BB" w:rsidRPr="00957D83">
              <w:t>WHO</w:t>
            </w:r>
            <w:r w:rsidR="00664A95" w:rsidRPr="00957D83">
              <w:t>)</w:t>
            </w:r>
          </w:p>
          <w:p w14:paraId="40AE6896" w14:textId="78D2051D" w:rsidR="00967FDA" w:rsidRPr="00957D83" w:rsidRDefault="001F1FB4" w:rsidP="00B23EFB">
            <w:pPr>
              <w:spacing w:before="40" w:after="120"/>
              <w:ind w:right="113"/>
            </w:pPr>
            <w:r w:rsidRPr="00957D83">
              <w:rPr>
                <w:i/>
              </w:rPr>
              <w:t xml:space="preserve">Partner </w:t>
            </w:r>
            <w:r w:rsidR="00967FDA" w:rsidRPr="00957D83">
              <w:rPr>
                <w:i/>
              </w:rPr>
              <w:t>Agencies:</w:t>
            </w:r>
            <w:r w:rsidR="004531BB" w:rsidRPr="00957D83">
              <w:t xml:space="preserve"> </w:t>
            </w:r>
            <w:r w:rsidR="008F6A09">
              <w:t>ECE</w:t>
            </w:r>
          </w:p>
          <w:p w14:paraId="7DEF12D0" w14:textId="77777777" w:rsidR="00DE0CF1" w:rsidRPr="00957D83" w:rsidRDefault="009F6E74" w:rsidP="00FD11B2">
            <w:pPr>
              <w:spacing w:before="40" w:after="120"/>
              <w:ind w:right="113"/>
              <w:rPr>
                <w:u w:val="single"/>
              </w:rPr>
            </w:pPr>
            <w:r w:rsidRPr="00957D83">
              <w:rPr>
                <w:i/>
              </w:rPr>
              <w:t>Tier</w:t>
            </w:r>
            <w:r w:rsidR="00DE0CF1" w:rsidRPr="00957D83">
              <w:t xml:space="preserve"> </w:t>
            </w:r>
            <w:r w:rsidR="00FD11B2" w:rsidRPr="00957D83">
              <w:rPr>
                <w:i/>
              </w:rPr>
              <w:t>I</w:t>
            </w:r>
          </w:p>
        </w:tc>
      </w:tr>
      <w:tr w:rsidR="00667C01" w:rsidRPr="00957D83" w14:paraId="4D314761" w14:textId="77777777" w:rsidTr="0025106F">
        <w:trPr>
          <w:cantSplit/>
        </w:trPr>
        <w:tc>
          <w:tcPr>
            <w:tcW w:w="7370" w:type="dxa"/>
            <w:shd w:val="clear" w:color="auto" w:fill="auto"/>
          </w:tcPr>
          <w:p w14:paraId="55F90492" w14:textId="77777777" w:rsidR="00667C01" w:rsidRPr="00957D83" w:rsidRDefault="004531BB" w:rsidP="00382991">
            <w:pPr>
              <w:spacing w:before="40" w:after="120"/>
              <w:ind w:right="113"/>
            </w:pPr>
            <w:r w:rsidRPr="00957D83">
              <w:rPr>
                <w:i/>
              </w:rPr>
              <w:t>Justification for ITC involvement:</w:t>
            </w:r>
            <w:r w:rsidRPr="00957D83">
              <w:t xml:space="preserve"> </w:t>
            </w:r>
            <w:r w:rsidR="00BC6029" w:rsidRPr="00957D83">
              <w:t xml:space="preserve">ITC </w:t>
            </w:r>
            <w:r w:rsidR="00667C01" w:rsidRPr="00957D83">
              <w:t xml:space="preserve">is the only United Nations forum offering a 360° approach to </w:t>
            </w:r>
            <w:r w:rsidR="00BC6029" w:rsidRPr="00957D83">
              <w:t>r</w:t>
            </w:r>
            <w:r w:rsidR="00667C01" w:rsidRPr="00957D83">
              <w:t xml:space="preserve">oad </w:t>
            </w:r>
            <w:r w:rsidR="00BC6029" w:rsidRPr="00957D83">
              <w:t>s</w:t>
            </w:r>
            <w:r w:rsidR="00667C01" w:rsidRPr="00957D83">
              <w:t xml:space="preserve">afety </w:t>
            </w:r>
            <w:proofErr w:type="gramStart"/>
            <w:r w:rsidR="00667C01" w:rsidRPr="00957D83">
              <w:t xml:space="preserve">on </w:t>
            </w:r>
            <w:r w:rsidR="00BC6029" w:rsidRPr="00957D83">
              <w:t>the basis of</w:t>
            </w:r>
            <w:proofErr w:type="gramEnd"/>
            <w:r w:rsidR="00BC6029" w:rsidRPr="00957D83">
              <w:t xml:space="preserve"> </w:t>
            </w:r>
            <w:r w:rsidR="00667C01" w:rsidRPr="00957D83">
              <w:t>its regulatory work, capacity-building and technical assistance, analytical work and policy dialogue</w:t>
            </w:r>
            <w:r w:rsidR="00BC6029" w:rsidRPr="00957D83">
              <w:t>.</w:t>
            </w:r>
            <w:r w:rsidR="00667C01" w:rsidRPr="00957D83">
              <w:t xml:space="preserve"> </w:t>
            </w:r>
            <w:r w:rsidR="00BC6029" w:rsidRPr="00957D83">
              <w:t>T</w:t>
            </w:r>
            <w:r w:rsidR="00667C01" w:rsidRPr="00957D83">
              <w:t>he</w:t>
            </w:r>
            <w:r w:rsidR="00382991" w:rsidRPr="00957D83">
              <w:t>se</w:t>
            </w:r>
            <w:r w:rsidR="00667C01" w:rsidRPr="00957D83">
              <w:t xml:space="preserve"> </w:t>
            </w:r>
            <w:r w:rsidR="00BC6029" w:rsidRPr="00957D83">
              <w:t>cover</w:t>
            </w:r>
            <w:r w:rsidR="00667C01" w:rsidRPr="00957D83">
              <w:t>:</w:t>
            </w:r>
          </w:p>
        </w:tc>
      </w:tr>
      <w:tr w:rsidR="00667C01" w:rsidRPr="00957D83" w14:paraId="7BDEBAC7" w14:textId="77777777" w:rsidTr="0025106F">
        <w:trPr>
          <w:cantSplit/>
        </w:trPr>
        <w:tc>
          <w:tcPr>
            <w:tcW w:w="7370" w:type="dxa"/>
            <w:shd w:val="clear" w:color="auto" w:fill="auto"/>
          </w:tcPr>
          <w:p w14:paraId="768C351E" w14:textId="77777777" w:rsidR="00667C01" w:rsidRPr="00957D83" w:rsidRDefault="00667C01" w:rsidP="009D43D7">
            <w:pPr>
              <w:pStyle w:val="Bullet1G"/>
            </w:pPr>
            <w:r w:rsidRPr="00957D83">
              <w:t>Traffic rules;</w:t>
            </w:r>
          </w:p>
        </w:tc>
      </w:tr>
      <w:tr w:rsidR="00667C01" w:rsidRPr="00957D83" w14:paraId="4B6B3520" w14:textId="77777777" w:rsidTr="0025106F">
        <w:trPr>
          <w:cantSplit/>
        </w:trPr>
        <w:tc>
          <w:tcPr>
            <w:tcW w:w="7370" w:type="dxa"/>
            <w:shd w:val="clear" w:color="auto" w:fill="auto"/>
          </w:tcPr>
          <w:p w14:paraId="2AB0604D" w14:textId="2C1B15E2" w:rsidR="00667C01" w:rsidRPr="00957D83" w:rsidRDefault="000B5E33" w:rsidP="000B5E33">
            <w:pPr>
              <w:pStyle w:val="Bullet1G"/>
            </w:pPr>
            <w:r>
              <w:t>Road s</w:t>
            </w:r>
            <w:r w:rsidR="00667C01" w:rsidRPr="00957D83">
              <w:t>igns and signals;</w:t>
            </w:r>
          </w:p>
        </w:tc>
      </w:tr>
      <w:tr w:rsidR="00667C01" w:rsidRPr="00957D83" w14:paraId="7864489D" w14:textId="77777777" w:rsidTr="0025106F">
        <w:trPr>
          <w:cantSplit/>
        </w:trPr>
        <w:tc>
          <w:tcPr>
            <w:tcW w:w="7370" w:type="dxa"/>
            <w:shd w:val="clear" w:color="auto" w:fill="auto"/>
          </w:tcPr>
          <w:p w14:paraId="6AE1ED94" w14:textId="77777777" w:rsidR="00667C01" w:rsidRPr="00957D83" w:rsidRDefault="00667C01" w:rsidP="009D43D7">
            <w:pPr>
              <w:pStyle w:val="Bullet1G"/>
            </w:pPr>
            <w:r w:rsidRPr="00957D83">
              <w:t>Road infrastructure;</w:t>
            </w:r>
          </w:p>
        </w:tc>
      </w:tr>
      <w:tr w:rsidR="00667C01" w:rsidRPr="00957D83" w14:paraId="2A0D5722" w14:textId="77777777" w:rsidTr="0025106F">
        <w:trPr>
          <w:cantSplit/>
        </w:trPr>
        <w:tc>
          <w:tcPr>
            <w:tcW w:w="7370" w:type="dxa"/>
            <w:shd w:val="clear" w:color="auto" w:fill="auto"/>
          </w:tcPr>
          <w:p w14:paraId="3A42A6FF" w14:textId="77777777" w:rsidR="00667C01" w:rsidRPr="00957D83" w:rsidRDefault="00667C01" w:rsidP="009D43D7">
            <w:pPr>
              <w:pStyle w:val="Bullet1G"/>
            </w:pPr>
            <w:r w:rsidRPr="00957D83">
              <w:t>Construction and periodic inspection of vehicles;</w:t>
            </w:r>
          </w:p>
        </w:tc>
      </w:tr>
      <w:tr w:rsidR="00667C01" w:rsidRPr="00957D83" w14:paraId="61254360" w14:textId="77777777" w:rsidTr="0025106F">
        <w:trPr>
          <w:cantSplit/>
        </w:trPr>
        <w:tc>
          <w:tcPr>
            <w:tcW w:w="7370" w:type="dxa"/>
            <w:shd w:val="clear" w:color="auto" w:fill="auto"/>
          </w:tcPr>
          <w:p w14:paraId="5CD48CAA" w14:textId="77777777" w:rsidR="00667C01" w:rsidRPr="00957D83" w:rsidRDefault="00667C01" w:rsidP="009D43D7">
            <w:pPr>
              <w:pStyle w:val="Bullet1G"/>
            </w:pPr>
            <w:r w:rsidRPr="00957D83">
              <w:t>Driving times and rest periods for professional drivers;</w:t>
            </w:r>
          </w:p>
        </w:tc>
      </w:tr>
      <w:tr w:rsidR="00667C01" w:rsidRPr="00957D83" w14:paraId="48EF1423" w14:textId="77777777" w:rsidTr="0025106F">
        <w:trPr>
          <w:cantSplit/>
        </w:trPr>
        <w:tc>
          <w:tcPr>
            <w:tcW w:w="7370" w:type="dxa"/>
            <w:shd w:val="clear" w:color="auto" w:fill="auto"/>
          </w:tcPr>
          <w:p w14:paraId="6D96B01C" w14:textId="26234BC1" w:rsidR="00667C01" w:rsidRPr="00957D83" w:rsidRDefault="000B5E33" w:rsidP="000B5E33">
            <w:pPr>
              <w:pStyle w:val="Bullet1G"/>
            </w:pPr>
            <w:r>
              <w:t>Transport of d</w:t>
            </w:r>
            <w:r w:rsidR="00667C01" w:rsidRPr="00957D83">
              <w:t>angerous goods;</w:t>
            </w:r>
          </w:p>
        </w:tc>
      </w:tr>
      <w:tr w:rsidR="002029B3" w:rsidRPr="00957D83" w14:paraId="5357B2E5" w14:textId="77777777" w:rsidTr="0025106F">
        <w:trPr>
          <w:cantSplit/>
        </w:trPr>
        <w:tc>
          <w:tcPr>
            <w:tcW w:w="7370" w:type="dxa"/>
            <w:shd w:val="clear" w:color="auto" w:fill="auto"/>
          </w:tcPr>
          <w:p w14:paraId="16E46732" w14:textId="77777777" w:rsidR="002029B3" w:rsidRPr="00957D83" w:rsidRDefault="002029B3" w:rsidP="009D43D7">
            <w:pPr>
              <w:pStyle w:val="Bullet1G"/>
            </w:pPr>
            <w:r w:rsidRPr="00957D83">
              <w:t>Mobilizing political will and resources, including support for the work of the United Nations Secretary-General’s Special Envoy for Road Safety.</w:t>
            </w:r>
          </w:p>
        </w:tc>
      </w:tr>
      <w:tr w:rsidR="00667C01" w:rsidRPr="00957D83" w14:paraId="7650772A" w14:textId="77777777" w:rsidTr="0025106F">
        <w:trPr>
          <w:cantSplit/>
        </w:trPr>
        <w:tc>
          <w:tcPr>
            <w:tcW w:w="7370" w:type="dxa"/>
            <w:shd w:val="clear" w:color="auto" w:fill="auto"/>
          </w:tcPr>
          <w:p w14:paraId="6676CAD7" w14:textId="20A58258" w:rsidR="004531BB" w:rsidRPr="00957D83" w:rsidRDefault="00740D30" w:rsidP="00CE2656">
            <w:pPr>
              <w:spacing w:before="40" w:after="120"/>
              <w:ind w:right="113"/>
            </w:pPr>
            <w:r w:rsidRPr="00957D83">
              <w:t xml:space="preserve">The </w:t>
            </w:r>
            <w:r w:rsidR="004531BB" w:rsidRPr="00957D83">
              <w:t xml:space="preserve">ITC </w:t>
            </w:r>
            <w:r w:rsidR="00BE5CDB" w:rsidRPr="00957D83">
              <w:t xml:space="preserve">collects </w:t>
            </w:r>
            <w:r w:rsidR="004531BB" w:rsidRPr="00957D83">
              <w:t xml:space="preserve">and disseminates significant amounts of statistics on road safety for </w:t>
            </w:r>
            <w:r w:rsidR="00B709C4" w:rsidRPr="00957D83">
              <w:t>the United Nations Economic Commission for Europe (</w:t>
            </w:r>
            <w:r w:rsidR="008F6A09">
              <w:t>ECE</w:t>
            </w:r>
            <w:r w:rsidR="00B709C4" w:rsidRPr="00957D83">
              <w:t>)</w:t>
            </w:r>
            <w:r w:rsidR="004531BB" w:rsidRPr="00957D83">
              <w:t xml:space="preserve"> member States</w:t>
            </w:r>
            <w:r w:rsidR="00BE5CDB" w:rsidRPr="00957D83">
              <w:t>,</w:t>
            </w:r>
            <w:r w:rsidR="004531BB" w:rsidRPr="00957D83">
              <w:t xml:space="preserve"> </w:t>
            </w:r>
            <w:r w:rsidR="00BE5CDB" w:rsidRPr="00957D83">
              <w:t xml:space="preserve">such as </w:t>
            </w:r>
            <w:r w:rsidR="004531BB" w:rsidRPr="00957D83">
              <w:t xml:space="preserve">in the online statistical database, and statistics publications </w:t>
            </w:r>
            <w:r w:rsidR="00CE2656" w:rsidRPr="00957D83">
              <w:t xml:space="preserve">such </w:t>
            </w:r>
            <w:proofErr w:type="gramStart"/>
            <w:r w:rsidR="00CE2656" w:rsidRPr="00957D83">
              <w:t>as</w:t>
            </w:r>
            <w:r w:rsidR="004531BB" w:rsidRPr="00957D83">
              <w:t>:</w:t>
            </w:r>
            <w:proofErr w:type="gramEnd"/>
            <w:r w:rsidR="004531BB" w:rsidRPr="00957D83">
              <w:t xml:space="preserve"> </w:t>
            </w:r>
            <w:r w:rsidR="00BC6029" w:rsidRPr="00957D83">
              <w:t>‘</w:t>
            </w:r>
            <w:r w:rsidR="004531BB" w:rsidRPr="00957D83">
              <w:t>Statistics of Road Traffic Accidents in Europe and North America</w:t>
            </w:r>
            <w:r w:rsidR="00BC6029" w:rsidRPr="00957D83">
              <w:t>’</w:t>
            </w:r>
            <w:r w:rsidR="00FE7379" w:rsidRPr="00957D83">
              <w:t xml:space="preserve"> and </w:t>
            </w:r>
            <w:r w:rsidR="00BC6029" w:rsidRPr="00957D83">
              <w:t>‘</w:t>
            </w:r>
            <w:r w:rsidR="007A2B33" w:rsidRPr="00957D83">
              <w:t xml:space="preserve">Transport Statistics </w:t>
            </w:r>
            <w:proofErr w:type="spellStart"/>
            <w:r w:rsidR="007A2B33" w:rsidRPr="00957D83">
              <w:t>Infocards</w:t>
            </w:r>
            <w:proofErr w:type="spellEnd"/>
            <w:r w:rsidR="00BC6029" w:rsidRPr="00957D83">
              <w:t>’</w:t>
            </w:r>
            <w:r w:rsidR="007A2B33" w:rsidRPr="00957D83">
              <w:t xml:space="preserve">. Data specifically related to fatalities as set out in this indicator </w:t>
            </w:r>
            <w:proofErr w:type="gramStart"/>
            <w:r w:rsidR="007A2B33" w:rsidRPr="00957D83">
              <w:t xml:space="preserve">have been measured and </w:t>
            </w:r>
            <w:r w:rsidR="00BC6029" w:rsidRPr="00957D83">
              <w:t xml:space="preserve">collected </w:t>
            </w:r>
            <w:r w:rsidR="007A2B33" w:rsidRPr="00957D83">
              <w:t xml:space="preserve">by </w:t>
            </w:r>
            <w:r w:rsidR="008F6A09">
              <w:t>ECE</w:t>
            </w:r>
            <w:r w:rsidR="007A2B33" w:rsidRPr="00957D83">
              <w:t xml:space="preserve"> for decades</w:t>
            </w:r>
            <w:proofErr w:type="gramEnd"/>
            <w:r w:rsidR="007A2B33" w:rsidRPr="00957D83">
              <w:t>.</w:t>
            </w:r>
            <w:r w:rsidR="00DE0CF1" w:rsidRPr="00957D83">
              <w:t xml:space="preserve"> Furthermore, this data is already in the possession of ITC and research</w:t>
            </w:r>
            <w:r w:rsidR="00BE5CDB" w:rsidRPr="00957D83">
              <w:t xml:space="preserve"> is not required</w:t>
            </w:r>
            <w:r w:rsidR="00DE0CF1" w:rsidRPr="00957D83">
              <w:t>.</w:t>
            </w:r>
          </w:p>
        </w:tc>
      </w:tr>
      <w:tr w:rsidR="00667C01" w:rsidRPr="00957D83" w14:paraId="61FB0941" w14:textId="77777777" w:rsidTr="0025106F">
        <w:trPr>
          <w:cantSplit/>
        </w:trPr>
        <w:tc>
          <w:tcPr>
            <w:tcW w:w="7370" w:type="dxa"/>
            <w:tcBorders>
              <w:top w:val="single" w:sz="12" w:space="0" w:color="auto"/>
              <w:bottom w:val="single" w:sz="4" w:space="0" w:color="auto"/>
            </w:tcBorders>
            <w:shd w:val="clear" w:color="auto" w:fill="auto"/>
          </w:tcPr>
          <w:p w14:paraId="07F87707" w14:textId="77777777" w:rsidR="00667C01" w:rsidRPr="00957D83" w:rsidRDefault="00667C01" w:rsidP="00B23EFB">
            <w:pPr>
              <w:spacing w:before="40" w:after="120"/>
              <w:ind w:right="113"/>
            </w:pPr>
            <w:r w:rsidRPr="00957D83">
              <w:rPr>
                <w:b/>
              </w:rPr>
              <w:lastRenderedPageBreak/>
              <w:t xml:space="preserve">Goal 9. </w:t>
            </w:r>
            <w:r w:rsidRPr="00957D83">
              <w:rPr>
                <w:b/>
              </w:rPr>
              <w:tab/>
              <w:t>Build resilient infrastructure, promote inclusive and sustainable industrialization and foster innovation</w:t>
            </w:r>
          </w:p>
        </w:tc>
      </w:tr>
      <w:tr w:rsidR="00667C01" w:rsidRPr="00957D83" w14:paraId="4933EC06" w14:textId="77777777" w:rsidTr="0025106F">
        <w:trPr>
          <w:cantSplit/>
        </w:trPr>
        <w:tc>
          <w:tcPr>
            <w:tcW w:w="7370" w:type="dxa"/>
            <w:tcBorders>
              <w:top w:val="single" w:sz="4" w:space="0" w:color="auto"/>
            </w:tcBorders>
            <w:shd w:val="clear" w:color="auto" w:fill="auto"/>
          </w:tcPr>
          <w:p w14:paraId="769EE7EA" w14:textId="77777777" w:rsidR="00667C01" w:rsidRPr="00957D83" w:rsidRDefault="00667C01" w:rsidP="00B23EFB">
            <w:pPr>
              <w:spacing w:before="40" w:after="120"/>
              <w:ind w:right="113"/>
            </w:pPr>
            <w:r w:rsidRPr="00957D83">
              <w:rPr>
                <w:b/>
                <w:i/>
              </w:rPr>
              <w:t>9.1</w:t>
            </w:r>
            <w:r w:rsidRPr="00957D83">
              <w:rPr>
                <w:b/>
                <w:i/>
              </w:rPr>
              <w:tab/>
              <w:t xml:space="preserve">Develop quality, reliable, sustainable and resilient infrastructure, including regional and </w:t>
            </w:r>
            <w:proofErr w:type="spellStart"/>
            <w:r w:rsidRPr="00957D83">
              <w:rPr>
                <w:b/>
                <w:i/>
              </w:rPr>
              <w:t>transborder</w:t>
            </w:r>
            <w:proofErr w:type="spellEnd"/>
            <w:r w:rsidRPr="00957D83">
              <w:rPr>
                <w:b/>
                <w:i/>
              </w:rPr>
              <w:t xml:space="preserve"> infrastructure, to support economic development and human well-being, with a focus on affordable and equitable access for all</w:t>
            </w:r>
          </w:p>
        </w:tc>
      </w:tr>
      <w:tr w:rsidR="00667C01" w:rsidRPr="00957D83" w14:paraId="62C07E93" w14:textId="77777777" w:rsidTr="0025106F">
        <w:trPr>
          <w:cantSplit/>
        </w:trPr>
        <w:tc>
          <w:tcPr>
            <w:tcW w:w="7370" w:type="dxa"/>
            <w:shd w:val="clear" w:color="auto" w:fill="auto"/>
          </w:tcPr>
          <w:p w14:paraId="67F2914C" w14:textId="77777777" w:rsidR="00667C01" w:rsidRPr="00957D83" w:rsidRDefault="00667C01" w:rsidP="00B23EFB">
            <w:pPr>
              <w:spacing w:before="40" w:after="120"/>
              <w:ind w:right="113"/>
            </w:pPr>
            <w:r w:rsidRPr="00957D83">
              <w:rPr>
                <w:i/>
              </w:rPr>
              <w:t xml:space="preserve">Indicator </w:t>
            </w:r>
            <w:r w:rsidR="00DE0CF1" w:rsidRPr="00957D83">
              <w:rPr>
                <w:i/>
              </w:rPr>
              <w:t>9.1.</w:t>
            </w:r>
            <w:r w:rsidRPr="00957D83">
              <w:rPr>
                <w:i/>
              </w:rPr>
              <w:t>1</w:t>
            </w:r>
            <w:r w:rsidRPr="00957D83">
              <w:t xml:space="preserve">: </w:t>
            </w:r>
            <w:r w:rsidR="00DE0CF1" w:rsidRPr="00957D83">
              <w:t>Proportion</w:t>
            </w:r>
            <w:r w:rsidRPr="00957D83">
              <w:t xml:space="preserve"> of the rural population who live within 2</w:t>
            </w:r>
            <w:r w:rsidR="00566800" w:rsidRPr="00957D83">
              <w:t xml:space="preserve"> </w:t>
            </w:r>
            <w:r w:rsidRPr="00957D83">
              <w:t>km of an all season road</w:t>
            </w:r>
          </w:p>
          <w:p w14:paraId="5FBCF8C2" w14:textId="77777777" w:rsidR="006405E0" w:rsidRPr="00957D83" w:rsidRDefault="006405E0" w:rsidP="006405E0">
            <w:pPr>
              <w:spacing w:before="40" w:after="120"/>
              <w:ind w:right="113"/>
              <w:rPr>
                <w:u w:val="single"/>
              </w:rPr>
            </w:pPr>
            <w:r w:rsidRPr="00957D83">
              <w:rPr>
                <w:i/>
              </w:rPr>
              <w:t>Possible Custodian Agency:</w:t>
            </w:r>
            <w:r w:rsidR="00DE0CF1" w:rsidRPr="00957D83">
              <w:t xml:space="preserve"> World Bank</w:t>
            </w:r>
          </w:p>
          <w:p w14:paraId="6FA016BF" w14:textId="08861CA0" w:rsidR="006405E0" w:rsidRPr="00957D83" w:rsidRDefault="00FE7379" w:rsidP="006405E0">
            <w:pPr>
              <w:spacing w:before="40" w:after="120"/>
              <w:ind w:right="113"/>
            </w:pPr>
            <w:r w:rsidRPr="00957D83">
              <w:rPr>
                <w:i/>
              </w:rPr>
              <w:t>Partner Agencies:</w:t>
            </w:r>
            <w:r w:rsidRPr="00957D83">
              <w:t xml:space="preserve"> </w:t>
            </w:r>
            <w:r w:rsidR="008F6A09">
              <w:t>ECE</w:t>
            </w:r>
            <w:r w:rsidRPr="00957D83">
              <w:t xml:space="preserve">; </w:t>
            </w:r>
            <w:r w:rsidR="00566800" w:rsidRPr="00957D83">
              <w:t>United Nations Environment Programme (</w:t>
            </w:r>
            <w:bookmarkStart w:id="1" w:name="hit1"/>
            <w:bookmarkEnd w:id="1"/>
            <w:r w:rsidR="00566800" w:rsidRPr="00957D83">
              <w:t xml:space="preserve">UNEP) </w:t>
            </w:r>
          </w:p>
          <w:p w14:paraId="6B958948" w14:textId="77777777" w:rsidR="00DE0CF1" w:rsidRPr="00957D83" w:rsidRDefault="009F6E74" w:rsidP="006405E0">
            <w:pPr>
              <w:spacing w:before="40" w:after="120"/>
              <w:ind w:right="113"/>
            </w:pPr>
            <w:r w:rsidRPr="00957D83">
              <w:rPr>
                <w:i/>
              </w:rPr>
              <w:t>Tier</w:t>
            </w:r>
            <w:r w:rsidR="00DE0CF1" w:rsidRPr="00957D83">
              <w:rPr>
                <w:i/>
              </w:rPr>
              <w:t>:</w:t>
            </w:r>
            <w:r w:rsidR="00DE0CF1" w:rsidRPr="00957D83">
              <w:t xml:space="preserve"> III</w:t>
            </w:r>
          </w:p>
        </w:tc>
      </w:tr>
      <w:tr w:rsidR="00667C01" w:rsidRPr="00957D83" w14:paraId="2C968981" w14:textId="77777777" w:rsidTr="0025106F">
        <w:trPr>
          <w:cantSplit/>
        </w:trPr>
        <w:tc>
          <w:tcPr>
            <w:tcW w:w="7370" w:type="dxa"/>
            <w:shd w:val="clear" w:color="auto" w:fill="auto"/>
          </w:tcPr>
          <w:p w14:paraId="0DC4AB24" w14:textId="77777777" w:rsidR="00667C01" w:rsidRPr="00957D83" w:rsidRDefault="00667C01" w:rsidP="00B23EFB">
            <w:pPr>
              <w:spacing w:before="40" w:after="120"/>
              <w:ind w:right="113"/>
            </w:pPr>
            <w:r w:rsidRPr="00957D83">
              <w:rPr>
                <w:i/>
              </w:rPr>
              <w:t xml:space="preserve">Indicator </w:t>
            </w:r>
            <w:r w:rsidR="00DE0CF1" w:rsidRPr="00957D83">
              <w:rPr>
                <w:i/>
              </w:rPr>
              <w:t>9.1.</w:t>
            </w:r>
            <w:r w:rsidRPr="00957D83">
              <w:rPr>
                <w:i/>
              </w:rPr>
              <w:t>2</w:t>
            </w:r>
            <w:r w:rsidRPr="00957D83">
              <w:t>: Passenger and freight volumes</w:t>
            </w:r>
          </w:p>
          <w:p w14:paraId="4CE64078" w14:textId="77777777" w:rsidR="006405E0" w:rsidRPr="00957D83" w:rsidRDefault="006405E0" w:rsidP="006405E0">
            <w:pPr>
              <w:spacing w:before="40" w:after="120"/>
              <w:ind w:right="113"/>
            </w:pPr>
            <w:r w:rsidRPr="00957D83">
              <w:rPr>
                <w:i/>
              </w:rPr>
              <w:t>Possible Custodian Agency:</w:t>
            </w:r>
            <w:r w:rsidR="00DE0CF1" w:rsidRPr="00957D83">
              <w:t xml:space="preserve"> </w:t>
            </w:r>
            <w:r w:rsidR="000B2602" w:rsidRPr="00957D83">
              <w:t>International Civil Aviation Organization (ICAO)</w:t>
            </w:r>
            <w:r w:rsidR="00FE7379" w:rsidRPr="00957D83">
              <w:t>; ITF-OECD</w:t>
            </w:r>
          </w:p>
          <w:p w14:paraId="384424DE" w14:textId="1C04D183" w:rsidR="006405E0" w:rsidRPr="00957D83" w:rsidRDefault="00FE7379" w:rsidP="006405E0">
            <w:pPr>
              <w:spacing w:before="40" w:after="120"/>
              <w:ind w:right="113"/>
              <w:rPr>
                <w:u w:val="single"/>
              </w:rPr>
            </w:pPr>
            <w:r w:rsidRPr="00957D83">
              <w:rPr>
                <w:i/>
              </w:rPr>
              <w:t>Partner Agencies:</w:t>
            </w:r>
            <w:r w:rsidRPr="00957D83">
              <w:t xml:space="preserve"> </w:t>
            </w:r>
            <w:r w:rsidR="008F6A09">
              <w:t>ECE</w:t>
            </w:r>
            <w:r w:rsidR="00A36DD4" w:rsidRPr="00957D83">
              <w:t xml:space="preserve">, </w:t>
            </w:r>
            <w:r w:rsidR="009D2082" w:rsidRPr="00957D83">
              <w:t>Universal Postal Union (UPU)</w:t>
            </w:r>
            <w:r w:rsidR="00DE0CF1" w:rsidRPr="00957D83">
              <w:t xml:space="preserve">, </w:t>
            </w:r>
            <w:r w:rsidRPr="00957D83">
              <w:t>UNEP</w:t>
            </w:r>
          </w:p>
          <w:p w14:paraId="29473A5B" w14:textId="77777777" w:rsidR="00DE0CF1" w:rsidRPr="00957D83" w:rsidRDefault="009F6E74" w:rsidP="006405E0">
            <w:pPr>
              <w:spacing w:before="40" w:after="120"/>
              <w:ind w:right="113"/>
            </w:pPr>
            <w:r w:rsidRPr="00957D83">
              <w:rPr>
                <w:i/>
              </w:rPr>
              <w:t>Tier</w:t>
            </w:r>
            <w:r w:rsidR="00DE0CF1" w:rsidRPr="00957D83">
              <w:rPr>
                <w:i/>
              </w:rPr>
              <w:t>:</w:t>
            </w:r>
            <w:r w:rsidR="00DE0CF1" w:rsidRPr="00957D83">
              <w:t xml:space="preserve"> I</w:t>
            </w:r>
          </w:p>
        </w:tc>
      </w:tr>
      <w:tr w:rsidR="00667C01" w:rsidRPr="00957D83" w14:paraId="76DD277D" w14:textId="77777777" w:rsidTr="0025106F">
        <w:trPr>
          <w:cantSplit/>
        </w:trPr>
        <w:tc>
          <w:tcPr>
            <w:tcW w:w="7370" w:type="dxa"/>
            <w:shd w:val="clear" w:color="auto" w:fill="auto"/>
          </w:tcPr>
          <w:p w14:paraId="2625E88A" w14:textId="407B6C99" w:rsidR="00DE0CF1" w:rsidRPr="00957D83" w:rsidRDefault="00DE0CF1" w:rsidP="00DE0CF1">
            <w:pPr>
              <w:spacing w:before="40" w:after="120"/>
              <w:ind w:right="113"/>
            </w:pPr>
            <w:r w:rsidRPr="00957D83">
              <w:t xml:space="preserve">ITC through its work in WP.6 gathers significant transport related statistics with particular reference to passenger and freight volumes for </w:t>
            </w:r>
            <w:r w:rsidR="008F6A09">
              <w:t>ECE</w:t>
            </w:r>
            <w:r w:rsidRPr="00957D83">
              <w:t xml:space="preserve"> member States as set out in the online statistical database, and the number of statistics publications that we prepare including, but not limited to: “Bulletin of Transport Statistic</w:t>
            </w:r>
            <w:r w:rsidR="00FE7379" w:rsidRPr="00957D83">
              <w:t>s for Europe and North America</w:t>
            </w:r>
            <w:r w:rsidRPr="00957D83">
              <w:t>”</w:t>
            </w:r>
            <w:r w:rsidR="00FE7379" w:rsidRPr="00957D83">
              <w:t xml:space="preserve"> and </w:t>
            </w:r>
            <w:r w:rsidRPr="00957D83">
              <w:t xml:space="preserve">“Transport Statistics </w:t>
            </w:r>
            <w:proofErr w:type="spellStart"/>
            <w:r w:rsidRPr="00957D83">
              <w:t>Infocards</w:t>
            </w:r>
            <w:proofErr w:type="spellEnd"/>
            <w:r w:rsidRPr="00957D83">
              <w:t xml:space="preserve">”. Data specifically related to passenger and freight volumes as set out in this indicator have been measured and gathered by </w:t>
            </w:r>
            <w:r w:rsidR="008F6A09">
              <w:t>ECE</w:t>
            </w:r>
            <w:r w:rsidRPr="00957D83">
              <w:t xml:space="preserve"> for decades. Furthermore, this data is already in the possession of ITC and does not need to </w:t>
            </w:r>
            <w:proofErr w:type="gramStart"/>
            <w:r w:rsidRPr="00957D83">
              <w:t>be researched</w:t>
            </w:r>
            <w:proofErr w:type="gramEnd"/>
            <w:r w:rsidRPr="00957D83">
              <w:t>.</w:t>
            </w:r>
          </w:p>
          <w:p w14:paraId="1756C556" w14:textId="77777777" w:rsidR="00667C01" w:rsidRPr="00957D83" w:rsidRDefault="00DE0CF1" w:rsidP="00DA266A">
            <w:pPr>
              <w:spacing w:before="40" w:after="120"/>
              <w:ind w:right="113"/>
            </w:pPr>
            <w:proofErr w:type="gramStart"/>
            <w:r w:rsidRPr="00957D83">
              <w:t xml:space="preserve">Furthermore, </w:t>
            </w:r>
            <w:r w:rsidR="00667C01" w:rsidRPr="00957D83">
              <w:t>ITC through the work of the Working Party on Transport Trends and Economics (WP.5) on climate change adaptation, prepared policy-oriented recommendations that aim to improve the long-term sustainability of international transport systems and set best examples of national policies, addressing the issues of transport networks vulnerability among member Governments, including developing and landlocked countries, as well as small island States.</w:t>
            </w:r>
            <w:proofErr w:type="gramEnd"/>
          </w:p>
        </w:tc>
      </w:tr>
      <w:tr w:rsidR="00667C01" w:rsidRPr="00957D83" w14:paraId="5F4056BE" w14:textId="77777777" w:rsidTr="0025106F">
        <w:trPr>
          <w:cantSplit/>
        </w:trPr>
        <w:tc>
          <w:tcPr>
            <w:tcW w:w="7370" w:type="dxa"/>
            <w:tcBorders>
              <w:top w:val="single" w:sz="12" w:space="0" w:color="auto"/>
              <w:bottom w:val="single" w:sz="4" w:space="0" w:color="auto"/>
            </w:tcBorders>
            <w:shd w:val="clear" w:color="auto" w:fill="auto"/>
          </w:tcPr>
          <w:p w14:paraId="1D40EFE8" w14:textId="77777777" w:rsidR="00667C01" w:rsidRPr="00957D83" w:rsidRDefault="00667C01" w:rsidP="00B23EFB">
            <w:pPr>
              <w:keepNext/>
              <w:keepLines/>
              <w:spacing w:before="40" w:after="120"/>
              <w:ind w:right="113"/>
            </w:pPr>
            <w:r w:rsidRPr="00957D83">
              <w:rPr>
                <w:b/>
              </w:rPr>
              <w:t>Goal 11.</w:t>
            </w:r>
            <w:r w:rsidRPr="00957D83">
              <w:rPr>
                <w:b/>
              </w:rPr>
              <w:tab/>
              <w:t>Make cities and human settlements inclusive, safe, resilient and sustainable</w:t>
            </w:r>
          </w:p>
        </w:tc>
      </w:tr>
      <w:tr w:rsidR="00667C01" w:rsidRPr="00957D83" w14:paraId="1340A7B4" w14:textId="77777777" w:rsidTr="0025106F">
        <w:trPr>
          <w:cantSplit/>
        </w:trPr>
        <w:tc>
          <w:tcPr>
            <w:tcW w:w="7370" w:type="dxa"/>
            <w:tcBorders>
              <w:top w:val="single" w:sz="4" w:space="0" w:color="auto"/>
            </w:tcBorders>
            <w:shd w:val="clear" w:color="auto" w:fill="auto"/>
          </w:tcPr>
          <w:p w14:paraId="424CB175" w14:textId="77777777" w:rsidR="00667C01" w:rsidRPr="00957D83" w:rsidRDefault="00667C01" w:rsidP="00B23EFB">
            <w:pPr>
              <w:keepNext/>
              <w:keepLines/>
              <w:spacing w:before="40" w:after="120"/>
              <w:ind w:right="113"/>
            </w:pPr>
            <w:r w:rsidRPr="00957D83">
              <w:rPr>
                <w:b/>
                <w:i/>
              </w:rPr>
              <w:t>11.2</w:t>
            </w:r>
            <w:r w:rsidRPr="00957D83">
              <w:rPr>
                <w:b/>
                <w:i/>
              </w:rPr>
              <w:tab/>
              <w:t xml:space="preserve">By 2030, provide access to safe, affordable, accessible and sustainable transport systems for all, improving road safety, notably by expanding public transport, with special attention to the needs of those in vulnerable situations, women, </w:t>
            </w:r>
            <w:proofErr w:type="gramStart"/>
            <w:r w:rsidRPr="00957D83">
              <w:rPr>
                <w:b/>
                <w:i/>
              </w:rPr>
              <w:t>children</w:t>
            </w:r>
            <w:proofErr w:type="gramEnd"/>
            <w:r w:rsidRPr="00957D83">
              <w:rPr>
                <w:b/>
                <w:i/>
              </w:rPr>
              <w:t>, persons with disabilities and older persons.</w:t>
            </w:r>
          </w:p>
        </w:tc>
      </w:tr>
      <w:tr w:rsidR="00667C01" w:rsidRPr="00957D83" w14:paraId="119A0DE8" w14:textId="77777777" w:rsidTr="0025106F">
        <w:trPr>
          <w:cantSplit/>
        </w:trPr>
        <w:tc>
          <w:tcPr>
            <w:tcW w:w="7370" w:type="dxa"/>
            <w:shd w:val="clear" w:color="auto" w:fill="auto"/>
          </w:tcPr>
          <w:p w14:paraId="326E61D5" w14:textId="77777777" w:rsidR="00667C01" w:rsidRPr="00957D83" w:rsidRDefault="00DE0CF1" w:rsidP="00B23EFB">
            <w:pPr>
              <w:spacing w:before="40" w:after="120"/>
              <w:ind w:right="113"/>
            </w:pPr>
            <w:r w:rsidRPr="00957D83">
              <w:rPr>
                <w:i/>
              </w:rPr>
              <w:t>I</w:t>
            </w:r>
            <w:r w:rsidR="00667C01" w:rsidRPr="00957D83">
              <w:rPr>
                <w:i/>
              </w:rPr>
              <w:t>ndicator</w:t>
            </w:r>
            <w:r w:rsidRPr="00957D83">
              <w:rPr>
                <w:i/>
              </w:rPr>
              <w:t xml:space="preserve"> 11.2.1</w:t>
            </w:r>
            <w:r w:rsidR="00667C01" w:rsidRPr="00957D83">
              <w:t xml:space="preserve">: Proportion of population that has </w:t>
            </w:r>
            <w:r w:rsidRPr="00957D83">
              <w:t>convenient access to public transport, by sex, age and persons with disabilities</w:t>
            </w:r>
          </w:p>
          <w:p w14:paraId="4FAC001F" w14:textId="77777777" w:rsidR="006405E0" w:rsidRPr="00957D83" w:rsidRDefault="006405E0" w:rsidP="006405E0">
            <w:pPr>
              <w:spacing w:before="40" w:after="120"/>
              <w:ind w:right="113"/>
              <w:rPr>
                <w:u w:val="single"/>
              </w:rPr>
            </w:pPr>
            <w:r w:rsidRPr="00957D83">
              <w:rPr>
                <w:i/>
              </w:rPr>
              <w:t>Possible Custodian Agency:</w:t>
            </w:r>
            <w:r w:rsidR="00DE0CF1" w:rsidRPr="00957D83">
              <w:rPr>
                <w:i/>
              </w:rPr>
              <w:t xml:space="preserve"> </w:t>
            </w:r>
            <w:r w:rsidR="00C065B3" w:rsidRPr="00957D83">
              <w:t>United Nations Human Settlements Programme (UN-</w:t>
            </w:r>
            <w:bookmarkStart w:id="2" w:name="hit_last"/>
            <w:bookmarkEnd w:id="2"/>
            <w:r w:rsidR="00C065B3" w:rsidRPr="00957D83">
              <w:t>HABITAT)</w:t>
            </w:r>
          </w:p>
          <w:p w14:paraId="148D73A4" w14:textId="5A01F5C8" w:rsidR="006405E0" w:rsidRPr="00957D83" w:rsidRDefault="00FE7379" w:rsidP="00FE7379">
            <w:pPr>
              <w:spacing w:before="40" w:after="120"/>
              <w:ind w:right="113"/>
            </w:pPr>
            <w:r w:rsidRPr="00957D83">
              <w:rPr>
                <w:i/>
              </w:rPr>
              <w:t>Partner Agencies:</w:t>
            </w:r>
            <w:r w:rsidRPr="00957D83">
              <w:t xml:space="preserve"> </w:t>
            </w:r>
            <w:r w:rsidR="008F6A09">
              <w:t>ECE</w:t>
            </w:r>
            <w:r w:rsidRPr="00957D83">
              <w:t>;</w:t>
            </w:r>
            <w:r w:rsidR="00DE0CF1" w:rsidRPr="00957D83">
              <w:t xml:space="preserve"> UNEP</w:t>
            </w:r>
          </w:p>
        </w:tc>
      </w:tr>
      <w:tr w:rsidR="00667C01" w:rsidRPr="00957D83" w14:paraId="4A0F1816" w14:textId="77777777" w:rsidTr="0025106F">
        <w:trPr>
          <w:cantSplit/>
        </w:trPr>
        <w:tc>
          <w:tcPr>
            <w:tcW w:w="7370" w:type="dxa"/>
            <w:shd w:val="clear" w:color="auto" w:fill="auto"/>
          </w:tcPr>
          <w:p w14:paraId="5E144104" w14:textId="77777777" w:rsidR="00667C01" w:rsidRPr="00957D83" w:rsidRDefault="009F6E74" w:rsidP="00DE0CF1">
            <w:pPr>
              <w:spacing w:before="40" w:after="120"/>
              <w:ind w:right="113"/>
            </w:pPr>
            <w:r w:rsidRPr="00957D83">
              <w:rPr>
                <w:i/>
              </w:rPr>
              <w:t>Tier</w:t>
            </w:r>
            <w:r w:rsidR="00DE0CF1" w:rsidRPr="00957D83">
              <w:rPr>
                <w:i/>
              </w:rPr>
              <w:t>:</w:t>
            </w:r>
            <w:r w:rsidR="00DE0CF1" w:rsidRPr="00957D83">
              <w:t xml:space="preserve"> II</w:t>
            </w:r>
          </w:p>
        </w:tc>
      </w:tr>
      <w:tr w:rsidR="00667C01" w:rsidRPr="00957D83" w14:paraId="063FBB65" w14:textId="77777777" w:rsidTr="0025106F">
        <w:trPr>
          <w:cantSplit/>
        </w:trPr>
        <w:tc>
          <w:tcPr>
            <w:tcW w:w="7370" w:type="dxa"/>
            <w:shd w:val="clear" w:color="auto" w:fill="auto"/>
          </w:tcPr>
          <w:p w14:paraId="401BD178" w14:textId="77777777" w:rsidR="00287238" w:rsidRPr="00957D83" w:rsidRDefault="00667C01" w:rsidP="00FE7379">
            <w:pPr>
              <w:spacing w:before="40" w:after="120"/>
              <w:ind w:right="113"/>
            </w:pPr>
            <w:r w:rsidRPr="00957D83">
              <w:t>The ITC provides best practices and policies for the development of sustainable urban transport systems, i.e. systems that are efficient, interconnected, affordable, safe and environmentally friendly allowing greater wider mobility and access for all within dense urban environments.</w:t>
            </w:r>
          </w:p>
        </w:tc>
      </w:tr>
      <w:tr w:rsidR="00667C01" w:rsidRPr="00957D83" w14:paraId="0E66474F" w14:textId="77777777" w:rsidTr="0025106F">
        <w:trPr>
          <w:cantSplit/>
        </w:trPr>
        <w:tc>
          <w:tcPr>
            <w:tcW w:w="7370" w:type="dxa"/>
            <w:tcBorders>
              <w:bottom w:val="single" w:sz="12" w:space="0" w:color="auto"/>
            </w:tcBorders>
            <w:shd w:val="clear" w:color="auto" w:fill="auto"/>
          </w:tcPr>
          <w:p w14:paraId="5604BA27" w14:textId="77777777" w:rsidR="00667C01" w:rsidRPr="00957D83" w:rsidRDefault="00667C01" w:rsidP="00B23EFB">
            <w:pPr>
              <w:spacing w:before="40" w:after="120"/>
              <w:ind w:right="113"/>
            </w:pPr>
          </w:p>
        </w:tc>
      </w:tr>
    </w:tbl>
    <w:p w14:paraId="04CA4CB6" w14:textId="77777777" w:rsidR="00D82084" w:rsidRPr="00957D83" w:rsidRDefault="00D82084">
      <w:pPr>
        <w:suppressAutoHyphens w:val="0"/>
        <w:spacing w:line="240" w:lineRule="auto"/>
        <w:rPr>
          <w:b/>
          <w:sz w:val="28"/>
        </w:rPr>
      </w:pPr>
      <w:r w:rsidRPr="00957D83">
        <w:rPr>
          <w:b/>
          <w:sz w:val="28"/>
        </w:rPr>
        <w:br w:type="page"/>
      </w:r>
    </w:p>
    <w:p w14:paraId="5FED9FA2" w14:textId="77777777" w:rsidR="00296C2E" w:rsidRPr="00957D83" w:rsidRDefault="00296C2E" w:rsidP="00296C2E">
      <w:pPr>
        <w:keepNext/>
        <w:keepLines/>
        <w:tabs>
          <w:tab w:val="right" w:pos="851"/>
        </w:tabs>
        <w:spacing w:before="360" w:after="240" w:line="300" w:lineRule="exact"/>
        <w:ind w:left="1134" w:right="1134" w:hanging="1134"/>
        <w:rPr>
          <w:b/>
          <w:sz w:val="28"/>
        </w:rPr>
      </w:pPr>
      <w:r w:rsidRPr="00957D83">
        <w:rPr>
          <w:b/>
          <w:sz w:val="28"/>
        </w:rPr>
        <w:lastRenderedPageBreak/>
        <w:t>Annex II</w:t>
      </w:r>
    </w:p>
    <w:p w14:paraId="3A11E890" w14:textId="77777777" w:rsidR="00296C2E" w:rsidRPr="00957D83" w:rsidRDefault="00296C2E" w:rsidP="00296C2E">
      <w:pPr>
        <w:keepNext/>
        <w:keepLines/>
        <w:tabs>
          <w:tab w:val="right" w:pos="851"/>
        </w:tabs>
        <w:spacing w:before="360" w:after="240" w:line="300" w:lineRule="exact"/>
        <w:ind w:left="1134" w:right="1134" w:hanging="1134"/>
        <w:rPr>
          <w:b/>
          <w:sz w:val="28"/>
        </w:rPr>
      </w:pPr>
      <w:r w:rsidRPr="00957D83">
        <w:rPr>
          <w:b/>
          <w:sz w:val="28"/>
        </w:rPr>
        <w:tab/>
      </w:r>
      <w:r w:rsidRPr="00957D83">
        <w:rPr>
          <w:b/>
          <w:sz w:val="28"/>
        </w:rPr>
        <w:tab/>
        <w:t xml:space="preserve">Ministerial Resolution on </w:t>
      </w:r>
      <w:proofErr w:type="gramStart"/>
      <w:r w:rsidRPr="00957D83">
        <w:rPr>
          <w:b/>
          <w:i/>
          <w:sz w:val="28"/>
        </w:rPr>
        <w:t>Embracing</w:t>
      </w:r>
      <w:proofErr w:type="gramEnd"/>
      <w:r w:rsidRPr="00957D83">
        <w:rPr>
          <w:b/>
          <w:i/>
          <w:sz w:val="28"/>
        </w:rPr>
        <w:t xml:space="preserve"> the new era for sustainable inland transport and mobility</w:t>
      </w:r>
      <w:r w:rsidRPr="00957D83">
        <w:rPr>
          <w:b/>
          <w:sz w:val="28"/>
        </w:rPr>
        <w:t xml:space="preserve"> </w:t>
      </w:r>
    </w:p>
    <w:p w14:paraId="5C13A691" w14:textId="183EEF72" w:rsidR="00296C2E" w:rsidRPr="00957D83" w:rsidRDefault="0025106F" w:rsidP="0025106F">
      <w:pPr>
        <w:pStyle w:val="SingleTxtG"/>
        <w:rPr>
          <w:i/>
        </w:rPr>
      </w:pPr>
      <w:r w:rsidRPr="00957D83">
        <w:tab/>
      </w:r>
      <w:proofErr w:type="gramStart"/>
      <w:r w:rsidR="00296C2E" w:rsidRPr="00957D83">
        <w:t xml:space="preserve">We the Ministers, having come together to celebrate the seventieth anniversary of the </w:t>
      </w:r>
      <w:r w:rsidR="008F6A09">
        <w:t>ECE</w:t>
      </w:r>
      <w:r w:rsidR="00296C2E" w:rsidRPr="00957D83">
        <w:t xml:space="preserve"> Inland Transport Committee on 21 February 2017.</w:t>
      </w:r>
      <w:proofErr w:type="gramEnd"/>
    </w:p>
    <w:p w14:paraId="78E9E2BD" w14:textId="77777777" w:rsidR="00296C2E" w:rsidRPr="00957D83" w:rsidRDefault="0025106F" w:rsidP="0025106F">
      <w:pPr>
        <w:pStyle w:val="SingleTxtG"/>
      </w:pPr>
      <w:r w:rsidRPr="00957D83">
        <w:rPr>
          <w:i/>
        </w:rPr>
        <w:tab/>
      </w:r>
      <w:r w:rsidR="00296C2E" w:rsidRPr="00957D83">
        <w:rPr>
          <w:i/>
        </w:rPr>
        <w:t>Fully aware</w:t>
      </w:r>
      <w:r w:rsidR="00296C2E" w:rsidRPr="00957D83">
        <w:t xml:space="preserve"> of the new </w:t>
      </w:r>
      <w:r w:rsidRPr="00957D83">
        <w:t>era for transport and mobility —</w:t>
      </w:r>
      <w:r w:rsidR="00296C2E" w:rsidRPr="00957D83">
        <w:t xml:space="preserve"> marked by th</w:t>
      </w:r>
      <w:r w:rsidRPr="00957D83">
        <w:t>e fourth industrial revolution —</w:t>
      </w:r>
      <w:r w:rsidR="00296C2E" w:rsidRPr="00957D83">
        <w:t xml:space="preserve"> as well as the adoption of the 2030 Agenda for Sustainable Development and the Sustainable Development Goals, the Addis Ababa Action Agenda of the Third International Conference on Financing for Development, and the Paris Agreement under the United Nations Framework Convention on Climate Change,</w:t>
      </w:r>
    </w:p>
    <w:p w14:paraId="3FAC533D" w14:textId="77777777" w:rsidR="00296C2E" w:rsidRPr="00957D83" w:rsidRDefault="00296C2E" w:rsidP="00296C2E">
      <w:pPr>
        <w:spacing w:after="120"/>
        <w:ind w:left="1134" w:right="1134" w:firstLine="567"/>
        <w:rPr>
          <w:i/>
        </w:rPr>
      </w:pPr>
      <w:r w:rsidRPr="00957D83">
        <w:rPr>
          <w:i/>
        </w:rPr>
        <w:t>(…)</w:t>
      </w:r>
    </w:p>
    <w:p w14:paraId="51021843" w14:textId="77777777" w:rsidR="00296C2E" w:rsidRPr="00957D83" w:rsidRDefault="0025106F" w:rsidP="0025106F">
      <w:pPr>
        <w:pStyle w:val="SingleTxtG"/>
      </w:pPr>
      <w:r w:rsidRPr="00957D83">
        <w:rPr>
          <w:i/>
        </w:rPr>
        <w:tab/>
      </w:r>
      <w:r w:rsidR="00296C2E" w:rsidRPr="00957D83">
        <w:rPr>
          <w:i/>
        </w:rPr>
        <w:t>Maintaining</w:t>
      </w:r>
      <w:r w:rsidR="00296C2E" w:rsidRPr="00957D83">
        <w:t xml:space="preserve"> that accessions to the United Nations transport Conventions are positively associated with better performance in the implementation of transport-related Sustainable Development Goals and targets,</w:t>
      </w:r>
    </w:p>
    <w:p w14:paraId="586998A8" w14:textId="77777777" w:rsidR="00296C2E" w:rsidRPr="00957D83" w:rsidRDefault="00296C2E" w:rsidP="00296C2E">
      <w:pPr>
        <w:spacing w:after="120"/>
        <w:ind w:left="1134" w:right="1134" w:firstLine="567"/>
        <w:rPr>
          <w:i/>
        </w:rPr>
      </w:pPr>
      <w:r w:rsidRPr="00957D83">
        <w:rPr>
          <w:i/>
        </w:rPr>
        <w:t>(…)</w:t>
      </w:r>
    </w:p>
    <w:p w14:paraId="66124876" w14:textId="6F2881AE" w:rsidR="00296C2E" w:rsidRPr="00957D83" w:rsidRDefault="0025106F" w:rsidP="0025106F">
      <w:pPr>
        <w:pStyle w:val="SingleTxtG"/>
      </w:pPr>
      <w:r w:rsidRPr="00957D83">
        <w:rPr>
          <w:i/>
        </w:rPr>
        <w:tab/>
      </w:r>
      <w:r w:rsidR="00296C2E" w:rsidRPr="00957D83">
        <w:rPr>
          <w:i/>
        </w:rPr>
        <w:t>Urging</w:t>
      </w:r>
      <w:r w:rsidR="00296C2E" w:rsidRPr="00957D83">
        <w:t xml:space="preserve"> Member States of the United Nations </w:t>
      </w:r>
      <w:proofErr w:type="gramStart"/>
      <w:r w:rsidR="00296C2E" w:rsidRPr="00957D83">
        <w:t>to further improve</w:t>
      </w:r>
      <w:proofErr w:type="gramEnd"/>
      <w:r w:rsidR="00296C2E" w:rsidRPr="00957D83">
        <w:t xml:space="preserve"> intermodal transport services and to effectively integrate transport modes in order to achieve the Sustainable Development </w:t>
      </w:r>
    </w:p>
    <w:p w14:paraId="6672B221" w14:textId="77777777" w:rsidR="00296C2E" w:rsidRPr="00957D83" w:rsidRDefault="00296C2E" w:rsidP="00296C2E">
      <w:pPr>
        <w:spacing w:after="120"/>
        <w:ind w:left="1134" w:right="1134" w:firstLine="567"/>
        <w:rPr>
          <w:i/>
        </w:rPr>
      </w:pPr>
      <w:r w:rsidRPr="00957D83">
        <w:rPr>
          <w:i/>
        </w:rPr>
        <w:t>(…)</w:t>
      </w:r>
    </w:p>
    <w:p w14:paraId="59287EF8" w14:textId="77777777" w:rsidR="00296C2E" w:rsidRPr="00957D83" w:rsidRDefault="00296C2E" w:rsidP="0025106F">
      <w:pPr>
        <w:pStyle w:val="SingleTxtG"/>
      </w:pPr>
      <w:r w:rsidRPr="00957D83">
        <w:rPr>
          <w:i/>
        </w:rPr>
        <w:t>Committing</w:t>
      </w:r>
      <w:r w:rsidRPr="00957D83">
        <w:t xml:space="preserve"> to the advancement and fulfilment of the Sustainable Development Goals as </w:t>
      </w:r>
      <w:r w:rsidR="0025106F" w:rsidRPr="00957D83">
        <w:tab/>
      </w:r>
      <w:r w:rsidRPr="00957D83">
        <w:t>these are inextricably linked to transport; also in relation to the challenges that we are facing as a consequence of climate change,</w:t>
      </w:r>
    </w:p>
    <w:p w14:paraId="019BC7EA" w14:textId="77777777" w:rsidR="00296C2E" w:rsidRPr="00957D83" w:rsidRDefault="00296C2E" w:rsidP="00296C2E">
      <w:pPr>
        <w:spacing w:after="120"/>
        <w:ind w:left="1134" w:right="1134" w:firstLine="567"/>
      </w:pPr>
      <w:r w:rsidRPr="00957D83">
        <w:rPr>
          <w:i/>
        </w:rPr>
        <w:t>(…)</w:t>
      </w:r>
    </w:p>
    <w:p w14:paraId="50510AFD" w14:textId="77777777" w:rsidR="00296C2E" w:rsidRPr="00957D83" w:rsidRDefault="00296C2E" w:rsidP="0025106F">
      <w:pPr>
        <w:pStyle w:val="SingleTxtG"/>
      </w:pPr>
      <w:r w:rsidRPr="00957D83">
        <w:t xml:space="preserve">Decide: </w:t>
      </w:r>
    </w:p>
    <w:p w14:paraId="501F617B" w14:textId="77777777" w:rsidR="00296C2E" w:rsidRPr="00957D83" w:rsidRDefault="00296C2E" w:rsidP="00296C2E">
      <w:pPr>
        <w:spacing w:after="120"/>
        <w:ind w:left="1134" w:right="1134"/>
      </w:pPr>
      <w:r w:rsidRPr="00957D83">
        <w:t>(…)</w:t>
      </w:r>
    </w:p>
    <w:p w14:paraId="5EEB7B42" w14:textId="77777777" w:rsidR="00296C2E" w:rsidRPr="00957D83" w:rsidRDefault="00296C2E" w:rsidP="0025106F">
      <w:pPr>
        <w:pStyle w:val="SingleTxtG"/>
      </w:pPr>
      <w:proofErr w:type="gramStart"/>
      <w:r w:rsidRPr="00957D83">
        <w:t>2.</w:t>
      </w:r>
      <w:r w:rsidRPr="00957D83">
        <w:tab/>
      </w:r>
      <w:r w:rsidRPr="00957D83">
        <w:rPr>
          <w:i/>
        </w:rPr>
        <w:t>To address</w:t>
      </w:r>
      <w:r w:rsidRPr="00957D83">
        <w:t xml:space="preserve"> the challenges of sustainable development of mobility and inland transport, particularly within the context of the 2030 Sustainable Development Agenda and the Sustainable Development Goals, by supporting intergovernmental transport and transport related multi-disciplinary cooperation within the platform of the Inland Transport Committee and by placing due emphasis on the importance of mobilizing resources and aligning financing flows with sustainable development objectives,</w:t>
      </w:r>
      <w:proofErr w:type="gramEnd"/>
    </w:p>
    <w:p w14:paraId="0AE46913" w14:textId="77777777" w:rsidR="005C0C1C" w:rsidRPr="00957D83" w:rsidRDefault="000A5479" w:rsidP="000A5479">
      <w:pPr>
        <w:pStyle w:val="SingleTxtG"/>
        <w:spacing w:before="240" w:after="0"/>
        <w:jc w:val="center"/>
      </w:pPr>
      <w:r w:rsidRPr="00957D83">
        <w:rPr>
          <w:u w:val="single"/>
        </w:rPr>
        <w:tab/>
      </w:r>
      <w:r w:rsidRPr="00957D83">
        <w:rPr>
          <w:u w:val="single"/>
        </w:rPr>
        <w:tab/>
      </w:r>
      <w:r w:rsidRPr="00957D83">
        <w:rPr>
          <w:u w:val="single"/>
        </w:rPr>
        <w:tab/>
      </w:r>
    </w:p>
    <w:sectPr w:rsidR="005C0C1C" w:rsidRPr="00957D83" w:rsidSect="003A5F9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BECB2" w14:textId="77777777" w:rsidR="00BB1155" w:rsidRDefault="00BB1155"/>
  </w:endnote>
  <w:endnote w:type="continuationSeparator" w:id="0">
    <w:p w14:paraId="5EBFEEA5" w14:textId="77777777" w:rsidR="00BB1155" w:rsidRDefault="00BB1155"/>
  </w:endnote>
  <w:endnote w:type="continuationNotice" w:id="1">
    <w:p w14:paraId="3A0D15A6" w14:textId="77777777" w:rsidR="00BB1155" w:rsidRDefault="00BB1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6ECC" w14:textId="77E2F23C"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40C82">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2399E" w14:textId="4DCB087E"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640C82">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94E82" w14:textId="77777777" w:rsidR="00BB1155" w:rsidRPr="000B175B" w:rsidRDefault="00BB1155" w:rsidP="000B175B">
      <w:pPr>
        <w:tabs>
          <w:tab w:val="right" w:pos="2155"/>
        </w:tabs>
        <w:spacing w:after="80"/>
        <w:ind w:left="680"/>
        <w:rPr>
          <w:u w:val="single"/>
        </w:rPr>
      </w:pPr>
      <w:r>
        <w:rPr>
          <w:u w:val="single"/>
        </w:rPr>
        <w:tab/>
      </w:r>
    </w:p>
  </w:footnote>
  <w:footnote w:type="continuationSeparator" w:id="0">
    <w:p w14:paraId="48DBB5DD" w14:textId="77777777" w:rsidR="00BB1155" w:rsidRPr="00FC68B7" w:rsidRDefault="00BB1155" w:rsidP="00FC68B7">
      <w:pPr>
        <w:tabs>
          <w:tab w:val="left" w:pos="2155"/>
        </w:tabs>
        <w:spacing w:after="80"/>
        <w:ind w:left="680"/>
        <w:rPr>
          <w:u w:val="single"/>
        </w:rPr>
      </w:pPr>
      <w:r>
        <w:rPr>
          <w:u w:val="single"/>
        </w:rPr>
        <w:tab/>
      </w:r>
    </w:p>
  </w:footnote>
  <w:footnote w:type="continuationNotice" w:id="1">
    <w:p w14:paraId="42CAC5E2" w14:textId="77777777" w:rsidR="00BB1155" w:rsidRDefault="00BB1155"/>
  </w:footnote>
  <w:footnote w:id="2">
    <w:p w14:paraId="2B516697" w14:textId="77777777" w:rsidR="00227E65" w:rsidRPr="00227E65" w:rsidRDefault="00227E65" w:rsidP="00227E65">
      <w:pPr>
        <w:pStyle w:val="FootnoteText"/>
        <w:widowControl w:val="0"/>
        <w:tabs>
          <w:tab w:val="clear" w:pos="1021"/>
          <w:tab w:val="right" w:pos="1020"/>
        </w:tabs>
        <w:rPr>
          <w:lang w:val="en-US"/>
        </w:rPr>
      </w:pPr>
      <w:r>
        <w:tab/>
      </w:r>
      <w:r>
        <w:rPr>
          <w:rStyle w:val="FootnoteReference"/>
        </w:rPr>
        <w:footnoteRef/>
      </w:r>
      <w:r>
        <w:tab/>
        <w:t>S</w:t>
      </w:r>
      <w:r w:rsidRPr="00F64356">
        <w:t>ee also ECE/TRANS/2017/6, ECE/TRANS/2016/6 and ECE/TRANS/2015/4</w:t>
      </w:r>
      <w:r>
        <w:t xml:space="preserve">. </w:t>
      </w:r>
    </w:p>
  </w:footnote>
  <w:footnote w:id="3">
    <w:p w14:paraId="6CD969D2" w14:textId="77777777" w:rsidR="00EC626D" w:rsidRPr="00EC626D" w:rsidRDefault="00EC626D" w:rsidP="00EC626D">
      <w:pPr>
        <w:pStyle w:val="FootnoteText"/>
        <w:widowControl w:val="0"/>
        <w:tabs>
          <w:tab w:val="clear" w:pos="1021"/>
          <w:tab w:val="right" w:pos="1020"/>
        </w:tabs>
        <w:rPr>
          <w:lang w:val="en-US"/>
        </w:rPr>
      </w:pPr>
      <w:r>
        <w:tab/>
      </w:r>
      <w:r>
        <w:rPr>
          <w:rStyle w:val="FootnoteReference"/>
        </w:rPr>
        <w:footnoteRef/>
      </w:r>
      <w:r>
        <w:tab/>
        <w:t xml:space="preserve">sg-report-dalberg_unds-outline-of-functions-and-capacities-june-2017.pdf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C66F0" w14:textId="77777777" w:rsidR="003A5F98" w:rsidRPr="003A5F98" w:rsidRDefault="00AD0CC4">
    <w:pPr>
      <w:pStyle w:val="Header"/>
    </w:pPr>
    <w:r>
      <w:t>ECE/TRANS/201</w:t>
    </w:r>
    <w:r w:rsidR="00A51662">
      <w:t>8</w:t>
    </w:r>
    <w:r w:rsidR="003A5F98">
      <w:t>/</w:t>
    </w:r>
    <w:r w:rsidR="00A51662">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37382" w14:textId="77777777" w:rsidR="003A5F98" w:rsidRPr="003A5F98" w:rsidRDefault="00AD0CC4" w:rsidP="003A5F98">
    <w:pPr>
      <w:pStyle w:val="Header"/>
      <w:jc w:val="right"/>
    </w:pPr>
    <w:r>
      <w:t>ECE/TRANS/201</w:t>
    </w:r>
    <w:r w:rsidR="00A51662">
      <w:t>8</w:t>
    </w:r>
    <w:r w:rsidR="003A5F98">
      <w:t>/</w:t>
    </w:r>
    <w:r w:rsidR="00A5166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EE4754"/>
    <w:multiLevelType w:val="hybridMultilevel"/>
    <w:tmpl w:val="6568A17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1A561700"/>
    <w:multiLevelType w:val="multilevel"/>
    <w:tmpl w:val="FF72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C261805"/>
    <w:multiLevelType w:val="hybridMultilevel"/>
    <w:tmpl w:val="499E9D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692755"/>
    <w:multiLevelType w:val="hybridMultilevel"/>
    <w:tmpl w:val="606A43C2"/>
    <w:lvl w:ilvl="0" w:tplc="313054EC">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B3E1B79"/>
    <w:multiLevelType w:val="hybridMultilevel"/>
    <w:tmpl w:val="80328FE8"/>
    <w:lvl w:ilvl="0" w:tplc="BB16C6AE">
      <w:start w:val="1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nsid w:val="638A7059"/>
    <w:multiLevelType w:val="multilevel"/>
    <w:tmpl w:val="8D6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3"/>
  </w:num>
  <w:num w:numId="15">
    <w:abstractNumId w:val="19"/>
  </w:num>
  <w:num w:numId="16">
    <w:abstractNumId w:val="15"/>
  </w:num>
  <w:num w:numId="17">
    <w:abstractNumId w:val="22"/>
  </w:num>
  <w:num w:numId="18">
    <w:abstractNumId w:val="23"/>
  </w:num>
  <w:num w:numId="19">
    <w:abstractNumId w:val="20"/>
  </w:num>
  <w:num w:numId="20">
    <w:abstractNumId w:val="11"/>
  </w:num>
  <w:num w:numId="21">
    <w:abstractNumId w:val="14"/>
  </w:num>
  <w:num w:numId="22">
    <w:abstractNumId w:val="18"/>
  </w:num>
  <w:num w:numId="23">
    <w:abstractNumId w:val="21"/>
  </w:num>
  <w:num w:numId="24">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06CAE"/>
    <w:rsid w:val="00021649"/>
    <w:rsid w:val="00027624"/>
    <w:rsid w:val="00033CF5"/>
    <w:rsid w:val="00036E15"/>
    <w:rsid w:val="000401B9"/>
    <w:rsid w:val="00045BA0"/>
    <w:rsid w:val="0004638C"/>
    <w:rsid w:val="00050F6B"/>
    <w:rsid w:val="000678CD"/>
    <w:rsid w:val="00072C8C"/>
    <w:rsid w:val="00081CE0"/>
    <w:rsid w:val="00084D30"/>
    <w:rsid w:val="00090320"/>
    <w:rsid w:val="000931C0"/>
    <w:rsid w:val="000A29D6"/>
    <w:rsid w:val="000A2E09"/>
    <w:rsid w:val="000A5479"/>
    <w:rsid w:val="000B175B"/>
    <w:rsid w:val="000B2602"/>
    <w:rsid w:val="000B3A0F"/>
    <w:rsid w:val="000B5E33"/>
    <w:rsid w:val="000C426F"/>
    <w:rsid w:val="000D620A"/>
    <w:rsid w:val="000E0415"/>
    <w:rsid w:val="000F1E9C"/>
    <w:rsid w:val="000F7715"/>
    <w:rsid w:val="00117CDC"/>
    <w:rsid w:val="00117D0F"/>
    <w:rsid w:val="00137AD1"/>
    <w:rsid w:val="00156B99"/>
    <w:rsid w:val="00166124"/>
    <w:rsid w:val="00184DDA"/>
    <w:rsid w:val="00187EFB"/>
    <w:rsid w:val="001900CD"/>
    <w:rsid w:val="001A0452"/>
    <w:rsid w:val="001B4B04"/>
    <w:rsid w:val="001B5875"/>
    <w:rsid w:val="001C35E3"/>
    <w:rsid w:val="001C4B9C"/>
    <w:rsid w:val="001C6663"/>
    <w:rsid w:val="001C7895"/>
    <w:rsid w:val="001D0177"/>
    <w:rsid w:val="001D26DF"/>
    <w:rsid w:val="001E1546"/>
    <w:rsid w:val="001E64F5"/>
    <w:rsid w:val="001F1599"/>
    <w:rsid w:val="001F19C4"/>
    <w:rsid w:val="001F1FB4"/>
    <w:rsid w:val="002029B3"/>
    <w:rsid w:val="002043F0"/>
    <w:rsid w:val="00207D9B"/>
    <w:rsid w:val="00211E0B"/>
    <w:rsid w:val="00227E65"/>
    <w:rsid w:val="00232575"/>
    <w:rsid w:val="00242C3D"/>
    <w:rsid w:val="00247258"/>
    <w:rsid w:val="0025106F"/>
    <w:rsid w:val="002539AD"/>
    <w:rsid w:val="00257CAC"/>
    <w:rsid w:val="0027237A"/>
    <w:rsid w:val="00287238"/>
    <w:rsid w:val="00296C2E"/>
    <w:rsid w:val="002974E9"/>
    <w:rsid w:val="002A7F94"/>
    <w:rsid w:val="002B109A"/>
    <w:rsid w:val="002B68B2"/>
    <w:rsid w:val="002C029E"/>
    <w:rsid w:val="002C6D45"/>
    <w:rsid w:val="002D3413"/>
    <w:rsid w:val="002D6E53"/>
    <w:rsid w:val="002E294C"/>
    <w:rsid w:val="002F046D"/>
    <w:rsid w:val="002F50C2"/>
    <w:rsid w:val="002F5581"/>
    <w:rsid w:val="00301764"/>
    <w:rsid w:val="00307E78"/>
    <w:rsid w:val="003229D8"/>
    <w:rsid w:val="00336C97"/>
    <w:rsid w:val="00337F88"/>
    <w:rsid w:val="003418C0"/>
    <w:rsid w:val="00342432"/>
    <w:rsid w:val="0035223F"/>
    <w:rsid w:val="00352D4B"/>
    <w:rsid w:val="0035638C"/>
    <w:rsid w:val="003672C4"/>
    <w:rsid w:val="003749E5"/>
    <w:rsid w:val="00382991"/>
    <w:rsid w:val="003829F6"/>
    <w:rsid w:val="003A46BB"/>
    <w:rsid w:val="003A4EC7"/>
    <w:rsid w:val="003A5F98"/>
    <w:rsid w:val="003A7295"/>
    <w:rsid w:val="003B1F60"/>
    <w:rsid w:val="003B3F56"/>
    <w:rsid w:val="003C2CC4"/>
    <w:rsid w:val="003D4B23"/>
    <w:rsid w:val="003E278A"/>
    <w:rsid w:val="003E5468"/>
    <w:rsid w:val="003E7EEA"/>
    <w:rsid w:val="00402319"/>
    <w:rsid w:val="00413520"/>
    <w:rsid w:val="00421AED"/>
    <w:rsid w:val="00427267"/>
    <w:rsid w:val="004325CB"/>
    <w:rsid w:val="004343CD"/>
    <w:rsid w:val="00436585"/>
    <w:rsid w:val="00440A07"/>
    <w:rsid w:val="004531BB"/>
    <w:rsid w:val="00462880"/>
    <w:rsid w:val="00465DCE"/>
    <w:rsid w:val="004666A2"/>
    <w:rsid w:val="00476F24"/>
    <w:rsid w:val="00492D0C"/>
    <w:rsid w:val="004C55B0"/>
    <w:rsid w:val="004D678D"/>
    <w:rsid w:val="004E143A"/>
    <w:rsid w:val="004E51C3"/>
    <w:rsid w:val="004E7814"/>
    <w:rsid w:val="004F6BA0"/>
    <w:rsid w:val="00503BEA"/>
    <w:rsid w:val="00511975"/>
    <w:rsid w:val="00533616"/>
    <w:rsid w:val="0053503F"/>
    <w:rsid w:val="00535ABA"/>
    <w:rsid w:val="005360D6"/>
    <w:rsid w:val="0053768B"/>
    <w:rsid w:val="0054083D"/>
    <w:rsid w:val="005420F2"/>
    <w:rsid w:val="0054285C"/>
    <w:rsid w:val="00546F13"/>
    <w:rsid w:val="00566800"/>
    <w:rsid w:val="00581C88"/>
    <w:rsid w:val="00584173"/>
    <w:rsid w:val="005851F1"/>
    <w:rsid w:val="005864A9"/>
    <w:rsid w:val="00595520"/>
    <w:rsid w:val="005A44B9"/>
    <w:rsid w:val="005B1BA0"/>
    <w:rsid w:val="005B3DB3"/>
    <w:rsid w:val="005C0C06"/>
    <w:rsid w:val="005C0C1C"/>
    <w:rsid w:val="005C1F02"/>
    <w:rsid w:val="005C6354"/>
    <w:rsid w:val="005D15CA"/>
    <w:rsid w:val="005F0C9A"/>
    <w:rsid w:val="005F3066"/>
    <w:rsid w:val="005F3E61"/>
    <w:rsid w:val="00604DDD"/>
    <w:rsid w:val="006115CC"/>
    <w:rsid w:val="00611FC4"/>
    <w:rsid w:val="006176FB"/>
    <w:rsid w:val="006241B3"/>
    <w:rsid w:val="00626691"/>
    <w:rsid w:val="00630FCB"/>
    <w:rsid w:val="00636865"/>
    <w:rsid w:val="006405E0"/>
    <w:rsid w:val="00640B26"/>
    <w:rsid w:val="00640C82"/>
    <w:rsid w:val="00664A95"/>
    <w:rsid w:val="00667C01"/>
    <w:rsid w:val="006770B2"/>
    <w:rsid w:val="0068442B"/>
    <w:rsid w:val="006940E1"/>
    <w:rsid w:val="006A3C72"/>
    <w:rsid w:val="006A7392"/>
    <w:rsid w:val="006B03A1"/>
    <w:rsid w:val="006B67D9"/>
    <w:rsid w:val="006C5535"/>
    <w:rsid w:val="006D0589"/>
    <w:rsid w:val="006E564B"/>
    <w:rsid w:val="006E7154"/>
    <w:rsid w:val="006F1259"/>
    <w:rsid w:val="007003CD"/>
    <w:rsid w:val="00700F74"/>
    <w:rsid w:val="0070701E"/>
    <w:rsid w:val="00712749"/>
    <w:rsid w:val="007255BE"/>
    <w:rsid w:val="0072632A"/>
    <w:rsid w:val="00733C01"/>
    <w:rsid w:val="0073494E"/>
    <w:rsid w:val="007349BA"/>
    <w:rsid w:val="0073514E"/>
    <w:rsid w:val="007358E8"/>
    <w:rsid w:val="00736ECE"/>
    <w:rsid w:val="00740D30"/>
    <w:rsid w:val="0074533B"/>
    <w:rsid w:val="00753ABC"/>
    <w:rsid w:val="007643BC"/>
    <w:rsid w:val="007731FA"/>
    <w:rsid w:val="00793F96"/>
    <w:rsid w:val="007959FE"/>
    <w:rsid w:val="0079792C"/>
    <w:rsid w:val="007A0CF1"/>
    <w:rsid w:val="007A2B33"/>
    <w:rsid w:val="007B0726"/>
    <w:rsid w:val="007B13C2"/>
    <w:rsid w:val="007B216F"/>
    <w:rsid w:val="007B63EE"/>
    <w:rsid w:val="007B6BA5"/>
    <w:rsid w:val="007C3110"/>
    <w:rsid w:val="007C3390"/>
    <w:rsid w:val="007C42D8"/>
    <w:rsid w:val="007C4F4B"/>
    <w:rsid w:val="007C7B94"/>
    <w:rsid w:val="007D7362"/>
    <w:rsid w:val="007E0A12"/>
    <w:rsid w:val="007E6A9B"/>
    <w:rsid w:val="007F33C7"/>
    <w:rsid w:val="007F5CE2"/>
    <w:rsid w:val="007F6611"/>
    <w:rsid w:val="00810BAC"/>
    <w:rsid w:val="008175E9"/>
    <w:rsid w:val="00820DC0"/>
    <w:rsid w:val="008242D7"/>
    <w:rsid w:val="0082577B"/>
    <w:rsid w:val="0084033C"/>
    <w:rsid w:val="008472FC"/>
    <w:rsid w:val="00866893"/>
    <w:rsid w:val="00866F02"/>
    <w:rsid w:val="00867D18"/>
    <w:rsid w:val="00871F9A"/>
    <w:rsid w:val="00871FD5"/>
    <w:rsid w:val="0088172E"/>
    <w:rsid w:val="00881EFA"/>
    <w:rsid w:val="008879CB"/>
    <w:rsid w:val="008936BA"/>
    <w:rsid w:val="008979B1"/>
    <w:rsid w:val="008A1135"/>
    <w:rsid w:val="008A2D73"/>
    <w:rsid w:val="008A6A30"/>
    <w:rsid w:val="008A6B25"/>
    <w:rsid w:val="008A6C4F"/>
    <w:rsid w:val="008A7D38"/>
    <w:rsid w:val="008B389E"/>
    <w:rsid w:val="008C4682"/>
    <w:rsid w:val="008C5B70"/>
    <w:rsid w:val="008D045E"/>
    <w:rsid w:val="008D3F25"/>
    <w:rsid w:val="008D4D82"/>
    <w:rsid w:val="008E0E46"/>
    <w:rsid w:val="008E7116"/>
    <w:rsid w:val="008F143B"/>
    <w:rsid w:val="008F3882"/>
    <w:rsid w:val="008F4B7C"/>
    <w:rsid w:val="008F6A09"/>
    <w:rsid w:val="00926E47"/>
    <w:rsid w:val="009319DF"/>
    <w:rsid w:val="00946BBD"/>
    <w:rsid w:val="00947162"/>
    <w:rsid w:val="00947EBF"/>
    <w:rsid w:val="00955583"/>
    <w:rsid w:val="00957D83"/>
    <w:rsid w:val="009610D0"/>
    <w:rsid w:val="00962482"/>
    <w:rsid w:val="0096375C"/>
    <w:rsid w:val="009662E6"/>
    <w:rsid w:val="00967FDA"/>
    <w:rsid w:val="0097095E"/>
    <w:rsid w:val="00971904"/>
    <w:rsid w:val="00972045"/>
    <w:rsid w:val="0098052E"/>
    <w:rsid w:val="00984502"/>
    <w:rsid w:val="0098592B"/>
    <w:rsid w:val="00985FC4"/>
    <w:rsid w:val="00990766"/>
    <w:rsid w:val="00991261"/>
    <w:rsid w:val="009964C4"/>
    <w:rsid w:val="009A431C"/>
    <w:rsid w:val="009A7B81"/>
    <w:rsid w:val="009B67C9"/>
    <w:rsid w:val="009C4119"/>
    <w:rsid w:val="009C5457"/>
    <w:rsid w:val="009D01C0"/>
    <w:rsid w:val="009D2082"/>
    <w:rsid w:val="009D43D7"/>
    <w:rsid w:val="009D5878"/>
    <w:rsid w:val="009D6A08"/>
    <w:rsid w:val="009E0A16"/>
    <w:rsid w:val="009E6CB7"/>
    <w:rsid w:val="009E7970"/>
    <w:rsid w:val="009F2EAC"/>
    <w:rsid w:val="009F57E3"/>
    <w:rsid w:val="009F6E74"/>
    <w:rsid w:val="00A10F4F"/>
    <w:rsid w:val="00A11067"/>
    <w:rsid w:val="00A11C60"/>
    <w:rsid w:val="00A1704A"/>
    <w:rsid w:val="00A260BD"/>
    <w:rsid w:val="00A36DD4"/>
    <w:rsid w:val="00A425EB"/>
    <w:rsid w:val="00A50C42"/>
    <w:rsid w:val="00A51662"/>
    <w:rsid w:val="00A72F22"/>
    <w:rsid w:val="00A733BC"/>
    <w:rsid w:val="00A748A6"/>
    <w:rsid w:val="00A76A69"/>
    <w:rsid w:val="00A80CA7"/>
    <w:rsid w:val="00A879A4"/>
    <w:rsid w:val="00A94204"/>
    <w:rsid w:val="00A94BB5"/>
    <w:rsid w:val="00AA0FF8"/>
    <w:rsid w:val="00AA5970"/>
    <w:rsid w:val="00AC0F2C"/>
    <w:rsid w:val="00AC502A"/>
    <w:rsid w:val="00AD0CC4"/>
    <w:rsid w:val="00AD735C"/>
    <w:rsid w:val="00AE644B"/>
    <w:rsid w:val="00AF58C1"/>
    <w:rsid w:val="00B04A3F"/>
    <w:rsid w:val="00B05201"/>
    <w:rsid w:val="00B06643"/>
    <w:rsid w:val="00B115D1"/>
    <w:rsid w:val="00B15055"/>
    <w:rsid w:val="00B22513"/>
    <w:rsid w:val="00B2499F"/>
    <w:rsid w:val="00B30179"/>
    <w:rsid w:val="00B36C7B"/>
    <w:rsid w:val="00B37B15"/>
    <w:rsid w:val="00B45C02"/>
    <w:rsid w:val="00B57971"/>
    <w:rsid w:val="00B709C4"/>
    <w:rsid w:val="00B72A1E"/>
    <w:rsid w:val="00B74E70"/>
    <w:rsid w:val="00B81E12"/>
    <w:rsid w:val="00BA0D72"/>
    <w:rsid w:val="00BA339B"/>
    <w:rsid w:val="00BA4B02"/>
    <w:rsid w:val="00BB06C6"/>
    <w:rsid w:val="00BB1155"/>
    <w:rsid w:val="00BC1E7E"/>
    <w:rsid w:val="00BC6029"/>
    <w:rsid w:val="00BC74E9"/>
    <w:rsid w:val="00BC7735"/>
    <w:rsid w:val="00BC7F91"/>
    <w:rsid w:val="00BE36A9"/>
    <w:rsid w:val="00BE5CDB"/>
    <w:rsid w:val="00BE618E"/>
    <w:rsid w:val="00BE7BEC"/>
    <w:rsid w:val="00BF0154"/>
    <w:rsid w:val="00BF0A5A"/>
    <w:rsid w:val="00BF0E63"/>
    <w:rsid w:val="00BF12A3"/>
    <w:rsid w:val="00BF16D7"/>
    <w:rsid w:val="00BF1F7B"/>
    <w:rsid w:val="00BF2373"/>
    <w:rsid w:val="00BF718D"/>
    <w:rsid w:val="00C044E2"/>
    <w:rsid w:val="00C048CB"/>
    <w:rsid w:val="00C065B3"/>
    <w:rsid w:val="00C066F3"/>
    <w:rsid w:val="00C211BA"/>
    <w:rsid w:val="00C22F0E"/>
    <w:rsid w:val="00C415E2"/>
    <w:rsid w:val="00C463DD"/>
    <w:rsid w:val="00C65F56"/>
    <w:rsid w:val="00C745C3"/>
    <w:rsid w:val="00C82AE8"/>
    <w:rsid w:val="00C97FE6"/>
    <w:rsid w:val="00CA24A4"/>
    <w:rsid w:val="00CB348D"/>
    <w:rsid w:val="00CC6EE9"/>
    <w:rsid w:val="00CD46F5"/>
    <w:rsid w:val="00CD49C5"/>
    <w:rsid w:val="00CE0B34"/>
    <w:rsid w:val="00CE2656"/>
    <w:rsid w:val="00CE4A8F"/>
    <w:rsid w:val="00CE4F30"/>
    <w:rsid w:val="00CE7792"/>
    <w:rsid w:val="00CF071D"/>
    <w:rsid w:val="00D10650"/>
    <w:rsid w:val="00D15B04"/>
    <w:rsid w:val="00D2031B"/>
    <w:rsid w:val="00D25FE2"/>
    <w:rsid w:val="00D34C52"/>
    <w:rsid w:val="00D3685B"/>
    <w:rsid w:val="00D37DA9"/>
    <w:rsid w:val="00D37E2E"/>
    <w:rsid w:val="00D406A7"/>
    <w:rsid w:val="00D43252"/>
    <w:rsid w:val="00D448A6"/>
    <w:rsid w:val="00D44D86"/>
    <w:rsid w:val="00D50B7D"/>
    <w:rsid w:val="00D52012"/>
    <w:rsid w:val="00D704E5"/>
    <w:rsid w:val="00D72727"/>
    <w:rsid w:val="00D82084"/>
    <w:rsid w:val="00D965FC"/>
    <w:rsid w:val="00D978C6"/>
    <w:rsid w:val="00DA0956"/>
    <w:rsid w:val="00DA266A"/>
    <w:rsid w:val="00DA357F"/>
    <w:rsid w:val="00DA3E12"/>
    <w:rsid w:val="00DB1CFB"/>
    <w:rsid w:val="00DC18AD"/>
    <w:rsid w:val="00DD3760"/>
    <w:rsid w:val="00DE0CF1"/>
    <w:rsid w:val="00DF7CAE"/>
    <w:rsid w:val="00E038EF"/>
    <w:rsid w:val="00E21DDA"/>
    <w:rsid w:val="00E31313"/>
    <w:rsid w:val="00E33041"/>
    <w:rsid w:val="00E40B7A"/>
    <w:rsid w:val="00E40CF8"/>
    <w:rsid w:val="00E423C0"/>
    <w:rsid w:val="00E56B3A"/>
    <w:rsid w:val="00E618BF"/>
    <w:rsid w:val="00E6414C"/>
    <w:rsid w:val="00E7260F"/>
    <w:rsid w:val="00E8702D"/>
    <w:rsid w:val="00E916A9"/>
    <w:rsid w:val="00E916DE"/>
    <w:rsid w:val="00E925AD"/>
    <w:rsid w:val="00E96630"/>
    <w:rsid w:val="00EB4753"/>
    <w:rsid w:val="00EB503B"/>
    <w:rsid w:val="00EC626D"/>
    <w:rsid w:val="00ED18DC"/>
    <w:rsid w:val="00ED6201"/>
    <w:rsid w:val="00ED7A2A"/>
    <w:rsid w:val="00EF1D7F"/>
    <w:rsid w:val="00EF6955"/>
    <w:rsid w:val="00F0137E"/>
    <w:rsid w:val="00F21786"/>
    <w:rsid w:val="00F3742B"/>
    <w:rsid w:val="00F414E6"/>
    <w:rsid w:val="00F41FDB"/>
    <w:rsid w:val="00F4763F"/>
    <w:rsid w:val="00F507EC"/>
    <w:rsid w:val="00F53C08"/>
    <w:rsid w:val="00F54072"/>
    <w:rsid w:val="00F56D63"/>
    <w:rsid w:val="00F609A9"/>
    <w:rsid w:val="00F64356"/>
    <w:rsid w:val="00F80C99"/>
    <w:rsid w:val="00F867EC"/>
    <w:rsid w:val="00F91B2B"/>
    <w:rsid w:val="00F91C67"/>
    <w:rsid w:val="00FA3F15"/>
    <w:rsid w:val="00FC03CD"/>
    <w:rsid w:val="00FC0646"/>
    <w:rsid w:val="00FC68B7"/>
    <w:rsid w:val="00FD11B2"/>
    <w:rsid w:val="00FD3068"/>
    <w:rsid w:val="00FE6985"/>
    <w:rsid w:val="00FE7379"/>
    <w:rsid w:val="00FF5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CE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CD49C5"/>
    <w:rPr>
      <w:lang w:eastAsia="en-US"/>
    </w:rPr>
  </w:style>
  <w:style w:type="character" w:styleId="CommentReference">
    <w:name w:val="annotation reference"/>
    <w:basedOn w:val="DefaultParagraphFont"/>
    <w:rsid w:val="001C35E3"/>
    <w:rPr>
      <w:sz w:val="16"/>
      <w:szCs w:val="16"/>
    </w:rPr>
  </w:style>
  <w:style w:type="paragraph" w:styleId="CommentText">
    <w:name w:val="annotation text"/>
    <w:basedOn w:val="Normal"/>
    <w:link w:val="CommentTextChar"/>
    <w:rsid w:val="001C35E3"/>
    <w:pPr>
      <w:spacing w:line="240" w:lineRule="auto"/>
    </w:pPr>
  </w:style>
  <w:style w:type="character" w:customStyle="1" w:styleId="CommentTextChar">
    <w:name w:val="Comment Text Char"/>
    <w:basedOn w:val="DefaultParagraphFont"/>
    <w:link w:val="CommentText"/>
    <w:rsid w:val="001C35E3"/>
    <w:rPr>
      <w:lang w:eastAsia="en-US"/>
    </w:rPr>
  </w:style>
  <w:style w:type="paragraph" w:styleId="CommentSubject">
    <w:name w:val="annotation subject"/>
    <w:basedOn w:val="CommentText"/>
    <w:next w:val="CommentText"/>
    <w:link w:val="CommentSubjectChar"/>
    <w:rsid w:val="001C35E3"/>
    <w:rPr>
      <w:b/>
      <w:bCs/>
    </w:rPr>
  </w:style>
  <w:style w:type="character" w:customStyle="1" w:styleId="CommentSubjectChar">
    <w:name w:val="Comment Subject Char"/>
    <w:basedOn w:val="CommentTextChar"/>
    <w:link w:val="CommentSubject"/>
    <w:rsid w:val="001C35E3"/>
    <w:rPr>
      <w:b/>
      <w:bCs/>
      <w:lang w:eastAsia="en-US"/>
    </w:rPr>
  </w:style>
  <w:style w:type="paragraph" w:styleId="Revision">
    <w:name w:val="Revision"/>
    <w:hidden/>
    <w:uiPriority w:val="99"/>
    <w:semiHidden/>
    <w:rsid w:val="001C35E3"/>
    <w:rPr>
      <w:lang w:eastAsia="en-US"/>
    </w:rPr>
  </w:style>
  <w:style w:type="character" w:styleId="Strong">
    <w:name w:val="Strong"/>
    <w:basedOn w:val="DefaultParagraphFont"/>
    <w:uiPriority w:val="22"/>
    <w:qFormat/>
    <w:rsid w:val="00957D83"/>
    <w:rPr>
      <w:b/>
      <w:bCs/>
    </w:rPr>
  </w:style>
  <w:style w:type="paragraph" w:styleId="NormalWeb">
    <w:name w:val="Normal (Web)"/>
    <w:basedOn w:val="Normal"/>
    <w:uiPriority w:val="99"/>
    <w:semiHidden/>
    <w:unhideWhenUsed/>
    <w:rsid w:val="00957D83"/>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8F6A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CD49C5"/>
    <w:rPr>
      <w:lang w:eastAsia="en-US"/>
    </w:rPr>
  </w:style>
  <w:style w:type="character" w:styleId="CommentReference">
    <w:name w:val="annotation reference"/>
    <w:basedOn w:val="DefaultParagraphFont"/>
    <w:rsid w:val="001C35E3"/>
    <w:rPr>
      <w:sz w:val="16"/>
      <w:szCs w:val="16"/>
    </w:rPr>
  </w:style>
  <w:style w:type="paragraph" w:styleId="CommentText">
    <w:name w:val="annotation text"/>
    <w:basedOn w:val="Normal"/>
    <w:link w:val="CommentTextChar"/>
    <w:rsid w:val="001C35E3"/>
    <w:pPr>
      <w:spacing w:line="240" w:lineRule="auto"/>
    </w:pPr>
  </w:style>
  <w:style w:type="character" w:customStyle="1" w:styleId="CommentTextChar">
    <w:name w:val="Comment Text Char"/>
    <w:basedOn w:val="DefaultParagraphFont"/>
    <w:link w:val="CommentText"/>
    <w:rsid w:val="001C35E3"/>
    <w:rPr>
      <w:lang w:eastAsia="en-US"/>
    </w:rPr>
  </w:style>
  <w:style w:type="paragraph" w:styleId="CommentSubject">
    <w:name w:val="annotation subject"/>
    <w:basedOn w:val="CommentText"/>
    <w:next w:val="CommentText"/>
    <w:link w:val="CommentSubjectChar"/>
    <w:rsid w:val="001C35E3"/>
    <w:rPr>
      <w:b/>
      <w:bCs/>
    </w:rPr>
  </w:style>
  <w:style w:type="character" w:customStyle="1" w:styleId="CommentSubjectChar">
    <w:name w:val="Comment Subject Char"/>
    <w:basedOn w:val="CommentTextChar"/>
    <w:link w:val="CommentSubject"/>
    <w:rsid w:val="001C35E3"/>
    <w:rPr>
      <w:b/>
      <w:bCs/>
      <w:lang w:eastAsia="en-US"/>
    </w:rPr>
  </w:style>
  <w:style w:type="paragraph" w:styleId="Revision">
    <w:name w:val="Revision"/>
    <w:hidden/>
    <w:uiPriority w:val="99"/>
    <w:semiHidden/>
    <w:rsid w:val="001C35E3"/>
    <w:rPr>
      <w:lang w:eastAsia="en-US"/>
    </w:rPr>
  </w:style>
  <w:style w:type="character" w:styleId="Strong">
    <w:name w:val="Strong"/>
    <w:basedOn w:val="DefaultParagraphFont"/>
    <w:uiPriority w:val="22"/>
    <w:qFormat/>
    <w:rsid w:val="00957D83"/>
    <w:rPr>
      <w:b/>
      <w:bCs/>
    </w:rPr>
  </w:style>
  <w:style w:type="paragraph" w:styleId="NormalWeb">
    <w:name w:val="Normal (Web)"/>
    <w:basedOn w:val="Normal"/>
    <w:uiPriority w:val="99"/>
    <w:semiHidden/>
    <w:unhideWhenUsed/>
    <w:rsid w:val="00957D83"/>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8F6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6661">
      <w:bodyDiv w:val="1"/>
      <w:marLeft w:val="0"/>
      <w:marRight w:val="0"/>
      <w:marTop w:val="0"/>
      <w:marBottom w:val="0"/>
      <w:divBdr>
        <w:top w:val="none" w:sz="0" w:space="0" w:color="auto"/>
        <w:left w:val="none" w:sz="0" w:space="0" w:color="auto"/>
        <w:bottom w:val="none" w:sz="0" w:space="0" w:color="auto"/>
        <w:right w:val="none" w:sz="0" w:space="0" w:color="auto"/>
      </w:divBdr>
    </w:div>
    <w:div w:id="1072120963">
      <w:bodyDiv w:val="1"/>
      <w:marLeft w:val="0"/>
      <w:marRight w:val="0"/>
      <w:marTop w:val="0"/>
      <w:marBottom w:val="0"/>
      <w:divBdr>
        <w:top w:val="none" w:sz="0" w:space="0" w:color="auto"/>
        <w:left w:val="none" w:sz="0" w:space="0" w:color="auto"/>
        <w:bottom w:val="none" w:sz="0" w:space="0" w:color="auto"/>
        <w:right w:val="none" w:sz="0" w:space="0" w:color="auto"/>
      </w:divBdr>
    </w:div>
    <w:div w:id="18149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F624-0B29-45A4-8280-BD5E9A63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8</Pages>
  <Words>2686</Words>
  <Characters>15314</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3</cp:revision>
  <cp:lastPrinted>2017-11-24T13:46:00Z</cp:lastPrinted>
  <dcterms:created xsi:type="dcterms:W3CDTF">2017-12-12T10:56:00Z</dcterms:created>
  <dcterms:modified xsi:type="dcterms:W3CDTF">2017-12-12T10:57:00Z</dcterms:modified>
</cp:coreProperties>
</file>