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833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833CF" w:rsidP="009833CF">
            <w:pPr>
              <w:jc w:val="right"/>
            </w:pPr>
            <w:r w:rsidRPr="009833CF">
              <w:rPr>
                <w:sz w:val="40"/>
              </w:rPr>
              <w:t>ECE</w:t>
            </w:r>
            <w:r>
              <w:t>/TRANS/2018/5</w:t>
            </w:r>
          </w:p>
        </w:tc>
      </w:tr>
      <w:tr w:rsidR="002D5AAC" w:rsidRPr="002A32E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833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833CF" w:rsidRDefault="009833CF" w:rsidP="009833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9833CF" w:rsidRDefault="009833CF" w:rsidP="009833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833CF" w:rsidRPr="008D53B6" w:rsidRDefault="009833CF" w:rsidP="009833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833CF" w:rsidRPr="009833CF" w:rsidRDefault="009833CF" w:rsidP="009833CF">
      <w:pPr>
        <w:spacing w:before="120"/>
        <w:rPr>
          <w:sz w:val="28"/>
          <w:szCs w:val="28"/>
        </w:rPr>
      </w:pPr>
      <w:r w:rsidRPr="009833CF">
        <w:rPr>
          <w:sz w:val="28"/>
          <w:szCs w:val="28"/>
        </w:rPr>
        <w:t>Комитет по внутреннему транспорту</w:t>
      </w:r>
    </w:p>
    <w:p w:rsidR="009833CF" w:rsidRPr="009833CF" w:rsidRDefault="009833CF" w:rsidP="009833CF">
      <w:pPr>
        <w:spacing w:before="120"/>
        <w:rPr>
          <w:b/>
        </w:rPr>
      </w:pPr>
      <w:r w:rsidRPr="009833CF">
        <w:rPr>
          <w:b/>
        </w:rPr>
        <w:t>Восьмидесятая сессия</w:t>
      </w:r>
    </w:p>
    <w:p w:rsidR="009833CF" w:rsidRPr="009833CF" w:rsidRDefault="009833CF" w:rsidP="009833CF">
      <w:r w:rsidRPr="009833CF">
        <w:t>Женева, 20–23 февраля 2018 года</w:t>
      </w:r>
    </w:p>
    <w:p w:rsidR="009833CF" w:rsidRPr="009833CF" w:rsidRDefault="009833CF" w:rsidP="009833CF">
      <w:r w:rsidRPr="009833CF">
        <w:t>Пункт 4 b) предварительной повестки дня</w:t>
      </w:r>
    </w:p>
    <w:p w:rsidR="009833CF" w:rsidRPr="009833CF" w:rsidRDefault="009833CF" w:rsidP="009833CF">
      <w:pPr>
        <w:rPr>
          <w:b/>
        </w:rPr>
      </w:pPr>
      <w:r w:rsidRPr="009833CF">
        <w:rPr>
          <w:b/>
        </w:rPr>
        <w:t>Стратегические вопросы горизонтальной политики:</w:t>
      </w:r>
    </w:p>
    <w:p w:rsidR="009833CF" w:rsidRPr="009833CF" w:rsidRDefault="009833CF" w:rsidP="009833CF">
      <w:pPr>
        <w:rPr>
          <w:b/>
        </w:rPr>
      </w:pPr>
      <w:r w:rsidRPr="009833CF">
        <w:rPr>
          <w:b/>
        </w:rPr>
        <w:t xml:space="preserve">Аналитическая работа Европейской экономической </w:t>
      </w:r>
      <w:r>
        <w:rPr>
          <w:b/>
        </w:rPr>
        <w:br/>
      </w:r>
      <w:r w:rsidRPr="009833CF">
        <w:rPr>
          <w:b/>
        </w:rPr>
        <w:t xml:space="preserve">комиссии Организации Объединенных Наций </w:t>
      </w:r>
      <w:r>
        <w:rPr>
          <w:b/>
        </w:rPr>
        <w:br/>
      </w:r>
      <w:r w:rsidRPr="009833CF">
        <w:rPr>
          <w:b/>
        </w:rPr>
        <w:t>в области транспорта</w:t>
      </w:r>
    </w:p>
    <w:p w:rsidR="00E660D8" w:rsidRDefault="009833CF" w:rsidP="00E660D8">
      <w:pPr>
        <w:pStyle w:val="HChGR"/>
      </w:pPr>
      <w:r w:rsidRPr="009833CF">
        <w:tab/>
      </w:r>
      <w:r w:rsidRPr="009833CF">
        <w:tab/>
        <w:t xml:space="preserve">Сопоставительный анализ затрат на строительство транспортной инфраструктуры </w:t>
      </w:r>
    </w:p>
    <w:p w:rsidR="009833CF" w:rsidRDefault="009833CF" w:rsidP="00E660D8">
      <w:pPr>
        <w:pStyle w:val="HChGR"/>
      </w:pPr>
      <w:r w:rsidRPr="009833CF">
        <w:tab/>
      </w:r>
      <w:r w:rsidRPr="009833CF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9833CF" w:rsidRPr="009833C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833CF" w:rsidRPr="009833CF" w:rsidRDefault="009833C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833CF">
              <w:rPr>
                <w:rFonts w:cs="Times New Roman"/>
              </w:rPr>
              <w:tab/>
            </w:r>
            <w:r w:rsidRPr="009833C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833CF" w:rsidRPr="009833C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F49AC" w:rsidRPr="009833CF" w:rsidRDefault="00AF49AC" w:rsidP="00B5429B">
            <w:pPr>
              <w:pStyle w:val="SingleTxtGR"/>
            </w:pPr>
            <w:r>
              <w:tab/>
            </w:r>
            <w:r w:rsidR="009833CF" w:rsidRPr="009833CF">
              <w:t>В настоящей записке представлен краткий обзор деятельности Группы экспертов по сопоставительному анализу затрат на строительство транспортной инфраструктуры. Ее основными задачами являются создание глоссария согл</w:t>
            </w:r>
            <w:r w:rsidR="009833CF" w:rsidRPr="009833CF">
              <w:t>а</w:t>
            </w:r>
            <w:r w:rsidR="009833CF" w:rsidRPr="009833CF">
              <w:t>сованных терминов и подготовка сопоставительного анализа затрат на стро</w:t>
            </w:r>
            <w:r w:rsidR="009833CF" w:rsidRPr="009833CF">
              <w:t>и</w:t>
            </w:r>
            <w:r w:rsidR="009833CF" w:rsidRPr="009833CF">
              <w:t>тельство транспортной инфраструктуры в регионе ЕЭК по каждому виду вну</w:t>
            </w:r>
            <w:r w:rsidR="009833CF" w:rsidRPr="009833CF">
              <w:t>т</w:t>
            </w:r>
            <w:r w:rsidR="009833CF" w:rsidRPr="009833CF">
              <w:t>реннего транспорта: автомобильному, железнодорожному, внутреннему водн</w:t>
            </w:r>
            <w:r w:rsidR="009833CF" w:rsidRPr="009833CF">
              <w:t>о</w:t>
            </w:r>
            <w:r w:rsidR="009833CF" w:rsidRPr="009833CF">
              <w:t>му, интермодальным терминалам, грузовым/логистическим центрам и портам.</w:t>
            </w:r>
          </w:p>
        </w:tc>
      </w:tr>
      <w:tr w:rsidR="009833CF" w:rsidRPr="009833CF" w:rsidTr="009833C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9833CF" w:rsidRPr="009833CF" w:rsidRDefault="00AF49AC" w:rsidP="00AF49AC">
            <w:pPr>
              <w:pStyle w:val="SingleTxtGR"/>
            </w:pPr>
            <w:r>
              <w:tab/>
            </w:r>
            <w:r w:rsidRPr="009833CF">
              <w:t xml:space="preserve">Комитету предлагается </w:t>
            </w:r>
            <w:r w:rsidRPr="009833CF">
              <w:rPr>
                <w:b/>
                <w:bCs/>
              </w:rPr>
              <w:t>оказывать поддержку</w:t>
            </w:r>
            <w:r w:rsidRPr="009833CF">
              <w:t xml:space="preserve"> группе и просить прав</w:t>
            </w:r>
            <w:r w:rsidRPr="009833CF">
              <w:t>и</w:t>
            </w:r>
            <w:r w:rsidRPr="009833CF">
              <w:t>тельства более активно участвовать в ее работе для обеспечения реализации целей этой группы, деятельность которой представляет важность для развития транспортной инфраструктуры.</w:t>
            </w:r>
          </w:p>
        </w:tc>
      </w:tr>
      <w:tr w:rsidR="009833CF" w:rsidRPr="009833C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833CF" w:rsidRPr="009833CF" w:rsidRDefault="009833CF" w:rsidP="00850215">
            <w:pPr>
              <w:rPr>
                <w:rFonts w:cs="Times New Roman"/>
              </w:rPr>
            </w:pPr>
          </w:p>
        </w:tc>
      </w:tr>
    </w:tbl>
    <w:p w:rsidR="009833CF" w:rsidRDefault="009833CF" w:rsidP="009833CF">
      <w:pPr>
        <w:rPr>
          <w:lang w:eastAsia="ru-RU"/>
        </w:rPr>
      </w:pPr>
    </w:p>
    <w:p w:rsidR="009833CF" w:rsidRPr="009833CF" w:rsidRDefault="009833CF" w:rsidP="0059607C">
      <w:pPr>
        <w:pStyle w:val="HChGR"/>
      </w:pPr>
      <w:r w:rsidRPr="009833CF">
        <w:tab/>
        <w:t>I.</w:t>
      </w:r>
      <w:r w:rsidRPr="009833CF">
        <w:tab/>
        <w:t>Мандат</w:t>
      </w:r>
    </w:p>
    <w:p w:rsidR="009833CF" w:rsidRPr="009833CF" w:rsidRDefault="009833CF" w:rsidP="009833CF">
      <w:pPr>
        <w:pStyle w:val="SingleTxtGR"/>
      </w:pPr>
      <w:r w:rsidRPr="009833CF">
        <w:t>1.</w:t>
      </w:r>
      <w:r w:rsidRPr="009833CF">
        <w:tab/>
        <w:t>В ходе двадцать седьмой сессии (8–10 сентября 2014 года, Женева) Раб</w:t>
      </w:r>
      <w:r w:rsidRPr="009833CF">
        <w:t>о</w:t>
      </w:r>
      <w:r w:rsidRPr="009833CF">
        <w:t xml:space="preserve">чей группы по тенденциям и экономике транспорта (WP.5) состоялось рабочее совещание на тему: </w:t>
      </w:r>
      <w:r w:rsidR="00E500CD">
        <w:t>«</w:t>
      </w:r>
      <w:r w:rsidRPr="009833CF">
        <w:t>Надлежащая практика и новые инструменты финансир</w:t>
      </w:r>
      <w:r w:rsidRPr="009833CF">
        <w:t>о</w:t>
      </w:r>
      <w:r w:rsidRPr="009833CF">
        <w:t>вания транспортной инфраструктуры</w:t>
      </w:r>
      <w:r w:rsidR="00E500CD">
        <w:t>»</w:t>
      </w:r>
      <w:r w:rsidRPr="009833CF">
        <w:t>. Участники совещания согласились с тем, что проведение сопоставительного анализа расходов на транспортную и</w:t>
      </w:r>
      <w:r w:rsidRPr="009833CF">
        <w:t>н</w:t>
      </w:r>
      <w:r w:rsidRPr="009833CF">
        <w:t>фраструктуру имеет важное значение для определения реальной стоимости строительства и реализации стабильной инвестиционной программы без каких-</w:t>
      </w:r>
      <w:r w:rsidRPr="009833CF">
        <w:lastRenderedPageBreak/>
        <w:t>либо непредвиденных значительных затрат. Участники пришли также к выводу, что установление контрольных параметров расходов на строительство может быть полезным для составления сметы расходов и контроля за изменениями в расходах по проекту.</w:t>
      </w:r>
    </w:p>
    <w:p w:rsidR="009833CF" w:rsidRPr="009833CF" w:rsidRDefault="009833CF" w:rsidP="009833CF">
      <w:pPr>
        <w:pStyle w:val="SingleTxtGR"/>
      </w:pPr>
      <w:r w:rsidRPr="009833CF">
        <w:t>2.</w:t>
      </w:r>
      <w:r w:rsidRPr="009833CF">
        <w:tab/>
        <w:t>В ходе двадцать восьмой сессии (7–9 сентября 2015 года, Женева) Раб</w:t>
      </w:r>
      <w:r w:rsidRPr="009833CF">
        <w:t>о</w:t>
      </w:r>
      <w:r w:rsidRPr="009833CF">
        <w:t>чая группа одобрила создание группы экспертов по сопоставительному анализу затрат на строительство транспортной инфраструктуры и ее круг ведения (ECE/</w:t>
      </w:r>
      <w:r w:rsidR="0078607E">
        <w:br/>
      </w:r>
      <w:r w:rsidRPr="009833CF">
        <w:t>TRANS/WP.5/2015/2). После одобрения Комитетом по внутреннему транспорту и Исполнительным комитетом ЕЭК группа начала организовывать свои сов</w:t>
      </w:r>
      <w:r w:rsidRPr="009833CF">
        <w:t>е</w:t>
      </w:r>
      <w:r w:rsidRPr="009833CF">
        <w:t>щания.</w:t>
      </w:r>
    </w:p>
    <w:p w:rsidR="009833CF" w:rsidRPr="009833CF" w:rsidRDefault="009833CF" w:rsidP="00AF49AC">
      <w:pPr>
        <w:pStyle w:val="HChGR"/>
      </w:pPr>
      <w:r w:rsidRPr="009833CF">
        <w:tab/>
        <w:t>II.</w:t>
      </w:r>
      <w:r w:rsidRPr="009833CF">
        <w:tab/>
        <w:t xml:space="preserve">Круг ведения </w:t>
      </w:r>
    </w:p>
    <w:p w:rsidR="009833CF" w:rsidRPr="009833CF" w:rsidRDefault="009833CF" w:rsidP="009833CF">
      <w:pPr>
        <w:pStyle w:val="SingleTxtGR"/>
      </w:pPr>
      <w:r w:rsidRPr="009833CF">
        <w:t>3.</w:t>
      </w:r>
      <w:r w:rsidRPr="009833CF">
        <w:tab/>
        <w:t>В соответствии с выводами и рекомендациями рабочего совещания по оптимальной практике и новым инструментам финансирования транспортной инфраструктуры Группе экспертов следует сосредоточить свою деятельность на следующих аспектах: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выявление моделей, методологий, инструментов и надлежащей практики для оценки, расчета и анализа затрат на строительство инфраструкт</w:t>
      </w:r>
      <w:r w:rsidR="009833CF" w:rsidRPr="009833CF">
        <w:t>у</w:t>
      </w:r>
      <w:r w:rsidR="009833CF" w:rsidRPr="009833CF">
        <w:t xml:space="preserve">ры внутреннего транспорта; 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b)</w:t>
      </w:r>
      <w:r w:rsidR="009833CF" w:rsidRPr="009833CF">
        <w:tab/>
        <w:t>выявление и составление списков терминов, используемых в рег</w:t>
      </w:r>
      <w:r w:rsidR="009833CF" w:rsidRPr="009833CF">
        <w:t>и</w:t>
      </w:r>
      <w:r w:rsidR="009833CF" w:rsidRPr="009833CF">
        <w:t xml:space="preserve">оне ЕЭК в связи с затратами на строительство инфраструктуры внутреннего транспорта; по возможности подготовка глоссария согласованных терминов и соответствующих пояснений; 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>сбор и анализ данных для подготовки сопоставительного анализа затрат на строительство транспортной инфраструктуры в регионе ЕЭК по ка</w:t>
      </w:r>
      <w:r w:rsidR="009833CF" w:rsidRPr="009833CF">
        <w:t>ж</w:t>
      </w:r>
      <w:r w:rsidR="009833CF" w:rsidRPr="009833CF">
        <w:t>дому виду внутреннего транспорта: автомобильному, железнодорожному, вну</w:t>
      </w:r>
      <w:r w:rsidR="009833CF" w:rsidRPr="009833CF">
        <w:t>т</w:t>
      </w:r>
      <w:r w:rsidR="009833CF" w:rsidRPr="009833CF">
        <w:t>реннему водному, интермодальным терминалам, грузовым/логистическим це</w:t>
      </w:r>
      <w:r w:rsidR="009833CF" w:rsidRPr="009833CF">
        <w:t>н</w:t>
      </w:r>
      <w:r w:rsidR="009833CF" w:rsidRPr="009833CF">
        <w:t xml:space="preserve">трам и портам; анализ и описание условий/параметров расчета этих затрат. </w:t>
      </w:r>
    </w:p>
    <w:p w:rsidR="009833CF" w:rsidRPr="009833CF" w:rsidRDefault="009833CF" w:rsidP="009833CF">
      <w:pPr>
        <w:pStyle w:val="SingleTxtGR"/>
      </w:pPr>
      <w:r w:rsidRPr="009833CF">
        <w:t>4.</w:t>
      </w:r>
      <w:r w:rsidRPr="009833CF">
        <w:tab/>
        <w:t>Группе экспертов следует учитывать результаты предыдущей работы ЕЭК: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анализ затрат и выгод проектов в области транспортной инфр</w:t>
      </w:r>
      <w:r w:rsidR="009833CF" w:rsidRPr="009833CF">
        <w:t>а</w:t>
      </w:r>
      <w:r w:rsidR="009833CF" w:rsidRPr="009833CF">
        <w:t>структуры, 2003 год</w:t>
      </w:r>
      <w:r w:rsidR="009833CF" w:rsidRPr="00100571">
        <w:rPr>
          <w:sz w:val="18"/>
          <w:vertAlign w:val="superscript"/>
        </w:rPr>
        <w:footnoteReference w:id="1"/>
      </w:r>
      <w:r w:rsidR="009833CF" w:rsidRPr="009833CF">
        <w:t xml:space="preserve">; 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b)</w:t>
      </w:r>
      <w:r w:rsidR="009833CF" w:rsidRPr="009833CF">
        <w:tab/>
        <w:t>методологическая основа для определения общих критериев, кас</w:t>
      </w:r>
      <w:r w:rsidR="009833CF" w:rsidRPr="009833CF">
        <w:t>а</w:t>
      </w:r>
      <w:r w:rsidR="009833CF" w:rsidRPr="009833CF">
        <w:t>ющихся идентификации узких мест, недостающих звеньев и качества услуг в сетях инфраструктуры, 2009 год</w:t>
      </w:r>
      <w:r w:rsidR="009833CF" w:rsidRPr="00100571">
        <w:rPr>
          <w:sz w:val="18"/>
          <w:vertAlign w:val="superscript"/>
        </w:rPr>
        <w:footnoteReference w:id="2"/>
      </w:r>
      <w:r w:rsidR="009833CF" w:rsidRPr="009833CF">
        <w:t>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>стандарты и рекомендованная практика в контексте Проекта трансъевропейской автомагистрали Север−Юг, 2002 год</w:t>
      </w:r>
      <w:r w:rsidR="009833CF" w:rsidRPr="00100571">
        <w:rPr>
          <w:sz w:val="18"/>
          <w:vertAlign w:val="superscript"/>
        </w:rPr>
        <w:footnoteReference w:id="3"/>
      </w:r>
      <w:r w:rsidR="009833CF" w:rsidRPr="009833CF">
        <w:t>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d)</w:t>
      </w:r>
      <w:r w:rsidR="009833CF" w:rsidRPr="009833CF">
        <w:tab/>
        <w:t>заключительный доклад о пересмотренном Генеральном плане ТЕА и ТЕЖ, 2012 год</w:t>
      </w:r>
      <w:r w:rsidR="009833CF" w:rsidRPr="00100571">
        <w:rPr>
          <w:sz w:val="18"/>
          <w:vertAlign w:val="superscript"/>
        </w:rPr>
        <w:footnoteReference w:id="4"/>
      </w:r>
      <w:r w:rsidR="009833CF" w:rsidRPr="009833CF">
        <w:t>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e)</w:t>
      </w:r>
      <w:r w:rsidR="009833CF" w:rsidRPr="009833CF">
        <w:tab/>
        <w:t>исследования в рамках Проекта по евро-азиатским транспортным связям, 2008 год</w:t>
      </w:r>
      <w:r w:rsidR="00ED2436" w:rsidRPr="00100571">
        <w:rPr>
          <w:sz w:val="18"/>
          <w:vertAlign w:val="superscript"/>
        </w:rPr>
        <w:footnoteReference w:id="5"/>
      </w:r>
      <w:r w:rsidR="009833CF" w:rsidRPr="009833CF">
        <w:t xml:space="preserve"> и 2012 год</w:t>
      </w:r>
      <w:r w:rsidR="009833CF" w:rsidRPr="00100571">
        <w:rPr>
          <w:sz w:val="18"/>
          <w:vertAlign w:val="superscript"/>
        </w:rPr>
        <w:footnoteReference w:id="6"/>
      </w:r>
      <w:r w:rsidR="009833CF" w:rsidRPr="009833CF">
        <w:t>.</w:t>
      </w:r>
    </w:p>
    <w:p w:rsidR="009833CF" w:rsidRPr="009833CF" w:rsidRDefault="009833CF" w:rsidP="00AF49AC">
      <w:pPr>
        <w:pStyle w:val="HChGR"/>
      </w:pPr>
      <w:r w:rsidRPr="009833CF">
        <w:lastRenderedPageBreak/>
        <w:tab/>
        <w:t xml:space="preserve">III. </w:t>
      </w:r>
      <w:r w:rsidRPr="009833CF">
        <w:tab/>
        <w:t>Затраты на строительство транспортной инфраструктуры: обзор основных проблем и</w:t>
      </w:r>
      <w:r w:rsidR="00AF49AC">
        <w:rPr>
          <w:lang w:val="en-US"/>
        </w:rPr>
        <w:t> </w:t>
      </w:r>
      <w:r w:rsidRPr="009833CF">
        <w:t>соображений</w:t>
      </w:r>
    </w:p>
    <w:p w:rsidR="009833CF" w:rsidRPr="009833CF" w:rsidRDefault="009833CF" w:rsidP="009833CF">
      <w:pPr>
        <w:pStyle w:val="SingleTxtGR"/>
      </w:pPr>
      <w:r w:rsidRPr="009833CF">
        <w:t xml:space="preserve">5. </w:t>
      </w:r>
      <w:r w:rsidRPr="009833CF">
        <w:tab/>
        <w:t>Группа обсудила и подытожила основные проблемы и соображения, к</w:t>
      </w:r>
      <w:r w:rsidRPr="009833CF">
        <w:t>а</w:t>
      </w:r>
      <w:r w:rsidRPr="009833CF">
        <w:t>сающиеся затрат на строительст</w:t>
      </w:r>
      <w:r w:rsidR="00D15EE1">
        <w:t xml:space="preserve">во транспортной инфраструктуры. </w:t>
      </w:r>
      <w:r w:rsidRPr="009833CF">
        <w:t>Группа пришла к выводу, что существует несколько причин, которые обосновывают мандат Группы и обусловливают настоятельную необходимость достижения р</w:t>
      </w:r>
      <w:r w:rsidRPr="009833CF">
        <w:t>е</w:t>
      </w:r>
      <w:r w:rsidRPr="009833CF">
        <w:t>зультатов и выполнения сопоставительного анализа в максимально сжатые ср</w:t>
      </w:r>
      <w:r w:rsidRPr="009833CF">
        <w:t>о</w:t>
      </w:r>
      <w:r w:rsidRPr="009833CF">
        <w:t>ки. Группа указала, в частности, на следующие возможные преимущества э</w:t>
      </w:r>
      <w:r w:rsidRPr="009833CF">
        <w:t>ф</w:t>
      </w:r>
      <w:r w:rsidRPr="009833CF">
        <w:t xml:space="preserve">фективного осуществления своего мандата и программы работы: 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повышение производительности;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b)</w:t>
      </w:r>
      <w:r w:rsidR="009833CF" w:rsidRPr="009833CF">
        <w:tab/>
        <w:t xml:space="preserve">единое понимание терминологии; 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>упрощение анализа затрат и выгод;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d)</w:t>
      </w:r>
      <w:r w:rsidR="009833CF" w:rsidRPr="009833CF">
        <w:tab/>
        <w:t>контроль проектных затрат и облегчение составления смет расх</w:t>
      </w:r>
      <w:r w:rsidR="009833CF" w:rsidRPr="009833CF">
        <w:t>о</w:t>
      </w:r>
      <w:r w:rsidR="009833CF" w:rsidRPr="009833CF">
        <w:t>дов;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e)</w:t>
      </w:r>
      <w:r w:rsidR="009833CF" w:rsidRPr="009833CF">
        <w:tab/>
        <w:t xml:space="preserve">облегчение межстрановых сопоставлений; 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f)</w:t>
      </w:r>
      <w:r w:rsidR="009833CF" w:rsidRPr="009833CF">
        <w:tab/>
        <w:t>более эффективное распределение бюджетных ассигнований;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g)</w:t>
      </w:r>
      <w:r w:rsidR="009833CF" w:rsidRPr="009833CF">
        <w:tab/>
        <w:t>более эффективное использование материалов;</w:t>
      </w:r>
    </w:p>
    <w:p w:rsidR="009833CF" w:rsidRPr="009833CF" w:rsidRDefault="00AF49AC" w:rsidP="009833CF">
      <w:pPr>
        <w:pStyle w:val="SingleTxtGR"/>
      </w:pPr>
      <w:r>
        <w:tab/>
      </w:r>
      <w:r w:rsidR="009833CF" w:rsidRPr="009833CF">
        <w:t>h)</w:t>
      </w:r>
      <w:r w:rsidR="009833CF" w:rsidRPr="009833CF">
        <w:tab/>
        <w:t>составление подробных технико-экономических обоснований.</w:t>
      </w:r>
    </w:p>
    <w:p w:rsidR="009833CF" w:rsidRPr="009833CF" w:rsidRDefault="009833CF" w:rsidP="009833CF">
      <w:pPr>
        <w:pStyle w:val="SingleTxtGR"/>
      </w:pPr>
      <w:r w:rsidRPr="009833CF">
        <w:t>6.</w:t>
      </w:r>
      <w:r w:rsidRPr="009833CF">
        <w:tab/>
        <w:t xml:space="preserve">Прежде чем приступать к сопоставительному анализу, следует найти </w:t>
      </w:r>
      <w:r w:rsidR="00E500CD">
        <w:t>«</w:t>
      </w:r>
      <w:r w:rsidRPr="009833CF">
        <w:t>общий язык</w:t>
      </w:r>
      <w:r w:rsidR="00E500CD">
        <w:t>»</w:t>
      </w:r>
      <w:r w:rsidRPr="009833CF">
        <w:t>, что является даже более важным, чем сам анализ. Цель группы состоит в том, чтобы не изобретать колесо, а подготовить и обсудить новый п</w:t>
      </w:r>
      <w:r w:rsidRPr="009833CF">
        <w:t>е</w:t>
      </w:r>
      <w:r w:rsidRPr="009833CF">
        <w:t>речень терминов/глоссарий. Речь идет о сборе максимально полной информ</w:t>
      </w:r>
      <w:r w:rsidRPr="009833CF">
        <w:t>а</w:t>
      </w:r>
      <w:r w:rsidRPr="009833CF">
        <w:t>ции и выявлении всех существующих перечней терминов, из которых будут о</w:t>
      </w:r>
      <w:r w:rsidRPr="009833CF">
        <w:t>т</w:t>
      </w:r>
      <w:r w:rsidRPr="009833CF">
        <w:t>бираться и согласовываться термины, наиболее значимые и приемлемые для целей сопоставительного анализа. Таким образом, для успешного выполнения поставленной цели группе необходимо учитывать наиболее широко использу</w:t>
      </w:r>
      <w:r w:rsidRPr="009833CF">
        <w:t>е</w:t>
      </w:r>
      <w:r w:rsidRPr="009833CF">
        <w:t xml:space="preserve">мые глоссарии и перечни терминов. </w:t>
      </w:r>
    </w:p>
    <w:p w:rsidR="009833CF" w:rsidRPr="009833CF" w:rsidRDefault="009833CF" w:rsidP="009833CF">
      <w:pPr>
        <w:pStyle w:val="SingleTxtGR"/>
      </w:pPr>
      <w:r w:rsidRPr="009833CF">
        <w:t>7.</w:t>
      </w:r>
      <w:r w:rsidRPr="009833CF">
        <w:tab/>
        <w:t>Проведение сопоставительного анализа по всем видам внутреннего транспорта и транспортным узлам само по себе станет важной вехой для разв</w:t>
      </w:r>
      <w:r w:rsidRPr="009833CF">
        <w:t>и</w:t>
      </w:r>
      <w:r w:rsidRPr="009833CF">
        <w:t>тия транспортной инфраструктуры, поскольку до сих пор такое сопоставител</w:t>
      </w:r>
      <w:r w:rsidRPr="009833CF">
        <w:t>ь</w:t>
      </w:r>
      <w:r w:rsidRPr="009833CF">
        <w:t>ное исследование не проводилось ни одной другой организацией. Информация о том, какие затраты и на каких условиях понесла другая страна из того же р</w:t>
      </w:r>
      <w:r w:rsidRPr="009833CF">
        <w:t>е</w:t>
      </w:r>
      <w:r w:rsidRPr="009833CF">
        <w:t>гиона или из других регионов по тому или иному проекту, связанному со стро</w:t>
      </w:r>
      <w:r w:rsidRPr="009833CF">
        <w:t>и</w:t>
      </w:r>
      <w:r w:rsidRPr="009833CF">
        <w:t>тельством транспортной инфраструктуры, станет ценным инструментом и по</w:t>
      </w:r>
      <w:r w:rsidRPr="009833CF">
        <w:t>д</w:t>
      </w:r>
      <w:r w:rsidRPr="009833CF">
        <w:t>спорьем в контексте принятия инвестиционных решений для стран, которые х</w:t>
      </w:r>
      <w:r w:rsidRPr="009833CF">
        <w:t>о</w:t>
      </w:r>
      <w:r w:rsidRPr="009833CF">
        <w:t>тят реализовывать проекты в области строительства, и для международных ф</w:t>
      </w:r>
      <w:r w:rsidRPr="009833CF">
        <w:t>и</w:t>
      </w:r>
      <w:r w:rsidRPr="009833CF">
        <w:t>нансовых учреждений, которые хотят инвестировать средства в такие проекты. Основная задача этого сопоставительного исследования состоит не в сравнении размеров сумм, которые тратят страны на цели строительства, а в том, чтобы в структурированной форме представить средние показатели затрат на стро</w:t>
      </w:r>
      <w:r w:rsidRPr="009833CF">
        <w:t>и</w:t>
      </w:r>
      <w:r w:rsidRPr="009833CF">
        <w:t xml:space="preserve">тельство транспортной инфраструктуры. </w:t>
      </w:r>
    </w:p>
    <w:p w:rsidR="009833CF" w:rsidRPr="009833CF" w:rsidRDefault="009833CF" w:rsidP="00AF49AC">
      <w:pPr>
        <w:pStyle w:val="HChGR"/>
      </w:pPr>
      <w:r w:rsidRPr="009833CF">
        <w:tab/>
        <w:t xml:space="preserve">IV. </w:t>
      </w:r>
      <w:r w:rsidRPr="009833CF">
        <w:tab/>
        <w:t>Организация работы и трудности</w:t>
      </w:r>
    </w:p>
    <w:p w:rsidR="009833CF" w:rsidRPr="009833CF" w:rsidRDefault="009833CF" w:rsidP="009833CF">
      <w:pPr>
        <w:pStyle w:val="SingleTxtGR"/>
      </w:pPr>
      <w:r w:rsidRPr="009833CF">
        <w:t xml:space="preserve">8. </w:t>
      </w:r>
      <w:r w:rsidRPr="009833CF">
        <w:tab/>
        <w:t xml:space="preserve">Группа определила структуру своего окончательного доклада: </w:t>
      </w:r>
    </w:p>
    <w:p w:rsidR="009833CF" w:rsidRPr="009833CF" w:rsidRDefault="009833CF" w:rsidP="009833CF">
      <w:pPr>
        <w:pStyle w:val="SingleTxtGR"/>
      </w:pPr>
      <w:r w:rsidRPr="009833CF">
        <w:t>Глава 1:</w:t>
      </w:r>
      <w:r w:rsidRPr="009833CF">
        <w:tab/>
        <w:t>Введение.</w:t>
      </w:r>
    </w:p>
    <w:p w:rsidR="009833CF" w:rsidRPr="009833CF" w:rsidRDefault="009833CF" w:rsidP="009833CF">
      <w:pPr>
        <w:pStyle w:val="SingleTxtGR"/>
      </w:pPr>
      <w:r w:rsidRPr="009833CF">
        <w:t>Глава 2:</w:t>
      </w:r>
      <w:r w:rsidRPr="009833CF">
        <w:tab/>
        <w:t>Обзор проблем и соображений – цель проекта: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обзор источников;</w:t>
      </w:r>
    </w:p>
    <w:p w:rsidR="009833CF" w:rsidRPr="009833CF" w:rsidRDefault="006E6238" w:rsidP="009833CF">
      <w:pPr>
        <w:pStyle w:val="SingleTxtGR"/>
      </w:pPr>
      <w:r>
        <w:lastRenderedPageBreak/>
        <w:tab/>
      </w:r>
      <w:r w:rsidR="009833CF" w:rsidRPr="009833CF">
        <w:t>b)</w:t>
      </w:r>
      <w:r w:rsidR="009833CF" w:rsidRPr="009833CF">
        <w:tab/>
        <w:t>международный и национальный опыт и передовая/надлежащая практика;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>модели/методологии.</w:t>
      </w:r>
    </w:p>
    <w:p w:rsidR="009833CF" w:rsidRPr="009833CF" w:rsidRDefault="009833CF" w:rsidP="009833CF">
      <w:pPr>
        <w:pStyle w:val="SingleTxtGR"/>
      </w:pPr>
      <w:r w:rsidRPr="009833CF">
        <w:t>Глава 3:</w:t>
      </w:r>
      <w:r w:rsidRPr="009833CF">
        <w:tab/>
        <w:t>Глоссарий терминов, связанных с затратами на строительство: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введение, задачи и проблемы;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b)</w:t>
      </w:r>
      <w:r w:rsidR="009833CF" w:rsidRPr="009833CF">
        <w:tab/>
        <w:t>автомобильный транспорт:</w:t>
      </w:r>
    </w:p>
    <w:p w:rsidR="009833CF" w:rsidRPr="009833CF" w:rsidRDefault="009833CF" w:rsidP="006E6238">
      <w:pPr>
        <w:pStyle w:val="SingleTxtGR"/>
        <w:ind w:left="2268"/>
      </w:pPr>
      <w:r w:rsidRPr="009833CF">
        <w:t>i)</w:t>
      </w:r>
      <w:r w:rsidRPr="009833CF">
        <w:tab/>
        <w:t xml:space="preserve">строительство; </w:t>
      </w:r>
    </w:p>
    <w:p w:rsidR="009833CF" w:rsidRPr="009833CF" w:rsidRDefault="009833CF" w:rsidP="006E6238">
      <w:pPr>
        <w:pStyle w:val="SingleTxtGR"/>
        <w:ind w:left="2268"/>
      </w:pPr>
      <w:r w:rsidRPr="009833CF">
        <w:t>ii)</w:t>
      </w:r>
      <w:r w:rsidRPr="009833CF">
        <w:tab/>
        <w:t>обслуживание;</w:t>
      </w:r>
    </w:p>
    <w:p w:rsidR="009833CF" w:rsidRPr="009833CF" w:rsidRDefault="009833CF" w:rsidP="006E6238">
      <w:pPr>
        <w:pStyle w:val="SingleTxtGR"/>
        <w:ind w:left="2268"/>
      </w:pPr>
      <w:r w:rsidRPr="009833CF">
        <w:t>iii)</w:t>
      </w:r>
      <w:r w:rsidRPr="009833CF">
        <w:tab/>
        <w:t>эксплуатация;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>железнодорожный транспорт:</w:t>
      </w:r>
    </w:p>
    <w:p w:rsidR="009833CF" w:rsidRPr="009833CF" w:rsidRDefault="003071BD" w:rsidP="006E6238">
      <w:pPr>
        <w:pStyle w:val="SingleTxtGR"/>
        <w:ind w:left="2268"/>
      </w:pPr>
      <w:r>
        <w:t>i)</w:t>
      </w:r>
      <w:r>
        <w:tab/>
        <w:t>строительство…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d)</w:t>
      </w:r>
      <w:r w:rsidR="009833CF" w:rsidRPr="009833CF">
        <w:tab/>
        <w:t>внутренний водный транспорт, интермодальные терминалы, порты.</w:t>
      </w:r>
    </w:p>
    <w:p w:rsidR="009833CF" w:rsidRPr="009833CF" w:rsidRDefault="009833CF" w:rsidP="009833CF">
      <w:pPr>
        <w:pStyle w:val="SingleTxtGR"/>
      </w:pPr>
      <w:r w:rsidRPr="009833CF">
        <w:t>Глава 4:</w:t>
      </w:r>
      <w:r w:rsidRPr="009833CF">
        <w:tab/>
        <w:t>Сопоставительный анализ затрат на строительство транспортной инфраструктуры: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обзор методологии – вопросник;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b)</w:t>
      </w:r>
      <w:r w:rsidR="009833CF" w:rsidRPr="009833CF">
        <w:tab/>
        <w:t>база данных для сопоставительного анализа:</w:t>
      </w:r>
    </w:p>
    <w:p w:rsidR="009833CF" w:rsidRPr="009833CF" w:rsidRDefault="009833CF" w:rsidP="006E6238">
      <w:pPr>
        <w:pStyle w:val="SingleTxtGR"/>
        <w:ind w:left="2268"/>
      </w:pPr>
      <w:r w:rsidRPr="009833CF">
        <w:t>i)</w:t>
      </w:r>
      <w:r w:rsidRPr="009833CF">
        <w:tab/>
        <w:t>автомобильный транспорт:</w:t>
      </w:r>
    </w:p>
    <w:p w:rsidR="009833CF" w:rsidRPr="009833CF" w:rsidRDefault="009833CF" w:rsidP="006E6238">
      <w:pPr>
        <w:pStyle w:val="Bullet2GR"/>
      </w:pPr>
      <w:r w:rsidRPr="009833CF">
        <w:t xml:space="preserve">строительство;  </w:t>
      </w:r>
    </w:p>
    <w:p w:rsidR="009833CF" w:rsidRPr="009833CF" w:rsidRDefault="009833CF" w:rsidP="006E6238">
      <w:pPr>
        <w:pStyle w:val="Bullet2GR"/>
      </w:pPr>
      <w:r w:rsidRPr="009833CF">
        <w:t xml:space="preserve">обслуживание; </w:t>
      </w:r>
    </w:p>
    <w:p w:rsidR="009833CF" w:rsidRPr="009833CF" w:rsidRDefault="009833CF" w:rsidP="006E6238">
      <w:pPr>
        <w:pStyle w:val="Bullet2GR"/>
      </w:pPr>
      <w:r w:rsidRPr="009833CF">
        <w:t>эксплуатация;</w:t>
      </w:r>
    </w:p>
    <w:p w:rsidR="009833CF" w:rsidRPr="009833CF" w:rsidRDefault="009833CF" w:rsidP="006E6238">
      <w:pPr>
        <w:pStyle w:val="SingleTxtGR"/>
        <w:ind w:left="2268"/>
      </w:pPr>
      <w:r w:rsidRPr="009833CF">
        <w:t>ii)</w:t>
      </w:r>
      <w:r w:rsidRPr="009833CF">
        <w:tab/>
        <w:t>железнодорожный транспорт:</w:t>
      </w:r>
    </w:p>
    <w:p w:rsidR="009833CF" w:rsidRPr="009833CF" w:rsidRDefault="003071BD" w:rsidP="006E6238">
      <w:pPr>
        <w:pStyle w:val="Bullet2GR"/>
      </w:pPr>
      <w:r>
        <w:t>строительство…</w:t>
      </w:r>
    </w:p>
    <w:p w:rsidR="009833CF" w:rsidRPr="009833CF" w:rsidRDefault="009833CF" w:rsidP="006E6238">
      <w:pPr>
        <w:pStyle w:val="SingleTxtGR"/>
        <w:ind w:left="2268"/>
      </w:pPr>
      <w:r w:rsidRPr="009833CF">
        <w:t>iii)</w:t>
      </w:r>
      <w:r w:rsidRPr="009833CF">
        <w:tab/>
        <w:t xml:space="preserve">внутренний водный транспорт, </w:t>
      </w:r>
      <w:r w:rsidR="002A32EC">
        <w:t>интермодальные терминалы, порты;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 xml:space="preserve">анализ. </w:t>
      </w:r>
    </w:p>
    <w:p w:rsidR="009833CF" w:rsidRPr="009833CF" w:rsidRDefault="009833CF" w:rsidP="009833CF">
      <w:pPr>
        <w:pStyle w:val="SingleTxtGR"/>
      </w:pPr>
      <w:r w:rsidRPr="009833CF">
        <w:t>Глава 5:</w:t>
      </w:r>
      <w:r w:rsidRPr="009833CF">
        <w:tab/>
        <w:t>Выводы и рекомендации.</w:t>
      </w:r>
    </w:p>
    <w:p w:rsidR="009833CF" w:rsidRPr="009833CF" w:rsidRDefault="009833CF" w:rsidP="009833CF">
      <w:pPr>
        <w:pStyle w:val="SingleTxtGR"/>
      </w:pPr>
      <w:r w:rsidRPr="009833CF">
        <w:t>9.</w:t>
      </w:r>
      <w:r w:rsidRPr="009833CF">
        <w:tab/>
        <w:t>Группа обсудила возможные трудности при выполнении своих задач. О</w:t>
      </w:r>
      <w:r w:rsidRPr="009833CF">
        <w:t>с</w:t>
      </w:r>
      <w:r w:rsidRPr="009833CF">
        <w:t>новная трудность заключается в том, что цели группы касаются различных в</w:t>
      </w:r>
      <w:r w:rsidRPr="009833CF">
        <w:t>и</w:t>
      </w:r>
      <w:r w:rsidRPr="009833CF">
        <w:t>дов транспорта (автомобильного, железнодорожного и внутреннего водного) и соответствующих транспортных узлов (портов, интермодальных терминалов). Поэтому следует выбрать и пригласить различных экспертов от каждого гос</w:t>
      </w:r>
      <w:r w:rsidRPr="009833CF">
        <w:t>у</w:t>
      </w:r>
      <w:r w:rsidRPr="009833CF">
        <w:t xml:space="preserve">дарства-члена. Группа решила, что для подгрупп по каждому виду транспорта и транспортному узлу следует выбрать ведущую страну или организацию. Это значительно облегчило бы ее работу и обеспечило бы оперативную подготовку качественных материалов в течение срока действия мандата группы. </w:t>
      </w:r>
    </w:p>
    <w:p w:rsidR="009833CF" w:rsidRPr="009833CF" w:rsidRDefault="009833CF" w:rsidP="009833CF">
      <w:pPr>
        <w:pStyle w:val="SingleTxtGR"/>
      </w:pPr>
      <w:r w:rsidRPr="009833CF">
        <w:t>10.</w:t>
      </w:r>
      <w:r w:rsidRPr="009833CF">
        <w:tab/>
        <w:t>К настоящему моменту состоялось уже четыре сессии, по итогам которых группа организовала свою работу соответствующим образом, подготовив сл</w:t>
      </w:r>
      <w:r w:rsidRPr="009833CF">
        <w:t>е</w:t>
      </w:r>
      <w:r w:rsidRPr="009833CF">
        <w:t xml:space="preserve">дующие материалы: 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a)</w:t>
      </w:r>
      <w:r w:rsidR="009833CF" w:rsidRPr="009833CF">
        <w:tab/>
        <w:t>автомобильный транспорт: ведущая страна – Турция. К настоящему моменту подготовлены и прошли обсуждение на сессиях группы проекты п</w:t>
      </w:r>
      <w:r w:rsidR="009833CF" w:rsidRPr="009833CF">
        <w:t>е</w:t>
      </w:r>
      <w:r w:rsidR="009833CF" w:rsidRPr="009833CF">
        <w:t xml:space="preserve">речня терминов и вопросника по сопоставительному анализу затрат; 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b)</w:t>
      </w:r>
      <w:r w:rsidR="009833CF" w:rsidRPr="009833CF">
        <w:tab/>
        <w:t>железнодорожный транспорт: Председатель и секретариат ведут работу по привлечению Ассоциации управляющих европейской железнодоро</w:t>
      </w:r>
      <w:r w:rsidR="009833CF" w:rsidRPr="009833CF">
        <w:t>ж</w:t>
      </w:r>
      <w:r w:rsidR="009833CF" w:rsidRPr="009833CF">
        <w:t>ной инфраструктурой (УЕЖДИ) в качестве ведущей организации по этому виду транспорта. К настоящему моменту со стороны этой организации поступил п</w:t>
      </w:r>
      <w:r w:rsidR="009833CF" w:rsidRPr="009833CF">
        <w:t>о</w:t>
      </w:r>
      <w:r w:rsidR="009833CF" w:rsidRPr="009833CF">
        <w:t xml:space="preserve">ложительный, но еще не окончательный ответ. Секретариат подготовил проект </w:t>
      </w:r>
      <w:r w:rsidR="009833CF" w:rsidRPr="009833CF">
        <w:lastRenderedPageBreak/>
        <w:t xml:space="preserve">перечня терминов для распространения среди всех заинтересованных сторон, включая УЕЖДИ, с тем чтобы получить их замечания и предложения; 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с)</w:t>
      </w:r>
      <w:r w:rsidR="009833CF" w:rsidRPr="009833CF">
        <w:tab/>
        <w:t>внутренний водный транспорт: секретариат сделал несколько с</w:t>
      </w:r>
      <w:r w:rsidR="009833CF" w:rsidRPr="009833CF">
        <w:t>о</w:t>
      </w:r>
      <w:r w:rsidR="009833CF" w:rsidRPr="009833CF">
        <w:t>общений и направил несколько запросов Рабочей группе по внутреннему во</w:t>
      </w:r>
      <w:r w:rsidR="009833CF" w:rsidRPr="009833CF">
        <w:t>д</w:t>
      </w:r>
      <w:r w:rsidR="009833CF" w:rsidRPr="009833CF">
        <w:t>ному транспорту ЕЭК ООН и речным комиссиям. Секретариат подготовил пр</w:t>
      </w:r>
      <w:r w:rsidR="009833CF" w:rsidRPr="009833CF">
        <w:t>о</w:t>
      </w:r>
      <w:r w:rsidR="009833CF" w:rsidRPr="009833CF">
        <w:t>ект перечня терминов для распространения среди всех заинтересованных ст</w:t>
      </w:r>
      <w:r w:rsidR="009833CF" w:rsidRPr="009833CF">
        <w:t>о</w:t>
      </w:r>
      <w:r w:rsidR="009833CF" w:rsidRPr="009833CF">
        <w:t>рон, включая Рабочую группу по внутреннему водному транспорту и речные комиссии, с тем чтобы получить их замечания и предложения;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d)</w:t>
      </w:r>
      <w:r w:rsidR="009833CF" w:rsidRPr="009833CF">
        <w:tab/>
        <w:t>интермодальные терминалы/логистические</w:t>
      </w:r>
      <w:r w:rsidR="0078607E">
        <w:t xml:space="preserve"> центры: </w:t>
      </w:r>
      <w:r w:rsidR="00E500CD">
        <w:t>«</w:t>
      </w:r>
      <w:r w:rsidR="009833CF" w:rsidRPr="009833CF">
        <w:t>Европла</w:t>
      </w:r>
      <w:r w:rsidR="009833CF" w:rsidRPr="009833CF">
        <w:t>т</w:t>
      </w:r>
      <w:r w:rsidR="009833CF" w:rsidRPr="009833CF">
        <w:t>форма</w:t>
      </w:r>
      <w:r w:rsidR="00E500CD">
        <w:t>»</w:t>
      </w:r>
      <w:r w:rsidR="009833CF" w:rsidRPr="009833CF">
        <w:t>, которая является ведущей организацией, уже подготовила проект п</w:t>
      </w:r>
      <w:r w:rsidR="009833CF" w:rsidRPr="009833CF">
        <w:t>е</w:t>
      </w:r>
      <w:r w:rsidR="009833CF" w:rsidRPr="009833CF">
        <w:t xml:space="preserve">речня терминов и вопросник по сопоставительному анализу затрат; </w:t>
      </w:r>
    </w:p>
    <w:p w:rsidR="009833CF" w:rsidRPr="009833CF" w:rsidRDefault="006E6238" w:rsidP="009833CF">
      <w:pPr>
        <w:pStyle w:val="SingleTxtGR"/>
      </w:pPr>
      <w:r>
        <w:tab/>
      </w:r>
      <w:r w:rsidR="009833CF" w:rsidRPr="009833CF">
        <w:t>e)</w:t>
      </w:r>
      <w:r w:rsidR="009833CF" w:rsidRPr="009833CF">
        <w:tab/>
        <w:t>порты: представитель порта Гдыня возглавил работу этой подгру</w:t>
      </w:r>
      <w:r w:rsidR="009833CF" w:rsidRPr="009833CF">
        <w:t>п</w:t>
      </w:r>
      <w:r w:rsidR="009833CF" w:rsidRPr="009833CF">
        <w:t>пы экспертов и подготовил проект перечня терминов и проект вопросника по сопоставительному анализу затрат. Эти материалы будут направлены нескол</w:t>
      </w:r>
      <w:r w:rsidR="009833CF" w:rsidRPr="009833CF">
        <w:t>ь</w:t>
      </w:r>
      <w:r w:rsidR="009833CF" w:rsidRPr="009833CF">
        <w:t>ким другим портам и портовым организациям, таким как Организация балти</w:t>
      </w:r>
      <w:r w:rsidR="009833CF" w:rsidRPr="009833CF">
        <w:t>й</w:t>
      </w:r>
      <w:r w:rsidR="009833CF" w:rsidRPr="009833CF">
        <w:t>ских портов и Европейская организация морских портов, для представления з</w:t>
      </w:r>
      <w:r w:rsidR="009833CF" w:rsidRPr="009833CF">
        <w:t>а</w:t>
      </w:r>
      <w:r w:rsidR="009833CF" w:rsidRPr="009833CF">
        <w:t>мечаний, предложений и поправок. Эти проекты документов вместе с измен</w:t>
      </w:r>
      <w:r w:rsidR="009833CF" w:rsidRPr="009833CF">
        <w:t>е</w:t>
      </w:r>
      <w:r w:rsidR="009833CF" w:rsidRPr="009833CF">
        <w:t>ниями, предложенными различными портами, будут обсуждены и доработаны в ходе следующей сессии группы.</w:t>
      </w:r>
    </w:p>
    <w:p w:rsidR="009833CF" w:rsidRPr="009833CF" w:rsidRDefault="009833CF" w:rsidP="006E6238">
      <w:pPr>
        <w:pStyle w:val="HChGR"/>
      </w:pPr>
      <w:r w:rsidRPr="009833CF">
        <w:tab/>
        <w:t>V.</w:t>
      </w:r>
      <w:r w:rsidRPr="009833CF">
        <w:tab/>
        <w:t>Рекомендации Комитета по внутреннему транспорту</w:t>
      </w:r>
    </w:p>
    <w:p w:rsidR="009833CF" w:rsidRPr="009833CF" w:rsidRDefault="009833CF" w:rsidP="009833CF">
      <w:pPr>
        <w:pStyle w:val="SingleTxtGR"/>
      </w:pPr>
      <w:r w:rsidRPr="009833CF">
        <w:t>11.</w:t>
      </w:r>
      <w:r w:rsidRPr="009833CF">
        <w:tab/>
        <w:t>Комитет по внутреннему транспорту, возможно, пожелает рассмотреть вышеупомянутую информацию и дать секретариату указания относительно дальнейшей организации работы Группы экспертов, а также предложить прав</w:t>
      </w:r>
      <w:r w:rsidRPr="009833CF">
        <w:t>и</w:t>
      </w:r>
      <w:r w:rsidRPr="009833CF">
        <w:t>тельствам и международным организациям более активно участвовать в ее р</w:t>
      </w:r>
      <w:r w:rsidRPr="009833CF">
        <w:t>а</w:t>
      </w:r>
      <w:r w:rsidRPr="009833CF">
        <w:t xml:space="preserve">боте. </w:t>
      </w:r>
    </w:p>
    <w:p w:rsidR="009833CF" w:rsidRPr="006E6238" w:rsidRDefault="006E6238" w:rsidP="006E623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9833CF">
      <w:pPr>
        <w:pStyle w:val="SingleTxtGR"/>
      </w:pPr>
    </w:p>
    <w:sectPr w:rsidR="00E12C5F" w:rsidRPr="008D53B6" w:rsidSect="009833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77" w:rsidRPr="00A312BC" w:rsidRDefault="005E7177" w:rsidP="00A312BC"/>
  </w:endnote>
  <w:endnote w:type="continuationSeparator" w:id="0">
    <w:p w:rsidR="005E7177" w:rsidRPr="00A312BC" w:rsidRDefault="005E71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F" w:rsidRPr="009833CF" w:rsidRDefault="009833CF">
    <w:pPr>
      <w:pStyle w:val="Footer"/>
    </w:pPr>
    <w:r w:rsidRPr="009833CF">
      <w:rPr>
        <w:b/>
        <w:sz w:val="18"/>
      </w:rPr>
      <w:fldChar w:fldCharType="begin"/>
    </w:r>
    <w:r w:rsidRPr="009833CF">
      <w:rPr>
        <w:b/>
        <w:sz w:val="18"/>
      </w:rPr>
      <w:instrText xml:space="preserve"> PAGE  \* MERGEFORMAT </w:instrText>
    </w:r>
    <w:r w:rsidRPr="009833CF">
      <w:rPr>
        <w:b/>
        <w:sz w:val="18"/>
      </w:rPr>
      <w:fldChar w:fldCharType="separate"/>
    </w:r>
    <w:r w:rsidR="003D0453">
      <w:rPr>
        <w:b/>
        <w:noProof/>
        <w:sz w:val="18"/>
      </w:rPr>
      <w:t>4</w:t>
    </w:r>
    <w:r w:rsidRPr="009833CF">
      <w:rPr>
        <w:b/>
        <w:sz w:val="18"/>
      </w:rPr>
      <w:fldChar w:fldCharType="end"/>
    </w:r>
    <w:r>
      <w:rPr>
        <w:b/>
        <w:sz w:val="18"/>
      </w:rPr>
      <w:tab/>
    </w:r>
    <w:r>
      <w:t>GE.17-22257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F" w:rsidRPr="009833CF" w:rsidRDefault="009833CF" w:rsidP="009833C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GE.17-22257</w:t>
    </w:r>
    <w:r>
      <w:tab/>
    </w:r>
    <w:r w:rsidRPr="009833CF">
      <w:rPr>
        <w:b/>
        <w:sz w:val="18"/>
      </w:rPr>
      <w:fldChar w:fldCharType="begin"/>
    </w:r>
    <w:r w:rsidRPr="009833CF">
      <w:rPr>
        <w:b/>
        <w:sz w:val="18"/>
      </w:rPr>
      <w:instrText xml:space="preserve"> PAGE  \* MERGEFORMAT </w:instrText>
    </w:r>
    <w:r w:rsidRPr="009833CF">
      <w:rPr>
        <w:b/>
        <w:sz w:val="18"/>
      </w:rPr>
      <w:fldChar w:fldCharType="separate"/>
    </w:r>
    <w:r w:rsidR="003D0453">
      <w:rPr>
        <w:b/>
        <w:noProof/>
        <w:sz w:val="18"/>
      </w:rPr>
      <w:t>5</w:t>
    </w:r>
    <w:r w:rsidRPr="009833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833CF" w:rsidRDefault="009833CF" w:rsidP="009833C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17-22257  (R)</w:t>
    </w:r>
    <w:r w:rsidR="00AF49AC">
      <w:rPr>
        <w:lang w:val="en-US"/>
      </w:rPr>
      <w:t xml:space="preserve">  271217  271217</w:t>
    </w:r>
    <w:r>
      <w:br/>
    </w:r>
    <w:r w:rsidRPr="009833CF">
      <w:rPr>
        <w:rFonts w:ascii="C39T30Lfz" w:hAnsi="C39T30Lfz"/>
        <w:spacing w:val="0"/>
        <w:w w:val="100"/>
        <w:sz w:val="56"/>
      </w:rPr>
      <w:t></w:t>
    </w:r>
    <w:r w:rsidRPr="009833CF">
      <w:rPr>
        <w:rFonts w:ascii="C39T30Lfz" w:hAnsi="C39T30Lfz"/>
        <w:spacing w:val="0"/>
        <w:w w:val="100"/>
        <w:sz w:val="56"/>
      </w:rPr>
      <w:t></w:t>
    </w:r>
    <w:r w:rsidRPr="009833CF">
      <w:rPr>
        <w:rFonts w:ascii="C39T30Lfz" w:hAnsi="C39T30Lfz"/>
        <w:spacing w:val="0"/>
        <w:w w:val="100"/>
        <w:sz w:val="56"/>
      </w:rPr>
      <w:t></w:t>
    </w:r>
    <w:r w:rsidRPr="009833CF">
      <w:rPr>
        <w:rFonts w:ascii="C39T30Lfz" w:hAnsi="C39T30Lfz"/>
        <w:spacing w:val="0"/>
        <w:w w:val="100"/>
        <w:sz w:val="56"/>
      </w:rPr>
      <w:t></w:t>
    </w:r>
    <w:r w:rsidRPr="009833CF">
      <w:rPr>
        <w:rFonts w:ascii="C39T30Lfz" w:hAnsi="C39T30Lfz"/>
        <w:spacing w:val="0"/>
        <w:w w:val="100"/>
        <w:sz w:val="56"/>
      </w:rPr>
      <w:t></w:t>
    </w:r>
    <w:r w:rsidRPr="009833CF">
      <w:rPr>
        <w:rFonts w:ascii="C39T30Lfz" w:hAnsi="C39T30Lfz"/>
        <w:spacing w:val="0"/>
        <w:w w:val="100"/>
        <w:sz w:val="56"/>
      </w:rPr>
      <w:t></w:t>
    </w:r>
    <w:r w:rsidRPr="009833CF">
      <w:rPr>
        <w:rFonts w:ascii="C39T30Lfz" w:hAnsi="C39T30Lfz"/>
        <w:spacing w:val="0"/>
        <w:w w:val="100"/>
        <w:sz w:val="56"/>
      </w:rPr>
      <w:t></w:t>
    </w:r>
    <w:r w:rsidRPr="009833CF">
      <w:rPr>
        <w:rFonts w:ascii="C39T30Lfz" w:hAnsi="C39T30Lfz"/>
        <w:spacing w:val="0"/>
        <w:w w:val="100"/>
        <w:sz w:val="56"/>
      </w:rPr>
      <w:t></w:t>
    </w:r>
    <w:r w:rsidRPr="009833C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77" w:rsidRPr="001075E9" w:rsidRDefault="005E71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7177" w:rsidRDefault="005E71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833CF" w:rsidRPr="003A2C9C" w:rsidRDefault="009833CF" w:rsidP="009833C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00571">
        <w:rPr>
          <w:rStyle w:val="FootnoteReference"/>
          <w:lang w:val="ru-RU"/>
        </w:rPr>
        <w:footnoteRef/>
      </w:r>
      <w:r>
        <w:rPr>
          <w:lang w:val="ru-RU"/>
        </w:rPr>
        <w:tab/>
      </w:r>
      <w:hyperlink r:id="rId1" w:history="1">
        <w:r w:rsidR="007E0A69" w:rsidRPr="003A2C9C">
          <w:rPr>
            <w:rStyle w:val="Hyperlink"/>
            <w:color w:val="auto"/>
            <w:lang w:val="ru-RU"/>
          </w:rPr>
          <w:t>www.unece.org/fileadmin/DAM/trans/doc/2008/wp5/CBAe.pdf</w:t>
        </w:r>
      </w:hyperlink>
      <w:r w:rsidR="007E0A69" w:rsidRPr="003A2C9C">
        <w:rPr>
          <w:lang w:val="ru-RU"/>
        </w:rPr>
        <w:t>.</w:t>
      </w:r>
    </w:p>
  </w:footnote>
  <w:footnote w:id="2">
    <w:p w:rsidR="009833CF" w:rsidRPr="003A2C9C" w:rsidRDefault="009833CF" w:rsidP="009833C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A2C9C">
        <w:rPr>
          <w:lang w:val="ru-RU"/>
        </w:rPr>
        <w:tab/>
      </w:r>
      <w:r w:rsidRPr="003A2C9C">
        <w:rPr>
          <w:rStyle w:val="FootnoteReference"/>
          <w:lang w:val="ru-RU"/>
        </w:rPr>
        <w:footnoteRef/>
      </w:r>
      <w:r w:rsidRPr="003A2C9C">
        <w:rPr>
          <w:lang w:val="ru-RU"/>
        </w:rPr>
        <w:tab/>
      </w:r>
      <w:hyperlink r:id="rId2" w:history="1">
        <w:r w:rsidR="007E0A69" w:rsidRPr="003A2C9C">
          <w:rPr>
            <w:rStyle w:val="Hyperlink"/>
            <w:color w:val="auto"/>
            <w:lang w:val="ru-RU"/>
          </w:rPr>
          <w:t>www.unece.org/fileadmin/DAM/trans/doc/2009/wp5/ECE-TRANS-205e.pdf</w:t>
        </w:r>
      </w:hyperlink>
      <w:r w:rsidR="007E0A69" w:rsidRPr="003A2C9C">
        <w:rPr>
          <w:lang w:val="ru-RU"/>
        </w:rPr>
        <w:t>.</w:t>
      </w:r>
    </w:p>
  </w:footnote>
  <w:footnote w:id="3">
    <w:p w:rsidR="009833CF" w:rsidRPr="007E0A69" w:rsidRDefault="009833CF" w:rsidP="009833C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A2C9C">
        <w:rPr>
          <w:lang w:val="ru-RU"/>
        </w:rPr>
        <w:tab/>
      </w:r>
      <w:r w:rsidRPr="003A2C9C">
        <w:rPr>
          <w:rStyle w:val="FootnoteReference"/>
          <w:lang w:val="ru-RU"/>
        </w:rPr>
        <w:footnoteRef/>
      </w:r>
      <w:r w:rsidRPr="003A2C9C">
        <w:rPr>
          <w:lang w:val="ru-RU"/>
        </w:rPr>
        <w:tab/>
      </w:r>
      <w:hyperlink r:id="rId3" w:history="1">
        <w:r w:rsidR="007E0A69" w:rsidRPr="003A2C9C">
          <w:rPr>
            <w:rStyle w:val="Hyperlink"/>
            <w:color w:val="auto"/>
            <w:lang w:val="ru-RU"/>
          </w:rPr>
          <w:t>www.unece.org/fileadmin/DAM/trans/main/tem/temdocs/TEM-Std-Ed3.pdf</w:t>
        </w:r>
      </w:hyperlink>
      <w:r w:rsidR="007E0A69" w:rsidRPr="003A2C9C">
        <w:rPr>
          <w:lang w:val="ru-RU"/>
        </w:rPr>
        <w:t>.</w:t>
      </w:r>
    </w:p>
  </w:footnote>
  <w:footnote w:id="4">
    <w:p w:rsidR="009833CF" w:rsidRPr="003A2C9C" w:rsidRDefault="009833CF" w:rsidP="009833C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00571">
        <w:rPr>
          <w:rStyle w:val="FootnoteReference"/>
          <w:lang w:val="ru-RU"/>
        </w:rPr>
        <w:footnoteRef/>
      </w:r>
      <w:r>
        <w:rPr>
          <w:lang w:val="ru-RU"/>
        </w:rPr>
        <w:tab/>
      </w:r>
      <w:hyperlink r:id="rId4" w:history="1">
        <w:r w:rsidR="00E500CD" w:rsidRPr="003A2C9C">
          <w:rPr>
            <w:rStyle w:val="Hyperlink"/>
            <w:color w:val="auto"/>
            <w:lang w:val="ru-RU"/>
          </w:rPr>
          <w:t>www.unece.org/fileadmin/DAM/trans/main/temtermp/docs/TEM_and_TER_Vol_I.pdf</w:t>
        </w:r>
      </w:hyperlink>
      <w:r w:rsidR="00E500CD" w:rsidRPr="003A2C9C">
        <w:rPr>
          <w:lang w:val="ru-RU"/>
        </w:rPr>
        <w:t>.</w:t>
      </w:r>
    </w:p>
  </w:footnote>
  <w:footnote w:id="5">
    <w:p w:rsidR="00ED2436" w:rsidRPr="003A2C9C" w:rsidRDefault="00ED2436" w:rsidP="00ED243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A2C9C">
        <w:rPr>
          <w:lang w:val="ru-RU"/>
        </w:rPr>
        <w:tab/>
      </w:r>
      <w:r w:rsidRPr="003A2C9C">
        <w:rPr>
          <w:rStyle w:val="FootnoteReference"/>
          <w:lang w:val="ru-RU"/>
        </w:rPr>
        <w:footnoteRef/>
      </w:r>
      <w:r w:rsidRPr="003A2C9C">
        <w:rPr>
          <w:lang w:val="ru-RU"/>
        </w:rPr>
        <w:tab/>
      </w:r>
      <w:hyperlink r:id="rId5" w:history="1">
        <w:r w:rsidRPr="003A2C9C">
          <w:rPr>
            <w:rStyle w:val="Hyperlink"/>
            <w:color w:val="auto"/>
            <w:lang w:val="ru-RU"/>
          </w:rPr>
          <w:t>www.unece.org/fileadmin/DAM/trans/main/eatl/in_house_study.pdf</w:t>
        </w:r>
      </w:hyperlink>
      <w:r w:rsidRPr="003A2C9C">
        <w:rPr>
          <w:lang w:val="ru-RU"/>
        </w:rPr>
        <w:t>.</w:t>
      </w:r>
    </w:p>
  </w:footnote>
  <w:footnote w:id="6">
    <w:p w:rsidR="009833CF" w:rsidRPr="00E500CD" w:rsidRDefault="009833CF" w:rsidP="009833C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A2C9C">
        <w:rPr>
          <w:lang w:val="ru-RU"/>
        </w:rPr>
        <w:tab/>
      </w:r>
      <w:r w:rsidRPr="003A2C9C">
        <w:rPr>
          <w:rStyle w:val="FootnoteReference"/>
          <w:lang w:val="ru-RU"/>
        </w:rPr>
        <w:footnoteRef/>
      </w:r>
      <w:r w:rsidRPr="003A2C9C">
        <w:rPr>
          <w:lang w:val="ru-RU"/>
        </w:rPr>
        <w:tab/>
      </w:r>
      <w:hyperlink r:id="rId6" w:history="1">
        <w:r w:rsidR="00E500CD" w:rsidRPr="003A2C9C">
          <w:rPr>
            <w:rStyle w:val="Hyperlink"/>
            <w:color w:val="auto"/>
            <w:lang w:val="ru-RU"/>
          </w:rPr>
          <w:t>www.unece.org/fileadmin/DAM/trans/main/eatl/docs/EATL_Report_Phase_II.pdf</w:t>
        </w:r>
      </w:hyperlink>
      <w:r w:rsidR="00E500CD" w:rsidRPr="003A2C9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F" w:rsidRPr="009833CF" w:rsidRDefault="004F6F70">
    <w:pPr>
      <w:pStyle w:val="Header"/>
    </w:pPr>
    <w:fldSimple w:instr=" TITLE  \* MERGEFORMAT ">
      <w:r>
        <w:t>ECE/TRANS/2018/5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F" w:rsidRPr="009833CF" w:rsidRDefault="004F6F70" w:rsidP="009833CF">
    <w:pPr>
      <w:pStyle w:val="Header"/>
      <w:jc w:val="right"/>
    </w:pPr>
    <w:fldSimple w:instr=" TITLE  \* MERGEFORMAT ">
      <w:r>
        <w:t>ECE/TRANS/2018/5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7"/>
    <w:rsid w:val="00033EE1"/>
    <w:rsid w:val="00042B72"/>
    <w:rsid w:val="000558BD"/>
    <w:rsid w:val="000B57E7"/>
    <w:rsid w:val="000B6373"/>
    <w:rsid w:val="000E4E5B"/>
    <w:rsid w:val="000F09DF"/>
    <w:rsid w:val="000F61B2"/>
    <w:rsid w:val="00100571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32E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1BD"/>
    <w:rsid w:val="00307FB6"/>
    <w:rsid w:val="00317339"/>
    <w:rsid w:val="00322004"/>
    <w:rsid w:val="00336E26"/>
    <w:rsid w:val="003402C2"/>
    <w:rsid w:val="00381C24"/>
    <w:rsid w:val="00387CD4"/>
    <w:rsid w:val="003958D0"/>
    <w:rsid w:val="003A0D43"/>
    <w:rsid w:val="003A2C9C"/>
    <w:rsid w:val="003A48CE"/>
    <w:rsid w:val="003B00E5"/>
    <w:rsid w:val="003D0453"/>
    <w:rsid w:val="00407B78"/>
    <w:rsid w:val="00424203"/>
    <w:rsid w:val="00452493"/>
    <w:rsid w:val="00453318"/>
    <w:rsid w:val="00454AF2"/>
    <w:rsid w:val="00454E07"/>
    <w:rsid w:val="00472C5C"/>
    <w:rsid w:val="004E05B7"/>
    <w:rsid w:val="004F6F70"/>
    <w:rsid w:val="0050108D"/>
    <w:rsid w:val="00513081"/>
    <w:rsid w:val="00517901"/>
    <w:rsid w:val="00526683"/>
    <w:rsid w:val="0055196D"/>
    <w:rsid w:val="005639C1"/>
    <w:rsid w:val="005709E0"/>
    <w:rsid w:val="00572E19"/>
    <w:rsid w:val="0059607C"/>
    <w:rsid w:val="005961C8"/>
    <w:rsid w:val="005966F1"/>
    <w:rsid w:val="005D7914"/>
    <w:rsid w:val="005E2B41"/>
    <w:rsid w:val="005E7177"/>
    <w:rsid w:val="005F0B42"/>
    <w:rsid w:val="006345DB"/>
    <w:rsid w:val="00640F49"/>
    <w:rsid w:val="00680D03"/>
    <w:rsid w:val="00681A10"/>
    <w:rsid w:val="006A1ED8"/>
    <w:rsid w:val="006C2031"/>
    <w:rsid w:val="006D461A"/>
    <w:rsid w:val="006E6238"/>
    <w:rsid w:val="006F35EE"/>
    <w:rsid w:val="007021FF"/>
    <w:rsid w:val="00712895"/>
    <w:rsid w:val="00734ACB"/>
    <w:rsid w:val="00757357"/>
    <w:rsid w:val="0078607E"/>
    <w:rsid w:val="00792497"/>
    <w:rsid w:val="007E0A69"/>
    <w:rsid w:val="00806737"/>
    <w:rsid w:val="00825F8D"/>
    <w:rsid w:val="00834B71"/>
    <w:rsid w:val="0086445C"/>
    <w:rsid w:val="00892FB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3CF"/>
    <w:rsid w:val="009A24AC"/>
    <w:rsid w:val="009C6FE6"/>
    <w:rsid w:val="009D7E7D"/>
    <w:rsid w:val="00A1362A"/>
    <w:rsid w:val="00A14DA8"/>
    <w:rsid w:val="00A312BC"/>
    <w:rsid w:val="00A84021"/>
    <w:rsid w:val="00A84D35"/>
    <w:rsid w:val="00A917B3"/>
    <w:rsid w:val="00A97198"/>
    <w:rsid w:val="00AB4B51"/>
    <w:rsid w:val="00AF094C"/>
    <w:rsid w:val="00AF49A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050D"/>
    <w:rsid w:val="00C60F0C"/>
    <w:rsid w:val="00C805C9"/>
    <w:rsid w:val="00C92939"/>
    <w:rsid w:val="00CA1679"/>
    <w:rsid w:val="00CB151C"/>
    <w:rsid w:val="00CE5A1A"/>
    <w:rsid w:val="00CF55F6"/>
    <w:rsid w:val="00D15EE1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00CD"/>
    <w:rsid w:val="00E57011"/>
    <w:rsid w:val="00E660D8"/>
    <w:rsid w:val="00E73F76"/>
    <w:rsid w:val="00EA2C9F"/>
    <w:rsid w:val="00EA420E"/>
    <w:rsid w:val="00ED0BDA"/>
    <w:rsid w:val="00ED2436"/>
    <w:rsid w:val="00EE142A"/>
    <w:rsid w:val="00EF1360"/>
    <w:rsid w:val="00EF3220"/>
    <w:rsid w:val="00F2523A"/>
    <w:rsid w:val="00F43903"/>
    <w:rsid w:val="00F458F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fileadmin/DAM/trans/main/tem/temdocs/TEM-Std-Ed3.pdf" TargetMode="External"/><Relationship Id="rId2" Type="http://schemas.openxmlformats.org/officeDocument/2006/relationships/hyperlink" Target="http://www.unece.org/fileadmin/DAM/trans/doc/2009/wp5/ECE-TRANS-205e.pdf" TargetMode="External"/><Relationship Id="rId1" Type="http://schemas.openxmlformats.org/officeDocument/2006/relationships/hyperlink" Target="http://www.unece.org/fileadmin/DAM/trans/doc/2008/wp5/CBAe.pdf" TargetMode="External"/><Relationship Id="rId6" Type="http://schemas.openxmlformats.org/officeDocument/2006/relationships/hyperlink" Target="http://www.unece.org/fileadmin/DAM/trans/main/eatl/docs/EATL_Report_Phase_II.pdf" TargetMode="External"/><Relationship Id="rId5" Type="http://schemas.openxmlformats.org/officeDocument/2006/relationships/hyperlink" Target="http://www.unece.org/fileadmin/DAM/trans/main/eatl/in_house_study.pdf" TargetMode="External"/><Relationship Id="rId4" Type="http://schemas.openxmlformats.org/officeDocument/2006/relationships/hyperlink" Target="http://www.unece.org/fileadmin/DAM/trans/main/temtermp/docs/TEM_and_TER_Vol_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ECE/TRANS/2018/5</vt:lpstr>
      <vt:lpstr>ECE/TRANS/2018/5</vt:lpstr>
      <vt:lpstr>A/</vt:lpstr>
    </vt:vector>
  </TitlesOfParts>
  <Company>DCM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ECE/TRANS/2018/5</dc:title>
  <dc:creator>Sharkina</dc:creator>
  <cp:lastModifiedBy>Jeyhun Shahverdili</cp:lastModifiedBy>
  <cp:revision>2</cp:revision>
  <cp:lastPrinted>2017-12-27T13:32:00Z</cp:lastPrinted>
  <dcterms:created xsi:type="dcterms:W3CDTF">2018-01-09T16:52:00Z</dcterms:created>
  <dcterms:modified xsi:type="dcterms:W3CDTF">2018-01-09T16:52:00Z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