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21AD4" w14:paraId="4A7FE2ED" w14:textId="77777777" w:rsidTr="009E6CB7">
        <w:trPr>
          <w:cantSplit/>
          <w:trHeight w:hRule="exact" w:val="851"/>
        </w:trPr>
        <w:tc>
          <w:tcPr>
            <w:tcW w:w="1276" w:type="dxa"/>
            <w:tcBorders>
              <w:bottom w:val="single" w:sz="4" w:space="0" w:color="auto"/>
            </w:tcBorders>
            <w:vAlign w:val="bottom"/>
          </w:tcPr>
          <w:p w14:paraId="001FAB7C" w14:textId="77777777" w:rsidR="009E6CB7" w:rsidRPr="00F21AD4" w:rsidRDefault="009E6CB7" w:rsidP="009E6CB7">
            <w:pPr>
              <w:spacing w:after="80"/>
            </w:pPr>
          </w:p>
        </w:tc>
        <w:tc>
          <w:tcPr>
            <w:tcW w:w="2268" w:type="dxa"/>
            <w:tcBorders>
              <w:bottom w:val="single" w:sz="4" w:space="0" w:color="auto"/>
            </w:tcBorders>
            <w:vAlign w:val="bottom"/>
          </w:tcPr>
          <w:p w14:paraId="5A0267E5" w14:textId="77777777" w:rsidR="009E6CB7" w:rsidRPr="00F21AD4" w:rsidRDefault="009E6CB7" w:rsidP="009E6CB7">
            <w:pPr>
              <w:spacing w:after="80" w:line="300" w:lineRule="exact"/>
              <w:rPr>
                <w:b/>
                <w:sz w:val="24"/>
                <w:szCs w:val="24"/>
              </w:rPr>
            </w:pPr>
            <w:r w:rsidRPr="00F21AD4">
              <w:rPr>
                <w:sz w:val="28"/>
                <w:szCs w:val="28"/>
              </w:rPr>
              <w:t>United Nations</w:t>
            </w:r>
          </w:p>
        </w:tc>
        <w:tc>
          <w:tcPr>
            <w:tcW w:w="6095" w:type="dxa"/>
            <w:gridSpan w:val="2"/>
            <w:tcBorders>
              <w:bottom w:val="single" w:sz="4" w:space="0" w:color="auto"/>
            </w:tcBorders>
            <w:vAlign w:val="bottom"/>
          </w:tcPr>
          <w:p w14:paraId="2958B0B5" w14:textId="77777777" w:rsidR="009E6CB7" w:rsidRPr="00F21AD4" w:rsidRDefault="003A5F98" w:rsidP="001E3143">
            <w:pPr>
              <w:jc w:val="right"/>
            </w:pPr>
            <w:r w:rsidRPr="00F21AD4">
              <w:rPr>
                <w:sz w:val="40"/>
              </w:rPr>
              <w:t>ECE</w:t>
            </w:r>
            <w:r w:rsidR="00E01227" w:rsidRPr="00F21AD4">
              <w:t>/TRANS/201</w:t>
            </w:r>
            <w:r w:rsidR="00341EF1">
              <w:t>8</w:t>
            </w:r>
            <w:r w:rsidRPr="00F21AD4">
              <w:t>/</w:t>
            </w:r>
            <w:r w:rsidR="001E3143">
              <w:t>5</w:t>
            </w:r>
          </w:p>
        </w:tc>
      </w:tr>
      <w:tr w:rsidR="009E6CB7" w:rsidRPr="00F21AD4" w14:paraId="7B1120B7" w14:textId="77777777" w:rsidTr="009E6CB7">
        <w:trPr>
          <w:cantSplit/>
          <w:trHeight w:hRule="exact" w:val="2835"/>
        </w:trPr>
        <w:tc>
          <w:tcPr>
            <w:tcW w:w="1276" w:type="dxa"/>
            <w:tcBorders>
              <w:top w:val="single" w:sz="4" w:space="0" w:color="auto"/>
              <w:bottom w:val="single" w:sz="12" w:space="0" w:color="auto"/>
            </w:tcBorders>
          </w:tcPr>
          <w:p w14:paraId="27316967" w14:textId="77777777" w:rsidR="009E6CB7" w:rsidRPr="00F21AD4" w:rsidRDefault="00BC7F91" w:rsidP="009E6CB7">
            <w:pPr>
              <w:spacing w:before="120"/>
            </w:pPr>
            <w:r w:rsidRPr="00B253FA">
              <w:rPr>
                <w:noProof/>
                <w:lang w:val="en-US" w:eastAsia="zh-CN"/>
              </w:rPr>
              <w:drawing>
                <wp:inline distT="0" distB="0" distL="0" distR="0" wp14:anchorId="1E4AE351" wp14:editId="39FF624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A55CF3" w14:textId="77777777" w:rsidR="009E6CB7" w:rsidRPr="00F21AD4" w:rsidRDefault="009E6CB7" w:rsidP="009E6CB7">
            <w:pPr>
              <w:spacing w:before="120" w:line="420" w:lineRule="exact"/>
              <w:rPr>
                <w:sz w:val="40"/>
                <w:szCs w:val="40"/>
              </w:rPr>
            </w:pPr>
            <w:r w:rsidRPr="00F21AD4">
              <w:rPr>
                <w:b/>
                <w:sz w:val="40"/>
                <w:szCs w:val="40"/>
              </w:rPr>
              <w:t>Economic and Social Council</w:t>
            </w:r>
          </w:p>
        </w:tc>
        <w:tc>
          <w:tcPr>
            <w:tcW w:w="2835" w:type="dxa"/>
            <w:tcBorders>
              <w:top w:val="single" w:sz="4" w:space="0" w:color="auto"/>
              <w:bottom w:val="single" w:sz="12" w:space="0" w:color="auto"/>
            </w:tcBorders>
          </w:tcPr>
          <w:p w14:paraId="3BEBA986" w14:textId="77777777" w:rsidR="009E6CB7" w:rsidRPr="00F21AD4" w:rsidRDefault="003A5F98" w:rsidP="003A5F98">
            <w:pPr>
              <w:spacing w:before="240" w:line="240" w:lineRule="exact"/>
            </w:pPr>
            <w:r w:rsidRPr="00F21AD4">
              <w:t>Distr.: General</w:t>
            </w:r>
          </w:p>
          <w:p w14:paraId="5AD34BF3" w14:textId="49DA472D" w:rsidR="003A5F98" w:rsidRPr="00F21AD4" w:rsidRDefault="00170C45" w:rsidP="003A5F98">
            <w:pPr>
              <w:spacing w:line="240" w:lineRule="exact"/>
            </w:pPr>
            <w:r>
              <w:t>12</w:t>
            </w:r>
            <w:r w:rsidR="003A5F98" w:rsidRPr="00F21AD4">
              <w:t xml:space="preserve"> December 201</w:t>
            </w:r>
            <w:r w:rsidR="00341EF1">
              <w:t>7</w:t>
            </w:r>
          </w:p>
          <w:p w14:paraId="7715940C" w14:textId="77777777" w:rsidR="003A5F98" w:rsidRPr="00F21AD4" w:rsidRDefault="003A5F98" w:rsidP="003A5F98">
            <w:pPr>
              <w:spacing w:line="240" w:lineRule="exact"/>
            </w:pPr>
          </w:p>
          <w:p w14:paraId="11DD8A59" w14:textId="77777777" w:rsidR="003A5F98" w:rsidRPr="00F21AD4" w:rsidRDefault="003A5F98" w:rsidP="003A5F98">
            <w:pPr>
              <w:spacing w:line="240" w:lineRule="exact"/>
            </w:pPr>
            <w:r w:rsidRPr="00F21AD4">
              <w:t>Original: English</w:t>
            </w:r>
          </w:p>
        </w:tc>
      </w:tr>
    </w:tbl>
    <w:p w14:paraId="5B210903" w14:textId="77777777" w:rsidR="003A5F98" w:rsidRPr="00F21AD4" w:rsidRDefault="003A5F98" w:rsidP="003A5F98">
      <w:pPr>
        <w:spacing w:before="120"/>
        <w:rPr>
          <w:b/>
          <w:bCs/>
          <w:sz w:val="28"/>
          <w:szCs w:val="28"/>
        </w:rPr>
      </w:pPr>
      <w:r w:rsidRPr="00F21AD4">
        <w:rPr>
          <w:b/>
          <w:bCs/>
          <w:sz w:val="28"/>
          <w:szCs w:val="28"/>
        </w:rPr>
        <w:t>Economic Commission for Europe</w:t>
      </w:r>
    </w:p>
    <w:p w14:paraId="1D638DBC" w14:textId="77777777" w:rsidR="003A5F98" w:rsidRPr="00F21AD4" w:rsidRDefault="003A5F98" w:rsidP="003A5F98">
      <w:pPr>
        <w:spacing w:before="120"/>
        <w:rPr>
          <w:sz w:val="28"/>
          <w:szCs w:val="28"/>
        </w:rPr>
      </w:pPr>
      <w:r w:rsidRPr="00F21AD4">
        <w:rPr>
          <w:sz w:val="28"/>
          <w:szCs w:val="28"/>
        </w:rPr>
        <w:t>Inland Transport Committee</w:t>
      </w:r>
    </w:p>
    <w:p w14:paraId="0F413061" w14:textId="77777777" w:rsidR="00BE2D32" w:rsidRPr="00C27FA7" w:rsidRDefault="00BE2D32" w:rsidP="00BE2D32">
      <w:pPr>
        <w:spacing w:before="120"/>
        <w:rPr>
          <w:b/>
          <w:bCs/>
        </w:rPr>
      </w:pPr>
      <w:r>
        <w:rPr>
          <w:b/>
          <w:bCs/>
          <w:lang w:val="en-US"/>
        </w:rPr>
        <w:t xml:space="preserve">Eightieth </w:t>
      </w:r>
      <w:r w:rsidRPr="00C27FA7">
        <w:rPr>
          <w:b/>
          <w:bCs/>
        </w:rPr>
        <w:t>session</w:t>
      </w:r>
    </w:p>
    <w:p w14:paraId="52E9ACDD" w14:textId="702E78EB" w:rsidR="00BE2D32" w:rsidRDefault="00BE2D32" w:rsidP="00BE2D32">
      <w:pPr>
        <w:rPr>
          <w:b/>
          <w:bCs/>
        </w:rPr>
      </w:pPr>
      <w:r w:rsidRPr="00C27FA7">
        <w:t xml:space="preserve">Geneva, </w:t>
      </w:r>
      <w:r w:rsidRPr="00042700">
        <w:t>2</w:t>
      </w:r>
      <w:r>
        <w:t>0-</w:t>
      </w:r>
      <w:r w:rsidRPr="00042700">
        <w:t>2</w:t>
      </w:r>
      <w:r>
        <w:t>3</w:t>
      </w:r>
      <w:r w:rsidRPr="00042700">
        <w:t xml:space="preserve"> February 201</w:t>
      </w:r>
      <w:r>
        <w:t>8</w:t>
      </w:r>
      <w:r w:rsidRPr="00C27FA7">
        <w:br/>
        <w:t xml:space="preserve">Item </w:t>
      </w:r>
      <w:r>
        <w:t>4 (b)</w:t>
      </w:r>
      <w:r w:rsidRPr="00C27FA7">
        <w:t xml:space="preserve"> of the provisional agenda</w:t>
      </w:r>
      <w:r w:rsidRPr="00C27FA7">
        <w:br/>
      </w:r>
      <w:r w:rsidRPr="0022680D">
        <w:rPr>
          <w:b/>
          <w:bCs/>
        </w:rPr>
        <w:t>Strategic questions of a horizontal policy nature</w:t>
      </w:r>
      <w:r>
        <w:rPr>
          <w:b/>
          <w:bCs/>
        </w:rPr>
        <w:t>:</w:t>
      </w:r>
      <w:r w:rsidRPr="00FD7590">
        <w:rPr>
          <w:b/>
          <w:bCs/>
        </w:rPr>
        <w:t xml:space="preserve"> </w:t>
      </w:r>
      <w:r>
        <w:rPr>
          <w:b/>
          <w:bCs/>
        </w:rPr>
        <w:br/>
      </w:r>
      <w:r w:rsidRPr="00FD7590">
        <w:rPr>
          <w:b/>
          <w:bCs/>
        </w:rPr>
        <w:t>United Nations Economi</w:t>
      </w:r>
      <w:r w:rsidR="00E775B7">
        <w:rPr>
          <w:b/>
          <w:bCs/>
        </w:rPr>
        <w:t>c Commission for Europe</w:t>
      </w:r>
      <w:r>
        <w:rPr>
          <w:b/>
          <w:bCs/>
        </w:rPr>
        <w:br/>
      </w:r>
      <w:r w:rsidR="00E775B7">
        <w:rPr>
          <w:b/>
          <w:bCs/>
        </w:rPr>
        <w:t>analytical work on t</w:t>
      </w:r>
      <w:bookmarkStart w:id="0" w:name="_GoBack"/>
      <w:bookmarkEnd w:id="0"/>
      <w:r w:rsidRPr="00FD7590">
        <w:rPr>
          <w:b/>
          <w:bCs/>
        </w:rPr>
        <w:t>ransport</w:t>
      </w:r>
    </w:p>
    <w:p w14:paraId="699979E4" w14:textId="77777777" w:rsidR="005C2D88" w:rsidRPr="00F21AD4" w:rsidRDefault="003A5F98" w:rsidP="005C2D88">
      <w:pPr>
        <w:pStyle w:val="HChG"/>
      </w:pPr>
      <w:r w:rsidRPr="00F21AD4">
        <w:tab/>
      </w:r>
      <w:r w:rsidRPr="00F21AD4">
        <w:tab/>
      </w:r>
      <w:r w:rsidR="001E3143">
        <w:t>Benchmarking Transport Infrastructure Construction Costs</w:t>
      </w:r>
      <w:r w:rsidR="0088017D">
        <w:t xml:space="preserve"> </w:t>
      </w:r>
    </w:p>
    <w:p w14:paraId="3FE61757" w14:textId="77777777" w:rsidR="005C2D88" w:rsidRPr="00F21AD4" w:rsidRDefault="005C2D88" w:rsidP="005C2D88">
      <w:pPr>
        <w:pStyle w:val="H1G"/>
      </w:pPr>
      <w:r w:rsidRPr="00F21AD4">
        <w:tab/>
      </w:r>
      <w:r w:rsidRPr="00F21AD4">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5C2D88" w:rsidRPr="00F21AD4" w14:paraId="7D399FD6" w14:textId="77777777" w:rsidTr="00D74E6B">
        <w:trPr>
          <w:jc w:val="center"/>
        </w:trPr>
        <w:tc>
          <w:tcPr>
            <w:tcW w:w="9637" w:type="dxa"/>
            <w:shd w:val="clear" w:color="auto" w:fill="auto"/>
          </w:tcPr>
          <w:p w14:paraId="791A3394" w14:textId="77777777" w:rsidR="005C2D88" w:rsidRPr="00F21AD4" w:rsidRDefault="005C2D88" w:rsidP="00D74E6B">
            <w:pPr>
              <w:spacing w:before="240" w:after="120"/>
              <w:ind w:left="255"/>
              <w:rPr>
                <w:i/>
                <w:sz w:val="24"/>
              </w:rPr>
            </w:pPr>
            <w:r w:rsidRPr="00F21AD4">
              <w:rPr>
                <w:i/>
                <w:sz w:val="24"/>
              </w:rPr>
              <w:t>Summary</w:t>
            </w:r>
          </w:p>
        </w:tc>
      </w:tr>
      <w:tr w:rsidR="005C2D88" w:rsidRPr="00F21AD4" w14:paraId="2638F660" w14:textId="77777777" w:rsidTr="00D74E6B">
        <w:trPr>
          <w:jc w:val="center"/>
        </w:trPr>
        <w:tc>
          <w:tcPr>
            <w:tcW w:w="9637" w:type="dxa"/>
            <w:shd w:val="clear" w:color="auto" w:fill="auto"/>
          </w:tcPr>
          <w:p w14:paraId="26B5C450" w14:textId="330197A9" w:rsidR="005C2D88" w:rsidRPr="00F21AD4" w:rsidRDefault="005C2D88" w:rsidP="00FC7E9A">
            <w:pPr>
              <w:pStyle w:val="SingleTxtG"/>
              <w:rPr>
                <w:color w:val="0D0D0D"/>
              </w:rPr>
            </w:pPr>
            <w:r w:rsidRPr="00F21AD4">
              <w:rPr>
                <w:color w:val="0D0D0D"/>
              </w:rPr>
              <w:tab/>
              <w:t xml:space="preserve">This note provides a brief review </w:t>
            </w:r>
            <w:r w:rsidR="00FC7E9A" w:rsidRPr="00F21AD4">
              <w:rPr>
                <w:color w:val="0D0D0D"/>
              </w:rPr>
              <w:t>o</w:t>
            </w:r>
            <w:r w:rsidR="00FC7E9A">
              <w:rPr>
                <w:color w:val="0D0D0D"/>
              </w:rPr>
              <w:t>f</w:t>
            </w:r>
            <w:r w:rsidR="00FC7E9A" w:rsidRPr="00F21AD4">
              <w:rPr>
                <w:color w:val="0D0D0D"/>
              </w:rPr>
              <w:t xml:space="preserve"> </w:t>
            </w:r>
            <w:r w:rsidRPr="00F21AD4">
              <w:rPr>
                <w:color w:val="0D0D0D"/>
              </w:rPr>
              <w:t xml:space="preserve">the </w:t>
            </w:r>
            <w:r w:rsidR="001E3143">
              <w:rPr>
                <w:color w:val="0D0D0D"/>
              </w:rPr>
              <w:t xml:space="preserve">work </w:t>
            </w:r>
            <w:r w:rsidR="00FC7E9A">
              <w:rPr>
                <w:color w:val="0D0D0D"/>
              </w:rPr>
              <w:t xml:space="preserve">of </w:t>
            </w:r>
            <w:r w:rsidR="001E3143">
              <w:rPr>
                <w:color w:val="0D0D0D"/>
              </w:rPr>
              <w:t xml:space="preserve">the Group of Experts on Benchmarking Transport Infrastructure Construction Costs. </w:t>
            </w:r>
            <w:r w:rsidR="00952FE3">
              <w:rPr>
                <w:color w:val="0D0D0D"/>
              </w:rPr>
              <w:t xml:space="preserve">The main objectives </w:t>
            </w:r>
            <w:r w:rsidR="00FC7E9A">
              <w:rPr>
                <w:color w:val="0D0D0D"/>
              </w:rPr>
              <w:t xml:space="preserve">are </w:t>
            </w:r>
            <w:r w:rsidR="00952FE3">
              <w:rPr>
                <w:color w:val="0D0D0D"/>
              </w:rPr>
              <w:t xml:space="preserve">the </w:t>
            </w:r>
            <w:r w:rsidR="00952FE3" w:rsidRPr="00952FE3">
              <w:rPr>
                <w:color w:val="0D0D0D"/>
              </w:rPr>
              <w:t>creat</w:t>
            </w:r>
            <w:r w:rsidR="00952FE3">
              <w:rPr>
                <w:color w:val="0D0D0D"/>
              </w:rPr>
              <w:t>ion</w:t>
            </w:r>
            <w:r w:rsidR="00952FE3" w:rsidRPr="00952FE3">
              <w:rPr>
                <w:color w:val="0D0D0D"/>
              </w:rPr>
              <w:t xml:space="preserve"> </w:t>
            </w:r>
            <w:r w:rsidR="00952FE3">
              <w:rPr>
                <w:color w:val="0D0D0D"/>
              </w:rPr>
              <w:t xml:space="preserve">of </w:t>
            </w:r>
            <w:r w:rsidR="00952FE3" w:rsidRPr="00952FE3">
              <w:rPr>
                <w:color w:val="0D0D0D"/>
              </w:rPr>
              <w:t>a glossary of agreed terminologies and a benchmarking</w:t>
            </w:r>
            <w:r w:rsidR="00952FE3">
              <w:rPr>
                <w:color w:val="0D0D0D"/>
              </w:rPr>
              <w:t xml:space="preserve"> study</w:t>
            </w:r>
            <w:r w:rsidR="00952FE3" w:rsidRPr="00952FE3">
              <w:rPr>
                <w:color w:val="0D0D0D"/>
              </w:rPr>
              <w:t xml:space="preserve"> of transport infrastructure construction costs</w:t>
            </w:r>
            <w:r w:rsidR="00952FE3">
              <w:rPr>
                <w:color w:val="0D0D0D"/>
              </w:rPr>
              <w:t xml:space="preserve"> </w:t>
            </w:r>
            <w:r w:rsidR="00FC7E9A">
              <w:rPr>
                <w:color w:val="0D0D0D"/>
              </w:rPr>
              <w:t xml:space="preserve">in </w:t>
            </w:r>
            <w:r w:rsidR="00952FE3" w:rsidRPr="00952FE3">
              <w:rPr>
                <w:color w:val="0D0D0D"/>
              </w:rPr>
              <w:t xml:space="preserve">the ECE region </w:t>
            </w:r>
            <w:r w:rsidR="00383B3D">
              <w:rPr>
                <w:color w:val="0D0D0D"/>
              </w:rPr>
              <w:t>for each inland transport mode</w:t>
            </w:r>
            <w:r w:rsidR="00FC7E9A">
              <w:rPr>
                <w:color w:val="0D0D0D"/>
              </w:rPr>
              <w:t>:</w:t>
            </w:r>
            <w:r w:rsidR="00383B3D">
              <w:rPr>
                <w:color w:val="0D0D0D"/>
              </w:rPr>
              <w:t xml:space="preserve"> </w:t>
            </w:r>
            <w:r w:rsidR="00FC7E9A">
              <w:rPr>
                <w:color w:val="0D0D0D"/>
              </w:rPr>
              <w:t xml:space="preserve">i.e. </w:t>
            </w:r>
            <w:r w:rsidR="00383B3D">
              <w:rPr>
                <w:color w:val="0D0D0D"/>
              </w:rPr>
              <w:t>road, rail, inland waterways</w:t>
            </w:r>
            <w:r w:rsidR="00FC7E9A">
              <w:rPr>
                <w:color w:val="0D0D0D"/>
              </w:rPr>
              <w:t>,</w:t>
            </w:r>
            <w:r w:rsidR="00383B3D">
              <w:rPr>
                <w:color w:val="0D0D0D"/>
              </w:rPr>
              <w:t xml:space="preserve"> </w:t>
            </w:r>
            <w:r w:rsidR="00952FE3" w:rsidRPr="00952FE3">
              <w:rPr>
                <w:color w:val="0D0D0D"/>
              </w:rPr>
              <w:t>intermodal terminals, freight/logistics centres and ports</w:t>
            </w:r>
            <w:r w:rsidR="00952FE3">
              <w:rPr>
                <w:color w:val="0D0D0D"/>
              </w:rPr>
              <w:t xml:space="preserve">. </w:t>
            </w:r>
          </w:p>
        </w:tc>
      </w:tr>
      <w:tr w:rsidR="005C2D88" w:rsidRPr="00F21AD4" w14:paraId="13A65135" w14:textId="77777777" w:rsidTr="00D74E6B">
        <w:trPr>
          <w:jc w:val="center"/>
        </w:trPr>
        <w:tc>
          <w:tcPr>
            <w:tcW w:w="9637" w:type="dxa"/>
            <w:shd w:val="clear" w:color="auto" w:fill="auto"/>
          </w:tcPr>
          <w:p w14:paraId="72507506" w14:textId="749B95BB" w:rsidR="005C2D88" w:rsidRPr="00F21AD4" w:rsidRDefault="005C2D88" w:rsidP="00FC7E9A">
            <w:pPr>
              <w:pStyle w:val="SingleTxtG"/>
              <w:rPr>
                <w:color w:val="0D0D0D"/>
              </w:rPr>
            </w:pPr>
            <w:r w:rsidRPr="00F21AD4">
              <w:rPr>
                <w:color w:val="0D0D0D"/>
              </w:rPr>
              <w:tab/>
              <w:t xml:space="preserve">The Committee is invited to </w:t>
            </w:r>
            <w:r w:rsidRPr="00315FE4">
              <w:rPr>
                <w:b/>
                <w:color w:val="0D0D0D"/>
              </w:rPr>
              <w:t xml:space="preserve">provide </w:t>
            </w:r>
            <w:r w:rsidR="001E3143">
              <w:rPr>
                <w:b/>
                <w:color w:val="0D0D0D"/>
              </w:rPr>
              <w:t xml:space="preserve">support </w:t>
            </w:r>
            <w:r w:rsidR="00FC7E9A">
              <w:rPr>
                <w:color w:val="0D0D0D"/>
              </w:rPr>
              <w:t xml:space="preserve">for the </w:t>
            </w:r>
            <w:r w:rsidR="001E3143">
              <w:rPr>
                <w:color w:val="0D0D0D"/>
              </w:rPr>
              <w:t>Group’s work and</w:t>
            </w:r>
            <w:r w:rsidR="0051479F">
              <w:rPr>
                <w:color w:val="0D0D0D"/>
              </w:rPr>
              <w:t xml:space="preserve"> to</w:t>
            </w:r>
            <w:r w:rsidR="001E3143">
              <w:rPr>
                <w:color w:val="0D0D0D"/>
              </w:rPr>
              <w:t xml:space="preserve"> request more active participation </w:t>
            </w:r>
            <w:r w:rsidR="00FC7E9A">
              <w:rPr>
                <w:color w:val="0D0D0D"/>
              </w:rPr>
              <w:t>from g</w:t>
            </w:r>
            <w:r w:rsidR="001E3143">
              <w:rPr>
                <w:color w:val="0D0D0D"/>
              </w:rPr>
              <w:t xml:space="preserve">overnments to ensure the fulfilment of the objectives of this important for the transport infrastructure development </w:t>
            </w:r>
            <w:r w:rsidR="00FC7E9A">
              <w:rPr>
                <w:color w:val="0D0D0D"/>
              </w:rPr>
              <w:t>group</w:t>
            </w:r>
            <w:r w:rsidR="001E3143">
              <w:rPr>
                <w:color w:val="0D0D0D"/>
              </w:rPr>
              <w:t>.</w:t>
            </w:r>
            <w:r w:rsidR="00757887">
              <w:rPr>
                <w:color w:val="0D0D0D"/>
              </w:rPr>
              <w:t xml:space="preserve"> </w:t>
            </w:r>
          </w:p>
        </w:tc>
      </w:tr>
      <w:tr w:rsidR="005C2D88" w:rsidRPr="00F21AD4" w14:paraId="2885830E" w14:textId="77777777" w:rsidTr="00D74E6B">
        <w:trPr>
          <w:jc w:val="center"/>
        </w:trPr>
        <w:tc>
          <w:tcPr>
            <w:tcW w:w="9637" w:type="dxa"/>
            <w:shd w:val="clear" w:color="auto" w:fill="auto"/>
          </w:tcPr>
          <w:p w14:paraId="6E8612A0" w14:textId="77777777" w:rsidR="005C2D88" w:rsidRPr="00F21AD4" w:rsidRDefault="005C2D88" w:rsidP="00D74E6B"/>
        </w:tc>
      </w:tr>
    </w:tbl>
    <w:p w14:paraId="25017E8A" w14:textId="77777777" w:rsidR="005C2D88" w:rsidRPr="00F21AD4" w:rsidRDefault="005C2D88" w:rsidP="00CB30EF">
      <w:pPr>
        <w:pStyle w:val="HChG"/>
        <w:jc w:val="both"/>
      </w:pPr>
      <w:r w:rsidRPr="00F21AD4">
        <w:tab/>
      </w:r>
      <w:r w:rsidRPr="003F54C1">
        <w:t>I.</w:t>
      </w:r>
      <w:r w:rsidRPr="003F54C1">
        <w:tab/>
      </w:r>
      <w:r w:rsidR="00A1308B" w:rsidRPr="003F54C1">
        <w:t>Mandate</w:t>
      </w:r>
    </w:p>
    <w:p w14:paraId="45602E6D" w14:textId="25BF6409" w:rsidR="005C2D88" w:rsidRDefault="005C2D88" w:rsidP="00AF7182">
      <w:pPr>
        <w:pStyle w:val="SingleTxtG"/>
      </w:pPr>
      <w:r w:rsidRPr="00315FE4">
        <w:t>1.</w:t>
      </w:r>
      <w:r w:rsidRPr="00315FE4">
        <w:tab/>
      </w:r>
      <w:r w:rsidR="00A1308B" w:rsidRPr="00A1308B">
        <w:t>During the twenty-</w:t>
      </w:r>
      <w:r w:rsidR="00066F3C">
        <w:t>seventh</w:t>
      </w:r>
      <w:r w:rsidR="00870793">
        <w:t xml:space="preserve"> session (</w:t>
      </w:r>
      <w:r w:rsidR="00066F3C" w:rsidRPr="00066F3C">
        <w:t>8</w:t>
      </w:r>
      <w:r w:rsidR="00383B3D">
        <w:t>-</w:t>
      </w:r>
      <w:r w:rsidR="00066F3C" w:rsidRPr="00066F3C">
        <w:t>10 September 2014</w:t>
      </w:r>
      <w:r w:rsidR="00FC7E9A">
        <w:t>, Geneva</w:t>
      </w:r>
      <w:r w:rsidR="00A1308B" w:rsidRPr="00A1308B">
        <w:t>) of the Working Party on Transport Trends and Economics (WP.5)</w:t>
      </w:r>
      <w:r w:rsidR="00A1308B">
        <w:t>,</w:t>
      </w:r>
      <w:r w:rsidR="00A1308B" w:rsidRPr="00A1308B">
        <w:t xml:space="preserve"> a </w:t>
      </w:r>
      <w:r w:rsidR="00FC7E9A">
        <w:t>w</w:t>
      </w:r>
      <w:r w:rsidR="00A1308B" w:rsidRPr="00A1308B">
        <w:t>orkshop took place on “</w:t>
      </w:r>
      <w:r w:rsidR="00066F3C" w:rsidRPr="00066F3C">
        <w:t>Good practices and new tools for Financing Transport Infrastructure</w:t>
      </w:r>
      <w:r w:rsidR="00A1308B" w:rsidRPr="00A1308B">
        <w:t xml:space="preserve">”. </w:t>
      </w:r>
      <w:r w:rsidR="00FC7E9A">
        <w:t>T</w:t>
      </w:r>
      <w:r w:rsidR="00066F3C" w:rsidRPr="00066F3C">
        <w:t xml:space="preserve">he participants agreed that the benchmarking of transport infrastructure construction costs is significant for realistic construction costs and a stable investment programme with no cost explosions. </w:t>
      </w:r>
      <w:r w:rsidR="00066F3C">
        <w:t>They</w:t>
      </w:r>
      <w:r w:rsidR="00066F3C" w:rsidRPr="00066F3C">
        <w:t xml:space="preserve"> also agreed that the use of benchmarking of construction costs could be useful for cost estimates and for control of project</w:t>
      </w:r>
      <w:r w:rsidR="00FC7E9A">
        <w:t>’</w:t>
      </w:r>
      <w:r w:rsidR="00066F3C" w:rsidRPr="00066F3C">
        <w:t>s cost developments.</w:t>
      </w:r>
    </w:p>
    <w:p w14:paraId="15E1F194" w14:textId="10EC59DB" w:rsidR="00066EE0" w:rsidRDefault="00A1308B" w:rsidP="00AF7182">
      <w:pPr>
        <w:pStyle w:val="SingleTxtG"/>
      </w:pPr>
      <w:r>
        <w:t>2.</w:t>
      </w:r>
      <w:r>
        <w:tab/>
      </w:r>
      <w:r w:rsidR="00066F3C" w:rsidRPr="00066F3C">
        <w:t xml:space="preserve">During </w:t>
      </w:r>
      <w:r w:rsidR="0051479F">
        <w:t xml:space="preserve">the </w:t>
      </w:r>
      <w:r w:rsidR="00066F3C" w:rsidRPr="00066F3C">
        <w:t>twenty-</w:t>
      </w:r>
      <w:r w:rsidR="00066F3C">
        <w:t>eight</w:t>
      </w:r>
      <w:r w:rsidR="00FC7E9A">
        <w:t>h</w:t>
      </w:r>
      <w:r w:rsidR="00066F3C" w:rsidRPr="00066F3C">
        <w:t xml:space="preserve"> session (7</w:t>
      </w:r>
      <w:r w:rsidR="00383B3D">
        <w:t>-</w:t>
      </w:r>
      <w:r w:rsidR="00066F3C" w:rsidRPr="00066F3C">
        <w:t>9 September 2015</w:t>
      </w:r>
      <w:r w:rsidR="00FC7E9A">
        <w:t xml:space="preserve">, </w:t>
      </w:r>
      <w:r w:rsidR="00FC7E9A" w:rsidRPr="00066F3C">
        <w:t>Geneva</w:t>
      </w:r>
      <w:r w:rsidR="00066F3C" w:rsidRPr="00066F3C">
        <w:t>) the Working Party</w:t>
      </w:r>
      <w:r w:rsidR="00066F3C">
        <w:t xml:space="preserve"> </w:t>
      </w:r>
      <w:r w:rsidR="00066F3C" w:rsidRPr="00066F3C">
        <w:t xml:space="preserve">approved the establishment of </w:t>
      </w:r>
      <w:r w:rsidR="00066F3C">
        <w:t>a</w:t>
      </w:r>
      <w:r w:rsidR="00066F3C" w:rsidRPr="00066F3C">
        <w:t xml:space="preserve"> group of experts on benchmarking transport infrastructure </w:t>
      </w:r>
      <w:r w:rsidR="00066F3C" w:rsidRPr="00066F3C">
        <w:lastRenderedPageBreak/>
        <w:t xml:space="preserve">construction costs and </w:t>
      </w:r>
      <w:r w:rsidR="00FC7E9A">
        <w:t xml:space="preserve">the </w:t>
      </w:r>
      <w:r w:rsidR="00066F3C" w:rsidRPr="00066F3C">
        <w:t xml:space="preserve">terms of reference </w:t>
      </w:r>
      <w:r w:rsidR="00FC7E9A">
        <w:t>(</w:t>
      </w:r>
      <w:r w:rsidR="00066F3C" w:rsidRPr="00066F3C">
        <w:t>ECE/TRANS/WP.5/2015/2</w:t>
      </w:r>
      <w:r w:rsidR="00FC7E9A">
        <w:t>)</w:t>
      </w:r>
      <w:r w:rsidR="00066F3C" w:rsidRPr="00066F3C">
        <w:t>.</w:t>
      </w:r>
      <w:r w:rsidR="00066F3C">
        <w:t xml:space="preserve"> Following approval by the Inland Transport Committee and the Executive Committee of </w:t>
      </w:r>
      <w:r w:rsidR="00FC7E9A">
        <w:t>ECE</w:t>
      </w:r>
      <w:r w:rsidR="004A2F80">
        <w:t xml:space="preserve"> the</w:t>
      </w:r>
      <w:r w:rsidR="00066F3C">
        <w:t xml:space="preserve"> Group started organizing its meetings.</w:t>
      </w:r>
    </w:p>
    <w:p w14:paraId="17FD7669" w14:textId="77777777" w:rsidR="00100265" w:rsidRDefault="00100265" w:rsidP="00100265">
      <w:pPr>
        <w:pStyle w:val="HChG"/>
        <w:jc w:val="both"/>
      </w:pPr>
      <w:r>
        <w:tab/>
      </w:r>
      <w:r w:rsidR="001947F4">
        <w:t>II.</w:t>
      </w:r>
      <w:r>
        <w:tab/>
      </w:r>
      <w:r w:rsidR="00066F3C">
        <w:t>Terms of Reference</w:t>
      </w:r>
      <w:r>
        <w:t xml:space="preserve"> </w:t>
      </w:r>
    </w:p>
    <w:p w14:paraId="71B46419" w14:textId="6A8B1DB7" w:rsidR="004A2F80" w:rsidRDefault="00952FE3" w:rsidP="00AF7182">
      <w:pPr>
        <w:pStyle w:val="SingleTxtG"/>
      </w:pPr>
      <w:r>
        <w:t>3</w:t>
      </w:r>
      <w:r w:rsidR="001947F4">
        <w:t>.</w:t>
      </w:r>
      <w:r w:rsidR="00100265">
        <w:tab/>
      </w:r>
      <w:r w:rsidR="004A2F80">
        <w:t xml:space="preserve">In line with the conclusions and recommendations of the workshop on </w:t>
      </w:r>
      <w:r w:rsidR="00E01C10">
        <w:t>good practices and new tools for financing transport infrastructure</w:t>
      </w:r>
      <w:r w:rsidR="004A2F80">
        <w:t>, the Group of Experts should focus on:</w:t>
      </w:r>
    </w:p>
    <w:p w14:paraId="3070F7A3" w14:textId="77777777" w:rsidR="004A2F80" w:rsidRDefault="004A2F80" w:rsidP="001947F4">
      <w:pPr>
        <w:pStyle w:val="SingleTxtG"/>
        <w:ind w:firstLine="567"/>
      </w:pPr>
      <w:r>
        <w:t>(a)</w:t>
      </w:r>
      <w:r>
        <w:tab/>
        <w:t xml:space="preserve">Identify models, methodologies, tools and good practices for evaluating, calculating and analysing inland transport infrastructure construction costs; </w:t>
      </w:r>
    </w:p>
    <w:p w14:paraId="78D8F90F" w14:textId="3109E2FC" w:rsidR="004A2F80" w:rsidRDefault="004A2F80" w:rsidP="001947F4">
      <w:pPr>
        <w:pStyle w:val="SingleTxtG"/>
        <w:ind w:firstLine="567"/>
      </w:pPr>
      <w:r>
        <w:t>(b)</w:t>
      </w:r>
      <w:r>
        <w:tab/>
        <w:t xml:space="preserve">Identify and list terminologies used in the </w:t>
      </w:r>
      <w:r w:rsidR="00FC7E9A">
        <w:t>ECE</w:t>
      </w:r>
      <w:r>
        <w:t xml:space="preserve"> region for construction costs of inland transport infrastructure; if possible, create a glossary of agreed terminologies and</w:t>
      </w:r>
      <w:r w:rsidR="00757887">
        <w:t xml:space="preserve"> </w:t>
      </w:r>
      <w:r>
        <w:t xml:space="preserve">related explanations; </w:t>
      </w:r>
    </w:p>
    <w:p w14:paraId="36D7B447" w14:textId="4A8B039E" w:rsidR="004A2F80" w:rsidRDefault="004A2F80" w:rsidP="001947F4">
      <w:pPr>
        <w:pStyle w:val="SingleTxtG"/>
        <w:ind w:firstLine="567"/>
      </w:pPr>
      <w:r>
        <w:t>(c)</w:t>
      </w:r>
      <w:r>
        <w:tab/>
        <w:t xml:space="preserve">Collect and analyse data in order to prepare a benchmarking of transport infrastructure construction costs the ECE region </w:t>
      </w:r>
      <w:r w:rsidR="00383B3D">
        <w:t>for each inland transport mode</w:t>
      </w:r>
      <w:r w:rsidR="00E01C10">
        <w:t>, i.e.</w:t>
      </w:r>
      <w:r w:rsidR="00383B3D">
        <w:t xml:space="preserve"> </w:t>
      </w:r>
      <w:r>
        <w:t>road, rail, inland wate</w:t>
      </w:r>
      <w:r w:rsidR="00383B3D">
        <w:t>rways</w:t>
      </w:r>
      <w:r w:rsidR="00E01C10">
        <w:t>,</w:t>
      </w:r>
      <w:r w:rsidR="00383B3D">
        <w:t xml:space="preserve"> </w:t>
      </w:r>
      <w:r>
        <w:t>intermodal terminals, freight/logistics centres and ports; Analyse and describe the conditions / parameters under which these costs have been calculated</w:t>
      </w:r>
      <w:r w:rsidR="003F54C1">
        <w:t>.</w:t>
      </w:r>
      <w:r>
        <w:t xml:space="preserve"> </w:t>
      </w:r>
    </w:p>
    <w:p w14:paraId="0C2BDD24" w14:textId="449F0FEB" w:rsidR="004A2F80" w:rsidRDefault="00952FE3" w:rsidP="00AF7182">
      <w:pPr>
        <w:pStyle w:val="SingleTxtG"/>
      </w:pPr>
      <w:r>
        <w:t>4</w:t>
      </w:r>
      <w:r w:rsidR="004A2F80">
        <w:t>.</w:t>
      </w:r>
      <w:r w:rsidR="004A2F80">
        <w:tab/>
        <w:t>The Group of Experts should consider</w:t>
      </w:r>
      <w:r w:rsidR="00E01C10">
        <w:t xml:space="preserve"> the</w:t>
      </w:r>
      <w:r w:rsidR="004A2F80">
        <w:t xml:space="preserve"> previous work of </w:t>
      </w:r>
      <w:r w:rsidR="00FC7E9A">
        <w:t>ECE</w:t>
      </w:r>
      <w:r w:rsidR="004A2F80">
        <w:t>:</w:t>
      </w:r>
    </w:p>
    <w:p w14:paraId="09CF5D49" w14:textId="42F21D48" w:rsidR="004A2F80" w:rsidRDefault="004A2F80" w:rsidP="001947F4">
      <w:pPr>
        <w:pStyle w:val="SingleTxtG"/>
        <w:ind w:firstLine="567"/>
      </w:pPr>
      <w:r>
        <w:t>(a)</w:t>
      </w:r>
      <w:r>
        <w:tab/>
        <w:t>Cost benefit analysis of transport infrastructure projects, 2003</w:t>
      </w:r>
      <w:r w:rsidR="00E01C10">
        <w:t>;</w:t>
      </w:r>
      <w:r w:rsidR="00ED2178">
        <w:rPr>
          <w:rStyle w:val="FootnoteReference"/>
        </w:rPr>
        <w:footnoteReference w:id="2"/>
      </w:r>
      <w:r>
        <w:t xml:space="preserve"> </w:t>
      </w:r>
    </w:p>
    <w:p w14:paraId="733A7DA0" w14:textId="66469246" w:rsidR="004A2F80" w:rsidRDefault="004A2F80" w:rsidP="001947F4">
      <w:pPr>
        <w:pStyle w:val="SingleTxtG"/>
        <w:ind w:firstLine="567"/>
      </w:pPr>
      <w:r>
        <w:t>(b)</w:t>
      </w:r>
      <w:r>
        <w:tab/>
        <w:t>A methodological basis for the definition of common criteria regarding the identification of bottlenecks, missing links and quality of service in infrastructure networks, 2009</w:t>
      </w:r>
      <w:r w:rsidR="00E01C10">
        <w:t>;</w:t>
      </w:r>
      <w:r w:rsidR="00ED2178">
        <w:rPr>
          <w:rStyle w:val="FootnoteReference"/>
        </w:rPr>
        <w:footnoteReference w:id="3"/>
      </w:r>
    </w:p>
    <w:p w14:paraId="25F2679A" w14:textId="3C6677E6" w:rsidR="004A2F80" w:rsidRDefault="004A2F80" w:rsidP="001947F4">
      <w:pPr>
        <w:pStyle w:val="SingleTxtG"/>
        <w:ind w:firstLine="567"/>
      </w:pPr>
      <w:r>
        <w:t>(c)</w:t>
      </w:r>
      <w:r>
        <w:tab/>
        <w:t>The Trans-European North-South Motorway (TEM) Project standards and Recommended Practice, 2002</w:t>
      </w:r>
      <w:r w:rsidR="00E01C10">
        <w:t>;</w:t>
      </w:r>
      <w:r w:rsidR="00ED2178">
        <w:rPr>
          <w:rStyle w:val="FootnoteReference"/>
        </w:rPr>
        <w:footnoteReference w:id="4"/>
      </w:r>
      <w:r>
        <w:t xml:space="preserve"> </w:t>
      </w:r>
      <w:r w:rsidR="00E01C10">
        <w:t>;</w:t>
      </w:r>
    </w:p>
    <w:p w14:paraId="5F7D37D0" w14:textId="4C10A72F" w:rsidR="004A2F80" w:rsidRDefault="004A2F80" w:rsidP="001947F4">
      <w:pPr>
        <w:pStyle w:val="SingleTxtG"/>
        <w:ind w:firstLine="567"/>
      </w:pPr>
      <w:r>
        <w:t>(d)</w:t>
      </w:r>
      <w:r>
        <w:tab/>
        <w:t>The T</w:t>
      </w:r>
      <w:r w:rsidR="00383B3D">
        <w:t>EM and TER revised Master Plan —</w:t>
      </w:r>
      <w:r>
        <w:t xml:space="preserve"> Final Report, 2012</w:t>
      </w:r>
      <w:r w:rsidR="00E01C10">
        <w:t>;</w:t>
      </w:r>
      <w:r w:rsidR="00ED2178">
        <w:rPr>
          <w:rStyle w:val="FootnoteReference"/>
        </w:rPr>
        <w:footnoteReference w:id="5"/>
      </w:r>
    </w:p>
    <w:p w14:paraId="61D32198" w14:textId="35EA8C78" w:rsidR="00100265" w:rsidRDefault="004A2F80" w:rsidP="001947F4">
      <w:pPr>
        <w:pStyle w:val="SingleTxtG"/>
        <w:ind w:firstLine="567"/>
      </w:pPr>
      <w:r>
        <w:t>(e)</w:t>
      </w:r>
      <w:r>
        <w:tab/>
        <w:t>The Euro Asian Transport Linkages Project studies, 2008</w:t>
      </w:r>
      <w:r w:rsidR="00ED2178">
        <w:rPr>
          <w:rStyle w:val="FootnoteReference"/>
        </w:rPr>
        <w:footnoteReference w:id="6"/>
      </w:r>
      <w:r>
        <w:t xml:space="preserve"> /2012</w:t>
      </w:r>
      <w:r w:rsidR="00ED2178">
        <w:rPr>
          <w:rStyle w:val="FootnoteReference"/>
        </w:rPr>
        <w:footnoteReference w:id="7"/>
      </w:r>
      <w:r w:rsidR="003F54C1">
        <w:t>.</w:t>
      </w:r>
    </w:p>
    <w:p w14:paraId="7BBCA7CC" w14:textId="77777777" w:rsidR="00CC0FE1" w:rsidRDefault="00CC0FE1" w:rsidP="00CC0FE1">
      <w:pPr>
        <w:pStyle w:val="HChG"/>
        <w:keepNext w:val="0"/>
        <w:keepLines w:val="0"/>
        <w:widowControl w:val="0"/>
        <w:suppressAutoHyphens w:val="0"/>
        <w:jc w:val="both"/>
      </w:pPr>
      <w:r>
        <w:tab/>
        <w:t xml:space="preserve">III. </w:t>
      </w:r>
      <w:r>
        <w:tab/>
      </w:r>
      <w:r w:rsidRPr="00CC0FE1">
        <w:t>Transport Infrastructure Construction Costs: Overview of main concerns and considerations</w:t>
      </w:r>
    </w:p>
    <w:p w14:paraId="0F7E2650" w14:textId="12969D98" w:rsidR="00CC0FE1" w:rsidRDefault="00952FE3" w:rsidP="00CC0FE1">
      <w:pPr>
        <w:pStyle w:val="SingleTxtG"/>
      </w:pPr>
      <w:r>
        <w:t>5</w:t>
      </w:r>
      <w:r w:rsidR="00CC0FE1">
        <w:t xml:space="preserve">. </w:t>
      </w:r>
      <w:r w:rsidR="00CC0FE1">
        <w:tab/>
        <w:t xml:space="preserve">The Group discussed and made an overview of the main concerns and considerations </w:t>
      </w:r>
      <w:r w:rsidR="00E01C10">
        <w:t xml:space="preserve">in </w:t>
      </w:r>
      <w:r w:rsidR="00CC0FE1">
        <w:t xml:space="preserve">transport infrastructure construction costs. The Group agreed that there are several reasons that justify the mandate of the Group </w:t>
      </w:r>
      <w:r w:rsidR="0051479F">
        <w:t xml:space="preserve">and </w:t>
      </w:r>
      <w:r w:rsidR="00CC0FE1">
        <w:t xml:space="preserve">make </w:t>
      </w:r>
      <w:r w:rsidR="0051479F">
        <w:t xml:space="preserve">it </w:t>
      </w:r>
      <w:r w:rsidR="00CC0FE1">
        <w:t xml:space="preserve">imperative to produce results and deliver the benchmarking exercise as soon as possible. Among others, the Group mentioned possible advantages from </w:t>
      </w:r>
      <w:r w:rsidR="0051479F">
        <w:t xml:space="preserve">an </w:t>
      </w:r>
      <w:r w:rsidR="00CC0FE1">
        <w:t xml:space="preserve">efficient implementation of the mandate and programme of work: </w:t>
      </w:r>
    </w:p>
    <w:p w14:paraId="75907F6F" w14:textId="77777777" w:rsidR="00CC0FE1" w:rsidRDefault="00CC0FE1" w:rsidP="001947F4">
      <w:pPr>
        <w:pStyle w:val="SingleTxtG"/>
        <w:ind w:firstLine="567"/>
      </w:pPr>
      <w:r>
        <w:t>(a)</w:t>
      </w:r>
      <w:r>
        <w:tab/>
        <w:t>Improvement of productivity;</w:t>
      </w:r>
    </w:p>
    <w:p w14:paraId="4375C441" w14:textId="77777777" w:rsidR="00CC0FE1" w:rsidRDefault="00CC0FE1" w:rsidP="001947F4">
      <w:pPr>
        <w:pStyle w:val="SingleTxtG"/>
        <w:ind w:firstLine="567"/>
      </w:pPr>
      <w:r>
        <w:t>(b)</w:t>
      </w:r>
      <w:r>
        <w:tab/>
        <w:t xml:space="preserve">Common understanding of terminology; </w:t>
      </w:r>
    </w:p>
    <w:p w14:paraId="17F6C011" w14:textId="77777777" w:rsidR="00CC0FE1" w:rsidRDefault="00CC0FE1" w:rsidP="001947F4">
      <w:pPr>
        <w:pStyle w:val="SingleTxtG"/>
        <w:ind w:firstLine="567"/>
      </w:pPr>
      <w:r>
        <w:t>(c)</w:t>
      </w:r>
      <w:r>
        <w:tab/>
        <w:t>Easier cost-benefit analysis;</w:t>
      </w:r>
    </w:p>
    <w:p w14:paraId="70330678" w14:textId="29314B40" w:rsidR="00CC0FE1" w:rsidRDefault="00CC0FE1" w:rsidP="001947F4">
      <w:pPr>
        <w:pStyle w:val="SingleTxtG"/>
        <w:ind w:firstLine="567"/>
      </w:pPr>
      <w:r>
        <w:lastRenderedPageBreak/>
        <w:t>(d)</w:t>
      </w:r>
      <w:r>
        <w:tab/>
        <w:t>Control of project costs and easier cost estimates;</w:t>
      </w:r>
    </w:p>
    <w:p w14:paraId="708C0F92" w14:textId="77777777" w:rsidR="00CC0FE1" w:rsidRDefault="00CC0FE1" w:rsidP="001947F4">
      <w:pPr>
        <w:pStyle w:val="SingleTxtG"/>
        <w:ind w:firstLine="567"/>
      </w:pPr>
      <w:r>
        <w:t>(e)</w:t>
      </w:r>
      <w:r>
        <w:tab/>
        <w:t xml:space="preserve">Easier comparing among countries; </w:t>
      </w:r>
    </w:p>
    <w:p w14:paraId="483E361F" w14:textId="77777777" w:rsidR="00CC0FE1" w:rsidRDefault="00CC0FE1" w:rsidP="001947F4">
      <w:pPr>
        <w:pStyle w:val="SingleTxtG"/>
        <w:ind w:firstLine="567"/>
      </w:pPr>
      <w:r>
        <w:t>(f)</w:t>
      </w:r>
      <w:r>
        <w:tab/>
        <w:t>Better budget allocations;</w:t>
      </w:r>
    </w:p>
    <w:p w14:paraId="15AF1443" w14:textId="77777777" w:rsidR="00CC0FE1" w:rsidRDefault="00CC0FE1" w:rsidP="001947F4">
      <w:pPr>
        <w:pStyle w:val="SingleTxtG"/>
        <w:ind w:firstLine="567"/>
      </w:pPr>
      <w:r>
        <w:t>(g)</w:t>
      </w:r>
      <w:r>
        <w:tab/>
        <w:t>Better use of materials;</w:t>
      </w:r>
    </w:p>
    <w:p w14:paraId="78A90F60" w14:textId="77777777" w:rsidR="00762B43" w:rsidRPr="00762B43" w:rsidRDefault="00CC0FE1" w:rsidP="001947F4">
      <w:pPr>
        <w:pStyle w:val="SingleTxtG"/>
        <w:ind w:firstLine="567"/>
      </w:pPr>
      <w:r>
        <w:t>(h)</w:t>
      </w:r>
      <w:r>
        <w:tab/>
        <w:t>Detailed feasibility studies.</w:t>
      </w:r>
    </w:p>
    <w:p w14:paraId="08BFC931" w14:textId="77777777" w:rsidR="00770036" w:rsidRDefault="00952FE3" w:rsidP="00CC0FE1">
      <w:pPr>
        <w:pStyle w:val="SingleTxtG"/>
      </w:pPr>
      <w:r>
        <w:t>6</w:t>
      </w:r>
      <w:r w:rsidR="00770036">
        <w:t>.</w:t>
      </w:r>
      <w:r w:rsidR="005365BB">
        <w:tab/>
      </w:r>
      <w:r w:rsidR="00D111B6">
        <w:t xml:space="preserve">Preparing a “common language” before elaborating any benchmarking study it is even more important than the study itself. The objective of the Group is not to reinvent </w:t>
      </w:r>
      <w:r w:rsidR="00364B62">
        <w:t xml:space="preserve">the wheel </w:t>
      </w:r>
      <w:r w:rsidR="00DA0921">
        <w:t xml:space="preserve">and </w:t>
      </w:r>
      <w:r w:rsidR="00D111B6">
        <w:t>prepare and discuss a new list of terminologies / glossary</w:t>
      </w:r>
      <w:r w:rsidR="00DA0921">
        <w:t>. It is about the identification of</w:t>
      </w:r>
      <w:r w:rsidR="00D111B6">
        <w:t xml:space="preserve"> all existing information and list of terminologies</w:t>
      </w:r>
      <w:r w:rsidR="00DA0921">
        <w:t xml:space="preserve">, the selection and agreement on </w:t>
      </w:r>
      <w:r w:rsidR="00D111B6">
        <w:t xml:space="preserve">the most relevant and suitable </w:t>
      </w:r>
      <w:r w:rsidR="003D6D59">
        <w:t>for the benchmarking study</w:t>
      </w:r>
      <w:r w:rsidR="00DA0921">
        <w:t xml:space="preserve"> ones</w:t>
      </w:r>
      <w:r w:rsidR="00D111B6">
        <w:t>. Therefore, the most widely used glossaries and list of terminologies should be used in order</w:t>
      </w:r>
      <w:r w:rsidR="00DA0921">
        <w:t xml:space="preserve"> for the Group</w:t>
      </w:r>
      <w:r w:rsidR="00D111B6">
        <w:t xml:space="preserve"> to accomplish this objective.</w:t>
      </w:r>
      <w:r w:rsidR="00757887">
        <w:t xml:space="preserve"> </w:t>
      </w:r>
    </w:p>
    <w:p w14:paraId="40962542" w14:textId="77777777" w:rsidR="00CC0FE1" w:rsidRDefault="00952FE3" w:rsidP="00CC0FE1">
      <w:pPr>
        <w:pStyle w:val="SingleTxtG"/>
      </w:pPr>
      <w:r>
        <w:t>7</w:t>
      </w:r>
      <w:r w:rsidR="006752BA">
        <w:t>.</w:t>
      </w:r>
      <w:r w:rsidR="003D6D59">
        <w:tab/>
      </w:r>
      <w:r w:rsidR="00C9629F">
        <w:t xml:space="preserve">The benchmarking study itself for all inland transport modes and nodes would be a milestone for transport infrastructure </w:t>
      </w:r>
      <w:r w:rsidR="00001A92">
        <w:t>development since such a benchmarking exercise</w:t>
      </w:r>
      <w:r w:rsidR="00C9629F">
        <w:t xml:space="preserve"> has not been prod</w:t>
      </w:r>
      <w:r w:rsidR="00001A92">
        <w:t xml:space="preserve">uced by any other organization so far. </w:t>
      </w:r>
      <w:r w:rsidR="00C9629F">
        <w:t xml:space="preserve">Knowing how much another country from the same region or other regions has paid for the construction of a transport infrastructure project and under which conditions, would be a valuable </w:t>
      </w:r>
      <w:r w:rsidR="00001A92">
        <w:t xml:space="preserve">investment decision </w:t>
      </w:r>
      <w:r w:rsidR="00C9629F">
        <w:t xml:space="preserve">tool and advantage for a country that wants to construct and for an international financial institution that wants to invest. The main scope of this benchmarking study is not to compare how much countries pay in order to construct but rather to </w:t>
      </w:r>
      <w:r w:rsidR="00C308A9">
        <w:t xml:space="preserve">list </w:t>
      </w:r>
      <w:r w:rsidR="00B43FEA">
        <w:t xml:space="preserve">with a structured way the average costs for constructing. </w:t>
      </w:r>
    </w:p>
    <w:p w14:paraId="5B202141" w14:textId="6320A11A" w:rsidR="00CC0FE1" w:rsidRDefault="00770036" w:rsidP="00770036">
      <w:pPr>
        <w:pStyle w:val="HChG"/>
        <w:keepNext w:val="0"/>
        <w:keepLines w:val="0"/>
        <w:widowControl w:val="0"/>
        <w:suppressAutoHyphens w:val="0"/>
        <w:jc w:val="both"/>
      </w:pPr>
      <w:r>
        <w:tab/>
        <w:t xml:space="preserve">IV. </w:t>
      </w:r>
      <w:r>
        <w:tab/>
        <w:t xml:space="preserve">Organization of the Work and </w:t>
      </w:r>
      <w:r w:rsidR="00E01C10">
        <w:t>Challenges</w:t>
      </w:r>
    </w:p>
    <w:p w14:paraId="7AA89101" w14:textId="72B8FB91" w:rsidR="00770036" w:rsidRDefault="00952FE3" w:rsidP="00770036">
      <w:pPr>
        <w:pStyle w:val="SingleTxtG"/>
      </w:pPr>
      <w:r>
        <w:t>8</w:t>
      </w:r>
      <w:r w:rsidR="00770036">
        <w:t xml:space="preserve">. </w:t>
      </w:r>
      <w:r w:rsidR="00770036">
        <w:tab/>
        <w:t xml:space="preserve">The Group had </w:t>
      </w:r>
      <w:r w:rsidR="00B70C58">
        <w:t xml:space="preserve">decided on the </w:t>
      </w:r>
      <w:r w:rsidR="00770036">
        <w:t>stru</w:t>
      </w:r>
      <w:r w:rsidR="00B70C58">
        <w:t>cture of its final report</w:t>
      </w:r>
      <w:r w:rsidR="00770036">
        <w:t xml:space="preserve">: </w:t>
      </w:r>
    </w:p>
    <w:p w14:paraId="2FCFBDC3" w14:textId="77777777" w:rsidR="00770036" w:rsidRDefault="00770036" w:rsidP="00770036">
      <w:pPr>
        <w:pStyle w:val="SingleTxtG"/>
      </w:pPr>
      <w:r>
        <w:t>Chapter 1:</w:t>
      </w:r>
      <w:r>
        <w:tab/>
        <w:t>Introduction;</w:t>
      </w:r>
    </w:p>
    <w:p w14:paraId="4FAFB8FB" w14:textId="77777777" w:rsidR="00770036" w:rsidRDefault="00770036" w:rsidP="00770036">
      <w:pPr>
        <w:pStyle w:val="SingleTxtG"/>
      </w:pPr>
      <w:r>
        <w:t>Chapter 2:</w:t>
      </w:r>
      <w:r>
        <w:tab/>
        <w:t>Overview of</w:t>
      </w:r>
      <w:r w:rsidR="00383B3D">
        <w:t xml:space="preserve"> challenges and considerations —</w:t>
      </w:r>
      <w:r>
        <w:t xml:space="preserve"> Purpose of the Project:</w:t>
      </w:r>
    </w:p>
    <w:p w14:paraId="2358588A" w14:textId="77777777" w:rsidR="00770036" w:rsidRDefault="00770036" w:rsidP="001947F4">
      <w:pPr>
        <w:pStyle w:val="SingleTxtG"/>
        <w:ind w:firstLine="567"/>
      </w:pPr>
      <w:r>
        <w:t>(a)</w:t>
      </w:r>
      <w:r>
        <w:tab/>
        <w:t>Literature Review;</w:t>
      </w:r>
    </w:p>
    <w:p w14:paraId="0F497A6E" w14:textId="77777777" w:rsidR="00770036" w:rsidRDefault="00770036" w:rsidP="001947F4">
      <w:pPr>
        <w:pStyle w:val="SingleTxtG"/>
        <w:ind w:firstLine="567"/>
      </w:pPr>
      <w:r>
        <w:t>(b)</w:t>
      </w:r>
      <w:r>
        <w:tab/>
        <w:t>International and national experience and best/good practices;</w:t>
      </w:r>
    </w:p>
    <w:p w14:paraId="10EA8EB4" w14:textId="3D97F09F" w:rsidR="00770036" w:rsidRDefault="00770036" w:rsidP="001947F4">
      <w:pPr>
        <w:pStyle w:val="SingleTxtG"/>
        <w:ind w:firstLine="567"/>
      </w:pPr>
      <w:r>
        <w:t>(c)</w:t>
      </w:r>
      <w:r>
        <w:tab/>
      </w:r>
      <w:r w:rsidR="0051479F">
        <w:t>M</w:t>
      </w:r>
      <w:r>
        <w:t>odels/methodologies.</w:t>
      </w:r>
    </w:p>
    <w:p w14:paraId="11714079" w14:textId="77777777" w:rsidR="00770036" w:rsidRDefault="00770036" w:rsidP="00770036">
      <w:pPr>
        <w:pStyle w:val="SingleTxtG"/>
      </w:pPr>
      <w:r>
        <w:t>Chapter 3:</w:t>
      </w:r>
      <w:r>
        <w:tab/>
        <w:t>Glossary on construction costs:</w:t>
      </w:r>
    </w:p>
    <w:p w14:paraId="40C31475" w14:textId="77777777" w:rsidR="00770036" w:rsidRDefault="00770036" w:rsidP="001947F4">
      <w:pPr>
        <w:pStyle w:val="SingleTxtG"/>
        <w:ind w:firstLine="567"/>
      </w:pPr>
      <w:r>
        <w:t>(a)</w:t>
      </w:r>
      <w:r>
        <w:tab/>
        <w:t>Introduction, challenges and concerns;</w:t>
      </w:r>
    </w:p>
    <w:p w14:paraId="16F4B6AE" w14:textId="77777777" w:rsidR="00770036" w:rsidRDefault="00770036" w:rsidP="001947F4">
      <w:pPr>
        <w:pStyle w:val="SingleTxtG"/>
        <w:ind w:firstLine="567"/>
      </w:pPr>
      <w:r>
        <w:t>(b)</w:t>
      </w:r>
      <w:r>
        <w:tab/>
        <w:t>Road:</w:t>
      </w:r>
    </w:p>
    <w:p w14:paraId="4510F373" w14:textId="77777777" w:rsidR="00770036" w:rsidRDefault="00770036" w:rsidP="00F60269">
      <w:pPr>
        <w:pStyle w:val="SingleTxtG"/>
        <w:ind w:left="2268"/>
      </w:pPr>
      <w:r>
        <w:t>(i)</w:t>
      </w:r>
      <w:r>
        <w:tab/>
      </w:r>
      <w:r w:rsidRPr="00DD3031">
        <w:t>Construction</w:t>
      </w:r>
      <w:r>
        <w:t xml:space="preserve">; </w:t>
      </w:r>
    </w:p>
    <w:p w14:paraId="36584C22" w14:textId="77777777" w:rsidR="00770036" w:rsidRDefault="00770036" w:rsidP="00F60269">
      <w:pPr>
        <w:pStyle w:val="SingleTxtG"/>
        <w:ind w:left="2268"/>
      </w:pPr>
      <w:r>
        <w:t>(ii)</w:t>
      </w:r>
      <w:r>
        <w:tab/>
        <w:t>Maintenance;</w:t>
      </w:r>
    </w:p>
    <w:p w14:paraId="746D8785" w14:textId="77777777" w:rsidR="00770036" w:rsidRDefault="005C7321" w:rsidP="00F60269">
      <w:pPr>
        <w:pStyle w:val="SingleTxtG"/>
        <w:ind w:left="2268"/>
      </w:pPr>
      <w:r>
        <w:t>(iii)</w:t>
      </w:r>
      <w:r>
        <w:tab/>
      </w:r>
      <w:r w:rsidR="00770036">
        <w:t>Operations;</w:t>
      </w:r>
    </w:p>
    <w:p w14:paraId="28F4EAFC" w14:textId="77777777" w:rsidR="00770036" w:rsidRDefault="00770036" w:rsidP="001947F4">
      <w:pPr>
        <w:pStyle w:val="SingleTxtG"/>
        <w:ind w:firstLine="567"/>
      </w:pPr>
      <w:r>
        <w:t>(c)</w:t>
      </w:r>
      <w:r>
        <w:tab/>
        <w:t>Rail:</w:t>
      </w:r>
    </w:p>
    <w:p w14:paraId="56E78E27" w14:textId="77777777" w:rsidR="00770036" w:rsidRDefault="00770036" w:rsidP="00F60269">
      <w:pPr>
        <w:pStyle w:val="SingleTxtG"/>
        <w:ind w:left="2268"/>
      </w:pPr>
      <w:r w:rsidRPr="003F54C1">
        <w:t>(i)</w:t>
      </w:r>
      <w:r w:rsidRPr="003F54C1">
        <w:tab/>
        <w:t>Construction….</w:t>
      </w:r>
    </w:p>
    <w:p w14:paraId="0C454863" w14:textId="77777777" w:rsidR="00770036" w:rsidRDefault="00770036" w:rsidP="001947F4">
      <w:pPr>
        <w:pStyle w:val="SingleTxtG"/>
        <w:ind w:firstLine="567"/>
      </w:pPr>
      <w:r>
        <w:t>(d)</w:t>
      </w:r>
      <w:r>
        <w:tab/>
        <w:t>Inland Waterways, Intermodal Terminals, Ports.</w:t>
      </w:r>
    </w:p>
    <w:p w14:paraId="58F6A5C0" w14:textId="77777777" w:rsidR="00770036" w:rsidRDefault="00770036" w:rsidP="00770036">
      <w:pPr>
        <w:pStyle w:val="SingleTxtG"/>
      </w:pPr>
      <w:r>
        <w:t>Chapter 4:</w:t>
      </w:r>
      <w:r>
        <w:tab/>
        <w:t>Benchmarking transport infrastructure construction costs:</w:t>
      </w:r>
    </w:p>
    <w:p w14:paraId="0941A1E7" w14:textId="77777777" w:rsidR="00770036" w:rsidRDefault="00383B3D" w:rsidP="001947F4">
      <w:pPr>
        <w:pStyle w:val="SingleTxtG"/>
        <w:ind w:firstLine="567"/>
      </w:pPr>
      <w:r>
        <w:t>(a)</w:t>
      </w:r>
      <w:r>
        <w:tab/>
        <w:t>Review of Methodology —</w:t>
      </w:r>
      <w:r w:rsidR="00770036">
        <w:t xml:space="preserve"> Questionnaire;</w:t>
      </w:r>
    </w:p>
    <w:p w14:paraId="35ECC4A7" w14:textId="77777777" w:rsidR="00770036" w:rsidRDefault="00770036" w:rsidP="001947F4">
      <w:pPr>
        <w:pStyle w:val="SingleTxtG"/>
        <w:ind w:firstLine="567"/>
      </w:pPr>
      <w:r>
        <w:lastRenderedPageBreak/>
        <w:t>(b)</w:t>
      </w:r>
      <w:r>
        <w:tab/>
        <w:t>Benchmarking Database:</w:t>
      </w:r>
    </w:p>
    <w:p w14:paraId="57411B2D" w14:textId="77777777" w:rsidR="00770036" w:rsidRDefault="00770036" w:rsidP="00F60269">
      <w:pPr>
        <w:pStyle w:val="SingleTxtG"/>
        <w:ind w:left="2098"/>
      </w:pPr>
      <w:r>
        <w:t>(i)</w:t>
      </w:r>
      <w:r>
        <w:tab/>
        <w:t>Road:</w:t>
      </w:r>
    </w:p>
    <w:p w14:paraId="07752B21" w14:textId="24EBCDCE" w:rsidR="003F54C1" w:rsidRDefault="00770036" w:rsidP="00F60269">
      <w:pPr>
        <w:pStyle w:val="Bullet2G"/>
        <w:tabs>
          <w:tab w:val="clear" w:pos="2268"/>
          <w:tab w:val="num" w:pos="2665"/>
        </w:tabs>
        <w:ind w:left="2665"/>
      </w:pPr>
      <w:r>
        <w:t>Construction</w:t>
      </w:r>
      <w:r w:rsidR="0051479F">
        <w:t xml:space="preserve">,  </w:t>
      </w:r>
    </w:p>
    <w:p w14:paraId="3C9C02A1" w14:textId="7CB8F852" w:rsidR="003F54C1" w:rsidRDefault="00770036" w:rsidP="00F60269">
      <w:pPr>
        <w:pStyle w:val="Bullet2G"/>
        <w:tabs>
          <w:tab w:val="clear" w:pos="2268"/>
          <w:tab w:val="num" w:pos="2665"/>
        </w:tabs>
        <w:ind w:left="2665"/>
      </w:pPr>
      <w:r>
        <w:t>Maintenance</w:t>
      </w:r>
      <w:r w:rsidR="0051479F">
        <w:t xml:space="preserve">, </w:t>
      </w:r>
    </w:p>
    <w:p w14:paraId="07261457" w14:textId="77777777" w:rsidR="00770036" w:rsidRDefault="00770036" w:rsidP="00F60269">
      <w:pPr>
        <w:pStyle w:val="Bullet2G"/>
        <w:tabs>
          <w:tab w:val="clear" w:pos="2268"/>
          <w:tab w:val="num" w:pos="2665"/>
        </w:tabs>
        <w:ind w:left="2665"/>
      </w:pPr>
      <w:r>
        <w:t>Operations.</w:t>
      </w:r>
    </w:p>
    <w:p w14:paraId="5AE6FA69" w14:textId="77777777" w:rsidR="00770036" w:rsidRDefault="00770036" w:rsidP="00F60269">
      <w:pPr>
        <w:pStyle w:val="SingleTxtG"/>
        <w:ind w:left="2098"/>
      </w:pPr>
      <w:r>
        <w:t>(ii)</w:t>
      </w:r>
      <w:r>
        <w:tab/>
        <w:t>Rail:</w:t>
      </w:r>
    </w:p>
    <w:p w14:paraId="6A217FCF" w14:textId="77777777" w:rsidR="00770036" w:rsidRPr="003F54C1" w:rsidRDefault="00770036" w:rsidP="00F60269">
      <w:pPr>
        <w:pStyle w:val="Bullet2G"/>
        <w:tabs>
          <w:tab w:val="clear" w:pos="2268"/>
          <w:tab w:val="num" w:pos="2665"/>
        </w:tabs>
        <w:ind w:left="2665"/>
      </w:pPr>
      <w:r w:rsidRPr="003F54C1">
        <w:t>Construction….</w:t>
      </w:r>
    </w:p>
    <w:p w14:paraId="22311718" w14:textId="77777777" w:rsidR="00770036" w:rsidRDefault="00770036" w:rsidP="00F60269">
      <w:pPr>
        <w:pStyle w:val="SingleTxtG"/>
        <w:ind w:left="2098"/>
      </w:pPr>
      <w:r>
        <w:t>(iii)</w:t>
      </w:r>
      <w:r>
        <w:tab/>
        <w:t>Inland Waterways, Intermodal Terminals, Ports.</w:t>
      </w:r>
    </w:p>
    <w:p w14:paraId="504FC6F7" w14:textId="77777777" w:rsidR="00770036" w:rsidRDefault="00770036" w:rsidP="001947F4">
      <w:pPr>
        <w:pStyle w:val="SingleTxtG"/>
        <w:ind w:firstLine="567"/>
      </w:pPr>
      <w:r>
        <w:t>(c)</w:t>
      </w:r>
      <w:r>
        <w:tab/>
        <w:t xml:space="preserve">Analysis. </w:t>
      </w:r>
    </w:p>
    <w:p w14:paraId="1F90C401" w14:textId="77777777" w:rsidR="00770036" w:rsidRDefault="00770036" w:rsidP="00770036">
      <w:pPr>
        <w:pStyle w:val="SingleTxtG"/>
      </w:pPr>
      <w:r>
        <w:t>Chapter 5:</w:t>
      </w:r>
      <w:r>
        <w:tab/>
        <w:t>Conclusions and Recommendations.</w:t>
      </w:r>
    </w:p>
    <w:p w14:paraId="0FBC1EC7" w14:textId="26C4BB65" w:rsidR="00C061B2" w:rsidRDefault="00952FE3" w:rsidP="00CC0FE1">
      <w:pPr>
        <w:pStyle w:val="SingleTxtG"/>
      </w:pPr>
      <w:r>
        <w:t>9</w:t>
      </w:r>
      <w:r w:rsidR="00C061B2">
        <w:t>.</w:t>
      </w:r>
      <w:r w:rsidR="00C061B2">
        <w:tab/>
      </w:r>
      <w:r w:rsidR="00C061B2" w:rsidRPr="00C061B2">
        <w:t xml:space="preserve">The Group </w:t>
      </w:r>
      <w:r w:rsidR="00C061B2">
        <w:t xml:space="preserve">work discussed the </w:t>
      </w:r>
      <w:r w:rsidR="00C061B2" w:rsidRPr="00C061B2">
        <w:t xml:space="preserve">challenges </w:t>
      </w:r>
      <w:r w:rsidR="00C061B2">
        <w:t>to fulfil its objectives.</w:t>
      </w:r>
      <w:r w:rsidR="00C061B2" w:rsidRPr="00C061B2">
        <w:t xml:space="preserve"> The biggest challenge is that Group’s objectives refer to different transport modes (road, rail, inland waterways) </w:t>
      </w:r>
      <w:r w:rsidR="0051479F">
        <w:t xml:space="preserve">and </w:t>
      </w:r>
      <w:r w:rsidR="00C061B2" w:rsidRPr="00C061B2">
        <w:t xml:space="preserve">nodes (ports, intermodal terminals). Therefore, different experts should be identified and invited from </w:t>
      </w:r>
      <w:r w:rsidR="00C061B2">
        <w:t>each</w:t>
      </w:r>
      <w:r w:rsidR="00C061B2" w:rsidRPr="00C061B2">
        <w:t xml:space="preserve"> member State.</w:t>
      </w:r>
      <w:r w:rsidR="00C061B2">
        <w:t xml:space="preserve"> The Group decided that a country or organization should lead each mode and node subgroup. This would facilitate a lot its work and would ensure quick and high quality outputs within the </w:t>
      </w:r>
      <w:r w:rsidR="000973E1">
        <w:t>period</w:t>
      </w:r>
      <w:r w:rsidR="00C061B2">
        <w:t xml:space="preserve"> of group’s mandate. </w:t>
      </w:r>
    </w:p>
    <w:p w14:paraId="3EF5658D" w14:textId="77777777" w:rsidR="000973E1" w:rsidRDefault="00952FE3" w:rsidP="00CC0FE1">
      <w:pPr>
        <w:pStyle w:val="SingleTxtG"/>
      </w:pPr>
      <w:r>
        <w:t>10</w:t>
      </w:r>
      <w:r w:rsidR="006752BA">
        <w:t>.</w:t>
      </w:r>
      <w:r w:rsidR="00C061B2">
        <w:tab/>
        <w:t xml:space="preserve">So far, and after having organized four sessions the Group has organized its work </w:t>
      </w:r>
      <w:r w:rsidR="009B7771">
        <w:t>accordingly and</w:t>
      </w:r>
      <w:r w:rsidR="00C061B2">
        <w:t xml:space="preserve"> has prepared the following </w:t>
      </w:r>
      <w:r w:rsidR="000973E1">
        <w:t xml:space="preserve">outputs: </w:t>
      </w:r>
    </w:p>
    <w:p w14:paraId="6745A0F8" w14:textId="77777777" w:rsidR="000973E1" w:rsidRDefault="00DD3031" w:rsidP="001947F4">
      <w:pPr>
        <w:pStyle w:val="SingleTxtG"/>
        <w:ind w:firstLine="567"/>
      </w:pPr>
      <w:r>
        <w:t>(</w:t>
      </w:r>
      <w:r w:rsidR="000973E1">
        <w:t>a)</w:t>
      </w:r>
      <w:r w:rsidR="000973E1">
        <w:tab/>
        <w:t xml:space="preserve">Road </w:t>
      </w:r>
      <w:r w:rsidR="00E01C10">
        <w:t xml:space="preserve">transport: leading country </w:t>
      </w:r>
      <w:r w:rsidR="000973E1">
        <w:t>is Turkey</w:t>
      </w:r>
      <w:r w:rsidR="009B7771">
        <w:t>. B</w:t>
      </w:r>
      <w:r w:rsidR="000973E1">
        <w:t xml:space="preserve">oth draft terminology and benchmarking study questionnaire has been prepared and discussed during Group’s sessions. </w:t>
      </w:r>
    </w:p>
    <w:p w14:paraId="753D469F" w14:textId="4B1AA18A" w:rsidR="000973E1" w:rsidRDefault="00DD3031" w:rsidP="001947F4">
      <w:pPr>
        <w:pStyle w:val="SingleTxtG"/>
        <w:ind w:firstLine="567"/>
      </w:pPr>
      <w:r>
        <w:t>(</w:t>
      </w:r>
      <w:r w:rsidR="000973E1">
        <w:t>b)</w:t>
      </w:r>
      <w:r w:rsidR="000973E1">
        <w:tab/>
        <w:t xml:space="preserve">Rail </w:t>
      </w:r>
      <w:r w:rsidR="00E01C10">
        <w:t>transpor</w:t>
      </w:r>
      <w:r w:rsidR="000973E1">
        <w:t xml:space="preserve">t: the Chair and the secretariat have taken actions to involve the European </w:t>
      </w:r>
      <w:r w:rsidR="00E01C10">
        <w:t xml:space="preserve">rail </w:t>
      </w:r>
      <w:r w:rsidR="000973E1">
        <w:t>Infrastructure Managers (EIM) as the leader for this mode.</w:t>
      </w:r>
      <w:r w:rsidR="00757887">
        <w:t xml:space="preserve"> </w:t>
      </w:r>
      <w:r w:rsidR="000973E1">
        <w:t xml:space="preserve">So </w:t>
      </w:r>
      <w:r w:rsidR="009B7771">
        <w:t>far,</w:t>
      </w:r>
      <w:r w:rsidR="000973E1">
        <w:t xml:space="preserve"> a positive but not definitive reply has been received from their side. </w:t>
      </w:r>
      <w:r w:rsidR="009B7771">
        <w:t xml:space="preserve">The secretariat has prepared the </w:t>
      </w:r>
      <w:r w:rsidR="000973E1">
        <w:t>draft list of terminologies in order to distribute to all interested stakeholders including EIM for their comments and proposals</w:t>
      </w:r>
      <w:r w:rsidR="009B7771">
        <w:t>.</w:t>
      </w:r>
      <w:r w:rsidR="000973E1">
        <w:t xml:space="preserve"> </w:t>
      </w:r>
    </w:p>
    <w:p w14:paraId="4ACB3D9E" w14:textId="093290C9" w:rsidR="000973E1" w:rsidRDefault="00DD3031" w:rsidP="001947F4">
      <w:pPr>
        <w:pStyle w:val="SingleTxtG"/>
        <w:ind w:firstLine="567"/>
      </w:pPr>
      <w:r>
        <w:t>(</w:t>
      </w:r>
      <w:r w:rsidR="000973E1">
        <w:t>c)</w:t>
      </w:r>
      <w:r w:rsidR="000973E1">
        <w:tab/>
        <w:t xml:space="preserve">Inland </w:t>
      </w:r>
      <w:r w:rsidR="00E01C10">
        <w:t>wate</w:t>
      </w:r>
      <w:r w:rsidR="000973E1">
        <w:t xml:space="preserve">rways: The secretariat </w:t>
      </w:r>
      <w:r w:rsidR="00E01C10">
        <w:t xml:space="preserve">made </w:t>
      </w:r>
      <w:r w:rsidR="000973E1">
        <w:t xml:space="preserve">several presentations and </w:t>
      </w:r>
      <w:r w:rsidR="009B7771">
        <w:t xml:space="preserve">requests to </w:t>
      </w:r>
      <w:r w:rsidR="00E01C10">
        <w:t xml:space="preserve">the </w:t>
      </w:r>
      <w:r w:rsidR="00FC7E9A">
        <w:t>ECE</w:t>
      </w:r>
      <w:r w:rsidR="000973E1">
        <w:t xml:space="preserve"> Working Party on Inland Waterways and the </w:t>
      </w:r>
      <w:r w:rsidR="00E01C10">
        <w:t>R</w:t>
      </w:r>
      <w:r w:rsidR="000973E1">
        <w:t>iver Commissions.</w:t>
      </w:r>
      <w:r w:rsidR="009B7771">
        <w:t xml:space="preserve"> </w:t>
      </w:r>
      <w:r w:rsidR="009B7771" w:rsidRPr="009B7771">
        <w:t>The secretariat has prepared the draft list of terminologies to distribute to all interested stakeholders including</w:t>
      </w:r>
      <w:r w:rsidR="009B7771">
        <w:t xml:space="preserve"> the</w:t>
      </w:r>
      <w:r w:rsidR="009B7771" w:rsidRPr="009B7771">
        <w:t xml:space="preserve"> Working Party on Inland Waterways and the </w:t>
      </w:r>
      <w:r w:rsidR="00E01C10">
        <w:t>R</w:t>
      </w:r>
      <w:r w:rsidR="009B7771" w:rsidRPr="009B7771">
        <w:t>iver Commissions for their comments and proposals.</w:t>
      </w:r>
    </w:p>
    <w:p w14:paraId="7207B9FA" w14:textId="70966470" w:rsidR="000973E1" w:rsidRDefault="00DD3031" w:rsidP="001947F4">
      <w:pPr>
        <w:pStyle w:val="SingleTxtG"/>
        <w:ind w:firstLine="567"/>
      </w:pPr>
      <w:r>
        <w:t>(</w:t>
      </w:r>
      <w:r w:rsidR="000973E1">
        <w:t>d)</w:t>
      </w:r>
      <w:r w:rsidR="000973E1">
        <w:tab/>
        <w:t xml:space="preserve">Intermodal </w:t>
      </w:r>
      <w:r w:rsidR="00E01C10">
        <w:t>terminals / freight villages</w:t>
      </w:r>
      <w:r w:rsidR="000973E1">
        <w:t xml:space="preserve">: </w:t>
      </w:r>
      <w:r w:rsidR="0051479F">
        <w:t>T</w:t>
      </w:r>
      <w:r w:rsidR="00E01C10">
        <w:t xml:space="preserve">he </w:t>
      </w:r>
      <w:r w:rsidR="000973E1">
        <w:t>lead organization</w:t>
      </w:r>
      <w:r w:rsidR="0051479F">
        <w:t>,</w:t>
      </w:r>
      <w:r w:rsidR="000973E1">
        <w:t xml:space="preserve"> Europlatforms has already prepared a draft list of terminologies and </w:t>
      </w:r>
      <w:r w:rsidR="009B7771">
        <w:t>the benchmarking</w:t>
      </w:r>
      <w:r w:rsidR="000973E1">
        <w:t xml:space="preserve"> questionnaire. </w:t>
      </w:r>
    </w:p>
    <w:p w14:paraId="2D769505" w14:textId="461AE4B7" w:rsidR="00141EAD" w:rsidRDefault="00DD3031" w:rsidP="001947F4">
      <w:pPr>
        <w:pStyle w:val="SingleTxtG"/>
        <w:ind w:firstLine="567"/>
      </w:pPr>
      <w:r>
        <w:t>(</w:t>
      </w:r>
      <w:r w:rsidR="000973E1">
        <w:t>e)</w:t>
      </w:r>
      <w:r w:rsidR="000973E1">
        <w:tab/>
        <w:t xml:space="preserve">Ports: </w:t>
      </w:r>
      <w:r w:rsidR="0051479F">
        <w:t xml:space="preserve">The </w:t>
      </w:r>
      <w:r w:rsidR="000973E1">
        <w:t>representative of the port of Gdynia t</w:t>
      </w:r>
      <w:r w:rsidR="00141EAD">
        <w:t>ook</w:t>
      </w:r>
      <w:r w:rsidR="000973E1">
        <w:t xml:space="preserve"> the lead for this team of experts and prepare</w:t>
      </w:r>
      <w:r w:rsidR="0051479F">
        <w:t>d</w:t>
      </w:r>
      <w:r w:rsidR="000973E1">
        <w:t xml:space="preserve"> </w:t>
      </w:r>
      <w:r w:rsidR="00141EAD">
        <w:t>the</w:t>
      </w:r>
      <w:r w:rsidR="000973E1">
        <w:t xml:space="preserve"> draft list of terminologies</w:t>
      </w:r>
      <w:r w:rsidR="0051479F">
        <w:t>,</w:t>
      </w:r>
      <w:r w:rsidR="000973E1">
        <w:t xml:space="preserve"> </w:t>
      </w:r>
      <w:r w:rsidR="0051479F">
        <w:t xml:space="preserve">and </w:t>
      </w:r>
      <w:r w:rsidR="000973E1">
        <w:t xml:space="preserve">a draft questionnaire for the benchmarking study. These will be communicated to several other ports and port organizations such as the Baltic Ports Organization and the European Sea Ports Organization </w:t>
      </w:r>
      <w:r w:rsidR="0051479F">
        <w:t xml:space="preserve">for </w:t>
      </w:r>
      <w:r w:rsidR="000973E1">
        <w:t>comments, proposals and amendments.</w:t>
      </w:r>
      <w:r w:rsidR="00757887">
        <w:t xml:space="preserve"> </w:t>
      </w:r>
      <w:r w:rsidR="000973E1">
        <w:t>These draft documents with the proposed changes by the different ports will be discussed and finalized during the next session of the Group.</w:t>
      </w:r>
    </w:p>
    <w:p w14:paraId="393FBB8E" w14:textId="77777777" w:rsidR="00EC35B3" w:rsidRPr="004875E8" w:rsidRDefault="00EC35B3" w:rsidP="00CC0FE1">
      <w:pPr>
        <w:pStyle w:val="HChG"/>
        <w:keepNext w:val="0"/>
        <w:keepLines w:val="0"/>
        <w:widowControl w:val="0"/>
        <w:suppressAutoHyphens w:val="0"/>
        <w:jc w:val="both"/>
      </w:pPr>
      <w:r>
        <w:tab/>
        <w:t>V.</w:t>
      </w:r>
      <w:r>
        <w:tab/>
      </w:r>
      <w:r w:rsidRPr="004875E8">
        <w:t xml:space="preserve">Guidance by </w:t>
      </w:r>
      <w:r>
        <w:t>Inland Transport Committee</w:t>
      </w:r>
    </w:p>
    <w:p w14:paraId="5D0B0F26" w14:textId="7413F305" w:rsidR="00C66014" w:rsidRPr="00C66014" w:rsidRDefault="00EC35B3" w:rsidP="00315FE4">
      <w:pPr>
        <w:pStyle w:val="SingleTxtG"/>
      </w:pPr>
      <w:r w:rsidRPr="00AF3517">
        <w:t>1</w:t>
      </w:r>
      <w:r w:rsidR="00952FE3">
        <w:t>1</w:t>
      </w:r>
      <w:r>
        <w:t>.</w:t>
      </w:r>
      <w:r w:rsidRPr="00AF3517">
        <w:tab/>
      </w:r>
      <w:r w:rsidR="00A37AD3">
        <w:t xml:space="preserve">The Inland Transport Committee </w:t>
      </w:r>
      <w:r w:rsidRPr="00AF3517">
        <w:t xml:space="preserve">may wish to consider the </w:t>
      </w:r>
      <w:r w:rsidR="00A37AD3" w:rsidRPr="00AF3517">
        <w:t>above-mentioned</w:t>
      </w:r>
      <w:r w:rsidR="00A37AD3">
        <w:t xml:space="preserve"> information </w:t>
      </w:r>
      <w:r w:rsidRPr="00AF3517">
        <w:t xml:space="preserve">and may wish to provide guidance to the secretariat on </w:t>
      </w:r>
      <w:r w:rsidR="00B653A6">
        <w:t xml:space="preserve">how to further </w:t>
      </w:r>
      <w:r w:rsidR="00B70C58">
        <w:t xml:space="preserve">organize </w:t>
      </w:r>
      <w:r w:rsidR="00B653A6">
        <w:lastRenderedPageBreak/>
        <w:t>the work of the Group of Experts</w:t>
      </w:r>
      <w:r w:rsidR="006C67AE">
        <w:t xml:space="preserve"> and request more active participation </w:t>
      </w:r>
      <w:r w:rsidR="00E01C10">
        <w:t xml:space="preserve">from governments and international organizations group work. </w:t>
      </w:r>
    </w:p>
    <w:p w14:paraId="0C511979" w14:textId="77777777" w:rsidR="00936FC2" w:rsidRPr="00F21AD4" w:rsidRDefault="00936FC2" w:rsidP="007109A6">
      <w:pPr>
        <w:pStyle w:val="SingleTxtG"/>
        <w:spacing w:before="240" w:after="0"/>
        <w:jc w:val="center"/>
      </w:pPr>
      <w:r w:rsidRPr="00F21AD4">
        <w:rPr>
          <w:u w:val="single"/>
        </w:rPr>
        <w:tab/>
      </w:r>
      <w:r w:rsidRPr="00F21AD4">
        <w:rPr>
          <w:u w:val="single"/>
        </w:rPr>
        <w:tab/>
      </w:r>
      <w:r w:rsidRPr="00F21AD4">
        <w:rPr>
          <w:u w:val="single"/>
        </w:rPr>
        <w:tab/>
      </w:r>
    </w:p>
    <w:sectPr w:rsidR="00936FC2" w:rsidRPr="00F21AD4" w:rsidSect="00AF4BF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0ACA" w14:textId="77777777" w:rsidR="00E561A5" w:rsidRDefault="00E561A5"/>
  </w:endnote>
  <w:endnote w:type="continuationSeparator" w:id="0">
    <w:p w14:paraId="55A6ECA7" w14:textId="77777777" w:rsidR="00E561A5" w:rsidRDefault="00E561A5"/>
  </w:endnote>
  <w:endnote w:type="continuationNotice" w:id="1">
    <w:p w14:paraId="27DE13DB" w14:textId="77777777" w:rsidR="00E561A5" w:rsidRDefault="00E56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EFF1" w14:textId="1460619B"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E775B7">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C764" w14:textId="56B72443"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E775B7">
      <w:rPr>
        <w:b/>
        <w:noProof/>
        <w:sz w:val="18"/>
      </w:rPr>
      <w:t>5</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82B0" w14:textId="77777777" w:rsidR="00E561A5" w:rsidRPr="000B175B" w:rsidRDefault="00E561A5" w:rsidP="000B175B">
      <w:pPr>
        <w:tabs>
          <w:tab w:val="right" w:pos="2155"/>
        </w:tabs>
        <w:spacing w:after="80"/>
        <w:ind w:left="680"/>
        <w:rPr>
          <w:u w:val="single"/>
        </w:rPr>
      </w:pPr>
      <w:r>
        <w:rPr>
          <w:u w:val="single"/>
        </w:rPr>
        <w:tab/>
      </w:r>
    </w:p>
  </w:footnote>
  <w:footnote w:type="continuationSeparator" w:id="0">
    <w:p w14:paraId="6862B9C3" w14:textId="77777777" w:rsidR="00E561A5" w:rsidRPr="00FC68B7" w:rsidRDefault="00E561A5" w:rsidP="00FC68B7">
      <w:pPr>
        <w:tabs>
          <w:tab w:val="left" w:pos="2155"/>
        </w:tabs>
        <w:spacing w:after="80"/>
        <w:ind w:left="680"/>
        <w:rPr>
          <w:u w:val="single"/>
        </w:rPr>
      </w:pPr>
      <w:r>
        <w:rPr>
          <w:u w:val="single"/>
        </w:rPr>
        <w:tab/>
      </w:r>
    </w:p>
  </w:footnote>
  <w:footnote w:type="continuationNotice" w:id="1">
    <w:p w14:paraId="1B3BA175" w14:textId="77777777" w:rsidR="00E561A5" w:rsidRDefault="00E561A5"/>
  </w:footnote>
  <w:footnote w:id="2">
    <w:p w14:paraId="56D8F034" w14:textId="77777777" w:rsidR="00ED2178" w:rsidRPr="00ED2178" w:rsidRDefault="00ED2178" w:rsidP="00ED2178">
      <w:pPr>
        <w:pStyle w:val="FootnoteText"/>
        <w:widowControl w:val="0"/>
        <w:tabs>
          <w:tab w:val="clear" w:pos="1021"/>
          <w:tab w:val="right" w:pos="1020"/>
        </w:tabs>
        <w:rPr>
          <w:lang w:val="en-US"/>
        </w:rPr>
      </w:pPr>
      <w:r>
        <w:tab/>
      </w:r>
      <w:r>
        <w:rPr>
          <w:rStyle w:val="FootnoteReference"/>
        </w:rPr>
        <w:footnoteRef/>
      </w:r>
      <w:r>
        <w:tab/>
      </w:r>
      <w:r w:rsidRPr="004A2F80">
        <w:t>www.unece.org/fileadmin/DAM/trans/doc/2008/wp5/CBAe.pdf</w:t>
      </w:r>
    </w:p>
  </w:footnote>
  <w:footnote w:id="3">
    <w:p w14:paraId="5B83EB35" w14:textId="77777777" w:rsidR="00ED2178" w:rsidRPr="00ED2178" w:rsidRDefault="00ED2178" w:rsidP="00ED2178">
      <w:pPr>
        <w:pStyle w:val="FootnoteText"/>
        <w:widowControl w:val="0"/>
        <w:tabs>
          <w:tab w:val="clear" w:pos="1021"/>
          <w:tab w:val="right" w:pos="1020"/>
        </w:tabs>
        <w:rPr>
          <w:lang w:val="en-US"/>
        </w:rPr>
      </w:pPr>
      <w:r>
        <w:tab/>
      </w:r>
      <w:r>
        <w:rPr>
          <w:rStyle w:val="FootnoteReference"/>
        </w:rPr>
        <w:footnoteRef/>
      </w:r>
      <w:r>
        <w:tab/>
      </w:r>
      <w:r w:rsidRPr="004A2F80">
        <w:t>www.unece.org/fileadmin/DAM/trans/doc/2009/wp5/ECE-TRANS-205e.pdf</w:t>
      </w:r>
    </w:p>
  </w:footnote>
  <w:footnote w:id="4">
    <w:p w14:paraId="6EE334CE" w14:textId="77777777" w:rsidR="00ED2178" w:rsidRPr="00ED2178" w:rsidRDefault="00ED2178" w:rsidP="00ED2178">
      <w:pPr>
        <w:pStyle w:val="FootnoteText"/>
        <w:widowControl w:val="0"/>
        <w:tabs>
          <w:tab w:val="clear" w:pos="1021"/>
          <w:tab w:val="right" w:pos="1020"/>
        </w:tabs>
        <w:rPr>
          <w:lang w:val="en-US"/>
        </w:rPr>
      </w:pPr>
      <w:r>
        <w:tab/>
      </w:r>
      <w:r>
        <w:rPr>
          <w:rStyle w:val="FootnoteReference"/>
        </w:rPr>
        <w:footnoteRef/>
      </w:r>
      <w:r>
        <w:tab/>
      </w:r>
      <w:r w:rsidRPr="004A2F80">
        <w:t>www.unece.org/fileadmin/DAM/trans/main/tem/temdocs/TEM-Std-Ed3.pdf</w:t>
      </w:r>
    </w:p>
  </w:footnote>
  <w:footnote w:id="5">
    <w:p w14:paraId="1D6DB9E6" w14:textId="77777777" w:rsidR="00ED2178" w:rsidRPr="00ED2178" w:rsidRDefault="00ED2178" w:rsidP="00ED2178">
      <w:pPr>
        <w:pStyle w:val="FootnoteText"/>
        <w:widowControl w:val="0"/>
        <w:tabs>
          <w:tab w:val="clear" w:pos="1021"/>
          <w:tab w:val="right" w:pos="1020"/>
        </w:tabs>
        <w:rPr>
          <w:lang w:val="en-US"/>
        </w:rPr>
      </w:pPr>
      <w:r>
        <w:tab/>
      </w:r>
      <w:r>
        <w:rPr>
          <w:rStyle w:val="FootnoteReference"/>
        </w:rPr>
        <w:footnoteRef/>
      </w:r>
      <w:r>
        <w:tab/>
      </w:r>
      <w:r w:rsidRPr="000E4C8D">
        <w:t>www.unece.org/fileadmin/DAM/trans/main/temtermp/docs/TEM_and_TER_Vol_I.pdf</w:t>
      </w:r>
    </w:p>
  </w:footnote>
  <w:footnote w:id="6">
    <w:p w14:paraId="15817829" w14:textId="77777777" w:rsidR="00ED2178" w:rsidRPr="00ED2178" w:rsidRDefault="00ED2178" w:rsidP="00ED2178">
      <w:pPr>
        <w:pStyle w:val="FootnoteText"/>
        <w:widowControl w:val="0"/>
        <w:tabs>
          <w:tab w:val="clear" w:pos="1021"/>
          <w:tab w:val="right" w:pos="1020"/>
        </w:tabs>
        <w:rPr>
          <w:lang w:val="en-US"/>
        </w:rPr>
      </w:pPr>
      <w:r>
        <w:tab/>
      </w:r>
      <w:r>
        <w:rPr>
          <w:rStyle w:val="FootnoteReference"/>
        </w:rPr>
        <w:footnoteRef/>
      </w:r>
      <w:r>
        <w:tab/>
      </w:r>
      <w:r w:rsidRPr="000E4C8D">
        <w:t>www.unece.org/fileadmin/DAM/trans/main/eatl/in_house_study.pdf</w:t>
      </w:r>
    </w:p>
  </w:footnote>
  <w:footnote w:id="7">
    <w:p w14:paraId="22EB7AF0" w14:textId="77777777" w:rsidR="00ED2178" w:rsidRPr="00ED2178" w:rsidRDefault="00ED2178" w:rsidP="00ED2178">
      <w:pPr>
        <w:pStyle w:val="FootnoteText"/>
        <w:widowControl w:val="0"/>
        <w:tabs>
          <w:tab w:val="clear" w:pos="1021"/>
          <w:tab w:val="right" w:pos="1020"/>
        </w:tabs>
        <w:rPr>
          <w:lang w:val="en-US"/>
        </w:rPr>
      </w:pPr>
      <w:r>
        <w:tab/>
      </w:r>
      <w:r>
        <w:rPr>
          <w:rStyle w:val="FootnoteReference"/>
        </w:rPr>
        <w:footnoteRef/>
      </w:r>
      <w:r>
        <w:tab/>
      </w:r>
      <w:r w:rsidRPr="000E4C8D">
        <w:t>www.unece.org/fileadmin/DAM/trans/main/eatl/docs/EATL_Report_Phase_II.pdf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B4D7" w14:textId="77777777" w:rsidR="003A5F98" w:rsidRPr="003A5F98" w:rsidRDefault="00E01227">
    <w:pPr>
      <w:pStyle w:val="Header"/>
    </w:pPr>
    <w:r>
      <w:t>ECE/TRANS/201</w:t>
    </w:r>
    <w:r w:rsidR="00341EF1">
      <w:t>8</w:t>
    </w:r>
    <w:r w:rsidR="003A5F98" w:rsidRPr="00E01227">
      <w:t>/</w:t>
    </w:r>
    <w:r w:rsidR="001E3143">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1B2F" w14:textId="77777777" w:rsidR="003A5F98" w:rsidRPr="003A5F98" w:rsidRDefault="00E01227" w:rsidP="003A5F98">
    <w:pPr>
      <w:pStyle w:val="Header"/>
      <w:jc w:val="right"/>
    </w:pPr>
    <w:r>
      <w:t>ECE/TRANS/201</w:t>
    </w:r>
    <w:r w:rsidR="00341EF1">
      <w:t>8</w:t>
    </w:r>
    <w:r w:rsidR="003A5F98" w:rsidRPr="00E01227">
      <w:t>/</w:t>
    </w:r>
    <w:r w:rsidR="001E314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E33143"/>
    <w:multiLevelType w:val="hybridMultilevel"/>
    <w:tmpl w:val="212610B0"/>
    <w:lvl w:ilvl="0" w:tplc="52D2AFD2">
      <w:start w:val="1"/>
      <w:numFmt w:val="lowerLetter"/>
      <w:lvlText w:val="(%1)."/>
      <w:lvlJc w:val="left"/>
      <w:pPr>
        <w:ind w:left="1910" w:hanging="360"/>
      </w:pPr>
      <w:rPr>
        <w:rFonts w:hint="default"/>
      </w:rPr>
    </w:lvl>
    <w:lvl w:ilvl="1" w:tplc="08090019">
      <w:start w:val="1"/>
      <w:numFmt w:val="lowerLetter"/>
      <w:lvlText w:val="%2."/>
      <w:lvlJc w:val="left"/>
      <w:pPr>
        <w:ind w:left="2630" w:hanging="360"/>
      </w:pPr>
    </w:lvl>
    <w:lvl w:ilvl="2" w:tplc="0809001B" w:tentative="1">
      <w:start w:val="1"/>
      <w:numFmt w:val="lowerRoman"/>
      <w:lvlText w:val="%3."/>
      <w:lvlJc w:val="right"/>
      <w:pPr>
        <w:ind w:left="3350" w:hanging="180"/>
      </w:pPr>
    </w:lvl>
    <w:lvl w:ilvl="3" w:tplc="0809000F" w:tentative="1">
      <w:start w:val="1"/>
      <w:numFmt w:val="decimal"/>
      <w:lvlText w:val="%4."/>
      <w:lvlJc w:val="left"/>
      <w:pPr>
        <w:ind w:left="4070" w:hanging="360"/>
      </w:pPr>
    </w:lvl>
    <w:lvl w:ilvl="4" w:tplc="08090019" w:tentative="1">
      <w:start w:val="1"/>
      <w:numFmt w:val="lowerLetter"/>
      <w:lvlText w:val="%5."/>
      <w:lvlJc w:val="left"/>
      <w:pPr>
        <w:ind w:left="4790" w:hanging="360"/>
      </w:pPr>
    </w:lvl>
    <w:lvl w:ilvl="5" w:tplc="0809001B" w:tentative="1">
      <w:start w:val="1"/>
      <w:numFmt w:val="lowerRoman"/>
      <w:lvlText w:val="%6."/>
      <w:lvlJc w:val="right"/>
      <w:pPr>
        <w:ind w:left="5510" w:hanging="180"/>
      </w:pPr>
    </w:lvl>
    <w:lvl w:ilvl="6" w:tplc="0809000F" w:tentative="1">
      <w:start w:val="1"/>
      <w:numFmt w:val="decimal"/>
      <w:lvlText w:val="%7."/>
      <w:lvlJc w:val="left"/>
      <w:pPr>
        <w:ind w:left="6230" w:hanging="360"/>
      </w:pPr>
    </w:lvl>
    <w:lvl w:ilvl="7" w:tplc="08090019" w:tentative="1">
      <w:start w:val="1"/>
      <w:numFmt w:val="lowerLetter"/>
      <w:lvlText w:val="%8."/>
      <w:lvlJc w:val="left"/>
      <w:pPr>
        <w:ind w:left="6950" w:hanging="360"/>
      </w:pPr>
    </w:lvl>
    <w:lvl w:ilvl="8" w:tplc="0809001B" w:tentative="1">
      <w:start w:val="1"/>
      <w:numFmt w:val="lowerRoman"/>
      <w:lvlText w:val="%9."/>
      <w:lvlJc w:val="right"/>
      <w:pPr>
        <w:ind w:left="767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D27A2F"/>
    <w:multiLevelType w:val="hybridMultilevel"/>
    <w:tmpl w:val="631213C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C3C1B"/>
    <w:multiLevelType w:val="hybridMultilevel"/>
    <w:tmpl w:val="37D8B594"/>
    <w:lvl w:ilvl="0" w:tplc="08090017">
      <w:start w:val="1"/>
      <w:numFmt w:val="lowerLetter"/>
      <w:lvlText w:val="%1)"/>
      <w:lvlJc w:val="left"/>
      <w:pPr>
        <w:ind w:left="3131" w:hanging="360"/>
      </w:p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18" w15:restartNumberingAfterBreak="0">
    <w:nsid w:val="34BC51CB"/>
    <w:multiLevelType w:val="hybridMultilevel"/>
    <w:tmpl w:val="CF2A2572"/>
    <w:lvl w:ilvl="0" w:tplc="805818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6262D1"/>
    <w:multiLevelType w:val="hybridMultilevel"/>
    <w:tmpl w:val="DE9827FC"/>
    <w:lvl w:ilvl="0" w:tplc="9CC6FE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80117"/>
    <w:multiLevelType w:val="hybridMultilevel"/>
    <w:tmpl w:val="0454878A"/>
    <w:lvl w:ilvl="0" w:tplc="574A0D7E">
      <w:start w:val="1"/>
      <w:numFmt w:val="bullet"/>
      <w:lvlText w:val=""/>
      <w:lvlJc w:val="left"/>
      <w:pPr>
        <w:ind w:left="1684" w:hanging="360"/>
      </w:pPr>
      <w:rPr>
        <w:rFonts w:ascii="Symbol" w:hAnsi="Symbol" w:hint="default"/>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22" w15:restartNumberingAfterBreak="0">
    <w:nsid w:val="500F25BC"/>
    <w:multiLevelType w:val="hybridMultilevel"/>
    <w:tmpl w:val="9EA81C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550CE"/>
    <w:multiLevelType w:val="hybridMultilevel"/>
    <w:tmpl w:val="5C86D5AE"/>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9"/>
  </w:num>
  <w:num w:numId="16">
    <w:abstractNumId w:val="14"/>
  </w:num>
  <w:num w:numId="17">
    <w:abstractNumId w:val="23"/>
  </w:num>
  <w:num w:numId="18">
    <w:abstractNumId w:val="25"/>
  </w:num>
  <w:num w:numId="19">
    <w:abstractNumId w:val="21"/>
  </w:num>
  <w:num w:numId="20">
    <w:abstractNumId w:val="22"/>
  </w:num>
  <w:num w:numId="21">
    <w:abstractNumId w:val="17"/>
  </w:num>
  <w:num w:numId="22">
    <w:abstractNumId w:val="24"/>
  </w:num>
  <w:num w:numId="23">
    <w:abstractNumId w:val="18"/>
  </w:num>
  <w:num w:numId="24">
    <w:abstractNumId w:val="20"/>
  </w:num>
  <w:num w:numId="25">
    <w:abstractNumId w:val="13"/>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98"/>
    <w:rsid w:val="00001A92"/>
    <w:rsid w:val="00002A7D"/>
    <w:rsid w:val="000038A8"/>
    <w:rsid w:val="00006790"/>
    <w:rsid w:val="00027624"/>
    <w:rsid w:val="00027F17"/>
    <w:rsid w:val="0004222C"/>
    <w:rsid w:val="000463E0"/>
    <w:rsid w:val="00050F6B"/>
    <w:rsid w:val="0006005D"/>
    <w:rsid w:val="000652AE"/>
    <w:rsid w:val="00066EE0"/>
    <w:rsid w:val="00066F3C"/>
    <w:rsid w:val="000678CD"/>
    <w:rsid w:val="00070BDC"/>
    <w:rsid w:val="000713D8"/>
    <w:rsid w:val="00072C8C"/>
    <w:rsid w:val="00081CE0"/>
    <w:rsid w:val="00084D30"/>
    <w:rsid w:val="00090320"/>
    <w:rsid w:val="000931C0"/>
    <w:rsid w:val="00095123"/>
    <w:rsid w:val="00096067"/>
    <w:rsid w:val="000973E1"/>
    <w:rsid w:val="000A2E09"/>
    <w:rsid w:val="000B175B"/>
    <w:rsid w:val="000B3A0F"/>
    <w:rsid w:val="000B7882"/>
    <w:rsid w:val="000D460F"/>
    <w:rsid w:val="000E0415"/>
    <w:rsid w:val="000E258D"/>
    <w:rsid w:val="000E4C8D"/>
    <w:rsid w:val="000F7715"/>
    <w:rsid w:val="00100265"/>
    <w:rsid w:val="00134B2E"/>
    <w:rsid w:val="00141EAD"/>
    <w:rsid w:val="00156B99"/>
    <w:rsid w:val="00166124"/>
    <w:rsid w:val="00167D12"/>
    <w:rsid w:val="00170C45"/>
    <w:rsid w:val="001759B9"/>
    <w:rsid w:val="00184DDA"/>
    <w:rsid w:val="00186721"/>
    <w:rsid w:val="001900CD"/>
    <w:rsid w:val="001947F4"/>
    <w:rsid w:val="001A0452"/>
    <w:rsid w:val="001A564F"/>
    <w:rsid w:val="001B4B04"/>
    <w:rsid w:val="001B5875"/>
    <w:rsid w:val="001C4B9C"/>
    <w:rsid w:val="001C6663"/>
    <w:rsid w:val="001C7895"/>
    <w:rsid w:val="001D26DF"/>
    <w:rsid w:val="001E3143"/>
    <w:rsid w:val="001F1599"/>
    <w:rsid w:val="001F19C4"/>
    <w:rsid w:val="001F7C26"/>
    <w:rsid w:val="002043F0"/>
    <w:rsid w:val="00211E0B"/>
    <w:rsid w:val="00212415"/>
    <w:rsid w:val="00213445"/>
    <w:rsid w:val="002262BB"/>
    <w:rsid w:val="00226801"/>
    <w:rsid w:val="00226BE5"/>
    <w:rsid w:val="00232575"/>
    <w:rsid w:val="00235CF6"/>
    <w:rsid w:val="00244EAB"/>
    <w:rsid w:val="0024561D"/>
    <w:rsid w:val="00247258"/>
    <w:rsid w:val="0025097D"/>
    <w:rsid w:val="00251C50"/>
    <w:rsid w:val="00257CAC"/>
    <w:rsid w:val="0027237A"/>
    <w:rsid w:val="00276A3C"/>
    <w:rsid w:val="002974E9"/>
    <w:rsid w:val="002A7BAA"/>
    <w:rsid w:val="002A7F94"/>
    <w:rsid w:val="002B109A"/>
    <w:rsid w:val="002B50F0"/>
    <w:rsid w:val="002B5F85"/>
    <w:rsid w:val="002C6D45"/>
    <w:rsid w:val="002D4F9E"/>
    <w:rsid w:val="002D6E53"/>
    <w:rsid w:val="002F046D"/>
    <w:rsid w:val="00301764"/>
    <w:rsid w:val="00315FE4"/>
    <w:rsid w:val="003229D8"/>
    <w:rsid w:val="003352C0"/>
    <w:rsid w:val="00336C97"/>
    <w:rsid w:val="00337F88"/>
    <w:rsid w:val="00341267"/>
    <w:rsid w:val="00341EF1"/>
    <w:rsid w:val="00342432"/>
    <w:rsid w:val="0035223F"/>
    <w:rsid w:val="00352D4B"/>
    <w:rsid w:val="00355F3B"/>
    <w:rsid w:val="0035638C"/>
    <w:rsid w:val="00364B62"/>
    <w:rsid w:val="003672C4"/>
    <w:rsid w:val="00383B3D"/>
    <w:rsid w:val="00394A1F"/>
    <w:rsid w:val="00394A7B"/>
    <w:rsid w:val="003A46BB"/>
    <w:rsid w:val="003A4EC7"/>
    <w:rsid w:val="003A569F"/>
    <w:rsid w:val="003A5F98"/>
    <w:rsid w:val="003A7295"/>
    <w:rsid w:val="003B1F60"/>
    <w:rsid w:val="003C2CC4"/>
    <w:rsid w:val="003D0219"/>
    <w:rsid w:val="003D4B23"/>
    <w:rsid w:val="003D6D59"/>
    <w:rsid w:val="003E278A"/>
    <w:rsid w:val="003F3E64"/>
    <w:rsid w:val="003F54C1"/>
    <w:rsid w:val="00413520"/>
    <w:rsid w:val="00424FD3"/>
    <w:rsid w:val="00425821"/>
    <w:rsid w:val="004325CB"/>
    <w:rsid w:val="00436089"/>
    <w:rsid w:val="00440A07"/>
    <w:rsid w:val="0045433E"/>
    <w:rsid w:val="00460C1D"/>
    <w:rsid w:val="00462880"/>
    <w:rsid w:val="00465425"/>
    <w:rsid w:val="00466D6E"/>
    <w:rsid w:val="00476F24"/>
    <w:rsid w:val="004A1DCA"/>
    <w:rsid w:val="004A2F80"/>
    <w:rsid w:val="004C55B0"/>
    <w:rsid w:val="004F6BA0"/>
    <w:rsid w:val="00503BEA"/>
    <w:rsid w:val="00511975"/>
    <w:rsid w:val="0051418E"/>
    <w:rsid w:val="0051479F"/>
    <w:rsid w:val="00522550"/>
    <w:rsid w:val="00533616"/>
    <w:rsid w:val="00535ABA"/>
    <w:rsid w:val="005365BB"/>
    <w:rsid w:val="0053768B"/>
    <w:rsid w:val="005420F2"/>
    <w:rsid w:val="0054285C"/>
    <w:rsid w:val="00545CBA"/>
    <w:rsid w:val="00550672"/>
    <w:rsid w:val="00553061"/>
    <w:rsid w:val="005565B3"/>
    <w:rsid w:val="00584173"/>
    <w:rsid w:val="00595520"/>
    <w:rsid w:val="005A44B9"/>
    <w:rsid w:val="005B1BA0"/>
    <w:rsid w:val="005B25FC"/>
    <w:rsid w:val="005B3DB3"/>
    <w:rsid w:val="005C2D88"/>
    <w:rsid w:val="005C7321"/>
    <w:rsid w:val="005D15CA"/>
    <w:rsid w:val="005D2D01"/>
    <w:rsid w:val="005F3066"/>
    <w:rsid w:val="005F3E61"/>
    <w:rsid w:val="00604DDD"/>
    <w:rsid w:val="006115CC"/>
    <w:rsid w:val="00611FC4"/>
    <w:rsid w:val="0061384D"/>
    <w:rsid w:val="006176FB"/>
    <w:rsid w:val="00630FCB"/>
    <w:rsid w:val="00640B26"/>
    <w:rsid w:val="0066492D"/>
    <w:rsid w:val="006661F0"/>
    <w:rsid w:val="006752BA"/>
    <w:rsid w:val="006770B2"/>
    <w:rsid w:val="006940E1"/>
    <w:rsid w:val="006A3C72"/>
    <w:rsid w:val="006A7392"/>
    <w:rsid w:val="006B03A1"/>
    <w:rsid w:val="006B67D9"/>
    <w:rsid w:val="006C016E"/>
    <w:rsid w:val="006C5535"/>
    <w:rsid w:val="006C67AE"/>
    <w:rsid w:val="006C6CAD"/>
    <w:rsid w:val="006D0589"/>
    <w:rsid w:val="006D4E7B"/>
    <w:rsid w:val="006E564B"/>
    <w:rsid w:val="006E7154"/>
    <w:rsid w:val="006F6766"/>
    <w:rsid w:val="007003CD"/>
    <w:rsid w:val="007057BE"/>
    <w:rsid w:val="0070701E"/>
    <w:rsid w:val="007109A6"/>
    <w:rsid w:val="00714446"/>
    <w:rsid w:val="0072632A"/>
    <w:rsid w:val="007358E8"/>
    <w:rsid w:val="00736ECE"/>
    <w:rsid w:val="0074533B"/>
    <w:rsid w:val="00745911"/>
    <w:rsid w:val="00753A9F"/>
    <w:rsid w:val="00757887"/>
    <w:rsid w:val="00762B43"/>
    <w:rsid w:val="007643BC"/>
    <w:rsid w:val="00770036"/>
    <w:rsid w:val="00794C40"/>
    <w:rsid w:val="007959FE"/>
    <w:rsid w:val="007A0CF1"/>
    <w:rsid w:val="007B0CEB"/>
    <w:rsid w:val="007B6BA5"/>
    <w:rsid w:val="007C32D1"/>
    <w:rsid w:val="007C3390"/>
    <w:rsid w:val="007C42D8"/>
    <w:rsid w:val="007C4F4B"/>
    <w:rsid w:val="007C5DFE"/>
    <w:rsid w:val="007D484F"/>
    <w:rsid w:val="007D7362"/>
    <w:rsid w:val="007E3847"/>
    <w:rsid w:val="007E7FFE"/>
    <w:rsid w:val="007F33C7"/>
    <w:rsid w:val="007F5CE2"/>
    <w:rsid w:val="007F6611"/>
    <w:rsid w:val="00800D8E"/>
    <w:rsid w:val="00810BAC"/>
    <w:rsid w:val="008175E9"/>
    <w:rsid w:val="008242D7"/>
    <w:rsid w:val="0082577B"/>
    <w:rsid w:val="008269CF"/>
    <w:rsid w:val="008308F6"/>
    <w:rsid w:val="00835BEA"/>
    <w:rsid w:val="008472FC"/>
    <w:rsid w:val="008666DE"/>
    <w:rsid w:val="00866893"/>
    <w:rsid w:val="00866F02"/>
    <w:rsid w:val="008674EF"/>
    <w:rsid w:val="00867D18"/>
    <w:rsid w:val="00870793"/>
    <w:rsid w:val="00871F9A"/>
    <w:rsid w:val="00871FD5"/>
    <w:rsid w:val="0088017D"/>
    <w:rsid w:val="0088024F"/>
    <w:rsid w:val="0088172E"/>
    <w:rsid w:val="00881EFA"/>
    <w:rsid w:val="008879CB"/>
    <w:rsid w:val="0089454E"/>
    <w:rsid w:val="00895730"/>
    <w:rsid w:val="008972ED"/>
    <w:rsid w:val="008979B1"/>
    <w:rsid w:val="008A0E35"/>
    <w:rsid w:val="008A6B25"/>
    <w:rsid w:val="008A6C4F"/>
    <w:rsid w:val="008B389E"/>
    <w:rsid w:val="008B69D7"/>
    <w:rsid w:val="008D01A7"/>
    <w:rsid w:val="008D045E"/>
    <w:rsid w:val="008D3F25"/>
    <w:rsid w:val="008D4D82"/>
    <w:rsid w:val="008D6F04"/>
    <w:rsid w:val="008E0E46"/>
    <w:rsid w:val="008E7116"/>
    <w:rsid w:val="008F143B"/>
    <w:rsid w:val="008F3882"/>
    <w:rsid w:val="008F4B7C"/>
    <w:rsid w:val="009149FB"/>
    <w:rsid w:val="00926E47"/>
    <w:rsid w:val="00936FC2"/>
    <w:rsid w:val="00947162"/>
    <w:rsid w:val="00952FE3"/>
    <w:rsid w:val="0096068C"/>
    <w:rsid w:val="009610D0"/>
    <w:rsid w:val="0096375C"/>
    <w:rsid w:val="009662E6"/>
    <w:rsid w:val="0097095E"/>
    <w:rsid w:val="0097523C"/>
    <w:rsid w:val="0098592B"/>
    <w:rsid w:val="00985FC4"/>
    <w:rsid w:val="009903BA"/>
    <w:rsid w:val="00990766"/>
    <w:rsid w:val="00991261"/>
    <w:rsid w:val="00995D7F"/>
    <w:rsid w:val="009964C4"/>
    <w:rsid w:val="009A5148"/>
    <w:rsid w:val="009A7B81"/>
    <w:rsid w:val="009B7771"/>
    <w:rsid w:val="009B7F78"/>
    <w:rsid w:val="009D01C0"/>
    <w:rsid w:val="009D3280"/>
    <w:rsid w:val="009D6A08"/>
    <w:rsid w:val="009E0A16"/>
    <w:rsid w:val="009E6CB7"/>
    <w:rsid w:val="009E7970"/>
    <w:rsid w:val="009F2EAC"/>
    <w:rsid w:val="009F34A0"/>
    <w:rsid w:val="009F57E3"/>
    <w:rsid w:val="00A10B80"/>
    <w:rsid w:val="00A10F4F"/>
    <w:rsid w:val="00A11067"/>
    <w:rsid w:val="00A1308B"/>
    <w:rsid w:val="00A1704A"/>
    <w:rsid w:val="00A17DB6"/>
    <w:rsid w:val="00A35EE9"/>
    <w:rsid w:val="00A37AD3"/>
    <w:rsid w:val="00A425EB"/>
    <w:rsid w:val="00A4554B"/>
    <w:rsid w:val="00A72F22"/>
    <w:rsid w:val="00A733BC"/>
    <w:rsid w:val="00A748A6"/>
    <w:rsid w:val="00A76A69"/>
    <w:rsid w:val="00A81766"/>
    <w:rsid w:val="00A879A4"/>
    <w:rsid w:val="00AA0FF8"/>
    <w:rsid w:val="00AA29FD"/>
    <w:rsid w:val="00AA723F"/>
    <w:rsid w:val="00AB4714"/>
    <w:rsid w:val="00AB7DD2"/>
    <w:rsid w:val="00AC0F2C"/>
    <w:rsid w:val="00AC502A"/>
    <w:rsid w:val="00AD5809"/>
    <w:rsid w:val="00AD5E20"/>
    <w:rsid w:val="00AF2D05"/>
    <w:rsid w:val="00AF4BF2"/>
    <w:rsid w:val="00AF58C1"/>
    <w:rsid w:val="00AF7182"/>
    <w:rsid w:val="00B04A3F"/>
    <w:rsid w:val="00B06643"/>
    <w:rsid w:val="00B15055"/>
    <w:rsid w:val="00B249DF"/>
    <w:rsid w:val="00B253FA"/>
    <w:rsid w:val="00B26D92"/>
    <w:rsid w:val="00B30179"/>
    <w:rsid w:val="00B37B15"/>
    <w:rsid w:val="00B43FEA"/>
    <w:rsid w:val="00B45C02"/>
    <w:rsid w:val="00B50000"/>
    <w:rsid w:val="00B576A9"/>
    <w:rsid w:val="00B61CE6"/>
    <w:rsid w:val="00B653A6"/>
    <w:rsid w:val="00B70C58"/>
    <w:rsid w:val="00B72A1E"/>
    <w:rsid w:val="00B7619B"/>
    <w:rsid w:val="00B813E6"/>
    <w:rsid w:val="00B81E12"/>
    <w:rsid w:val="00B91333"/>
    <w:rsid w:val="00BA339B"/>
    <w:rsid w:val="00BB06C6"/>
    <w:rsid w:val="00BC1789"/>
    <w:rsid w:val="00BC1E7E"/>
    <w:rsid w:val="00BC74E9"/>
    <w:rsid w:val="00BC7F91"/>
    <w:rsid w:val="00BE0986"/>
    <w:rsid w:val="00BE2D32"/>
    <w:rsid w:val="00BE36A9"/>
    <w:rsid w:val="00BE618E"/>
    <w:rsid w:val="00BE7BEC"/>
    <w:rsid w:val="00BF0A5A"/>
    <w:rsid w:val="00BF0E63"/>
    <w:rsid w:val="00BF12A3"/>
    <w:rsid w:val="00BF16D7"/>
    <w:rsid w:val="00BF2373"/>
    <w:rsid w:val="00BF64F0"/>
    <w:rsid w:val="00C044E2"/>
    <w:rsid w:val="00C048CB"/>
    <w:rsid w:val="00C061B2"/>
    <w:rsid w:val="00C066F3"/>
    <w:rsid w:val="00C147CB"/>
    <w:rsid w:val="00C211BA"/>
    <w:rsid w:val="00C308A9"/>
    <w:rsid w:val="00C40DCA"/>
    <w:rsid w:val="00C463DD"/>
    <w:rsid w:val="00C54370"/>
    <w:rsid w:val="00C63A74"/>
    <w:rsid w:val="00C66014"/>
    <w:rsid w:val="00C745C3"/>
    <w:rsid w:val="00C8630C"/>
    <w:rsid w:val="00C9629F"/>
    <w:rsid w:val="00CA24A4"/>
    <w:rsid w:val="00CA5D5D"/>
    <w:rsid w:val="00CA7382"/>
    <w:rsid w:val="00CB30EF"/>
    <w:rsid w:val="00CB348D"/>
    <w:rsid w:val="00CB7ED2"/>
    <w:rsid w:val="00CC0FE1"/>
    <w:rsid w:val="00CD46F5"/>
    <w:rsid w:val="00CE4A8F"/>
    <w:rsid w:val="00CE5048"/>
    <w:rsid w:val="00CF071D"/>
    <w:rsid w:val="00CF3B22"/>
    <w:rsid w:val="00D111B6"/>
    <w:rsid w:val="00D15B04"/>
    <w:rsid w:val="00D2031B"/>
    <w:rsid w:val="00D22B2B"/>
    <w:rsid w:val="00D25FE2"/>
    <w:rsid w:val="00D35F22"/>
    <w:rsid w:val="00D37DA9"/>
    <w:rsid w:val="00D406A7"/>
    <w:rsid w:val="00D41495"/>
    <w:rsid w:val="00D43252"/>
    <w:rsid w:val="00D44D86"/>
    <w:rsid w:val="00D50B7D"/>
    <w:rsid w:val="00D52012"/>
    <w:rsid w:val="00D631BF"/>
    <w:rsid w:val="00D704E5"/>
    <w:rsid w:val="00D72727"/>
    <w:rsid w:val="00D91F6C"/>
    <w:rsid w:val="00D978C6"/>
    <w:rsid w:val="00DA0921"/>
    <w:rsid w:val="00DA0956"/>
    <w:rsid w:val="00DA357F"/>
    <w:rsid w:val="00DA3E12"/>
    <w:rsid w:val="00DB2051"/>
    <w:rsid w:val="00DB2B94"/>
    <w:rsid w:val="00DC18AD"/>
    <w:rsid w:val="00DD3031"/>
    <w:rsid w:val="00DF7CAE"/>
    <w:rsid w:val="00E01227"/>
    <w:rsid w:val="00E01C10"/>
    <w:rsid w:val="00E128F2"/>
    <w:rsid w:val="00E423C0"/>
    <w:rsid w:val="00E507B6"/>
    <w:rsid w:val="00E561A5"/>
    <w:rsid w:val="00E566AF"/>
    <w:rsid w:val="00E6414C"/>
    <w:rsid w:val="00E7260F"/>
    <w:rsid w:val="00E775B7"/>
    <w:rsid w:val="00E856CD"/>
    <w:rsid w:val="00E8702D"/>
    <w:rsid w:val="00E916A9"/>
    <w:rsid w:val="00E916DE"/>
    <w:rsid w:val="00E925AD"/>
    <w:rsid w:val="00E96630"/>
    <w:rsid w:val="00EC2D14"/>
    <w:rsid w:val="00EC35B3"/>
    <w:rsid w:val="00EC57E3"/>
    <w:rsid w:val="00ED18DC"/>
    <w:rsid w:val="00ED2178"/>
    <w:rsid w:val="00ED6201"/>
    <w:rsid w:val="00ED7A2A"/>
    <w:rsid w:val="00EE3F0F"/>
    <w:rsid w:val="00EE5183"/>
    <w:rsid w:val="00EF1D7F"/>
    <w:rsid w:val="00F0137E"/>
    <w:rsid w:val="00F1199F"/>
    <w:rsid w:val="00F21786"/>
    <w:rsid w:val="00F21AD4"/>
    <w:rsid w:val="00F3742B"/>
    <w:rsid w:val="00F41FDB"/>
    <w:rsid w:val="00F43B47"/>
    <w:rsid w:val="00F507EC"/>
    <w:rsid w:val="00F56D63"/>
    <w:rsid w:val="00F60269"/>
    <w:rsid w:val="00F609A9"/>
    <w:rsid w:val="00F80C99"/>
    <w:rsid w:val="00F867EC"/>
    <w:rsid w:val="00F91B2B"/>
    <w:rsid w:val="00FC03CD"/>
    <w:rsid w:val="00FC0646"/>
    <w:rsid w:val="00FC68B7"/>
    <w:rsid w:val="00FC7E9A"/>
    <w:rsid w:val="00FE6985"/>
    <w:rsid w:val="00FE79F9"/>
    <w:rsid w:val="00FF5E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F5A8"/>
  <w15:docId w15:val="{79E5505F-7CCE-4629-A703-1AEAB20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5C2D88"/>
    <w:rPr>
      <w:b/>
      <w:sz w:val="28"/>
      <w:lang w:eastAsia="en-US"/>
    </w:rPr>
  </w:style>
  <w:style w:type="character" w:customStyle="1" w:styleId="SingleTxtGChar">
    <w:name w:val="_ Single Txt_G Char"/>
    <w:link w:val="SingleTxtG"/>
    <w:rsid w:val="005C2D88"/>
    <w:rPr>
      <w:lang w:eastAsia="en-US"/>
    </w:rPr>
  </w:style>
  <w:style w:type="character" w:customStyle="1" w:styleId="H1GChar">
    <w:name w:val="_ H_1_G Char"/>
    <w:link w:val="H1G"/>
    <w:rsid w:val="005C2D88"/>
    <w:rPr>
      <w:b/>
      <w:sz w:val="24"/>
      <w:lang w:eastAsia="en-US"/>
    </w:rPr>
  </w:style>
  <w:style w:type="character" w:styleId="Emphasis">
    <w:name w:val="Emphasis"/>
    <w:uiPriority w:val="20"/>
    <w:qFormat/>
    <w:rsid w:val="005C2D88"/>
    <w:rPr>
      <w:i/>
      <w:iCs/>
    </w:rPr>
  </w:style>
  <w:style w:type="character" w:customStyle="1" w:styleId="preferred">
    <w:name w:val="preferred"/>
    <w:basedOn w:val="DefaultParagraphFont"/>
    <w:rsid w:val="00936FC2"/>
  </w:style>
  <w:style w:type="paragraph" w:styleId="ListParagraph">
    <w:name w:val="List Paragraph"/>
    <w:basedOn w:val="Normal"/>
    <w:uiPriority w:val="34"/>
    <w:qFormat/>
    <w:rsid w:val="00AD5E20"/>
    <w:pPr>
      <w:ind w:left="720"/>
      <w:contextualSpacing/>
    </w:pPr>
  </w:style>
  <w:style w:type="character" w:styleId="CommentReference">
    <w:name w:val="annotation reference"/>
    <w:basedOn w:val="DefaultParagraphFont"/>
    <w:semiHidden/>
    <w:unhideWhenUsed/>
    <w:rsid w:val="00835BEA"/>
    <w:rPr>
      <w:sz w:val="16"/>
      <w:szCs w:val="16"/>
    </w:rPr>
  </w:style>
  <w:style w:type="paragraph" w:styleId="CommentText">
    <w:name w:val="annotation text"/>
    <w:basedOn w:val="Normal"/>
    <w:link w:val="CommentTextChar"/>
    <w:semiHidden/>
    <w:unhideWhenUsed/>
    <w:rsid w:val="00835BEA"/>
    <w:pPr>
      <w:spacing w:line="240" w:lineRule="auto"/>
    </w:pPr>
  </w:style>
  <w:style w:type="character" w:customStyle="1" w:styleId="CommentTextChar">
    <w:name w:val="Comment Text Char"/>
    <w:basedOn w:val="DefaultParagraphFont"/>
    <w:link w:val="CommentText"/>
    <w:semiHidden/>
    <w:rsid w:val="00835BEA"/>
    <w:rPr>
      <w:lang w:eastAsia="en-US"/>
    </w:rPr>
  </w:style>
  <w:style w:type="paragraph" w:styleId="CommentSubject">
    <w:name w:val="annotation subject"/>
    <w:basedOn w:val="CommentText"/>
    <w:next w:val="CommentText"/>
    <w:link w:val="CommentSubjectChar"/>
    <w:semiHidden/>
    <w:unhideWhenUsed/>
    <w:rsid w:val="00835BEA"/>
    <w:rPr>
      <w:b/>
      <w:bCs/>
    </w:rPr>
  </w:style>
  <w:style w:type="character" w:customStyle="1" w:styleId="CommentSubjectChar">
    <w:name w:val="Comment Subject Char"/>
    <w:basedOn w:val="CommentTextChar"/>
    <w:link w:val="CommentSubject"/>
    <w:semiHidden/>
    <w:rsid w:val="00835BE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5081">
      <w:bodyDiv w:val="1"/>
      <w:marLeft w:val="0"/>
      <w:marRight w:val="0"/>
      <w:marTop w:val="0"/>
      <w:marBottom w:val="0"/>
      <w:divBdr>
        <w:top w:val="none" w:sz="0" w:space="0" w:color="auto"/>
        <w:left w:val="none" w:sz="0" w:space="0" w:color="auto"/>
        <w:bottom w:val="none" w:sz="0" w:space="0" w:color="auto"/>
        <w:right w:val="none" w:sz="0" w:space="0" w:color="auto"/>
      </w:divBdr>
    </w:div>
    <w:div w:id="780303931">
      <w:bodyDiv w:val="1"/>
      <w:marLeft w:val="0"/>
      <w:marRight w:val="0"/>
      <w:marTop w:val="0"/>
      <w:marBottom w:val="0"/>
      <w:divBdr>
        <w:top w:val="none" w:sz="0" w:space="0" w:color="auto"/>
        <w:left w:val="none" w:sz="0" w:space="0" w:color="auto"/>
        <w:bottom w:val="none" w:sz="0" w:space="0" w:color="auto"/>
        <w:right w:val="none" w:sz="0" w:space="0" w:color="auto"/>
      </w:divBdr>
      <w:divsChild>
        <w:div w:id="301472229">
          <w:marLeft w:val="0"/>
          <w:marRight w:val="0"/>
          <w:marTop w:val="0"/>
          <w:marBottom w:val="0"/>
          <w:divBdr>
            <w:top w:val="none" w:sz="0" w:space="0" w:color="auto"/>
            <w:left w:val="none" w:sz="0" w:space="0" w:color="auto"/>
            <w:bottom w:val="none" w:sz="0" w:space="0" w:color="auto"/>
            <w:right w:val="none" w:sz="0" w:space="0" w:color="auto"/>
          </w:divBdr>
        </w:div>
        <w:div w:id="1901819206">
          <w:marLeft w:val="0"/>
          <w:marRight w:val="0"/>
          <w:marTop w:val="0"/>
          <w:marBottom w:val="0"/>
          <w:divBdr>
            <w:top w:val="none" w:sz="0" w:space="0" w:color="auto"/>
            <w:left w:val="none" w:sz="0" w:space="0" w:color="auto"/>
            <w:bottom w:val="none" w:sz="0" w:space="0" w:color="auto"/>
            <w:right w:val="none" w:sz="0" w:space="0" w:color="auto"/>
          </w:divBdr>
        </w:div>
        <w:div w:id="725953227">
          <w:marLeft w:val="0"/>
          <w:marRight w:val="0"/>
          <w:marTop w:val="0"/>
          <w:marBottom w:val="0"/>
          <w:divBdr>
            <w:top w:val="none" w:sz="0" w:space="0" w:color="auto"/>
            <w:left w:val="none" w:sz="0" w:space="0" w:color="auto"/>
            <w:bottom w:val="none" w:sz="0" w:space="0" w:color="auto"/>
            <w:right w:val="none" w:sz="0" w:space="0" w:color="auto"/>
          </w:divBdr>
        </w:div>
        <w:div w:id="1237590000">
          <w:marLeft w:val="0"/>
          <w:marRight w:val="0"/>
          <w:marTop w:val="0"/>
          <w:marBottom w:val="0"/>
          <w:divBdr>
            <w:top w:val="none" w:sz="0" w:space="0" w:color="auto"/>
            <w:left w:val="none" w:sz="0" w:space="0" w:color="auto"/>
            <w:bottom w:val="none" w:sz="0" w:space="0" w:color="auto"/>
            <w:right w:val="none" w:sz="0" w:space="0" w:color="auto"/>
          </w:divBdr>
        </w:div>
        <w:div w:id="1411078970">
          <w:marLeft w:val="0"/>
          <w:marRight w:val="0"/>
          <w:marTop w:val="0"/>
          <w:marBottom w:val="0"/>
          <w:divBdr>
            <w:top w:val="none" w:sz="0" w:space="0" w:color="auto"/>
            <w:left w:val="none" w:sz="0" w:space="0" w:color="auto"/>
            <w:bottom w:val="none" w:sz="0" w:space="0" w:color="auto"/>
            <w:right w:val="none" w:sz="0" w:space="0" w:color="auto"/>
          </w:divBdr>
        </w:div>
        <w:div w:id="1915117373">
          <w:marLeft w:val="0"/>
          <w:marRight w:val="0"/>
          <w:marTop w:val="0"/>
          <w:marBottom w:val="0"/>
          <w:divBdr>
            <w:top w:val="none" w:sz="0" w:space="0" w:color="auto"/>
            <w:left w:val="none" w:sz="0" w:space="0" w:color="auto"/>
            <w:bottom w:val="none" w:sz="0" w:space="0" w:color="auto"/>
            <w:right w:val="none" w:sz="0" w:space="0" w:color="auto"/>
          </w:divBdr>
        </w:div>
        <w:div w:id="1386638596">
          <w:marLeft w:val="0"/>
          <w:marRight w:val="0"/>
          <w:marTop w:val="0"/>
          <w:marBottom w:val="0"/>
          <w:divBdr>
            <w:top w:val="none" w:sz="0" w:space="0" w:color="auto"/>
            <w:left w:val="none" w:sz="0" w:space="0" w:color="auto"/>
            <w:bottom w:val="none" w:sz="0" w:space="0" w:color="auto"/>
            <w:right w:val="none" w:sz="0" w:space="0" w:color="auto"/>
          </w:divBdr>
        </w:div>
        <w:div w:id="1840928522">
          <w:marLeft w:val="0"/>
          <w:marRight w:val="0"/>
          <w:marTop w:val="0"/>
          <w:marBottom w:val="0"/>
          <w:divBdr>
            <w:top w:val="none" w:sz="0" w:space="0" w:color="auto"/>
            <w:left w:val="none" w:sz="0" w:space="0" w:color="auto"/>
            <w:bottom w:val="none" w:sz="0" w:space="0" w:color="auto"/>
            <w:right w:val="none" w:sz="0" w:space="0" w:color="auto"/>
          </w:divBdr>
        </w:div>
        <w:div w:id="1283265631">
          <w:marLeft w:val="0"/>
          <w:marRight w:val="0"/>
          <w:marTop w:val="0"/>
          <w:marBottom w:val="0"/>
          <w:divBdr>
            <w:top w:val="none" w:sz="0" w:space="0" w:color="auto"/>
            <w:left w:val="none" w:sz="0" w:space="0" w:color="auto"/>
            <w:bottom w:val="none" w:sz="0" w:space="0" w:color="auto"/>
            <w:right w:val="none" w:sz="0" w:space="0" w:color="auto"/>
          </w:divBdr>
        </w:div>
        <w:div w:id="125587269">
          <w:marLeft w:val="0"/>
          <w:marRight w:val="0"/>
          <w:marTop w:val="0"/>
          <w:marBottom w:val="0"/>
          <w:divBdr>
            <w:top w:val="none" w:sz="0" w:space="0" w:color="auto"/>
            <w:left w:val="none" w:sz="0" w:space="0" w:color="auto"/>
            <w:bottom w:val="none" w:sz="0" w:space="0" w:color="auto"/>
            <w:right w:val="none" w:sz="0" w:space="0" w:color="auto"/>
          </w:divBdr>
        </w:div>
        <w:div w:id="507644836">
          <w:marLeft w:val="0"/>
          <w:marRight w:val="0"/>
          <w:marTop w:val="0"/>
          <w:marBottom w:val="0"/>
          <w:divBdr>
            <w:top w:val="none" w:sz="0" w:space="0" w:color="auto"/>
            <w:left w:val="none" w:sz="0" w:space="0" w:color="auto"/>
            <w:bottom w:val="none" w:sz="0" w:space="0" w:color="auto"/>
            <w:right w:val="none" w:sz="0" w:space="0" w:color="auto"/>
          </w:divBdr>
        </w:div>
        <w:div w:id="748386921">
          <w:marLeft w:val="0"/>
          <w:marRight w:val="0"/>
          <w:marTop w:val="0"/>
          <w:marBottom w:val="0"/>
          <w:divBdr>
            <w:top w:val="none" w:sz="0" w:space="0" w:color="auto"/>
            <w:left w:val="none" w:sz="0" w:space="0" w:color="auto"/>
            <w:bottom w:val="none" w:sz="0" w:space="0" w:color="auto"/>
            <w:right w:val="none" w:sz="0" w:space="0" w:color="auto"/>
          </w:divBdr>
        </w:div>
        <w:div w:id="676154228">
          <w:marLeft w:val="0"/>
          <w:marRight w:val="0"/>
          <w:marTop w:val="0"/>
          <w:marBottom w:val="0"/>
          <w:divBdr>
            <w:top w:val="none" w:sz="0" w:space="0" w:color="auto"/>
            <w:left w:val="none" w:sz="0" w:space="0" w:color="auto"/>
            <w:bottom w:val="none" w:sz="0" w:space="0" w:color="auto"/>
            <w:right w:val="none" w:sz="0" w:space="0" w:color="auto"/>
          </w:divBdr>
        </w:div>
        <w:div w:id="1168787866">
          <w:marLeft w:val="0"/>
          <w:marRight w:val="0"/>
          <w:marTop w:val="0"/>
          <w:marBottom w:val="0"/>
          <w:divBdr>
            <w:top w:val="none" w:sz="0" w:space="0" w:color="auto"/>
            <w:left w:val="none" w:sz="0" w:space="0" w:color="auto"/>
            <w:bottom w:val="none" w:sz="0" w:space="0" w:color="auto"/>
            <w:right w:val="none" w:sz="0" w:space="0" w:color="auto"/>
          </w:divBdr>
        </w:div>
        <w:div w:id="1090389874">
          <w:marLeft w:val="0"/>
          <w:marRight w:val="0"/>
          <w:marTop w:val="0"/>
          <w:marBottom w:val="0"/>
          <w:divBdr>
            <w:top w:val="none" w:sz="0" w:space="0" w:color="auto"/>
            <w:left w:val="none" w:sz="0" w:space="0" w:color="auto"/>
            <w:bottom w:val="none" w:sz="0" w:space="0" w:color="auto"/>
            <w:right w:val="none" w:sz="0" w:space="0" w:color="auto"/>
          </w:divBdr>
        </w:div>
        <w:div w:id="731388337">
          <w:marLeft w:val="0"/>
          <w:marRight w:val="0"/>
          <w:marTop w:val="0"/>
          <w:marBottom w:val="0"/>
          <w:divBdr>
            <w:top w:val="none" w:sz="0" w:space="0" w:color="auto"/>
            <w:left w:val="none" w:sz="0" w:space="0" w:color="auto"/>
            <w:bottom w:val="none" w:sz="0" w:space="0" w:color="auto"/>
            <w:right w:val="none" w:sz="0" w:space="0" w:color="auto"/>
          </w:divBdr>
        </w:div>
        <w:div w:id="659622584">
          <w:marLeft w:val="0"/>
          <w:marRight w:val="0"/>
          <w:marTop w:val="0"/>
          <w:marBottom w:val="0"/>
          <w:divBdr>
            <w:top w:val="none" w:sz="0" w:space="0" w:color="auto"/>
            <w:left w:val="none" w:sz="0" w:space="0" w:color="auto"/>
            <w:bottom w:val="none" w:sz="0" w:space="0" w:color="auto"/>
            <w:right w:val="none" w:sz="0" w:space="0" w:color="auto"/>
          </w:divBdr>
        </w:div>
        <w:div w:id="1081834748">
          <w:marLeft w:val="0"/>
          <w:marRight w:val="0"/>
          <w:marTop w:val="0"/>
          <w:marBottom w:val="0"/>
          <w:divBdr>
            <w:top w:val="none" w:sz="0" w:space="0" w:color="auto"/>
            <w:left w:val="none" w:sz="0" w:space="0" w:color="auto"/>
            <w:bottom w:val="none" w:sz="0" w:space="0" w:color="auto"/>
            <w:right w:val="none" w:sz="0" w:space="0" w:color="auto"/>
          </w:divBdr>
        </w:div>
        <w:div w:id="258416623">
          <w:marLeft w:val="0"/>
          <w:marRight w:val="0"/>
          <w:marTop w:val="0"/>
          <w:marBottom w:val="0"/>
          <w:divBdr>
            <w:top w:val="none" w:sz="0" w:space="0" w:color="auto"/>
            <w:left w:val="none" w:sz="0" w:space="0" w:color="auto"/>
            <w:bottom w:val="none" w:sz="0" w:space="0" w:color="auto"/>
            <w:right w:val="none" w:sz="0" w:space="0" w:color="auto"/>
          </w:divBdr>
        </w:div>
        <w:div w:id="374548067">
          <w:marLeft w:val="0"/>
          <w:marRight w:val="0"/>
          <w:marTop w:val="0"/>
          <w:marBottom w:val="0"/>
          <w:divBdr>
            <w:top w:val="none" w:sz="0" w:space="0" w:color="auto"/>
            <w:left w:val="none" w:sz="0" w:space="0" w:color="auto"/>
            <w:bottom w:val="none" w:sz="0" w:space="0" w:color="auto"/>
            <w:right w:val="none" w:sz="0" w:space="0" w:color="auto"/>
          </w:divBdr>
        </w:div>
        <w:div w:id="610211763">
          <w:marLeft w:val="0"/>
          <w:marRight w:val="0"/>
          <w:marTop w:val="0"/>
          <w:marBottom w:val="0"/>
          <w:divBdr>
            <w:top w:val="none" w:sz="0" w:space="0" w:color="auto"/>
            <w:left w:val="none" w:sz="0" w:space="0" w:color="auto"/>
            <w:bottom w:val="none" w:sz="0" w:space="0" w:color="auto"/>
            <w:right w:val="none" w:sz="0" w:space="0" w:color="auto"/>
          </w:divBdr>
        </w:div>
        <w:div w:id="914700221">
          <w:marLeft w:val="0"/>
          <w:marRight w:val="0"/>
          <w:marTop w:val="0"/>
          <w:marBottom w:val="0"/>
          <w:divBdr>
            <w:top w:val="none" w:sz="0" w:space="0" w:color="auto"/>
            <w:left w:val="none" w:sz="0" w:space="0" w:color="auto"/>
            <w:bottom w:val="none" w:sz="0" w:space="0" w:color="auto"/>
            <w:right w:val="none" w:sz="0" w:space="0" w:color="auto"/>
          </w:divBdr>
        </w:div>
        <w:div w:id="1566913985">
          <w:marLeft w:val="0"/>
          <w:marRight w:val="0"/>
          <w:marTop w:val="0"/>
          <w:marBottom w:val="0"/>
          <w:divBdr>
            <w:top w:val="none" w:sz="0" w:space="0" w:color="auto"/>
            <w:left w:val="none" w:sz="0" w:space="0" w:color="auto"/>
            <w:bottom w:val="none" w:sz="0" w:space="0" w:color="auto"/>
            <w:right w:val="none" w:sz="0" w:space="0" w:color="auto"/>
          </w:divBdr>
        </w:div>
        <w:div w:id="1262949784">
          <w:marLeft w:val="0"/>
          <w:marRight w:val="0"/>
          <w:marTop w:val="0"/>
          <w:marBottom w:val="0"/>
          <w:divBdr>
            <w:top w:val="none" w:sz="0" w:space="0" w:color="auto"/>
            <w:left w:val="none" w:sz="0" w:space="0" w:color="auto"/>
            <w:bottom w:val="none" w:sz="0" w:space="0" w:color="auto"/>
            <w:right w:val="none" w:sz="0" w:space="0" w:color="auto"/>
          </w:divBdr>
        </w:div>
        <w:div w:id="87701726">
          <w:marLeft w:val="0"/>
          <w:marRight w:val="0"/>
          <w:marTop w:val="0"/>
          <w:marBottom w:val="0"/>
          <w:divBdr>
            <w:top w:val="none" w:sz="0" w:space="0" w:color="auto"/>
            <w:left w:val="none" w:sz="0" w:space="0" w:color="auto"/>
            <w:bottom w:val="none" w:sz="0" w:space="0" w:color="auto"/>
            <w:right w:val="none" w:sz="0" w:space="0" w:color="auto"/>
          </w:divBdr>
        </w:div>
        <w:div w:id="622926088">
          <w:marLeft w:val="0"/>
          <w:marRight w:val="0"/>
          <w:marTop w:val="0"/>
          <w:marBottom w:val="0"/>
          <w:divBdr>
            <w:top w:val="none" w:sz="0" w:space="0" w:color="auto"/>
            <w:left w:val="none" w:sz="0" w:space="0" w:color="auto"/>
            <w:bottom w:val="none" w:sz="0" w:space="0" w:color="auto"/>
            <w:right w:val="none" w:sz="0" w:space="0" w:color="auto"/>
          </w:divBdr>
        </w:div>
        <w:div w:id="1277442393">
          <w:marLeft w:val="0"/>
          <w:marRight w:val="0"/>
          <w:marTop w:val="0"/>
          <w:marBottom w:val="0"/>
          <w:divBdr>
            <w:top w:val="none" w:sz="0" w:space="0" w:color="auto"/>
            <w:left w:val="none" w:sz="0" w:space="0" w:color="auto"/>
            <w:bottom w:val="none" w:sz="0" w:space="0" w:color="auto"/>
            <w:right w:val="none" w:sz="0" w:space="0" w:color="auto"/>
          </w:divBdr>
        </w:div>
      </w:divsChild>
    </w:div>
    <w:div w:id="1372265089">
      <w:bodyDiv w:val="1"/>
      <w:marLeft w:val="0"/>
      <w:marRight w:val="0"/>
      <w:marTop w:val="0"/>
      <w:marBottom w:val="0"/>
      <w:divBdr>
        <w:top w:val="none" w:sz="0" w:space="0" w:color="auto"/>
        <w:left w:val="none" w:sz="0" w:space="0" w:color="auto"/>
        <w:bottom w:val="none" w:sz="0" w:space="0" w:color="auto"/>
        <w:right w:val="none" w:sz="0" w:space="0" w:color="auto"/>
      </w:divBdr>
      <w:divsChild>
        <w:div w:id="1813062376">
          <w:marLeft w:val="0"/>
          <w:marRight w:val="0"/>
          <w:marTop w:val="0"/>
          <w:marBottom w:val="0"/>
          <w:divBdr>
            <w:top w:val="none" w:sz="0" w:space="0" w:color="auto"/>
            <w:left w:val="none" w:sz="0" w:space="0" w:color="auto"/>
            <w:bottom w:val="none" w:sz="0" w:space="0" w:color="auto"/>
            <w:right w:val="none" w:sz="0" w:space="0" w:color="auto"/>
          </w:divBdr>
        </w:div>
        <w:div w:id="1125277210">
          <w:marLeft w:val="0"/>
          <w:marRight w:val="0"/>
          <w:marTop w:val="0"/>
          <w:marBottom w:val="0"/>
          <w:divBdr>
            <w:top w:val="none" w:sz="0" w:space="0" w:color="auto"/>
            <w:left w:val="none" w:sz="0" w:space="0" w:color="auto"/>
            <w:bottom w:val="none" w:sz="0" w:space="0" w:color="auto"/>
            <w:right w:val="none" w:sz="0" w:space="0" w:color="auto"/>
          </w:divBdr>
        </w:div>
        <w:div w:id="722413483">
          <w:marLeft w:val="0"/>
          <w:marRight w:val="0"/>
          <w:marTop w:val="0"/>
          <w:marBottom w:val="0"/>
          <w:divBdr>
            <w:top w:val="none" w:sz="0" w:space="0" w:color="auto"/>
            <w:left w:val="none" w:sz="0" w:space="0" w:color="auto"/>
            <w:bottom w:val="none" w:sz="0" w:space="0" w:color="auto"/>
            <w:right w:val="none" w:sz="0" w:space="0" w:color="auto"/>
          </w:divBdr>
        </w:div>
        <w:div w:id="1278633560">
          <w:marLeft w:val="0"/>
          <w:marRight w:val="0"/>
          <w:marTop w:val="0"/>
          <w:marBottom w:val="0"/>
          <w:divBdr>
            <w:top w:val="none" w:sz="0" w:space="0" w:color="auto"/>
            <w:left w:val="none" w:sz="0" w:space="0" w:color="auto"/>
            <w:bottom w:val="none" w:sz="0" w:space="0" w:color="auto"/>
            <w:right w:val="none" w:sz="0" w:space="0" w:color="auto"/>
          </w:divBdr>
        </w:div>
        <w:div w:id="1501507621">
          <w:marLeft w:val="0"/>
          <w:marRight w:val="0"/>
          <w:marTop w:val="0"/>
          <w:marBottom w:val="0"/>
          <w:divBdr>
            <w:top w:val="none" w:sz="0" w:space="0" w:color="auto"/>
            <w:left w:val="none" w:sz="0" w:space="0" w:color="auto"/>
            <w:bottom w:val="none" w:sz="0" w:space="0" w:color="auto"/>
            <w:right w:val="none" w:sz="0" w:space="0" w:color="auto"/>
          </w:divBdr>
        </w:div>
        <w:div w:id="231820327">
          <w:marLeft w:val="0"/>
          <w:marRight w:val="0"/>
          <w:marTop w:val="0"/>
          <w:marBottom w:val="0"/>
          <w:divBdr>
            <w:top w:val="none" w:sz="0" w:space="0" w:color="auto"/>
            <w:left w:val="none" w:sz="0" w:space="0" w:color="auto"/>
            <w:bottom w:val="none" w:sz="0" w:space="0" w:color="auto"/>
            <w:right w:val="none" w:sz="0" w:space="0" w:color="auto"/>
          </w:divBdr>
        </w:div>
        <w:div w:id="468281455">
          <w:marLeft w:val="0"/>
          <w:marRight w:val="0"/>
          <w:marTop w:val="0"/>
          <w:marBottom w:val="0"/>
          <w:divBdr>
            <w:top w:val="none" w:sz="0" w:space="0" w:color="auto"/>
            <w:left w:val="none" w:sz="0" w:space="0" w:color="auto"/>
            <w:bottom w:val="none" w:sz="0" w:space="0" w:color="auto"/>
            <w:right w:val="none" w:sz="0" w:space="0" w:color="auto"/>
          </w:divBdr>
        </w:div>
        <w:div w:id="550993557">
          <w:marLeft w:val="0"/>
          <w:marRight w:val="0"/>
          <w:marTop w:val="0"/>
          <w:marBottom w:val="0"/>
          <w:divBdr>
            <w:top w:val="none" w:sz="0" w:space="0" w:color="auto"/>
            <w:left w:val="none" w:sz="0" w:space="0" w:color="auto"/>
            <w:bottom w:val="none" w:sz="0" w:space="0" w:color="auto"/>
            <w:right w:val="none" w:sz="0" w:space="0" w:color="auto"/>
          </w:divBdr>
        </w:div>
        <w:div w:id="973099730">
          <w:marLeft w:val="0"/>
          <w:marRight w:val="0"/>
          <w:marTop w:val="0"/>
          <w:marBottom w:val="0"/>
          <w:divBdr>
            <w:top w:val="none" w:sz="0" w:space="0" w:color="auto"/>
            <w:left w:val="none" w:sz="0" w:space="0" w:color="auto"/>
            <w:bottom w:val="none" w:sz="0" w:space="0" w:color="auto"/>
            <w:right w:val="none" w:sz="0" w:space="0" w:color="auto"/>
          </w:divBdr>
        </w:div>
        <w:div w:id="1749765925">
          <w:marLeft w:val="0"/>
          <w:marRight w:val="0"/>
          <w:marTop w:val="0"/>
          <w:marBottom w:val="0"/>
          <w:divBdr>
            <w:top w:val="none" w:sz="0" w:space="0" w:color="auto"/>
            <w:left w:val="none" w:sz="0" w:space="0" w:color="auto"/>
            <w:bottom w:val="none" w:sz="0" w:space="0" w:color="auto"/>
            <w:right w:val="none" w:sz="0" w:space="0" w:color="auto"/>
          </w:divBdr>
        </w:div>
        <w:div w:id="1623221315">
          <w:marLeft w:val="0"/>
          <w:marRight w:val="0"/>
          <w:marTop w:val="0"/>
          <w:marBottom w:val="0"/>
          <w:divBdr>
            <w:top w:val="none" w:sz="0" w:space="0" w:color="auto"/>
            <w:left w:val="none" w:sz="0" w:space="0" w:color="auto"/>
            <w:bottom w:val="none" w:sz="0" w:space="0" w:color="auto"/>
            <w:right w:val="none" w:sz="0" w:space="0" w:color="auto"/>
          </w:divBdr>
        </w:div>
        <w:div w:id="45572720">
          <w:marLeft w:val="0"/>
          <w:marRight w:val="0"/>
          <w:marTop w:val="0"/>
          <w:marBottom w:val="0"/>
          <w:divBdr>
            <w:top w:val="none" w:sz="0" w:space="0" w:color="auto"/>
            <w:left w:val="none" w:sz="0" w:space="0" w:color="auto"/>
            <w:bottom w:val="none" w:sz="0" w:space="0" w:color="auto"/>
            <w:right w:val="none" w:sz="0" w:space="0" w:color="auto"/>
          </w:divBdr>
        </w:div>
        <w:div w:id="2145853021">
          <w:marLeft w:val="0"/>
          <w:marRight w:val="0"/>
          <w:marTop w:val="0"/>
          <w:marBottom w:val="0"/>
          <w:divBdr>
            <w:top w:val="none" w:sz="0" w:space="0" w:color="auto"/>
            <w:left w:val="none" w:sz="0" w:space="0" w:color="auto"/>
            <w:bottom w:val="none" w:sz="0" w:space="0" w:color="auto"/>
            <w:right w:val="none" w:sz="0" w:space="0" w:color="auto"/>
          </w:divBdr>
        </w:div>
        <w:div w:id="1982609306">
          <w:marLeft w:val="0"/>
          <w:marRight w:val="0"/>
          <w:marTop w:val="0"/>
          <w:marBottom w:val="0"/>
          <w:divBdr>
            <w:top w:val="none" w:sz="0" w:space="0" w:color="auto"/>
            <w:left w:val="none" w:sz="0" w:space="0" w:color="auto"/>
            <w:bottom w:val="none" w:sz="0" w:space="0" w:color="auto"/>
            <w:right w:val="none" w:sz="0" w:space="0" w:color="auto"/>
          </w:divBdr>
        </w:div>
        <w:div w:id="491022902">
          <w:marLeft w:val="0"/>
          <w:marRight w:val="0"/>
          <w:marTop w:val="0"/>
          <w:marBottom w:val="0"/>
          <w:divBdr>
            <w:top w:val="none" w:sz="0" w:space="0" w:color="auto"/>
            <w:left w:val="none" w:sz="0" w:space="0" w:color="auto"/>
            <w:bottom w:val="none" w:sz="0" w:space="0" w:color="auto"/>
            <w:right w:val="none" w:sz="0" w:space="0" w:color="auto"/>
          </w:divBdr>
        </w:div>
        <w:div w:id="1312293702">
          <w:marLeft w:val="0"/>
          <w:marRight w:val="0"/>
          <w:marTop w:val="0"/>
          <w:marBottom w:val="0"/>
          <w:divBdr>
            <w:top w:val="none" w:sz="0" w:space="0" w:color="auto"/>
            <w:left w:val="none" w:sz="0" w:space="0" w:color="auto"/>
            <w:bottom w:val="none" w:sz="0" w:space="0" w:color="auto"/>
            <w:right w:val="none" w:sz="0" w:space="0" w:color="auto"/>
          </w:divBdr>
        </w:div>
        <w:div w:id="515582598">
          <w:marLeft w:val="0"/>
          <w:marRight w:val="0"/>
          <w:marTop w:val="0"/>
          <w:marBottom w:val="0"/>
          <w:divBdr>
            <w:top w:val="none" w:sz="0" w:space="0" w:color="auto"/>
            <w:left w:val="none" w:sz="0" w:space="0" w:color="auto"/>
            <w:bottom w:val="none" w:sz="0" w:space="0" w:color="auto"/>
            <w:right w:val="none" w:sz="0" w:space="0" w:color="auto"/>
          </w:divBdr>
        </w:div>
        <w:div w:id="1638952801">
          <w:marLeft w:val="0"/>
          <w:marRight w:val="0"/>
          <w:marTop w:val="0"/>
          <w:marBottom w:val="0"/>
          <w:divBdr>
            <w:top w:val="none" w:sz="0" w:space="0" w:color="auto"/>
            <w:left w:val="none" w:sz="0" w:space="0" w:color="auto"/>
            <w:bottom w:val="none" w:sz="0" w:space="0" w:color="auto"/>
            <w:right w:val="none" w:sz="0" w:space="0" w:color="auto"/>
          </w:divBdr>
        </w:div>
        <w:div w:id="277612291">
          <w:marLeft w:val="0"/>
          <w:marRight w:val="0"/>
          <w:marTop w:val="0"/>
          <w:marBottom w:val="0"/>
          <w:divBdr>
            <w:top w:val="none" w:sz="0" w:space="0" w:color="auto"/>
            <w:left w:val="none" w:sz="0" w:space="0" w:color="auto"/>
            <w:bottom w:val="none" w:sz="0" w:space="0" w:color="auto"/>
            <w:right w:val="none" w:sz="0" w:space="0" w:color="auto"/>
          </w:divBdr>
        </w:div>
        <w:div w:id="76489118">
          <w:marLeft w:val="0"/>
          <w:marRight w:val="0"/>
          <w:marTop w:val="0"/>
          <w:marBottom w:val="0"/>
          <w:divBdr>
            <w:top w:val="none" w:sz="0" w:space="0" w:color="auto"/>
            <w:left w:val="none" w:sz="0" w:space="0" w:color="auto"/>
            <w:bottom w:val="none" w:sz="0" w:space="0" w:color="auto"/>
            <w:right w:val="none" w:sz="0" w:space="0" w:color="auto"/>
          </w:divBdr>
        </w:div>
        <w:div w:id="753161366">
          <w:marLeft w:val="0"/>
          <w:marRight w:val="0"/>
          <w:marTop w:val="0"/>
          <w:marBottom w:val="0"/>
          <w:divBdr>
            <w:top w:val="none" w:sz="0" w:space="0" w:color="auto"/>
            <w:left w:val="none" w:sz="0" w:space="0" w:color="auto"/>
            <w:bottom w:val="none" w:sz="0" w:space="0" w:color="auto"/>
            <w:right w:val="none" w:sz="0" w:space="0" w:color="auto"/>
          </w:divBdr>
        </w:div>
        <w:div w:id="414864264">
          <w:marLeft w:val="0"/>
          <w:marRight w:val="0"/>
          <w:marTop w:val="0"/>
          <w:marBottom w:val="0"/>
          <w:divBdr>
            <w:top w:val="none" w:sz="0" w:space="0" w:color="auto"/>
            <w:left w:val="none" w:sz="0" w:space="0" w:color="auto"/>
            <w:bottom w:val="none" w:sz="0" w:space="0" w:color="auto"/>
            <w:right w:val="none" w:sz="0" w:space="0" w:color="auto"/>
          </w:divBdr>
        </w:div>
        <w:div w:id="910312354">
          <w:marLeft w:val="0"/>
          <w:marRight w:val="0"/>
          <w:marTop w:val="0"/>
          <w:marBottom w:val="0"/>
          <w:divBdr>
            <w:top w:val="none" w:sz="0" w:space="0" w:color="auto"/>
            <w:left w:val="none" w:sz="0" w:space="0" w:color="auto"/>
            <w:bottom w:val="none" w:sz="0" w:space="0" w:color="auto"/>
            <w:right w:val="none" w:sz="0" w:space="0" w:color="auto"/>
          </w:divBdr>
        </w:div>
        <w:div w:id="977493832">
          <w:marLeft w:val="0"/>
          <w:marRight w:val="0"/>
          <w:marTop w:val="0"/>
          <w:marBottom w:val="0"/>
          <w:divBdr>
            <w:top w:val="none" w:sz="0" w:space="0" w:color="auto"/>
            <w:left w:val="none" w:sz="0" w:space="0" w:color="auto"/>
            <w:bottom w:val="none" w:sz="0" w:space="0" w:color="auto"/>
            <w:right w:val="none" w:sz="0" w:space="0" w:color="auto"/>
          </w:divBdr>
        </w:div>
        <w:div w:id="1939215762">
          <w:marLeft w:val="0"/>
          <w:marRight w:val="0"/>
          <w:marTop w:val="0"/>
          <w:marBottom w:val="0"/>
          <w:divBdr>
            <w:top w:val="none" w:sz="0" w:space="0" w:color="auto"/>
            <w:left w:val="none" w:sz="0" w:space="0" w:color="auto"/>
            <w:bottom w:val="none" w:sz="0" w:space="0" w:color="auto"/>
            <w:right w:val="none" w:sz="0" w:space="0" w:color="auto"/>
          </w:divBdr>
        </w:div>
        <w:div w:id="550964137">
          <w:marLeft w:val="0"/>
          <w:marRight w:val="0"/>
          <w:marTop w:val="0"/>
          <w:marBottom w:val="0"/>
          <w:divBdr>
            <w:top w:val="none" w:sz="0" w:space="0" w:color="auto"/>
            <w:left w:val="none" w:sz="0" w:space="0" w:color="auto"/>
            <w:bottom w:val="none" w:sz="0" w:space="0" w:color="auto"/>
            <w:right w:val="none" w:sz="0" w:space="0" w:color="auto"/>
          </w:divBdr>
        </w:div>
        <w:div w:id="1871454586">
          <w:marLeft w:val="0"/>
          <w:marRight w:val="0"/>
          <w:marTop w:val="0"/>
          <w:marBottom w:val="0"/>
          <w:divBdr>
            <w:top w:val="none" w:sz="0" w:space="0" w:color="auto"/>
            <w:left w:val="none" w:sz="0" w:space="0" w:color="auto"/>
            <w:bottom w:val="none" w:sz="0" w:space="0" w:color="auto"/>
            <w:right w:val="none" w:sz="0" w:space="0" w:color="auto"/>
          </w:divBdr>
        </w:div>
        <w:div w:id="1444611070">
          <w:marLeft w:val="0"/>
          <w:marRight w:val="0"/>
          <w:marTop w:val="0"/>
          <w:marBottom w:val="0"/>
          <w:divBdr>
            <w:top w:val="none" w:sz="0" w:space="0" w:color="auto"/>
            <w:left w:val="none" w:sz="0" w:space="0" w:color="auto"/>
            <w:bottom w:val="none" w:sz="0" w:space="0" w:color="auto"/>
            <w:right w:val="none" w:sz="0" w:space="0" w:color="auto"/>
          </w:divBdr>
        </w:div>
        <w:div w:id="551500686">
          <w:marLeft w:val="0"/>
          <w:marRight w:val="0"/>
          <w:marTop w:val="0"/>
          <w:marBottom w:val="0"/>
          <w:divBdr>
            <w:top w:val="none" w:sz="0" w:space="0" w:color="auto"/>
            <w:left w:val="none" w:sz="0" w:space="0" w:color="auto"/>
            <w:bottom w:val="none" w:sz="0" w:space="0" w:color="auto"/>
            <w:right w:val="none" w:sz="0" w:space="0" w:color="auto"/>
          </w:divBdr>
        </w:div>
        <w:div w:id="1253660603">
          <w:marLeft w:val="0"/>
          <w:marRight w:val="0"/>
          <w:marTop w:val="0"/>
          <w:marBottom w:val="0"/>
          <w:divBdr>
            <w:top w:val="none" w:sz="0" w:space="0" w:color="auto"/>
            <w:left w:val="none" w:sz="0" w:space="0" w:color="auto"/>
            <w:bottom w:val="none" w:sz="0" w:space="0" w:color="auto"/>
            <w:right w:val="none" w:sz="0" w:space="0" w:color="auto"/>
          </w:divBdr>
        </w:div>
        <w:div w:id="1404379089">
          <w:marLeft w:val="0"/>
          <w:marRight w:val="0"/>
          <w:marTop w:val="0"/>
          <w:marBottom w:val="0"/>
          <w:divBdr>
            <w:top w:val="none" w:sz="0" w:space="0" w:color="auto"/>
            <w:left w:val="none" w:sz="0" w:space="0" w:color="auto"/>
            <w:bottom w:val="none" w:sz="0" w:space="0" w:color="auto"/>
            <w:right w:val="none" w:sz="0" w:space="0" w:color="auto"/>
          </w:divBdr>
        </w:div>
        <w:div w:id="871384252">
          <w:marLeft w:val="0"/>
          <w:marRight w:val="0"/>
          <w:marTop w:val="0"/>
          <w:marBottom w:val="0"/>
          <w:divBdr>
            <w:top w:val="none" w:sz="0" w:space="0" w:color="auto"/>
            <w:left w:val="none" w:sz="0" w:space="0" w:color="auto"/>
            <w:bottom w:val="none" w:sz="0" w:space="0" w:color="auto"/>
            <w:right w:val="none" w:sz="0" w:space="0" w:color="auto"/>
          </w:divBdr>
        </w:div>
        <w:div w:id="24156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16C4-FE80-4E84-8B97-DCCB3B98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5</Pages>
  <Words>1379</Words>
  <Characters>7864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Kerstin Le Canderff</cp:lastModifiedBy>
  <cp:revision>2</cp:revision>
  <cp:lastPrinted>2009-02-18T09:36:00Z</cp:lastPrinted>
  <dcterms:created xsi:type="dcterms:W3CDTF">2017-12-12T14:35:00Z</dcterms:created>
  <dcterms:modified xsi:type="dcterms:W3CDTF">2017-12-12T14:35:00Z</dcterms:modified>
</cp:coreProperties>
</file>