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613CA3" w14:paraId="18BF4FF0" w14:textId="77777777" w:rsidTr="009E6CB7">
        <w:trPr>
          <w:cantSplit/>
          <w:trHeight w:hRule="exact" w:val="851"/>
        </w:trPr>
        <w:tc>
          <w:tcPr>
            <w:tcW w:w="1276" w:type="dxa"/>
            <w:tcBorders>
              <w:bottom w:val="single" w:sz="4" w:space="0" w:color="auto"/>
            </w:tcBorders>
            <w:vAlign w:val="bottom"/>
          </w:tcPr>
          <w:p w14:paraId="4EB905DE" w14:textId="77777777" w:rsidR="009E6CB7" w:rsidRPr="00613CA3" w:rsidRDefault="009E6CB7" w:rsidP="009E6CB7">
            <w:pPr>
              <w:spacing w:after="80"/>
            </w:pPr>
          </w:p>
        </w:tc>
        <w:tc>
          <w:tcPr>
            <w:tcW w:w="2268" w:type="dxa"/>
            <w:tcBorders>
              <w:bottom w:val="single" w:sz="4" w:space="0" w:color="auto"/>
            </w:tcBorders>
            <w:vAlign w:val="bottom"/>
          </w:tcPr>
          <w:p w14:paraId="2B22E287" w14:textId="77777777" w:rsidR="009E6CB7" w:rsidRPr="00613CA3" w:rsidRDefault="009E6CB7" w:rsidP="009E6CB7">
            <w:pPr>
              <w:spacing w:after="80" w:line="300" w:lineRule="exact"/>
              <w:rPr>
                <w:b/>
                <w:sz w:val="24"/>
                <w:szCs w:val="24"/>
              </w:rPr>
            </w:pPr>
            <w:r w:rsidRPr="00613CA3">
              <w:rPr>
                <w:sz w:val="28"/>
                <w:szCs w:val="28"/>
              </w:rPr>
              <w:t>United Nations</w:t>
            </w:r>
          </w:p>
        </w:tc>
        <w:tc>
          <w:tcPr>
            <w:tcW w:w="6095" w:type="dxa"/>
            <w:gridSpan w:val="2"/>
            <w:tcBorders>
              <w:bottom w:val="single" w:sz="4" w:space="0" w:color="auto"/>
            </w:tcBorders>
            <w:vAlign w:val="bottom"/>
          </w:tcPr>
          <w:p w14:paraId="74591674" w14:textId="77777777" w:rsidR="009E6CB7" w:rsidRPr="00613CA3" w:rsidRDefault="003A5F98" w:rsidP="00341EF1">
            <w:pPr>
              <w:jc w:val="right"/>
            </w:pPr>
            <w:r w:rsidRPr="00613CA3">
              <w:rPr>
                <w:sz w:val="40"/>
              </w:rPr>
              <w:t>ECE</w:t>
            </w:r>
            <w:r w:rsidR="00E01227" w:rsidRPr="00613CA3">
              <w:t>/TRANS/201</w:t>
            </w:r>
            <w:r w:rsidR="00341EF1" w:rsidRPr="00613CA3">
              <w:t>8</w:t>
            </w:r>
            <w:r w:rsidRPr="00613CA3">
              <w:t>/</w:t>
            </w:r>
            <w:r w:rsidR="00341EF1" w:rsidRPr="00613CA3">
              <w:t>3</w:t>
            </w:r>
          </w:p>
        </w:tc>
      </w:tr>
      <w:tr w:rsidR="009E6CB7" w:rsidRPr="00613CA3" w14:paraId="0B36FD35" w14:textId="77777777" w:rsidTr="009E6CB7">
        <w:trPr>
          <w:cantSplit/>
          <w:trHeight w:hRule="exact" w:val="2835"/>
        </w:trPr>
        <w:tc>
          <w:tcPr>
            <w:tcW w:w="1276" w:type="dxa"/>
            <w:tcBorders>
              <w:top w:val="single" w:sz="4" w:space="0" w:color="auto"/>
              <w:bottom w:val="single" w:sz="12" w:space="0" w:color="auto"/>
            </w:tcBorders>
          </w:tcPr>
          <w:p w14:paraId="7E6A5DF6" w14:textId="77777777" w:rsidR="009E6CB7" w:rsidRPr="00613CA3" w:rsidRDefault="00BC7F91" w:rsidP="009E6CB7">
            <w:pPr>
              <w:spacing w:before="120"/>
            </w:pPr>
            <w:r w:rsidRPr="00613CA3">
              <w:rPr>
                <w:noProof/>
                <w:lang w:val="en-US"/>
              </w:rPr>
              <w:drawing>
                <wp:inline distT="0" distB="0" distL="0" distR="0" wp14:anchorId="22E6E941" wp14:editId="0F8F232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A393E9" w14:textId="77777777" w:rsidR="009E6CB7" w:rsidRPr="00613CA3" w:rsidRDefault="009E6CB7" w:rsidP="009E6CB7">
            <w:pPr>
              <w:spacing w:before="120" w:line="420" w:lineRule="exact"/>
              <w:rPr>
                <w:sz w:val="40"/>
                <w:szCs w:val="40"/>
              </w:rPr>
            </w:pPr>
            <w:r w:rsidRPr="00613CA3">
              <w:rPr>
                <w:b/>
                <w:sz w:val="40"/>
                <w:szCs w:val="40"/>
              </w:rPr>
              <w:t>Economic and Social Council</w:t>
            </w:r>
          </w:p>
        </w:tc>
        <w:tc>
          <w:tcPr>
            <w:tcW w:w="2835" w:type="dxa"/>
            <w:tcBorders>
              <w:top w:val="single" w:sz="4" w:space="0" w:color="auto"/>
              <w:bottom w:val="single" w:sz="12" w:space="0" w:color="auto"/>
            </w:tcBorders>
          </w:tcPr>
          <w:p w14:paraId="0B6E4111" w14:textId="77777777" w:rsidR="009E6CB7" w:rsidRPr="00613CA3" w:rsidRDefault="003A5F98" w:rsidP="003A5F98">
            <w:pPr>
              <w:spacing w:before="240" w:line="240" w:lineRule="exact"/>
            </w:pPr>
            <w:r w:rsidRPr="00613CA3">
              <w:t>Distr.: General</w:t>
            </w:r>
          </w:p>
          <w:p w14:paraId="1FC2E07A" w14:textId="7B903830" w:rsidR="003A5F98" w:rsidRPr="00613CA3" w:rsidRDefault="009467B0" w:rsidP="003A5F98">
            <w:pPr>
              <w:spacing w:line="240" w:lineRule="exact"/>
            </w:pPr>
            <w:r>
              <w:t>12</w:t>
            </w:r>
            <w:r w:rsidR="003A5F98" w:rsidRPr="00613CA3">
              <w:t xml:space="preserve"> December 201</w:t>
            </w:r>
            <w:r w:rsidR="00341EF1" w:rsidRPr="00613CA3">
              <w:t>7</w:t>
            </w:r>
          </w:p>
          <w:p w14:paraId="122A5DBF" w14:textId="77777777" w:rsidR="003A5F98" w:rsidRPr="00613CA3" w:rsidRDefault="003A5F98" w:rsidP="003A5F98">
            <w:pPr>
              <w:spacing w:line="240" w:lineRule="exact"/>
            </w:pPr>
          </w:p>
          <w:p w14:paraId="7E5B2F6A" w14:textId="77777777" w:rsidR="003A5F98" w:rsidRPr="00613CA3" w:rsidRDefault="003A5F98" w:rsidP="003A5F98">
            <w:pPr>
              <w:spacing w:line="240" w:lineRule="exact"/>
            </w:pPr>
            <w:r w:rsidRPr="00613CA3">
              <w:t>Original: English</w:t>
            </w:r>
          </w:p>
        </w:tc>
      </w:tr>
    </w:tbl>
    <w:p w14:paraId="579C8BEE" w14:textId="77777777" w:rsidR="003A5F98" w:rsidRPr="00613CA3" w:rsidRDefault="003A5F98" w:rsidP="003A5F98">
      <w:pPr>
        <w:spacing w:before="120"/>
        <w:rPr>
          <w:b/>
          <w:bCs/>
          <w:sz w:val="28"/>
          <w:szCs w:val="28"/>
        </w:rPr>
      </w:pPr>
      <w:r w:rsidRPr="00613CA3">
        <w:rPr>
          <w:b/>
          <w:bCs/>
          <w:sz w:val="28"/>
          <w:szCs w:val="28"/>
        </w:rPr>
        <w:t>Economic Commission for Europe</w:t>
      </w:r>
    </w:p>
    <w:p w14:paraId="2BB113B6" w14:textId="77777777" w:rsidR="003A5F98" w:rsidRPr="00613CA3" w:rsidRDefault="003A5F98" w:rsidP="003A5F98">
      <w:pPr>
        <w:spacing w:before="120"/>
        <w:rPr>
          <w:sz w:val="28"/>
          <w:szCs w:val="28"/>
        </w:rPr>
      </w:pPr>
      <w:r w:rsidRPr="00613CA3">
        <w:rPr>
          <w:sz w:val="28"/>
          <w:szCs w:val="28"/>
        </w:rPr>
        <w:t>Inland Transport Committee</w:t>
      </w:r>
    </w:p>
    <w:p w14:paraId="434DF652" w14:textId="77777777" w:rsidR="0022680D" w:rsidRPr="00613CA3" w:rsidRDefault="0022680D" w:rsidP="0022680D">
      <w:pPr>
        <w:spacing w:before="120"/>
        <w:rPr>
          <w:b/>
          <w:bCs/>
        </w:rPr>
      </w:pPr>
      <w:r w:rsidRPr="00613CA3">
        <w:rPr>
          <w:b/>
          <w:bCs/>
        </w:rPr>
        <w:t>Eightieth session</w:t>
      </w:r>
    </w:p>
    <w:p w14:paraId="20EF9363" w14:textId="22C905B4" w:rsidR="003A5F98" w:rsidRDefault="0022680D" w:rsidP="0022680D">
      <w:pPr>
        <w:rPr>
          <w:b/>
          <w:bCs/>
        </w:rPr>
      </w:pPr>
      <w:r w:rsidRPr="00613CA3">
        <w:t>Geneva, 20-23 February 2018</w:t>
      </w:r>
      <w:r w:rsidRPr="00613CA3">
        <w:br/>
      </w:r>
      <w:r w:rsidR="003A5F98" w:rsidRPr="00613CA3">
        <w:t xml:space="preserve">Item </w:t>
      </w:r>
      <w:r w:rsidR="00CA7382" w:rsidRPr="00613CA3">
        <w:t>4 (b)</w:t>
      </w:r>
      <w:r w:rsidR="003A5F98" w:rsidRPr="00613CA3">
        <w:t xml:space="preserve"> of the provisional agenda</w:t>
      </w:r>
      <w:r w:rsidR="003A5F98" w:rsidRPr="00613CA3">
        <w:br/>
      </w:r>
      <w:r w:rsidR="00CA7382" w:rsidRPr="00613CA3">
        <w:rPr>
          <w:b/>
          <w:bCs/>
        </w:rPr>
        <w:t>Strategic question</w:t>
      </w:r>
      <w:r w:rsidR="00AA723F" w:rsidRPr="00613CA3">
        <w:rPr>
          <w:b/>
          <w:bCs/>
        </w:rPr>
        <w:t>s of a horizontal policy nature</w:t>
      </w:r>
      <w:r w:rsidR="00257DDB">
        <w:rPr>
          <w:b/>
          <w:bCs/>
        </w:rPr>
        <w:t xml:space="preserve">: </w:t>
      </w:r>
    </w:p>
    <w:p w14:paraId="14EC85E3" w14:textId="28AC4770" w:rsidR="00257DDB" w:rsidRPr="00613CA3" w:rsidRDefault="00257DDB" w:rsidP="0022680D">
      <w:pPr>
        <w:rPr>
          <w:b/>
          <w:bCs/>
        </w:rPr>
      </w:pPr>
      <w:r w:rsidRPr="00257DDB">
        <w:rPr>
          <w:b/>
          <w:bCs/>
        </w:rPr>
        <w:t xml:space="preserve">United Nations Economic Commission for Europe </w:t>
      </w:r>
      <w:r w:rsidR="0002540B">
        <w:rPr>
          <w:b/>
          <w:bCs/>
        </w:rPr>
        <w:t>analytical work on t</w:t>
      </w:r>
      <w:r w:rsidRPr="00257DDB">
        <w:rPr>
          <w:b/>
          <w:bCs/>
        </w:rPr>
        <w:t>ransport</w:t>
      </w:r>
    </w:p>
    <w:p w14:paraId="21F61083" w14:textId="29BBB86B" w:rsidR="005C2D88" w:rsidRPr="00D2630C" w:rsidRDefault="003A5F98" w:rsidP="005C2D88">
      <w:pPr>
        <w:pStyle w:val="HChG"/>
      </w:pPr>
      <w:r w:rsidRPr="00613CA3">
        <w:tab/>
      </w:r>
      <w:r w:rsidR="00613CA3" w:rsidRPr="00D2630C">
        <w:tab/>
      </w:r>
      <w:r w:rsidR="00613CA3" w:rsidRPr="00BC072D">
        <w:t>A</w:t>
      </w:r>
      <w:r w:rsidR="005C2D88" w:rsidRPr="00613CA3">
        <w:t xml:space="preserve">nalytical work </w:t>
      </w:r>
      <w:r w:rsidR="00C212FA">
        <w:t>of</w:t>
      </w:r>
      <w:r w:rsidR="00613CA3" w:rsidRPr="00613CA3">
        <w:t xml:space="preserve"> the Sustainable </w:t>
      </w:r>
      <w:r w:rsidR="005C2D88" w:rsidRPr="00613CA3">
        <w:t>Transport</w:t>
      </w:r>
      <w:r w:rsidR="00613CA3" w:rsidRPr="00613CA3">
        <w:t xml:space="preserve"> Division</w:t>
      </w:r>
    </w:p>
    <w:p w14:paraId="77E4395E" w14:textId="77777777" w:rsidR="005C2D88" w:rsidRPr="00BC072D" w:rsidRDefault="005C2D88" w:rsidP="005C2D88">
      <w:pPr>
        <w:pStyle w:val="H1G"/>
      </w:pPr>
      <w:r w:rsidRPr="00BC072D">
        <w:tab/>
      </w:r>
      <w:r w:rsidRPr="00BC072D">
        <w:tab/>
        <w:t>Note by the secretariat</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5C2D88" w:rsidRPr="00613CA3" w14:paraId="208C4CAB" w14:textId="77777777" w:rsidTr="00BC072D">
        <w:trPr>
          <w:jc w:val="center"/>
        </w:trPr>
        <w:tc>
          <w:tcPr>
            <w:tcW w:w="9637" w:type="dxa"/>
            <w:shd w:val="clear" w:color="auto" w:fill="auto"/>
          </w:tcPr>
          <w:p w14:paraId="0979CBCE" w14:textId="77777777" w:rsidR="005C2D88" w:rsidRPr="00613CA3" w:rsidRDefault="005C2D88" w:rsidP="00BC072D">
            <w:pPr>
              <w:spacing w:before="240" w:after="120"/>
              <w:ind w:left="255"/>
              <w:rPr>
                <w:i/>
                <w:sz w:val="24"/>
              </w:rPr>
            </w:pPr>
            <w:r w:rsidRPr="00613CA3">
              <w:rPr>
                <w:i/>
                <w:sz w:val="24"/>
              </w:rPr>
              <w:t>Summary</w:t>
            </w:r>
          </w:p>
        </w:tc>
      </w:tr>
      <w:tr w:rsidR="005C2D88" w:rsidRPr="00613CA3" w14:paraId="01AACF78" w14:textId="77777777" w:rsidTr="00BC072D">
        <w:trPr>
          <w:jc w:val="center"/>
        </w:trPr>
        <w:tc>
          <w:tcPr>
            <w:tcW w:w="9637" w:type="dxa"/>
            <w:shd w:val="clear" w:color="auto" w:fill="auto"/>
          </w:tcPr>
          <w:p w14:paraId="416603C1" w14:textId="74D8D947" w:rsidR="005C2D88" w:rsidRPr="00613CA3" w:rsidRDefault="005C2D88" w:rsidP="00C212FA">
            <w:pPr>
              <w:pStyle w:val="SingleTxtG"/>
              <w:rPr>
                <w:color w:val="0D0D0D"/>
              </w:rPr>
            </w:pPr>
            <w:r w:rsidRPr="00613CA3">
              <w:rPr>
                <w:color w:val="0D0D0D"/>
              </w:rPr>
              <w:tab/>
              <w:t>This note provides a brief review of the analytical work undertaken in 201</w:t>
            </w:r>
            <w:r w:rsidR="00341EF1" w:rsidRPr="00613CA3">
              <w:rPr>
                <w:color w:val="0D0D0D"/>
              </w:rPr>
              <w:t>7</w:t>
            </w:r>
            <w:r w:rsidRPr="00613CA3">
              <w:rPr>
                <w:color w:val="0D0D0D"/>
              </w:rPr>
              <w:t xml:space="preserve"> by </w:t>
            </w:r>
            <w:r w:rsidR="00B253FA" w:rsidRPr="00613CA3">
              <w:rPr>
                <w:color w:val="0D0D0D"/>
              </w:rPr>
              <w:t xml:space="preserve">the </w:t>
            </w:r>
            <w:r w:rsidR="007057BE" w:rsidRPr="00613CA3">
              <w:rPr>
                <w:color w:val="0D0D0D"/>
              </w:rPr>
              <w:t xml:space="preserve">Sustainable </w:t>
            </w:r>
            <w:r w:rsidRPr="00613CA3">
              <w:rPr>
                <w:color w:val="0D0D0D"/>
              </w:rPr>
              <w:t>Transport Division</w:t>
            </w:r>
            <w:r w:rsidR="00613CA3">
              <w:rPr>
                <w:color w:val="0D0D0D"/>
              </w:rPr>
              <w:t xml:space="preserve"> of </w:t>
            </w:r>
            <w:r w:rsidR="00613CA3" w:rsidRPr="00E3372E">
              <w:t>United Nations Economic Commission for Europe (</w:t>
            </w:r>
            <w:r w:rsidR="002923A8">
              <w:t>ECE</w:t>
            </w:r>
            <w:r w:rsidR="00613CA3" w:rsidRPr="00E3372E">
              <w:t>)</w:t>
            </w:r>
            <w:r w:rsidRPr="00D2630C">
              <w:rPr>
                <w:color w:val="0D0D0D"/>
              </w:rPr>
              <w:t>. Th</w:t>
            </w:r>
            <w:r w:rsidR="00613CA3">
              <w:rPr>
                <w:color w:val="0D0D0D"/>
              </w:rPr>
              <w:t xml:space="preserve">is </w:t>
            </w:r>
            <w:r w:rsidRPr="00D2630C">
              <w:rPr>
                <w:color w:val="0D0D0D"/>
              </w:rPr>
              <w:t>work comprise</w:t>
            </w:r>
            <w:r w:rsidR="00613CA3">
              <w:rPr>
                <w:color w:val="0D0D0D"/>
              </w:rPr>
              <w:t>d</w:t>
            </w:r>
            <w:r w:rsidRPr="00D2630C">
              <w:rPr>
                <w:color w:val="0D0D0D"/>
              </w:rPr>
              <w:t xml:space="preserve"> studies </w:t>
            </w:r>
            <w:r w:rsidR="00613CA3">
              <w:rPr>
                <w:color w:val="0D0D0D"/>
              </w:rPr>
              <w:t xml:space="preserve">on </w:t>
            </w:r>
            <w:r w:rsidR="00B253FA" w:rsidRPr="00D2630C">
              <w:rPr>
                <w:color w:val="0D0D0D"/>
              </w:rPr>
              <w:t xml:space="preserve">specific </w:t>
            </w:r>
            <w:r w:rsidR="00C212FA" w:rsidRPr="00D2630C">
              <w:rPr>
                <w:color w:val="0D0D0D"/>
              </w:rPr>
              <w:t xml:space="preserve">transport </w:t>
            </w:r>
            <w:r w:rsidRPr="00D2630C">
              <w:rPr>
                <w:color w:val="0D0D0D"/>
              </w:rPr>
              <w:t xml:space="preserve">issues, </w:t>
            </w:r>
            <w:r w:rsidR="00C212FA" w:rsidRPr="00D2630C">
              <w:rPr>
                <w:color w:val="0D0D0D"/>
              </w:rPr>
              <w:t>analys</w:t>
            </w:r>
            <w:r w:rsidR="00C212FA">
              <w:rPr>
                <w:color w:val="0D0D0D"/>
              </w:rPr>
              <w:t>e</w:t>
            </w:r>
            <w:r w:rsidR="00C212FA" w:rsidRPr="00D2630C">
              <w:rPr>
                <w:color w:val="0D0D0D"/>
              </w:rPr>
              <w:t xml:space="preserve">s </w:t>
            </w:r>
            <w:r w:rsidRPr="00D2630C">
              <w:rPr>
                <w:color w:val="0D0D0D"/>
              </w:rPr>
              <w:t xml:space="preserve">requested by official Groups of Experts and Task Forces, analytical papers </w:t>
            </w:r>
            <w:r w:rsidR="00613CA3">
              <w:rPr>
                <w:color w:val="0D0D0D"/>
              </w:rPr>
              <w:t xml:space="preserve">to </w:t>
            </w:r>
            <w:r w:rsidRPr="00D2630C">
              <w:rPr>
                <w:color w:val="0D0D0D"/>
              </w:rPr>
              <w:t xml:space="preserve">support </w:t>
            </w:r>
            <w:r w:rsidR="007057BE" w:rsidRPr="00D2630C">
              <w:rPr>
                <w:color w:val="0D0D0D"/>
              </w:rPr>
              <w:t xml:space="preserve">activities related to the </w:t>
            </w:r>
            <w:r w:rsidR="00095123" w:rsidRPr="00D2630C">
              <w:rPr>
                <w:color w:val="0D0D0D"/>
              </w:rPr>
              <w:t xml:space="preserve">United Nations </w:t>
            </w:r>
            <w:r w:rsidR="007057BE" w:rsidRPr="00BC072D">
              <w:rPr>
                <w:color w:val="0D0D0D"/>
              </w:rPr>
              <w:t xml:space="preserve">transport conventions or </w:t>
            </w:r>
            <w:r w:rsidRPr="00BC072D">
              <w:rPr>
                <w:color w:val="0D0D0D"/>
              </w:rPr>
              <w:t xml:space="preserve">capacity-building workshops, </w:t>
            </w:r>
            <w:r w:rsidR="00613CA3">
              <w:rPr>
                <w:color w:val="0D0D0D"/>
              </w:rPr>
              <w:t xml:space="preserve">and </w:t>
            </w:r>
            <w:r w:rsidRPr="00D2630C">
              <w:rPr>
                <w:color w:val="0D0D0D"/>
              </w:rPr>
              <w:t xml:space="preserve">analytical studies </w:t>
            </w:r>
            <w:r w:rsidR="00613CA3">
              <w:rPr>
                <w:color w:val="0D0D0D"/>
              </w:rPr>
              <w:t xml:space="preserve">to </w:t>
            </w:r>
            <w:r w:rsidRPr="00D2630C">
              <w:rPr>
                <w:color w:val="0D0D0D"/>
              </w:rPr>
              <w:t xml:space="preserve">provide substantive </w:t>
            </w:r>
            <w:r w:rsidR="00B253FA" w:rsidRPr="00D2630C">
              <w:rPr>
                <w:color w:val="0D0D0D"/>
              </w:rPr>
              <w:t xml:space="preserve">groundwork </w:t>
            </w:r>
            <w:r w:rsidR="00613CA3">
              <w:rPr>
                <w:color w:val="0D0D0D"/>
              </w:rPr>
              <w:t xml:space="preserve">for the </w:t>
            </w:r>
            <w:r w:rsidRPr="00D2630C">
              <w:rPr>
                <w:color w:val="0D0D0D"/>
              </w:rPr>
              <w:t xml:space="preserve">management of different projects. The note summarizes the work done </w:t>
            </w:r>
            <w:r w:rsidRPr="00BC072D">
              <w:rPr>
                <w:color w:val="0D0D0D"/>
              </w:rPr>
              <w:t xml:space="preserve">in </w:t>
            </w:r>
            <w:r w:rsidRPr="00613CA3">
              <w:rPr>
                <w:color w:val="0D0D0D"/>
              </w:rPr>
              <w:t xml:space="preserve">the Working Party on Transport Trends and Economics </w:t>
            </w:r>
            <w:r w:rsidR="00613CA3">
              <w:rPr>
                <w:color w:val="0D0D0D"/>
              </w:rPr>
              <w:t xml:space="preserve">and </w:t>
            </w:r>
            <w:r w:rsidRPr="00D2630C">
              <w:rPr>
                <w:color w:val="0D0D0D"/>
              </w:rPr>
              <w:t xml:space="preserve">in the </w:t>
            </w:r>
            <w:r w:rsidR="007057BE" w:rsidRPr="00D2630C">
              <w:rPr>
                <w:color w:val="0D0D0D"/>
              </w:rPr>
              <w:t xml:space="preserve">Sustainable </w:t>
            </w:r>
            <w:r w:rsidRPr="00BC072D">
              <w:rPr>
                <w:color w:val="0D0D0D"/>
              </w:rPr>
              <w:t xml:space="preserve">Transport Division. </w:t>
            </w:r>
          </w:p>
        </w:tc>
      </w:tr>
      <w:tr w:rsidR="005C2D88" w:rsidRPr="00613CA3" w14:paraId="5EA5B822" w14:textId="77777777" w:rsidTr="00BC072D">
        <w:trPr>
          <w:jc w:val="center"/>
        </w:trPr>
        <w:tc>
          <w:tcPr>
            <w:tcW w:w="9637" w:type="dxa"/>
            <w:shd w:val="clear" w:color="auto" w:fill="auto"/>
          </w:tcPr>
          <w:p w14:paraId="10E5E598" w14:textId="77777777" w:rsidR="005C2D88" w:rsidRPr="00613CA3" w:rsidRDefault="005C2D88" w:rsidP="00BC072D">
            <w:pPr>
              <w:pStyle w:val="SingleTxtG"/>
              <w:rPr>
                <w:color w:val="0D0D0D"/>
              </w:rPr>
            </w:pPr>
            <w:r w:rsidRPr="00613CA3">
              <w:rPr>
                <w:color w:val="0D0D0D"/>
              </w:rPr>
              <w:tab/>
              <w:t xml:space="preserve">The Committee </w:t>
            </w:r>
            <w:proofErr w:type="gramStart"/>
            <w:r w:rsidRPr="00613CA3">
              <w:rPr>
                <w:color w:val="0D0D0D"/>
              </w:rPr>
              <w:t>is invited</w:t>
            </w:r>
            <w:proofErr w:type="gramEnd"/>
            <w:r w:rsidRPr="00613CA3">
              <w:rPr>
                <w:color w:val="0D0D0D"/>
              </w:rPr>
              <w:t xml:space="preserve"> to </w:t>
            </w:r>
            <w:r w:rsidRPr="00613CA3">
              <w:rPr>
                <w:b/>
                <w:color w:val="0D0D0D"/>
              </w:rPr>
              <w:t>provide guidance</w:t>
            </w:r>
            <w:r w:rsidRPr="00613CA3">
              <w:rPr>
                <w:color w:val="0D0D0D"/>
              </w:rPr>
              <w:t xml:space="preserve"> on future directions of the analytical work in the field of transport.</w:t>
            </w:r>
          </w:p>
        </w:tc>
      </w:tr>
      <w:tr w:rsidR="005C2D88" w:rsidRPr="00613CA3" w14:paraId="0E93E7C8" w14:textId="77777777" w:rsidTr="00BC072D">
        <w:trPr>
          <w:jc w:val="center"/>
        </w:trPr>
        <w:tc>
          <w:tcPr>
            <w:tcW w:w="9637" w:type="dxa"/>
            <w:shd w:val="clear" w:color="auto" w:fill="auto"/>
          </w:tcPr>
          <w:p w14:paraId="1695DEE0" w14:textId="77777777" w:rsidR="005C2D88" w:rsidRPr="00613CA3" w:rsidRDefault="005C2D88" w:rsidP="00BC072D"/>
        </w:tc>
      </w:tr>
    </w:tbl>
    <w:p w14:paraId="5B2FA42B" w14:textId="3E1469C9" w:rsidR="005C2D88" w:rsidRPr="00BC072D" w:rsidRDefault="005C2D88" w:rsidP="00085C79">
      <w:pPr>
        <w:pStyle w:val="HChG"/>
      </w:pPr>
      <w:r w:rsidRPr="00613CA3">
        <w:tab/>
        <w:t>I.</w:t>
      </w:r>
      <w:r w:rsidRPr="00613CA3">
        <w:tab/>
        <w:t xml:space="preserve">Analytical Work and </w:t>
      </w:r>
      <w:r w:rsidR="00CE5048" w:rsidRPr="00613CA3">
        <w:t>Capacity-building</w:t>
      </w:r>
      <w:r w:rsidRPr="00613CA3">
        <w:t xml:space="preserve"> Workshops </w:t>
      </w:r>
      <w:r w:rsidR="00613CA3">
        <w:t>u</w:t>
      </w:r>
      <w:r w:rsidRPr="00D2630C">
        <w:t>ndertaken by the Working Party on Transport Trends and Economics</w:t>
      </w:r>
    </w:p>
    <w:p w14:paraId="4DB9EE85" w14:textId="0782CBB5" w:rsidR="00095123" w:rsidRPr="00613CA3" w:rsidRDefault="005C2D88" w:rsidP="00085C79">
      <w:pPr>
        <w:pStyle w:val="SingleTxtG"/>
      </w:pPr>
      <w:r w:rsidRPr="00BC072D">
        <w:t>1.</w:t>
      </w:r>
      <w:r w:rsidRPr="00BC072D">
        <w:tab/>
      </w:r>
      <w:r w:rsidRPr="00613CA3">
        <w:t>The Working Party on Transport Trends and Economics (WP.5) provides a forum for the exchange of experiences and ideas</w:t>
      </w:r>
      <w:r w:rsidR="00613CA3" w:rsidRPr="00E3372E">
        <w:t xml:space="preserve">, </w:t>
      </w:r>
      <w:r w:rsidRPr="00D2630C">
        <w:t>in</w:t>
      </w:r>
      <w:r w:rsidR="00613CA3">
        <w:t xml:space="preserve"> </w:t>
      </w:r>
      <w:r w:rsidRPr="00D2630C">
        <w:t>particular</w:t>
      </w:r>
      <w:r w:rsidR="00613CA3">
        <w:t>,</w:t>
      </w:r>
      <w:r w:rsidRPr="00D2630C">
        <w:t xml:space="preserve"> </w:t>
      </w:r>
      <w:r w:rsidR="00613CA3">
        <w:t xml:space="preserve">on the </w:t>
      </w:r>
      <w:r w:rsidRPr="00D2630C">
        <w:t xml:space="preserve">challenges to </w:t>
      </w:r>
      <w:r w:rsidRPr="00BC072D">
        <w:t>develop</w:t>
      </w:r>
      <w:r w:rsidR="00C212FA">
        <w:t xml:space="preserve"> </w:t>
      </w:r>
      <w:r w:rsidRPr="00D2630C">
        <w:t>sustainable inland transport. Its mandate allows it to assume the uni</w:t>
      </w:r>
      <w:r w:rsidRPr="00BC072D">
        <w:t xml:space="preserve">que role of a transport </w:t>
      </w:r>
      <w:r w:rsidR="00B253FA" w:rsidRPr="00BC072D">
        <w:t>‘</w:t>
      </w:r>
      <w:r w:rsidRPr="00613CA3">
        <w:t>think tank</w:t>
      </w:r>
      <w:r w:rsidR="00B253FA" w:rsidRPr="00613CA3">
        <w:t xml:space="preserve">’ </w:t>
      </w:r>
      <w:r w:rsidRPr="00613CA3">
        <w:t>in the framework of the Inland Transport Committee</w:t>
      </w:r>
      <w:r w:rsidR="00095123" w:rsidRPr="00613CA3">
        <w:t xml:space="preserve"> (ITC)</w:t>
      </w:r>
      <w:r w:rsidR="00B253FA" w:rsidRPr="00613CA3">
        <w:t>.</w:t>
      </w:r>
    </w:p>
    <w:p w14:paraId="7100498B" w14:textId="51DC3469" w:rsidR="005C2D88" w:rsidRPr="00D2630C" w:rsidRDefault="00F43B47" w:rsidP="00085C79">
      <w:pPr>
        <w:pStyle w:val="SingleTxtG"/>
      </w:pPr>
      <w:r w:rsidRPr="00613CA3">
        <w:lastRenderedPageBreak/>
        <w:t>2.</w:t>
      </w:r>
      <w:r w:rsidRPr="00613CA3">
        <w:tab/>
      </w:r>
      <w:r w:rsidR="005C2D88" w:rsidRPr="00613CA3">
        <w:t xml:space="preserve">As such, it aims </w:t>
      </w:r>
      <w:proofErr w:type="gramStart"/>
      <w:r w:rsidR="005C2D88" w:rsidRPr="00613CA3">
        <w:t>to:</w:t>
      </w:r>
      <w:proofErr w:type="gramEnd"/>
      <w:r w:rsidR="005C2D88" w:rsidRPr="00613CA3">
        <w:t xml:space="preserve"> identify the global trends and developments</w:t>
      </w:r>
      <w:r w:rsidR="00C212FA">
        <w:t>,</w:t>
      </w:r>
      <w:r w:rsidR="005C2D88" w:rsidRPr="00613CA3">
        <w:t xml:space="preserve"> which may have important implications for the transport sector and the challenges </w:t>
      </w:r>
      <w:r w:rsidR="00613CA3">
        <w:t xml:space="preserve">of </w:t>
      </w:r>
      <w:r w:rsidR="005C2D88" w:rsidRPr="00D2630C">
        <w:t xml:space="preserve">the sector; conduct reviews and provide analyses on </w:t>
      </w:r>
      <w:r w:rsidR="005C2D88" w:rsidRPr="00BC072D">
        <w:t xml:space="preserve">factors based on information </w:t>
      </w:r>
      <w:r w:rsidR="00613CA3">
        <w:t xml:space="preserve">from </w:t>
      </w:r>
      <w:r w:rsidR="005C2D88" w:rsidRPr="00D2630C">
        <w:t>member States; and, through consensus, make relevant policy recommendations that should lead to the development of sustainable transport systems.</w:t>
      </w:r>
    </w:p>
    <w:p w14:paraId="3312428C" w14:textId="77777777" w:rsidR="005C2D88" w:rsidRPr="00BC072D" w:rsidRDefault="005C2D88" w:rsidP="005C2D88">
      <w:pPr>
        <w:pStyle w:val="H1G"/>
      </w:pPr>
      <w:r w:rsidRPr="00BC072D">
        <w:tab/>
        <w:t>A.</w:t>
      </w:r>
      <w:r w:rsidRPr="00BC072D">
        <w:tab/>
        <w:t>Publications - Studies</w:t>
      </w:r>
    </w:p>
    <w:p w14:paraId="5E8FC1CF" w14:textId="77777777" w:rsidR="005C2D88" w:rsidRPr="00613CA3" w:rsidRDefault="00AB4714" w:rsidP="005C2D88">
      <w:pPr>
        <w:pStyle w:val="H23G"/>
      </w:pPr>
      <w:r w:rsidRPr="00613CA3">
        <w:tab/>
      </w:r>
      <w:r w:rsidR="00CF3B22" w:rsidRPr="00613CA3">
        <w:t>1.</w:t>
      </w:r>
      <w:r w:rsidRPr="00613CA3">
        <w:tab/>
      </w:r>
      <w:r w:rsidR="005C2D88" w:rsidRPr="00613CA3">
        <w:t>Transport Trends and Economics 201</w:t>
      </w:r>
      <w:r w:rsidR="00341EF1" w:rsidRPr="00613CA3">
        <w:t>7</w:t>
      </w:r>
      <w:r w:rsidR="00EC2D14" w:rsidRPr="00613CA3">
        <w:t>-</w:t>
      </w:r>
      <w:r w:rsidR="005C2D88" w:rsidRPr="00613CA3">
        <w:t>201</w:t>
      </w:r>
      <w:r w:rsidR="00341EF1" w:rsidRPr="00613CA3">
        <w:t>8</w:t>
      </w:r>
      <w:r w:rsidR="005C2D88" w:rsidRPr="00613CA3">
        <w:t xml:space="preserve">: </w:t>
      </w:r>
      <w:r w:rsidR="00341EF1" w:rsidRPr="00613CA3">
        <w:t xml:space="preserve">Mobility as a Service </w:t>
      </w:r>
    </w:p>
    <w:p w14:paraId="4C0B10F1" w14:textId="18E75E2C" w:rsidR="00341EF1" w:rsidRPr="00D2630C" w:rsidRDefault="00226801" w:rsidP="00085C79">
      <w:pPr>
        <w:pStyle w:val="SingleTxtG"/>
      </w:pPr>
      <w:r w:rsidRPr="00613CA3">
        <w:t>3</w:t>
      </w:r>
      <w:r w:rsidR="005C2D88" w:rsidRPr="00613CA3">
        <w:t>.</w:t>
      </w:r>
      <w:r w:rsidR="005C2D88" w:rsidRPr="00613CA3">
        <w:tab/>
        <w:t xml:space="preserve">This publication will make use of the workshop organized during </w:t>
      </w:r>
      <w:r w:rsidR="00341EF1" w:rsidRPr="00613CA3">
        <w:t>the last</w:t>
      </w:r>
      <w:r w:rsidR="005C2D88" w:rsidRPr="00613CA3">
        <w:t xml:space="preserve"> WP.5 session</w:t>
      </w:r>
      <w:r w:rsidR="005B67E4">
        <w:t xml:space="preserve"> (date)</w:t>
      </w:r>
      <w:r w:rsidR="00B253FA" w:rsidRPr="00D2630C">
        <w:t xml:space="preserve">. </w:t>
      </w:r>
      <w:r w:rsidR="005B67E4" w:rsidRPr="00B755A3">
        <w:t>D</w:t>
      </w:r>
      <w:r w:rsidR="006661F0" w:rsidRPr="00C212FA">
        <w:t xml:space="preserve">ata </w:t>
      </w:r>
      <w:proofErr w:type="gramStart"/>
      <w:r w:rsidR="005B67E4" w:rsidRPr="00B755A3">
        <w:t>will be collected</w:t>
      </w:r>
      <w:proofErr w:type="gramEnd"/>
      <w:r w:rsidR="005B67E4" w:rsidRPr="00B755A3">
        <w:t xml:space="preserve"> </w:t>
      </w:r>
      <w:r w:rsidR="005B67E4" w:rsidRPr="00C212FA">
        <w:t xml:space="preserve">for </w:t>
      </w:r>
      <w:r w:rsidR="00341EF1" w:rsidRPr="00C212FA">
        <w:t xml:space="preserve">a comprehensive analysis </w:t>
      </w:r>
      <w:r w:rsidR="005B67E4" w:rsidRPr="00B755A3">
        <w:t xml:space="preserve">of </w:t>
      </w:r>
      <w:r w:rsidR="00341EF1" w:rsidRPr="00C212FA">
        <w:t xml:space="preserve">the benefits that mobility as a service </w:t>
      </w:r>
      <w:r w:rsidR="005B67E4" w:rsidRPr="00B755A3">
        <w:t xml:space="preserve">can </w:t>
      </w:r>
      <w:r w:rsidR="00341EF1" w:rsidRPr="00C212FA">
        <w:t xml:space="preserve">bring to societies and </w:t>
      </w:r>
      <w:r w:rsidR="005B67E4" w:rsidRPr="00B755A3">
        <w:t xml:space="preserve">national economies by </w:t>
      </w:r>
      <w:r w:rsidR="00341EF1" w:rsidRPr="00C212FA">
        <w:t>tak</w:t>
      </w:r>
      <w:r w:rsidR="005B67E4" w:rsidRPr="00B755A3">
        <w:t>ing</w:t>
      </w:r>
      <w:r w:rsidR="00341EF1" w:rsidRPr="00C212FA">
        <w:t xml:space="preserve"> advantage </w:t>
      </w:r>
      <w:r w:rsidR="005B67E4" w:rsidRPr="00B755A3">
        <w:t xml:space="preserve">of existing </w:t>
      </w:r>
      <w:r w:rsidR="00341EF1" w:rsidRPr="00C212FA">
        <w:t xml:space="preserve">data </w:t>
      </w:r>
      <w:r w:rsidR="005B67E4" w:rsidRPr="00B755A3">
        <w:t>from national statistics offices</w:t>
      </w:r>
      <w:r w:rsidR="00341EF1" w:rsidRPr="00C212FA">
        <w:t>.</w:t>
      </w:r>
      <w:r w:rsidR="00341EF1" w:rsidRPr="00D2630C">
        <w:t xml:space="preserve"> </w:t>
      </w:r>
    </w:p>
    <w:p w14:paraId="5F95D939" w14:textId="6D668667" w:rsidR="005C2D88" w:rsidRPr="00D2630C" w:rsidRDefault="00A93ACA" w:rsidP="00085C79">
      <w:pPr>
        <w:pStyle w:val="SingleTxtG"/>
      </w:pPr>
      <w:r w:rsidRPr="00D2630C">
        <w:t>4.</w:t>
      </w:r>
      <w:r w:rsidR="009F34A0" w:rsidRPr="00613CA3">
        <w:tab/>
      </w:r>
      <w:r w:rsidR="005C2D88" w:rsidRPr="00613CA3">
        <w:t>Th</w:t>
      </w:r>
      <w:r w:rsidR="00C212FA">
        <w:t>e</w:t>
      </w:r>
      <w:r w:rsidR="005C2D88" w:rsidRPr="00613CA3">
        <w:t xml:space="preserve"> study will include data, analysis and presentations </w:t>
      </w:r>
      <w:r w:rsidR="005B67E4" w:rsidRPr="00613CA3">
        <w:t>o</w:t>
      </w:r>
      <w:r w:rsidR="005B67E4">
        <w:t>n</w:t>
      </w:r>
      <w:r w:rsidR="005B67E4" w:rsidRPr="00D2630C">
        <w:t xml:space="preserve"> </w:t>
      </w:r>
      <w:r w:rsidR="00341EF1" w:rsidRPr="00D2630C">
        <w:t>the concept of mobility as a service, the different providers that exist and operat</w:t>
      </w:r>
      <w:r w:rsidR="00C212FA">
        <w:t>e</w:t>
      </w:r>
      <w:r w:rsidR="00341EF1" w:rsidRPr="00D2630C">
        <w:t xml:space="preserve">, the different policies </w:t>
      </w:r>
      <w:r w:rsidR="005B67E4">
        <w:t xml:space="preserve">that </w:t>
      </w:r>
      <w:r w:rsidR="00341EF1" w:rsidRPr="00D2630C">
        <w:t xml:space="preserve">regulate </w:t>
      </w:r>
      <w:r w:rsidR="00C212FA">
        <w:t xml:space="preserve">these </w:t>
      </w:r>
      <w:r w:rsidR="00341EF1" w:rsidRPr="00D2630C">
        <w:t>business</w:t>
      </w:r>
      <w:r w:rsidR="005B67E4">
        <w:t>es</w:t>
      </w:r>
      <w:r w:rsidR="00341EF1" w:rsidRPr="00D2630C">
        <w:t xml:space="preserve"> </w:t>
      </w:r>
      <w:r w:rsidR="005B67E4">
        <w:t xml:space="preserve">in </w:t>
      </w:r>
      <w:r w:rsidR="00341EF1" w:rsidRPr="00D2630C">
        <w:t xml:space="preserve">different States </w:t>
      </w:r>
      <w:r w:rsidR="005B67E4">
        <w:t xml:space="preserve">and </w:t>
      </w:r>
      <w:r w:rsidR="00341EF1" w:rsidRPr="00D2630C">
        <w:t xml:space="preserve">the new business models that arise from it. </w:t>
      </w:r>
    </w:p>
    <w:p w14:paraId="12BB3A39" w14:textId="77777777" w:rsidR="00341EF1" w:rsidRPr="00613CA3" w:rsidRDefault="00A93ACA" w:rsidP="00085C79">
      <w:pPr>
        <w:pStyle w:val="SingleTxtG"/>
      </w:pPr>
      <w:r w:rsidRPr="00BC072D">
        <w:t>5.</w:t>
      </w:r>
      <w:r w:rsidR="009F34A0" w:rsidRPr="00613CA3">
        <w:tab/>
      </w:r>
      <w:r w:rsidR="00341EF1" w:rsidRPr="00613CA3">
        <w:t xml:space="preserve">The </w:t>
      </w:r>
      <w:r w:rsidR="009149FB" w:rsidRPr="00613CA3">
        <w:t xml:space="preserve">final </w:t>
      </w:r>
      <w:r w:rsidR="00341EF1" w:rsidRPr="00613CA3">
        <w:t>draft</w:t>
      </w:r>
      <w:r w:rsidR="009149FB" w:rsidRPr="00613CA3">
        <w:t xml:space="preserve"> of the</w:t>
      </w:r>
      <w:r w:rsidR="00341EF1" w:rsidRPr="00613CA3">
        <w:t xml:space="preserve"> publication will be ready for discussion</w:t>
      </w:r>
      <w:r w:rsidR="009149FB" w:rsidRPr="00613CA3">
        <w:t xml:space="preserve"> </w:t>
      </w:r>
      <w:r w:rsidR="00341EF1" w:rsidRPr="00613CA3">
        <w:t xml:space="preserve">and initial approval at the next session of WP.5 in September 2018. </w:t>
      </w:r>
    </w:p>
    <w:p w14:paraId="33B5605E" w14:textId="77777777" w:rsidR="00CF3B22" w:rsidRPr="00613CA3" w:rsidRDefault="00CF3B22" w:rsidP="00CF3B22">
      <w:pPr>
        <w:pStyle w:val="H23G"/>
      </w:pPr>
      <w:r w:rsidRPr="00613CA3">
        <w:tab/>
        <w:t xml:space="preserve">2. </w:t>
      </w:r>
      <w:r w:rsidRPr="00613CA3">
        <w:tab/>
        <w:t>Euro-Asian Transport Links report of Phase III</w:t>
      </w:r>
    </w:p>
    <w:p w14:paraId="503ED0D0" w14:textId="03694DEA" w:rsidR="00CF3B22" w:rsidRPr="00613CA3" w:rsidRDefault="00A93ACA" w:rsidP="00085C79">
      <w:pPr>
        <w:pStyle w:val="SingleTxtG"/>
      </w:pPr>
      <w:r w:rsidRPr="00613CA3">
        <w:t>6.</w:t>
      </w:r>
      <w:r w:rsidR="00CF3B22" w:rsidRPr="00613CA3">
        <w:tab/>
        <w:t>In</w:t>
      </w:r>
      <w:r w:rsidR="008513B5" w:rsidRPr="00613CA3">
        <w:t xml:space="preserve"> </w:t>
      </w:r>
      <w:r w:rsidR="00CF3B22" w:rsidRPr="00613CA3">
        <w:t>accordance</w:t>
      </w:r>
      <w:r w:rsidR="008513B5" w:rsidRPr="00613CA3">
        <w:t xml:space="preserve"> </w:t>
      </w:r>
      <w:r w:rsidR="00CF3B22" w:rsidRPr="00613CA3">
        <w:t>with</w:t>
      </w:r>
      <w:r w:rsidR="008513B5" w:rsidRPr="00613CA3">
        <w:t xml:space="preserve"> </w:t>
      </w:r>
      <w:r w:rsidR="00CF3B22" w:rsidRPr="00613CA3">
        <w:t>the</w:t>
      </w:r>
      <w:r w:rsidR="008513B5" w:rsidRPr="00613CA3">
        <w:t xml:space="preserve"> </w:t>
      </w:r>
      <w:r w:rsidR="00CF3B22" w:rsidRPr="00613CA3">
        <w:t>Joint</w:t>
      </w:r>
      <w:r w:rsidR="008513B5" w:rsidRPr="00613CA3">
        <w:t xml:space="preserve"> </w:t>
      </w:r>
      <w:r w:rsidR="00CF3B22" w:rsidRPr="00613CA3">
        <w:t>Declaration</w:t>
      </w:r>
      <w:r w:rsidR="008513B5" w:rsidRPr="00613CA3">
        <w:t xml:space="preserve"> </w:t>
      </w:r>
      <w:r w:rsidR="00CF3B22" w:rsidRPr="00613CA3">
        <w:t>on</w:t>
      </w:r>
      <w:r w:rsidR="008513B5" w:rsidRPr="00613CA3">
        <w:t xml:space="preserve"> </w:t>
      </w:r>
      <w:r w:rsidR="00CF3B22" w:rsidRPr="00613CA3">
        <w:t>Future</w:t>
      </w:r>
      <w:r w:rsidR="008513B5" w:rsidRPr="00613CA3">
        <w:t xml:space="preserve"> </w:t>
      </w:r>
      <w:r w:rsidR="00CF3B22" w:rsidRPr="00613CA3">
        <w:t>Development</w:t>
      </w:r>
      <w:r w:rsidR="008513B5" w:rsidRPr="00613CA3">
        <w:t xml:space="preserve"> </w:t>
      </w:r>
      <w:r w:rsidR="00CF3B22" w:rsidRPr="00613CA3">
        <w:t>of</w:t>
      </w:r>
      <w:r w:rsidR="008513B5" w:rsidRPr="00613CA3">
        <w:t xml:space="preserve"> </w:t>
      </w:r>
      <w:r w:rsidR="00CF3B22" w:rsidRPr="00613CA3">
        <w:t>Euro-Asian</w:t>
      </w:r>
      <w:r w:rsidR="008513B5" w:rsidRPr="00613CA3">
        <w:t xml:space="preserve"> </w:t>
      </w:r>
      <w:r w:rsidR="00CF3B22" w:rsidRPr="00613CA3">
        <w:t xml:space="preserve">Transport Links signed at the </w:t>
      </w:r>
      <w:r w:rsidR="002923A8">
        <w:t>ECE</w:t>
      </w:r>
      <w:r w:rsidR="00CF3B22" w:rsidRPr="00613CA3">
        <w:t xml:space="preserve"> </w:t>
      </w:r>
      <w:r w:rsidR="005B67E4" w:rsidRPr="00613CA3">
        <w:t xml:space="preserve">ministerial meeting </w:t>
      </w:r>
      <w:r w:rsidR="00CF3B22" w:rsidRPr="00613CA3">
        <w:t>“Making</w:t>
      </w:r>
      <w:r w:rsidR="008513B5" w:rsidRPr="00613CA3">
        <w:t xml:space="preserve"> </w:t>
      </w:r>
      <w:r w:rsidR="00CF3B22" w:rsidRPr="00613CA3">
        <w:t>the</w:t>
      </w:r>
      <w:r w:rsidR="008513B5" w:rsidRPr="00613CA3">
        <w:t xml:space="preserve"> </w:t>
      </w:r>
      <w:r w:rsidR="00CF3B22" w:rsidRPr="00613CA3">
        <w:t>Euro-Asian</w:t>
      </w:r>
      <w:r w:rsidR="008513B5" w:rsidRPr="00613CA3">
        <w:t xml:space="preserve"> </w:t>
      </w:r>
      <w:r w:rsidR="00CF3B22" w:rsidRPr="00613CA3">
        <w:t>Transport</w:t>
      </w:r>
      <w:r w:rsidR="008513B5" w:rsidRPr="00613CA3">
        <w:t xml:space="preserve"> </w:t>
      </w:r>
      <w:r w:rsidR="00CF3B22" w:rsidRPr="00613CA3">
        <w:t>Network</w:t>
      </w:r>
      <w:r w:rsidR="008513B5" w:rsidRPr="00613CA3">
        <w:t xml:space="preserve"> </w:t>
      </w:r>
      <w:r w:rsidR="00CF3B22" w:rsidRPr="00613CA3">
        <w:t>Operational”</w:t>
      </w:r>
      <w:r w:rsidR="008513B5" w:rsidRPr="00613CA3">
        <w:t xml:space="preserve"> </w:t>
      </w:r>
      <w:r w:rsidR="00CF3B22" w:rsidRPr="00613CA3">
        <w:t>on</w:t>
      </w:r>
      <w:r w:rsidR="008513B5" w:rsidRPr="00613CA3">
        <w:t xml:space="preserve"> </w:t>
      </w:r>
      <w:r w:rsidR="00CF3B22" w:rsidRPr="00613CA3">
        <w:t xml:space="preserve">26 February 2013, the Group of Experts should accomplish the following tasks: </w:t>
      </w:r>
    </w:p>
    <w:p w14:paraId="14DD8D2A" w14:textId="77777777" w:rsidR="00CF3B22" w:rsidRPr="00613CA3" w:rsidRDefault="00A93ACA" w:rsidP="00A93ACA">
      <w:pPr>
        <w:pStyle w:val="SingleTxtG"/>
        <w:ind w:firstLine="567"/>
      </w:pPr>
      <w:r w:rsidRPr="00613CA3">
        <w:t>(a)</w:t>
      </w:r>
      <w:r w:rsidRPr="00613CA3">
        <w:tab/>
      </w:r>
      <w:r w:rsidR="00CF3B22" w:rsidRPr="00613CA3">
        <w:t>analyse,</w:t>
      </w:r>
      <w:r w:rsidR="008513B5" w:rsidRPr="00613CA3">
        <w:t xml:space="preserve"> </w:t>
      </w:r>
      <w:r w:rsidR="00CF3B22" w:rsidRPr="00613CA3">
        <w:t>promote</w:t>
      </w:r>
      <w:r w:rsidR="008513B5" w:rsidRPr="00613CA3">
        <w:t xml:space="preserve"> </w:t>
      </w:r>
      <w:r w:rsidR="00CF3B22" w:rsidRPr="00613CA3">
        <w:t>and</w:t>
      </w:r>
      <w:r w:rsidR="008513B5" w:rsidRPr="00613CA3">
        <w:t xml:space="preserve"> </w:t>
      </w:r>
      <w:r w:rsidR="00CF3B22" w:rsidRPr="00613CA3">
        <w:t>present</w:t>
      </w:r>
      <w:r w:rsidR="008513B5" w:rsidRPr="00613CA3">
        <w:t xml:space="preserve"> </w:t>
      </w:r>
      <w:r w:rsidR="00CF3B22" w:rsidRPr="00613CA3">
        <w:t>to</w:t>
      </w:r>
      <w:r w:rsidR="008513B5" w:rsidRPr="00613CA3">
        <w:t xml:space="preserve"> </w:t>
      </w:r>
      <w:r w:rsidR="00CF3B22" w:rsidRPr="00613CA3">
        <w:t>international</w:t>
      </w:r>
      <w:r w:rsidR="008513B5" w:rsidRPr="00613CA3">
        <w:t xml:space="preserve"> </w:t>
      </w:r>
      <w:r w:rsidR="00CF3B22" w:rsidRPr="00613CA3">
        <w:t>financial</w:t>
      </w:r>
      <w:r w:rsidR="008513B5" w:rsidRPr="00613CA3">
        <w:t xml:space="preserve"> </w:t>
      </w:r>
      <w:r w:rsidR="00CF3B22" w:rsidRPr="00613CA3">
        <w:t>institutions</w:t>
      </w:r>
      <w:r w:rsidR="008513B5" w:rsidRPr="00613CA3">
        <w:t xml:space="preserve"> </w:t>
      </w:r>
      <w:r w:rsidR="00CF3B22" w:rsidRPr="00613CA3">
        <w:t>and</w:t>
      </w:r>
      <w:r w:rsidR="008513B5" w:rsidRPr="00613CA3">
        <w:t xml:space="preserve"> </w:t>
      </w:r>
      <w:r w:rsidR="00CF3B22" w:rsidRPr="00613CA3">
        <w:t xml:space="preserve">other donors high priority EATL projects, feasibility or other relevant studies with the objective to facilitate sustainable and long-term financing of these projects; </w:t>
      </w:r>
    </w:p>
    <w:p w14:paraId="127D3052" w14:textId="77777777" w:rsidR="00CF3B22" w:rsidRPr="00613CA3" w:rsidRDefault="00A93ACA" w:rsidP="00A93ACA">
      <w:pPr>
        <w:pStyle w:val="SingleTxtG"/>
        <w:ind w:firstLine="567"/>
      </w:pPr>
      <w:r w:rsidRPr="00613CA3">
        <w:t>(b)</w:t>
      </w:r>
      <w:r w:rsidRPr="00613CA3">
        <w:tab/>
      </w:r>
      <w:r w:rsidR="00CF3B22" w:rsidRPr="00613CA3">
        <w:t xml:space="preserve">Identification of cargo flows (quantities and types) that could be transported along the nine Euro-Asian </w:t>
      </w:r>
      <w:proofErr w:type="gramStart"/>
      <w:r w:rsidR="00CF3B22" w:rsidRPr="00613CA3">
        <w:t>rail</w:t>
      </w:r>
      <w:proofErr w:type="gramEnd"/>
      <w:r w:rsidR="00CF3B22" w:rsidRPr="00613CA3">
        <w:t xml:space="preserve"> and road transport links; </w:t>
      </w:r>
    </w:p>
    <w:p w14:paraId="67B365C5" w14:textId="77777777" w:rsidR="00CF3B22" w:rsidRPr="00613CA3" w:rsidRDefault="00A93ACA" w:rsidP="00A93ACA">
      <w:pPr>
        <w:pStyle w:val="SingleTxtG"/>
        <w:ind w:firstLine="567"/>
      </w:pPr>
      <w:r w:rsidRPr="00613CA3">
        <w:t>(c)</w:t>
      </w:r>
      <w:r w:rsidRPr="00613CA3">
        <w:tab/>
      </w:r>
      <w:r w:rsidR="00CF3B22" w:rsidRPr="00613CA3">
        <w:t>Facilitation</w:t>
      </w:r>
      <w:r w:rsidR="008513B5" w:rsidRPr="00613CA3">
        <w:t xml:space="preserve"> </w:t>
      </w:r>
      <w:r w:rsidR="00CF3B22" w:rsidRPr="00613CA3">
        <w:t>of</w:t>
      </w:r>
      <w:r w:rsidR="008513B5" w:rsidRPr="00613CA3">
        <w:t xml:space="preserve"> </w:t>
      </w:r>
      <w:r w:rsidR="00CF3B22" w:rsidRPr="00613CA3">
        <w:t>coordination</w:t>
      </w:r>
      <w:r w:rsidR="008513B5" w:rsidRPr="00613CA3">
        <w:t xml:space="preserve"> </w:t>
      </w:r>
      <w:r w:rsidR="00CF3B22" w:rsidRPr="00613CA3">
        <w:t>of</w:t>
      </w:r>
      <w:r w:rsidR="008513B5" w:rsidRPr="00613CA3">
        <w:t xml:space="preserve"> </w:t>
      </w:r>
      <w:r w:rsidR="00CF3B22" w:rsidRPr="00613CA3">
        <w:t>integrated time</w:t>
      </w:r>
      <w:r w:rsidR="008513B5" w:rsidRPr="00613CA3">
        <w:t xml:space="preserve"> </w:t>
      </w:r>
      <w:r w:rsidR="00CF3B22" w:rsidRPr="00613CA3">
        <w:t>schedules</w:t>
      </w:r>
      <w:r w:rsidR="008513B5" w:rsidRPr="00613CA3">
        <w:t xml:space="preserve"> </w:t>
      </w:r>
      <w:r w:rsidR="00CF3B22" w:rsidRPr="00613CA3">
        <w:t>and</w:t>
      </w:r>
      <w:r w:rsidR="008513B5" w:rsidRPr="00613CA3">
        <w:t xml:space="preserve"> </w:t>
      </w:r>
      <w:r w:rsidR="00CF3B22" w:rsidRPr="00613CA3">
        <w:t>tariffs</w:t>
      </w:r>
      <w:r w:rsidR="008513B5" w:rsidRPr="00613CA3">
        <w:t xml:space="preserve"> </w:t>
      </w:r>
      <w:r w:rsidR="00CF3B22" w:rsidRPr="00613CA3">
        <w:t>for</w:t>
      </w:r>
      <w:r w:rsidR="008513B5" w:rsidRPr="00613CA3">
        <w:t xml:space="preserve"> </w:t>
      </w:r>
      <w:r w:rsidR="00CF3B22" w:rsidRPr="00613CA3">
        <w:t xml:space="preserve">the nine </w:t>
      </w:r>
      <w:proofErr w:type="gramStart"/>
      <w:r w:rsidR="00CF3B22" w:rsidRPr="00613CA3">
        <w:t>rail</w:t>
      </w:r>
      <w:proofErr w:type="gramEnd"/>
      <w:r w:rsidR="00CF3B22" w:rsidRPr="00613CA3">
        <w:t xml:space="preserve"> and road transport links; </w:t>
      </w:r>
    </w:p>
    <w:p w14:paraId="6854284E" w14:textId="77777777" w:rsidR="00CF3B22" w:rsidRPr="00613CA3" w:rsidRDefault="00A93ACA" w:rsidP="00A93ACA">
      <w:pPr>
        <w:pStyle w:val="SingleTxtG"/>
        <w:ind w:firstLine="567"/>
      </w:pPr>
      <w:r w:rsidRPr="00613CA3">
        <w:t>(d)</w:t>
      </w:r>
      <w:r w:rsidRPr="00613CA3">
        <w:tab/>
      </w:r>
      <w:r w:rsidR="00CF3B22" w:rsidRPr="00613CA3">
        <w:t>Promotion</w:t>
      </w:r>
      <w:r w:rsidR="008513B5" w:rsidRPr="00613CA3">
        <w:t xml:space="preserve"> </w:t>
      </w:r>
      <w:r w:rsidR="00CF3B22" w:rsidRPr="00613CA3">
        <w:t>of</w:t>
      </w:r>
      <w:r w:rsidR="008513B5" w:rsidRPr="00613CA3">
        <w:t xml:space="preserve"> </w:t>
      </w:r>
      <w:r w:rsidR="00CF3B22" w:rsidRPr="00613CA3">
        <w:t>Euro-Asian</w:t>
      </w:r>
      <w:r w:rsidR="008513B5" w:rsidRPr="00613CA3">
        <w:t xml:space="preserve"> </w:t>
      </w:r>
      <w:r w:rsidR="00CF3B22" w:rsidRPr="00613CA3">
        <w:t>inland</w:t>
      </w:r>
      <w:r w:rsidR="008513B5" w:rsidRPr="00613CA3">
        <w:t xml:space="preserve"> </w:t>
      </w:r>
      <w:r w:rsidR="00CF3B22" w:rsidRPr="00613CA3">
        <w:t>transport</w:t>
      </w:r>
      <w:r w:rsidR="008513B5" w:rsidRPr="00613CA3">
        <w:t xml:space="preserve"> </w:t>
      </w:r>
      <w:r w:rsidR="00CF3B22" w:rsidRPr="00613CA3">
        <w:t>routes</w:t>
      </w:r>
      <w:r w:rsidR="008513B5" w:rsidRPr="00613CA3">
        <w:t xml:space="preserve"> </w:t>
      </w:r>
      <w:r w:rsidR="00CF3B22" w:rsidRPr="00613CA3">
        <w:t>and</w:t>
      </w:r>
      <w:r w:rsidR="008513B5" w:rsidRPr="00613CA3">
        <w:t xml:space="preserve"> </w:t>
      </w:r>
      <w:r w:rsidR="00CF3B22" w:rsidRPr="00613CA3">
        <w:t>development</w:t>
      </w:r>
      <w:r w:rsidR="008513B5" w:rsidRPr="00613CA3">
        <w:t xml:space="preserve"> </w:t>
      </w:r>
      <w:r w:rsidR="00CF3B22" w:rsidRPr="00613CA3">
        <w:t>of</w:t>
      </w:r>
      <w:r w:rsidR="008513B5" w:rsidRPr="00613CA3">
        <w:t xml:space="preserve"> </w:t>
      </w:r>
      <w:r w:rsidR="00CF3B22" w:rsidRPr="00613CA3">
        <w:t xml:space="preserve">an integrated marketing strategy; </w:t>
      </w:r>
    </w:p>
    <w:p w14:paraId="7F9B2E32" w14:textId="77777777" w:rsidR="00CF3B22" w:rsidRPr="00613CA3" w:rsidRDefault="00CF3B22" w:rsidP="00A93ACA">
      <w:pPr>
        <w:pStyle w:val="SingleTxtG"/>
        <w:ind w:firstLine="567"/>
      </w:pPr>
      <w:proofErr w:type="gramStart"/>
      <w:r w:rsidRPr="00613CA3">
        <w:t>(e)</w:t>
      </w:r>
      <w:r w:rsidR="00A93ACA" w:rsidRPr="00613CA3">
        <w:tab/>
      </w:r>
      <w:r w:rsidRPr="00613CA3">
        <w:t>Update</w:t>
      </w:r>
      <w:r w:rsidR="008513B5" w:rsidRPr="00613CA3">
        <w:t xml:space="preserve"> </w:t>
      </w:r>
      <w:r w:rsidRPr="00613CA3">
        <w:t>and</w:t>
      </w:r>
      <w:r w:rsidR="008513B5" w:rsidRPr="00613CA3">
        <w:t xml:space="preserve"> </w:t>
      </w:r>
      <w:r w:rsidRPr="00613CA3">
        <w:t>upgrade</w:t>
      </w:r>
      <w:r w:rsidR="008513B5" w:rsidRPr="00613CA3">
        <w:t xml:space="preserve"> </w:t>
      </w:r>
      <w:r w:rsidRPr="00613CA3">
        <w:t>of</w:t>
      </w:r>
      <w:r w:rsidR="008513B5" w:rsidRPr="00613CA3">
        <w:t xml:space="preserve"> </w:t>
      </w:r>
      <w:r w:rsidRPr="00613CA3">
        <w:t>the</w:t>
      </w:r>
      <w:r w:rsidR="008513B5" w:rsidRPr="00613CA3">
        <w:t xml:space="preserve"> </w:t>
      </w:r>
      <w:r w:rsidRPr="00613CA3">
        <w:t>Geographical</w:t>
      </w:r>
      <w:r w:rsidR="008513B5" w:rsidRPr="00613CA3">
        <w:t xml:space="preserve"> </w:t>
      </w:r>
      <w:r w:rsidRPr="00613CA3">
        <w:t>Information</w:t>
      </w:r>
      <w:r w:rsidR="008513B5" w:rsidRPr="00613CA3">
        <w:t xml:space="preserve"> </w:t>
      </w:r>
      <w:r w:rsidRPr="00613CA3">
        <w:t>Systems</w:t>
      </w:r>
      <w:r w:rsidR="008513B5" w:rsidRPr="00613CA3">
        <w:t xml:space="preserve"> </w:t>
      </w:r>
      <w:r w:rsidRPr="00613CA3">
        <w:t>(GIS) application.</w:t>
      </w:r>
      <w:proofErr w:type="gramEnd"/>
    </w:p>
    <w:p w14:paraId="7F4829A6" w14:textId="65126A15" w:rsidR="00CF3B22" w:rsidRPr="00613CA3" w:rsidRDefault="00A93ACA" w:rsidP="00085C79">
      <w:pPr>
        <w:pStyle w:val="SingleTxtG"/>
      </w:pPr>
      <w:r w:rsidRPr="00613CA3">
        <w:t>7.</w:t>
      </w:r>
      <w:r w:rsidR="00CF3B22" w:rsidRPr="00613CA3">
        <w:tab/>
        <w:t>The final report of the Group includes a comprehensive St</w:t>
      </w:r>
      <w:r w:rsidR="00425821" w:rsidRPr="00613CA3">
        <w:t>r</w:t>
      </w:r>
      <w:r w:rsidR="00CF3B22" w:rsidRPr="00613CA3">
        <w:t>en</w:t>
      </w:r>
      <w:r w:rsidR="00425821" w:rsidRPr="00613CA3">
        <w:t>g</w:t>
      </w:r>
      <w:r w:rsidR="00CF3B22" w:rsidRPr="00613CA3">
        <w:t xml:space="preserve">ths-Weaknesses-Opportunities-Threats </w:t>
      </w:r>
      <w:r w:rsidR="00425821" w:rsidRPr="00613CA3">
        <w:t>analysis</w:t>
      </w:r>
      <w:r w:rsidR="00CF3B22" w:rsidRPr="00613CA3">
        <w:t xml:space="preserve"> </w:t>
      </w:r>
      <w:r w:rsidR="00D2630C">
        <w:t>and</w:t>
      </w:r>
      <w:r w:rsidR="00CF3B22" w:rsidRPr="00D2630C">
        <w:t xml:space="preserve"> suggests policies and recommendations </w:t>
      </w:r>
      <w:r w:rsidR="00CF3B22" w:rsidRPr="00BC072D">
        <w:t xml:space="preserve">to </w:t>
      </w:r>
      <w:r w:rsidR="00425821" w:rsidRPr="00BC072D">
        <w:t xml:space="preserve">overpass the main obstacles and make the Euro-Asian corridors operational. </w:t>
      </w:r>
    </w:p>
    <w:p w14:paraId="0E72BE51" w14:textId="77777777" w:rsidR="005C2D88" w:rsidRPr="00613CA3" w:rsidRDefault="005C2D88" w:rsidP="00AB4714">
      <w:pPr>
        <w:pStyle w:val="H1G"/>
      </w:pPr>
      <w:r w:rsidRPr="00613CA3">
        <w:tab/>
        <w:t>B.</w:t>
      </w:r>
      <w:r w:rsidRPr="00613CA3">
        <w:tab/>
        <w:t>Workshops</w:t>
      </w:r>
    </w:p>
    <w:p w14:paraId="62FBEA63" w14:textId="4B6783C6" w:rsidR="005C2D88" w:rsidRPr="00613CA3" w:rsidRDefault="005C2D88" w:rsidP="00AB4714">
      <w:pPr>
        <w:pStyle w:val="H23G"/>
      </w:pPr>
      <w:r w:rsidRPr="00613CA3">
        <w:tab/>
        <w:t>1.</w:t>
      </w:r>
      <w:r w:rsidRPr="00613CA3">
        <w:tab/>
      </w:r>
      <w:r w:rsidR="009F34A0" w:rsidRPr="00613CA3">
        <w:t xml:space="preserve">Transport Infrastructure Corridors </w:t>
      </w:r>
      <w:r w:rsidR="00C212FA">
        <w:t xml:space="preserve">in </w:t>
      </w:r>
      <w:r w:rsidR="009F34A0" w:rsidRPr="00613CA3">
        <w:t>Europe and Asia</w:t>
      </w:r>
    </w:p>
    <w:p w14:paraId="755BC44F" w14:textId="035E17D4" w:rsidR="009F34A0" w:rsidRPr="00D2630C" w:rsidRDefault="007C5DFE" w:rsidP="00085C79">
      <w:pPr>
        <w:pStyle w:val="SingleTxtG"/>
      </w:pPr>
      <w:r w:rsidRPr="00613CA3">
        <w:t>8</w:t>
      </w:r>
      <w:r w:rsidR="009F34A0" w:rsidRPr="00613CA3">
        <w:t>.</w:t>
      </w:r>
      <w:r w:rsidR="009F34A0" w:rsidRPr="00613CA3">
        <w:tab/>
      </w:r>
      <w:proofErr w:type="gramStart"/>
      <w:r w:rsidR="009F34A0" w:rsidRPr="00613CA3">
        <w:t>During</w:t>
      </w:r>
      <w:proofErr w:type="gramEnd"/>
      <w:r w:rsidR="009F34A0" w:rsidRPr="00613CA3">
        <w:t xml:space="preserve"> its twenty-eighth session </w:t>
      </w:r>
      <w:r w:rsidR="00D2630C">
        <w:t>(</w:t>
      </w:r>
      <w:r w:rsidR="009F34A0" w:rsidRPr="00D2630C">
        <w:t>7-9 September 2015</w:t>
      </w:r>
      <w:r w:rsidR="00D2630C">
        <w:t>, Geneva)</w:t>
      </w:r>
      <w:r w:rsidR="009F34A0" w:rsidRPr="00D2630C">
        <w:t xml:space="preserve"> the Working Party organized a workshop on “Road and Rail transport corridors along Europe and Asia”. The participants agreed that despite the numerous initiatives that exist and operate for transport corridors development </w:t>
      </w:r>
      <w:r w:rsidR="00C212FA">
        <w:t xml:space="preserve">between </w:t>
      </w:r>
      <w:r w:rsidR="009F34A0" w:rsidRPr="00D2630C">
        <w:t xml:space="preserve">Europe and Asia, cooperation </w:t>
      </w:r>
      <w:r w:rsidR="00C212FA">
        <w:t xml:space="preserve">between the </w:t>
      </w:r>
      <w:r w:rsidR="009F34A0" w:rsidRPr="00D2630C">
        <w:t xml:space="preserve">initiatives is </w:t>
      </w:r>
      <w:r w:rsidR="009F34A0" w:rsidRPr="00D2630C">
        <w:lastRenderedPageBreak/>
        <w:t xml:space="preserve">very low or non-existent. During its twenty-ninth session </w:t>
      </w:r>
      <w:r w:rsidR="00D2630C">
        <w:t>(</w:t>
      </w:r>
      <w:r w:rsidR="009F34A0" w:rsidRPr="00D2630C">
        <w:t>5-7 September 2016</w:t>
      </w:r>
      <w:r w:rsidR="00D2630C">
        <w:t>, Geneva)</w:t>
      </w:r>
      <w:r w:rsidR="00C212FA">
        <w:t>,</w:t>
      </w:r>
      <w:r w:rsidR="009F34A0" w:rsidRPr="00D2630C">
        <w:t xml:space="preserve"> the Working Party approved the development of a transport infrastructure observatory in Europe and Asia which should include all existing initiatives on transport infrastructure development in Europe and Asia</w:t>
      </w:r>
      <w:r w:rsidR="00C212FA">
        <w:t>.</w:t>
      </w:r>
      <w:r w:rsidR="009F34A0" w:rsidRPr="00D2630C">
        <w:t xml:space="preserve"> </w:t>
      </w:r>
      <w:r w:rsidR="00C212FA">
        <w:t>T</w:t>
      </w:r>
      <w:r w:rsidR="009F34A0" w:rsidRPr="00D2630C">
        <w:t xml:space="preserve">he main objective </w:t>
      </w:r>
      <w:r w:rsidR="00C212FA">
        <w:t xml:space="preserve">is </w:t>
      </w:r>
      <w:r w:rsidR="009F34A0" w:rsidRPr="00D2630C">
        <w:t xml:space="preserve">to foster cooperation among these initiatives. This year’s workshop was a </w:t>
      </w:r>
      <w:r w:rsidR="00D2630C" w:rsidRPr="00D2630C">
        <w:t>follow</w:t>
      </w:r>
      <w:r w:rsidR="00D2630C">
        <w:t>-</w:t>
      </w:r>
      <w:r w:rsidR="009F34A0" w:rsidRPr="00D2630C">
        <w:t>up to the</w:t>
      </w:r>
      <w:r w:rsidR="00D2630C">
        <w:t xml:space="preserve">se </w:t>
      </w:r>
      <w:r w:rsidR="009F34A0" w:rsidRPr="00D2630C">
        <w:t>actions and experts had the opportunity to share their experience</w:t>
      </w:r>
      <w:r w:rsidR="00D2630C">
        <w:t>s</w:t>
      </w:r>
      <w:r w:rsidR="009F34A0" w:rsidRPr="00D2630C">
        <w:t xml:space="preserve"> </w:t>
      </w:r>
      <w:r w:rsidR="00C212FA">
        <w:t>in</w:t>
      </w:r>
      <w:r w:rsidR="00D2630C">
        <w:t xml:space="preserve"> </w:t>
      </w:r>
      <w:r w:rsidR="009F34A0" w:rsidRPr="00D2630C">
        <w:t>corridor development, to contribute on the discussions on how to strengthen cooperation</w:t>
      </w:r>
      <w:r w:rsidR="00D2630C">
        <w:t>,</w:t>
      </w:r>
      <w:r w:rsidR="009F34A0" w:rsidRPr="00D2630C">
        <w:t xml:space="preserve"> </w:t>
      </w:r>
      <w:r w:rsidR="00D2630C">
        <w:t xml:space="preserve">and </w:t>
      </w:r>
      <w:r w:rsidR="009F34A0" w:rsidRPr="00D2630C">
        <w:t>discuss the principles that the transport infrastructure observatory should follow to facilitate cooperation among the different initiatives.</w:t>
      </w:r>
    </w:p>
    <w:p w14:paraId="5C86FD90" w14:textId="77777777" w:rsidR="009F34A0" w:rsidRPr="00613CA3" w:rsidRDefault="007C5DFE" w:rsidP="00085C79">
      <w:pPr>
        <w:pStyle w:val="SingleTxtG"/>
      </w:pPr>
      <w:r w:rsidRPr="00BC072D">
        <w:t>9</w:t>
      </w:r>
      <w:r w:rsidR="009F34A0" w:rsidRPr="00BC072D">
        <w:t>.</w:t>
      </w:r>
      <w:r w:rsidR="009F34A0" w:rsidRPr="00BC072D">
        <w:tab/>
        <w:t xml:space="preserve">The </w:t>
      </w:r>
      <w:r w:rsidR="009F34A0" w:rsidRPr="00613CA3">
        <w:t>participants:</w:t>
      </w:r>
    </w:p>
    <w:p w14:paraId="41BA68AF" w14:textId="77777777" w:rsidR="009F34A0" w:rsidRPr="00613CA3" w:rsidRDefault="009F34A0" w:rsidP="009F34A0">
      <w:pPr>
        <w:pStyle w:val="SingleTxtG"/>
        <w:ind w:firstLine="567"/>
      </w:pPr>
      <w:r w:rsidRPr="00613CA3">
        <w:t>(a)</w:t>
      </w:r>
      <w:r w:rsidRPr="00613CA3">
        <w:tab/>
        <w:t>Took note of the recent trends and developments on corridors in the ECE region:</w:t>
      </w:r>
    </w:p>
    <w:p w14:paraId="274EE694" w14:textId="09AC0025" w:rsidR="009F34A0" w:rsidRPr="00613CA3" w:rsidRDefault="009F34A0" w:rsidP="00A93ACA">
      <w:pPr>
        <w:pStyle w:val="Bullet1G"/>
      </w:pPr>
      <w:r w:rsidRPr="00613CA3">
        <w:t>Noted the proposal for the development of a connection of</w:t>
      </w:r>
      <w:r w:rsidR="00C212FA">
        <w:t xml:space="preserve"> the</w:t>
      </w:r>
      <w:r w:rsidRPr="00613CA3">
        <w:t xml:space="preserve"> Danube river with </w:t>
      </w:r>
      <w:r w:rsidR="00D2630C">
        <w:t xml:space="preserve">the </w:t>
      </w:r>
      <w:r w:rsidRPr="00BC072D">
        <w:t xml:space="preserve">Morava river of Serbia and then with </w:t>
      </w:r>
      <w:r w:rsidR="00C212FA">
        <w:t xml:space="preserve">the </w:t>
      </w:r>
      <w:proofErr w:type="spellStart"/>
      <w:r w:rsidRPr="00BC072D">
        <w:t>Axios</w:t>
      </w:r>
      <w:proofErr w:type="spellEnd"/>
      <w:r w:rsidRPr="00BC072D">
        <w:t xml:space="preserve"> river of </w:t>
      </w:r>
      <w:r w:rsidR="00D2630C">
        <w:t xml:space="preserve">the </w:t>
      </w:r>
      <w:r w:rsidRPr="00BC072D">
        <w:t xml:space="preserve">former </w:t>
      </w:r>
      <w:r w:rsidRPr="00613CA3">
        <w:t xml:space="preserve">Yugoslav Republic of Macedonia and Greece, </w:t>
      </w:r>
      <w:r w:rsidR="00C212FA">
        <w:t xml:space="preserve">that </w:t>
      </w:r>
      <w:r w:rsidR="00C212FA" w:rsidRPr="00613CA3">
        <w:t>end</w:t>
      </w:r>
      <w:r w:rsidR="00C212FA">
        <w:t>s</w:t>
      </w:r>
      <w:r w:rsidR="00C212FA" w:rsidRPr="00613CA3">
        <w:t xml:space="preserve"> </w:t>
      </w:r>
      <w:r w:rsidR="00C212FA">
        <w:t xml:space="preserve">at </w:t>
      </w:r>
      <w:r w:rsidRPr="00613CA3">
        <w:t>the Mediterranean Sea in the port of Thessaloniki;</w:t>
      </w:r>
    </w:p>
    <w:p w14:paraId="18F08FEA" w14:textId="38A37F78" w:rsidR="009F34A0" w:rsidRPr="00613CA3" w:rsidRDefault="009F34A0" w:rsidP="00A93ACA">
      <w:pPr>
        <w:pStyle w:val="Bullet1G"/>
      </w:pPr>
      <w:r w:rsidRPr="00613CA3">
        <w:t xml:space="preserve">Recalled that the Core Transport Network for the Western Balkans </w:t>
      </w:r>
      <w:proofErr w:type="gramStart"/>
      <w:r w:rsidRPr="00613CA3">
        <w:t>was agreed</w:t>
      </w:r>
      <w:proofErr w:type="gramEnd"/>
      <w:r w:rsidRPr="00613CA3">
        <w:t xml:space="preserve"> </w:t>
      </w:r>
      <w:r w:rsidR="00C212FA">
        <w:t xml:space="preserve">on </w:t>
      </w:r>
      <w:r w:rsidRPr="00613CA3">
        <w:t xml:space="preserve">in 2015, based on the </w:t>
      </w:r>
      <w:r w:rsidR="00C212FA">
        <w:t>c</w:t>
      </w:r>
      <w:r w:rsidRPr="00613CA3">
        <w:t>omprehensive network (TEN-T methodology) under the Memorandum of Understanding (</w:t>
      </w:r>
      <w:proofErr w:type="spellStart"/>
      <w:r w:rsidRPr="00613CA3">
        <w:t>MoU</w:t>
      </w:r>
      <w:proofErr w:type="spellEnd"/>
      <w:r w:rsidRPr="00613CA3">
        <w:t xml:space="preserve">) signed between SEETO </w:t>
      </w:r>
      <w:r w:rsidRPr="00BC072D">
        <w:t xml:space="preserve">and </w:t>
      </w:r>
      <w:r w:rsidR="00D2630C">
        <w:t xml:space="preserve">the </w:t>
      </w:r>
      <w:r w:rsidRPr="00BC072D">
        <w:t xml:space="preserve">European Union. This </w:t>
      </w:r>
      <w:r w:rsidRPr="00613CA3">
        <w:t>extended the TEN-T Core Network to the Western Balkans;</w:t>
      </w:r>
    </w:p>
    <w:p w14:paraId="5FCDB6CF" w14:textId="09427765" w:rsidR="009F34A0" w:rsidRPr="00613CA3" w:rsidRDefault="009F34A0" w:rsidP="00A93ACA">
      <w:pPr>
        <w:pStyle w:val="Bullet1G"/>
      </w:pPr>
      <w:r w:rsidRPr="00613CA3">
        <w:t xml:space="preserve">Were informed about </w:t>
      </w:r>
      <w:r w:rsidR="00D2630C">
        <w:t xml:space="preserve">the </w:t>
      </w:r>
      <w:r w:rsidR="00D2630C">
        <w:rPr>
          <w:lang w:val="en"/>
        </w:rPr>
        <w:t xml:space="preserve">“One Belt - One Road initiative (OBOR)” </w:t>
      </w:r>
      <w:r w:rsidRPr="00613CA3">
        <w:t xml:space="preserve">which focuses on </w:t>
      </w:r>
      <w:r w:rsidR="00D2630C">
        <w:t xml:space="preserve">the </w:t>
      </w:r>
      <w:r w:rsidRPr="00BC072D">
        <w:t>Asian, European and African continents but is open to all countries for regional economic cooperation and common prosperity</w:t>
      </w:r>
      <w:r w:rsidR="006E534B">
        <w:t>,</w:t>
      </w:r>
      <w:r w:rsidRPr="00BC072D">
        <w:t xml:space="preserve"> </w:t>
      </w:r>
      <w:r w:rsidR="00C212FA">
        <w:t xml:space="preserve">and </w:t>
      </w:r>
      <w:r w:rsidRPr="00BC072D">
        <w:t xml:space="preserve">works towards connectivity of policy, infrastructure, trade, </w:t>
      </w:r>
      <w:proofErr w:type="gramStart"/>
      <w:r w:rsidRPr="00BC072D">
        <w:t>finance</w:t>
      </w:r>
      <w:proofErr w:type="gramEnd"/>
      <w:r w:rsidRPr="00BC072D">
        <w:t xml:space="preserve"> and people-to-pe</w:t>
      </w:r>
      <w:r w:rsidRPr="00613CA3">
        <w:t>ople. The project includes 350 road routes open for international passenger and freight transport and 4</w:t>
      </w:r>
      <w:r w:rsidR="006E534B">
        <w:t>,</w:t>
      </w:r>
      <w:r w:rsidRPr="00BC072D">
        <w:t xml:space="preserve">000 </w:t>
      </w:r>
      <w:r w:rsidR="006E534B">
        <w:t>r</w:t>
      </w:r>
      <w:r w:rsidRPr="00BC072D">
        <w:t xml:space="preserve">ailway </w:t>
      </w:r>
      <w:r w:rsidR="006E534B">
        <w:t>e</w:t>
      </w:r>
      <w:r w:rsidR="006E534B" w:rsidRPr="00BC072D">
        <w:t xml:space="preserve">xpress </w:t>
      </w:r>
      <w:r w:rsidRPr="00BC072D">
        <w:t xml:space="preserve">trains to 29 cities in 11 European countries; </w:t>
      </w:r>
    </w:p>
    <w:p w14:paraId="71EB02E1" w14:textId="33443F52" w:rsidR="009F34A0" w:rsidRPr="00BC072D" w:rsidRDefault="009F34A0" w:rsidP="00A93ACA">
      <w:pPr>
        <w:pStyle w:val="Bullet1G"/>
      </w:pPr>
      <w:r w:rsidRPr="00613CA3">
        <w:t>Were informed about the Orient-East Med corridor</w:t>
      </w:r>
      <w:r w:rsidR="006E534B">
        <w:t xml:space="preserve"> and a </w:t>
      </w:r>
      <w:r w:rsidR="006E534B" w:rsidRPr="00BC072D">
        <w:t xml:space="preserve">feasibility study </w:t>
      </w:r>
      <w:r w:rsidRPr="00BC072D">
        <w:t xml:space="preserve">on </w:t>
      </w:r>
      <w:r w:rsidR="006E534B">
        <w:t xml:space="preserve">the </w:t>
      </w:r>
      <w:r w:rsidRPr="00BC072D">
        <w:t>Danube - Oder - Elbe link (so far</w:t>
      </w:r>
      <w:r w:rsidR="006E534B">
        <w:t xml:space="preserve"> the</w:t>
      </w:r>
      <w:r w:rsidRPr="00BC072D">
        <w:t xml:space="preserve"> Elbe </w:t>
      </w:r>
      <w:r w:rsidR="00716D27" w:rsidRPr="00BC072D">
        <w:t>link</w:t>
      </w:r>
      <w:r w:rsidR="00716D27">
        <w:t>s</w:t>
      </w:r>
      <w:r w:rsidR="00716D27" w:rsidRPr="00BC072D">
        <w:t xml:space="preserve"> </w:t>
      </w:r>
      <w:r w:rsidRPr="00BC072D">
        <w:t xml:space="preserve">to </w:t>
      </w:r>
      <w:r w:rsidR="006E534B">
        <w:t xml:space="preserve">the </w:t>
      </w:r>
      <w:r w:rsidRPr="00BC072D">
        <w:t>North Sea</w:t>
      </w:r>
      <w:r w:rsidR="00716D27">
        <w:t>,</w:t>
      </w:r>
      <w:r w:rsidRPr="00BC072D">
        <w:t xml:space="preserve"> and </w:t>
      </w:r>
      <w:r w:rsidR="006E534B">
        <w:t xml:space="preserve">the </w:t>
      </w:r>
      <w:r w:rsidRPr="00BC072D">
        <w:t xml:space="preserve">Danube to </w:t>
      </w:r>
      <w:r w:rsidR="006E534B">
        <w:t xml:space="preserve">the </w:t>
      </w:r>
      <w:r w:rsidRPr="00BC072D">
        <w:t>Black</w:t>
      </w:r>
      <w:r w:rsidR="006E534B">
        <w:t xml:space="preserve"> and </w:t>
      </w:r>
      <w:r w:rsidRPr="00BC072D">
        <w:t>Mediterranean Sea</w:t>
      </w:r>
      <w:r w:rsidR="006E534B">
        <w:t>s</w:t>
      </w:r>
      <w:r w:rsidRPr="00BC072D">
        <w:t>);</w:t>
      </w:r>
    </w:p>
    <w:p w14:paraId="5FDA7037" w14:textId="5C3E0594" w:rsidR="009F34A0" w:rsidRPr="00613CA3" w:rsidRDefault="009F34A0" w:rsidP="00A93ACA">
      <w:pPr>
        <w:pStyle w:val="Bullet1G"/>
      </w:pPr>
      <w:r w:rsidRPr="00613CA3">
        <w:t xml:space="preserve">Noted the development of the “Primorie-1” and “Primorie-2” transport corridors in the territory of </w:t>
      </w:r>
      <w:r w:rsidR="006E534B" w:rsidRPr="00E3372E">
        <w:t>China</w:t>
      </w:r>
      <w:r w:rsidR="006E534B" w:rsidRPr="00BC072D">
        <w:t xml:space="preserve"> </w:t>
      </w:r>
      <w:r w:rsidR="006E534B">
        <w:t xml:space="preserve">and the </w:t>
      </w:r>
      <w:r w:rsidRPr="00BC072D">
        <w:t>Russian Federation</w:t>
      </w:r>
      <w:r w:rsidRPr="00613CA3">
        <w:t>;</w:t>
      </w:r>
    </w:p>
    <w:p w14:paraId="5A0FDF32" w14:textId="5268E1F8" w:rsidR="009F34A0" w:rsidRPr="00613CA3" w:rsidRDefault="009F34A0" w:rsidP="00A93ACA">
      <w:pPr>
        <w:pStyle w:val="Bullet1G"/>
      </w:pPr>
      <w:proofErr w:type="gramStart"/>
      <w:r w:rsidRPr="00613CA3">
        <w:t>Were informed</w:t>
      </w:r>
      <w:proofErr w:type="gramEnd"/>
      <w:r w:rsidRPr="00613CA3">
        <w:t xml:space="preserve"> about the development of the Via </w:t>
      </w:r>
      <w:proofErr w:type="spellStart"/>
      <w:r w:rsidRPr="00613CA3">
        <w:t>Carpatia</w:t>
      </w:r>
      <w:proofErr w:type="spellEnd"/>
      <w:r w:rsidRPr="00613CA3">
        <w:t xml:space="preserve"> transport corridor that will connect the Baltic with the Mediterranean Sea. The implementation of the project will allow for the creation of the shortest transport link between the countries of the Middle East and South-East Europe with the Baltic </w:t>
      </w:r>
      <w:r w:rsidR="006E534B">
        <w:t>S</w:t>
      </w:r>
      <w:r w:rsidRPr="00BC072D">
        <w:t>tates, thereby contributing to the launch of the New Silk Road initiative;</w:t>
      </w:r>
    </w:p>
    <w:p w14:paraId="2DF26C9D" w14:textId="4376B7F9" w:rsidR="009F34A0" w:rsidRPr="00BC072D" w:rsidRDefault="009F34A0" w:rsidP="00A93ACA">
      <w:pPr>
        <w:pStyle w:val="Bullet1G"/>
      </w:pPr>
      <w:r w:rsidRPr="00613CA3">
        <w:t xml:space="preserve">Recalled the </w:t>
      </w:r>
      <w:r w:rsidR="00764945">
        <w:t>Black Sea Economic Cooperation (</w:t>
      </w:r>
      <w:r w:rsidRPr="00613CA3">
        <w:t>BSEC</w:t>
      </w:r>
      <w:r w:rsidR="00764945">
        <w:t>)</w:t>
      </w:r>
      <w:r w:rsidRPr="00BC072D">
        <w:t xml:space="preserve"> road infrastructure project “the Black Sea Ring Highway” which refers to coordinated efforts of BSEC member States </w:t>
      </w:r>
      <w:r w:rsidR="006E534B">
        <w:t xml:space="preserve">to </w:t>
      </w:r>
      <w:r w:rsidR="006E534B" w:rsidRPr="00BC072D">
        <w:t>upgrad</w:t>
      </w:r>
      <w:r w:rsidR="006E534B">
        <w:t xml:space="preserve">e </w:t>
      </w:r>
      <w:r w:rsidRPr="00BC072D">
        <w:t>to high standards of almost 7</w:t>
      </w:r>
      <w:r w:rsidR="00783868">
        <w:t>5</w:t>
      </w:r>
      <w:r w:rsidRPr="00BC072D">
        <w:t>5 thousand km of highway around the Black Sea, connecting its main cities and ports and facilitating the transport of goods, containers and other freights to and from these ports;</w:t>
      </w:r>
    </w:p>
    <w:p w14:paraId="483D88A5" w14:textId="3C7CAB71" w:rsidR="009F34A0" w:rsidRPr="00613CA3" w:rsidRDefault="009F34A0" w:rsidP="00A93ACA">
      <w:pPr>
        <w:pStyle w:val="Bullet1G"/>
      </w:pPr>
      <w:r w:rsidRPr="00613CA3">
        <w:t xml:space="preserve">Recalled also the BSEC maritime project “Motorways of the Sea” aimed at upgrading of port infrastructure, implementation of good practices, increased compatibility and interconnectivity of traffic control systems, </w:t>
      </w:r>
      <w:proofErr w:type="spellStart"/>
      <w:r w:rsidRPr="00613CA3">
        <w:t>intermodality</w:t>
      </w:r>
      <w:proofErr w:type="spellEnd"/>
      <w:r w:rsidRPr="00613CA3">
        <w:t xml:space="preserve"> of transports, safeguarding free and fair competition in international shipping, </w:t>
      </w:r>
      <w:r w:rsidR="00716D27">
        <w:t>to</w:t>
      </w:r>
      <w:r w:rsidR="00716D27" w:rsidRPr="00613CA3">
        <w:t xml:space="preserve"> </w:t>
      </w:r>
      <w:r w:rsidRPr="00613CA3">
        <w:t>which 43 ports in the Black Sea, the Adriatic, the Mediterranean and the Aegean seas expressed interest to participate;</w:t>
      </w:r>
    </w:p>
    <w:p w14:paraId="7BAFF1F6" w14:textId="13FB4D1E" w:rsidR="009F34A0" w:rsidRPr="00613CA3" w:rsidRDefault="009F34A0" w:rsidP="00A93ACA">
      <w:pPr>
        <w:pStyle w:val="Bullet1G"/>
      </w:pPr>
      <w:proofErr w:type="gramStart"/>
      <w:r w:rsidRPr="00613CA3">
        <w:lastRenderedPageBreak/>
        <w:t xml:space="preserve">Took note </w:t>
      </w:r>
      <w:r w:rsidR="006E534B">
        <w:t xml:space="preserve">that </w:t>
      </w:r>
      <w:r w:rsidR="00716D27" w:rsidRPr="00BC072D">
        <w:t xml:space="preserve">six countries </w:t>
      </w:r>
      <w:r w:rsidR="00716D27">
        <w:t xml:space="preserve">had </w:t>
      </w:r>
      <w:r w:rsidR="00716D27" w:rsidRPr="00BC072D">
        <w:t>agree</w:t>
      </w:r>
      <w:r w:rsidR="00716D27">
        <w:t>d</w:t>
      </w:r>
      <w:r w:rsidR="00716D27" w:rsidRPr="00BC072D">
        <w:t xml:space="preserve"> </w:t>
      </w:r>
      <w:r w:rsidR="00716D27">
        <w:t xml:space="preserve">to </w:t>
      </w:r>
      <w:r w:rsidRPr="00BC072D">
        <w:t xml:space="preserve">the Persian Gulf-Black Sea corridor </w:t>
      </w:r>
      <w:r w:rsidR="006E534B">
        <w:t xml:space="preserve">for </w:t>
      </w:r>
      <w:r w:rsidRPr="00BC072D">
        <w:t>development</w:t>
      </w:r>
      <w:r w:rsidRPr="00613CA3">
        <w:t>.</w:t>
      </w:r>
      <w:proofErr w:type="gramEnd"/>
    </w:p>
    <w:p w14:paraId="27E26A46" w14:textId="2A562362" w:rsidR="009F34A0" w:rsidRPr="00613CA3" w:rsidRDefault="009F34A0" w:rsidP="009F34A0">
      <w:pPr>
        <w:pStyle w:val="SingleTxtG"/>
        <w:ind w:firstLine="567"/>
      </w:pPr>
      <w:r w:rsidRPr="00613CA3">
        <w:t>(</w:t>
      </w:r>
      <w:proofErr w:type="gramStart"/>
      <w:r w:rsidRPr="00613CA3">
        <w:t>b</w:t>
      </w:r>
      <w:proofErr w:type="gramEnd"/>
      <w:r w:rsidRPr="00613CA3">
        <w:t>)</w:t>
      </w:r>
      <w:r w:rsidRPr="00613CA3">
        <w:tab/>
        <w:t>Agreed that it is essential to consider new technologies to make transport operations between the two continents more cost-effective, greener and safer;</w:t>
      </w:r>
    </w:p>
    <w:p w14:paraId="3413B54E" w14:textId="7A663DD1" w:rsidR="009F34A0" w:rsidRPr="00613CA3" w:rsidRDefault="009F34A0" w:rsidP="009F34A0">
      <w:pPr>
        <w:pStyle w:val="SingleTxtG"/>
        <w:ind w:firstLine="567"/>
      </w:pPr>
      <w:r w:rsidRPr="00613CA3">
        <w:t>(c)</w:t>
      </w:r>
      <w:r w:rsidRPr="00613CA3">
        <w:tab/>
        <w:t xml:space="preserve">Noted that </w:t>
      </w:r>
      <w:r w:rsidR="00716D27" w:rsidRPr="00613CA3">
        <w:t xml:space="preserve">a number of obstacles </w:t>
      </w:r>
      <w:r w:rsidRPr="00613CA3">
        <w:t>in international rail transport make railways non-competitive</w:t>
      </w:r>
      <w:r w:rsidR="00716D27">
        <w:t>,</w:t>
      </w:r>
      <w:r w:rsidRPr="00613CA3">
        <w:t xml:space="preserve"> </w:t>
      </w:r>
      <w:r w:rsidR="00716D27">
        <w:t xml:space="preserve">e.g. </w:t>
      </w:r>
      <w:r w:rsidRPr="00613CA3">
        <w:t>poor infrastructure, non-competitive tariffs, two at least existing legal regimes, delays in border crossings;</w:t>
      </w:r>
    </w:p>
    <w:p w14:paraId="731F3BD0" w14:textId="768FCBAA" w:rsidR="009F34A0" w:rsidRPr="00613CA3" w:rsidRDefault="009F34A0" w:rsidP="009F34A0">
      <w:pPr>
        <w:pStyle w:val="SingleTxtG"/>
        <w:ind w:firstLine="567"/>
      </w:pPr>
      <w:r w:rsidRPr="00613CA3">
        <w:t>(d)</w:t>
      </w:r>
      <w:r w:rsidRPr="00613CA3">
        <w:tab/>
        <w:t xml:space="preserve">Agreed that the challenges </w:t>
      </w:r>
      <w:r w:rsidR="00716D27">
        <w:t xml:space="preserve">of </w:t>
      </w:r>
      <w:r w:rsidRPr="00613CA3">
        <w:t xml:space="preserve">transport corridors development </w:t>
      </w:r>
      <w:r w:rsidR="006E534B">
        <w:t xml:space="preserve">in </w:t>
      </w:r>
      <w:r w:rsidRPr="00BC072D">
        <w:t xml:space="preserve">Europe and Asia are </w:t>
      </w:r>
      <w:r w:rsidRPr="00613CA3">
        <w:t>many:</w:t>
      </w:r>
    </w:p>
    <w:p w14:paraId="10468989" w14:textId="05854088" w:rsidR="009F34A0" w:rsidRPr="00613CA3" w:rsidRDefault="009F34A0" w:rsidP="00A93ACA">
      <w:pPr>
        <w:pStyle w:val="Bullet1G"/>
      </w:pPr>
      <w:r w:rsidRPr="00613CA3">
        <w:t>Lack of corridor management and of implementation mechanisms;</w:t>
      </w:r>
    </w:p>
    <w:p w14:paraId="7D1700B1" w14:textId="77777777" w:rsidR="009F34A0" w:rsidRPr="00613CA3" w:rsidRDefault="009F34A0" w:rsidP="00A93ACA">
      <w:pPr>
        <w:pStyle w:val="Bullet1G"/>
      </w:pPr>
      <w:r w:rsidRPr="00613CA3">
        <w:t>Lack of common and integrated services along the corridors (one tariff / one time schedule);</w:t>
      </w:r>
    </w:p>
    <w:p w14:paraId="768281C8" w14:textId="640959FA" w:rsidR="009F34A0" w:rsidRPr="00BC072D" w:rsidRDefault="009F34A0" w:rsidP="00A93ACA">
      <w:pPr>
        <w:pStyle w:val="Bullet1G"/>
      </w:pPr>
      <w:r w:rsidRPr="00613CA3">
        <w:t xml:space="preserve">Lack of border crossings facilitation despite the legal instruments </w:t>
      </w:r>
      <w:r w:rsidR="006E534B">
        <w:t xml:space="preserve">that </w:t>
      </w:r>
      <w:r w:rsidRPr="00BC072D">
        <w:t>exist (</w:t>
      </w:r>
      <w:r w:rsidR="006E534B" w:rsidRPr="00BC072D">
        <w:t>Harmonization Convention</w:t>
      </w:r>
      <w:r w:rsidRPr="00BC072D">
        <w:t>, TIR</w:t>
      </w:r>
      <w:r w:rsidR="006E534B">
        <w:t xml:space="preserve"> Convention</w:t>
      </w:r>
      <w:r w:rsidRPr="00BC072D">
        <w:t>);</w:t>
      </w:r>
    </w:p>
    <w:p w14:paraId="07B9BCB0" w14:textId="0337C1CE" w:rsidR="009F34A0" w:rsidRPr="00BC072D" w:rsidRDefault="009F34A0" w:rsidP="00A93ACA">
      <w:pPr>
        <w:pStyle w:val="Bullet1G"/>
      </w:pPr>
      <w:r w:rsidRPr="00613CA3">
        <w:t xml:space="preserve">Lack of cooperation among the different initiatives on corridor development </w:t>
      </w:r>
      <w:r w:rsidR="006E534B">
        <w:t xml:space="preserve">and </w:t>
      </w:r>
      <w:r w:rsidRPr="00BC072D">
        <w:t xml:space="preserve">among the railway undertakings; </w:t>
      </w:r>
    </w:p>
    <w:p w14:paraId="7B88561E" w14:textId="231B47E0" w:rsidR="009F34A0" w:rsidRPr="00613CA3" w:rsidRDefault="009F34A0" w:rsidP="00A93ACA">
      <w:pPr>
        <w:pStyle w:val="Bullet1G"/>
      </w:pPr>
      <w:r w:rsidRPr="00BC072D">
        <w:t xml:space="preserve">Lack of understanding </w:t>
      </w:r>
      <w:r w:rsidRPr="00613CA3">
        <w:t xml:space="preserve">of </w:t>
      </w:r>
      <w:r w:rsidR="006E534B">
        <w:t xml:space="preserve">the </w:t>
      </w:r>
      <w:r w:rsidR="006E534B" w:rsidRPr="00E3372E">
        <w:t>benefits and advantages</w:t>
      </w:r>
      <w:r w:rsidR="006E534B" w:rsidRPr="00BC072D">
        <w:t xml:space="preserve"> </w:t>
      </w:r>
      <w:r w:rsidR="006E534B">
        <w:t xml:space="preserve">of </w:t>
      </w:r>
      <w:r w:rsidRPr="00BC072D">
        <w:t>corridor development</w:t>
      </w:r>
      <w:r w:rsidRPr="00613CA3">
        <w:t>;</w:t>
      </w:r>
    </w:p>
    <w:p w14:paraId="385CC738" w14:textId="77777777" w:rsidR="009F34A0" w:rsidRPr="00613CA3" w:rsidRDefault="009F34A0" w:rsidP="00A93ACA">
      <w:pPr>
        <w:pStyle w:val="Bullet1G"/>
      </w:pPr>
      <w:proofErr w:type="gramStart"/>
      <w:r w:rsidRPr="00613CA3">
        <w:t>Lack of knowledge on how to attract cargo.</w:t>
      </w:r>
      <w:proofErr w:type="gramEnd"/>
    </w:p>
    <w:p w14:paraId="5A536ECF" w14:textId="6A8D48E1" w:rsidR="009F34A0" w:rsidRPr="00613CA3" w:rsidRDefault="007C5DFE" w:rsidP="00085C79">
      <w:pPr>
        <w:pStyle w:val="SingleTxtG"/>
      </w:pPr>
      <w:r w:rsidRPr="00613CA3">
        <w:t>10</w:t>
      </w:r>
      <w:r w:rsidR="009F34A0" w:rsidRPr="00613CA3">
        <w:t>.</w:t>
      </w:r>
      <w:r w:rsidR="009F34A0" w:rsidRPr="00613CA3">
        <w:tab/>
      </w:r>
      <w:r w:rsidR="006E534B">
        <w:t xml:space="preserve">For information on </w:t>
      </w:r>
      <w:r w:rsidR="009F34A0" w:rsidRPr="00BC072D">
        <w:t xml:space="preserve">the workshop, </w:t>
      </w:r>
      <w:r w:rsidR="006E534B">
        <w:t xml:space="preserve">the </w:t>
      </w:r>
      <w:r w:rsidR="009F34A0" w:rsidRPr="00BC072D">
        <w:t xml:space="preserve">presentations and </w:t>
      </w:r>
      <w:r w:rsidR="006E534B">
        <w:t xml:space="preserve">other </w:t>
      </w:r>
      <w:r w:rsidR="009F34A0" w:rsidRPr="00BC072D">
        <w:t>material</w:t>
      </w:r>
      <w:r w:rsidR="006E534B">
        <w:t xml:space="preserve">, see </w:t>
      </w:r>
      <w:r w:rsidR="009F34A0" w:rsidRPr="00613CA3">
        <w:t>www.unece.org/trans/main/wp5/transport_infrastructure_corridors_along_europe_and_asia.html.</w:t>
      </w:r>
    </w:p>
    <w:p w14:paraId="4DCECF45" w14:textId="06564162" w:rsidR="005C2D88" w:rsidRPr="00613CA3" w:rsidRDefault="005C2D88" w:rsidP="002B50F0">
      <w:pPr>
        <w:pStyle w:val="H23G"/>
      </w:pPr>
      <w:r w:rsidRPr="00613CA3">
        <w:tab/>
        <w:t>2.</w:t>
      </w:r>
      <w:r w:rsidRPr="00613CA3">
        <w:tab/>
      </w:r>
      <w:r w:rsidR="009B7F78" w:rsidRPr="00613CA3">
        <w:t>Mobility as a Service</w:t>
      </w:r>
    </w:p>
    <w:p w14:paraId="11F25C44" w14:textId="5F0C633F" w:rsidR="009B7F78" w:rsidRPr="00613CA3" w:rsidRDefault="007C5DFE" w:rsidP="00085C79">
      <w:pPr>
        <w:pStyle w:val="SingleTxtG"/>
      </w:pPr>
      <w:r w:rsidRPr="00613CA3">
        <w:t>11</w:t>
      </w:r>
      <w:r w:rsidR="009B7F78" w:rsidRPr="00613CA3">
        <w:t>.</w:t>
      </w:r>
      <w:r w:rsidR="009B7F78" w:rsidRPr="00613CA3">
        <w:tab/>
        <w:t>As more of the world’s cities become congested and polluted, new business models and technologies emerg</w:t>
      </w:r>
      <w:r w:rsidR="00716D27">
        <w:t>e</w:t>
      </w:r>
      <w:r w:rsidR="009B7F78" w:rsidRPr="00613CA3">
        <w:t xml:space="preserve"> to solve the mobility challenge. In 2014, global</w:t>
      </w:r>
      <w:r w:rsidR="00726861">
        <w:t xml:space="preserve"> </w:t>
      </w:r>
      <w:r w:rsidR="009B7F78" w:rsidRPr="00613CA3">
        <w:t xml:space="preserve">capital investments in mobility services amounted to more than $5 billion, up from less than $10 million in 2009. Besides </w:t>
      </w:r>
      <w:proofErr w:type="spellStart"/>
      <w:r w:rsidR="00B66F01" w:rsidRPr="00E3372E">
        <w:t>Didi</w:t>
      </w:r>
      <w:proofErr w:type="spellEnd"/>
      <w:r w:rsidR="00B66F01" w:rsidRPr="00E3372E">
        <w:t xml:space="preserve"> </w:t>
      </w:r>
      <w:proofErr w:type="spellStart"/>
      <w:r w:rsidR="00B66F01" w:rsidRPr="00E3372E">
        <w:t>Dache</w:t>
      </w:r>
      <w:proofErr w:type="spellEnd"/>
      <w:r w:rsidR="00B66F01" w:rsidRPr="00E3372E">
        <w:t xml:space="preserve"> </w:t>
      </w:r>
      <w:r w:rsidR="00B66F01">
        <w:t xml:space="preserve">and </w:t>
      </w:r>
      <w:proofErr w:type="spellStart"/>
      <w:r w:rsidR="009B7F78" w:rsidRPr="00BC072D">
        <w:t>Uber</w:t>
      </w:r>
      <w:proofErr w:type="spellEnd"/>
      <w:r w:rsidR="00B66F01">
        <w:t xml:space="preserve"> </w:t>
      </w:r>
      <w:r w:rsidR="009B7F78" w:rsidRPr="00BC072D">
        <w:t>of China</w:t>
      </w:r>
      <w:r w:rsidR="009B7F78" w:rsidRPr="00613CA3">
        <w:t>, which ha</w:t>
      </w:r>
      <w:r w:rsidR="00B66F01">
        <w:t>ve</w:t>
      </w:r>
      <w:r w:rsidR="009B7F78" w:rsidRPr="00BC072D">
        <w:t xml:space="preserve"> more than 100 million users in 300 </w:t>
      </w:r>
      <w:r w:rsidR="009B7F78" w:rsidRPr="00783868">
        <w:t xml:space="preserve">cities, raised more than $800 million and Ola, </w:t>
      </w:r>
      <w:r w:rsidR="00B66F01" w:rsidRPr="00783868">
        <w:t xml:space="preserve">the </w:t>
      </w:r>
      <w:r w:rsidR="009B7F78" w:rsidRPr="00783868">
        <w:t>biggest online cab service</w:t>
      </w:r>
      <w:r w:rsidR="00B66F01" w:rsidRPr="00783868">
        <w:t xml:space="preserve"> of India</w:t>
      </w:r>
      <w:r w:rsidR="009B7F78" w:rsidRPr="00783868">
        <w:t>, has raised $677 million so far (</w:t>
      </w:r>
      <w:proofErr w:type="spellStart"/>
      <w:r w:rsidR="009B7F78" w:rsidRPr="00783868">
        <w:t>McKinsey&amp;Company</w:t>
      </w:r>
      <w:proofErr w:type="spellEnd"/>
      <w:r w:rsidR="009B7F78" w:rsidRPr="00BC072D">
        <w:t>, 2017).</w:t>
      </w:r>
      <w:r w:rsidR="009B7F78" w:rsidRPr="00613CA3">
        <w:t xml:space="preserve"> </w:t>
      </w:r>
    </w:p>
    <w:p w14:paraId="19CA5A26" w14:textId="31BF72FF" w:rsidR="009B7F78" w:rsidRPr="00613CA3" w:rsidRDefault="009B7F78" w:rsidP="00085C79">
      <w:pPr>
        <w:pStyle w:val="SingleTxtG"/>
      </w:pPr>
      <w:r w:rsidRPr="00613CA3">
        <w:t>1</w:t>
      </w:r>
      <w:r w:rsidR="007C5DFE" w:rsidRPr="00613CA3">
        <w:t>2</w:t>
      </w:r>
      <w:r w:rsidRPr="00613CA3">
        <w:t>.</w:t>
      </w:r>
      <w:r w:rsidRPr="00613CA3">
        <w:tab/>
        <w:t xml:space="preserve">The participants </w:t>
      </w:r>
      <w:r w:rsidR="00716D27">
        <w:t xml:space="preserve">at </w:t>
      </w:r>
      <w:r w:rsidRPr="00613CA3">
        <w:t>the workshop:</w:t>
      </w:r>
    </w:p>
    <w:p w14:paraId="02F11530" w14:textId="135A0CF5" w:rsidR="009B7F78" w:rsidRPr="00613CA3" w:rsidRDefault="009B7F78" w:rsidP="009B7F78">
      <w:pPr>
        <w:pStyle w:val="SingleTxtG"/>
        <w:ind w:firstLine="567"/>
      </w:pPr>
      <w:r w:rsidRPr="00613CA3">
        <w:t>(a)</w:t>
      </w:r>
      <w:r w:rsidRPr="00613CA3">
        <w:tab/>
        <w:t xml:space="preserve">Noted that </w:t>
      </w:r>
      <w:r w:rsidR="00975EDC" w:rsidRPr="00613CA3">
        <w:t>Mobility as a Service (</w:t>
      </w:r>
      <w:proofErr w:type="spellStart"/>
      <w:r w:rsidR="00975EDC" w:rsidRPr="00613CA3">
        <w:t>MaaS</w:t>
      </w:r>
      <w:proofErr w:type="spellEnd"/>
      <w:r w:rsidR="00975EDC" w:rsidRPr="00613CA3">
        <w:t xml:space="preserve">) </w:t>
      </w:r>
      <w:r w:rsidRPr="00613CA3">
        <w:t>integrat</w:t>
      </w:r>
      <w:r w:rsidR="00B66F01">
        <w:t xml:space="preserve">es </w:t>
      </w:r>
      <w:r w:rsidRPr="00BC072D">
        <w:t xml:space="preserve">various forms of transport services into a single mobility service </w:t>
      </w:r>
      <w:proofErr w:type="gramStart"/>
      <w:r w:rsidR="008C198D">
        <w:t xml:space="preserve">which </w:t>
      </w:r>
      <w:r w:rsidR="00B66F01">
        <w:t xml:space="preserve">is </w:t>
      </w:r>
      <w:r w:rsidRPr="00BC072D">
        <w:t>accessible on demand.</w:t>
      </w:r>
      <w:proofErr w:type="gramEnd"/>
      <w:r w:rsidRPr="00BC072D">
        <w:t xml:space="preserve"> To meet customer</w:t>
      </w:r>
      <w:r w:rsidRPr="00613CA3">
        <w:t xml:space="preserve"> request</w:t>
      </w:r>
      <w:r w:rsidR="00B66F01">
        <w:t>s</w:t>
      </w:r>
      <w:r w:rsidRPr="00BC072D">
        <w:t xml:space="preserve">, a </w:t>
      </w:r>
      <w:proofErr w:type="spellStart"/>
      <w:r w:rsidRPr="00BC072D">
        <w:t>MaaS</w:t>
      </w:r>
      <w:proofErr w:type="spellEnd"/>
      <w:r w:rsidRPr="00BC072D">
        <w:t xml:space="preserve"> operator facilitates a diverse menu of transport options. For the user, </w:t>
      </w:r>
      <w:proofErr w:type="spellStart"/>
      <w:r w:rsidRPr="00BC072D">
        <w:t>MaaS</w:t>
      </w:r>
      <w:proofErr w:type="spellEnd"/>
      <w:r w:rsidRPr="00BC072D">
        <w:t xml:space="preserve"> can </w:t>
      </w:r>
      <w:r w:rsidRPr="00613CA3">
        <w:t xml:space="preserve">add value </w:t>
      </w:r>
      <w:r w:rsidR="00B66F01">
        <w:t xml:space="preserve">as </w:t>
      </w:r>
      <w:r w:rsidRPr="00BC072D">
        <w:t>a single application to provide access to mobility, with a single payment channel instead of multiple ticketing and payment operations</w:t>
      </w:r>
      <w:proofErr w:type="gramStart"/>
      <w:r w:rsidRPr="00BC072D">
        <w:t>;</w:t>
      </w:r>
      <w:proofErr w:type="gramEnd"/>
    </w:p>
    <w:p w14:paraId="75C67A72" w14:textId="731BE5D1" w:rsidR="009B7F78" w:rsidRPr="00613CA3" w:rsidRDefault="009B7F78" w:rsidP="009B7F78">
      <w:pPr>
        <w:pStyle w:val="SingleTxtG"/>
        <w:ind w:firstLine="567"/>
      </w:pPr>
      <w:r w:rsidRPr="00613CA3">
        <w:t>(b)</w:t>
      </w:r>
      <w:r w:rsidRPr="00613CA3">
        <w:tab/>
        <w:t>Recalled that there are more than 1</w:t>
      </w:r>
      <w:r w:rsidR="00783868">
        <w:t>.</w:t>
      </w:r>
      <w:r w:rsidRPr="00613CA3">
        <w:t>2</w:t>
      </w:r>
      <w:r w:rsidR="00783868">
        <w:t xml:space="preserve"> billion </w:t>
      </w:r>
      <w:r w:rsidRPr="00BC072D">
        <w:t>cars in the world, 22 per cent of all carbon emissions come from transportation and that cars are idle 95 per cent of the time</w:t>
      </w:r>
      <w:proofErr w:type="gramStart"/>
      <w:r w:rsidRPr="00BC072D">
        <w:t>;</w:t>
      </w:r>
      <w:proofErr w:type="gramEnd"/>
    </w:p>
    <w:p w14:paraId="5A546778" w14:textId="6C8F560D" w:rsidR="009B7F78" w:rsidRPr="00BC072D" w:rsidRDefault="009B7F78" w:rsidP="009B7F78">
      <w:pPr>
        <w:pStyle w:val="SingleTxtG"/>
        <w:ind w:firstLine="567"/>
      </w:pPr>
      <w:proofErr w:type="gramStart"/>
      <w:r w:rsidRPr="00613CA3">
        <w:t>(c)</w:t>
      </w:r>
      <w:r w:rsidRPr="00613CA3">
        <w:tab/>
        <w:t>Were informed</w:t>
      </w:r>
      <w:proofErr w:type="gramEnd"/>
      <w:r w:rsidRPr="00613CA3">
        <w:t xml:space="preserve"> that</w:t>
      </w:r>
      <w:r w:rsidR="00B66F01">
        <w:t xml:space="preserve"> the town of</w:t>
      </w:r>
      <w:r w:rsidRPr="00BC072D">
        <w:t xml:space="preserve"> New Jersey </w:t>
      </w:r>
      <w:r w:rsidR="008C198D">
        <w:t xml:space="preserve">in </w:t>
      </w:r>
      <w:r w:rsidR="00B66F01" w:rsidRPr="00B66F01">
        <w:t>United States of America</w:t>
      </w:r>
      <w:r w:rsidRPr="00BC072D">
        <w:t xml:space="preserve"> </w:t>
      </w:r>
      <w:r w:rsidRPr="00613CA3">
        <w:t xml:space="preserve">decided to pay </w:t>
      </w:r>
      <w:proofErr w:type="spellStart"/>
      <w:r w:rsidRPr="00613CA3">
        <w:t>Uber</w:t>
      </w:r>
      <w:proofErr w:type="spellEnd"/>
      <w:r w:rsidRPr="00613CA3">
        <w:t xml:space="preserve"> instead of building a parking lot. The city stated that </w:t>
      </w:r>
      <w:r w:rsidR="00B66F01">
        <w:t xml:space="preserve">this </w:t>
      </w:r>
      <w:r w:rsidRPr="00BC072D">
        <w:t xml:space="preserve">would help </w:t>
      </w:r>
      <w:r w:rsidRPr="00613CA3">
        <w:t xml:space="preserve">free up nearly 100 parking spots at the transit station, </w:t>
      </w:r>
      <w:r w:rsidR="00B66F01">
        <w:t xml:space="preserve">and avoid </w:t>
      </w:r>
      <w:r w:rsidRPr="00BC072D">
        <w:t>spend</w:t>
      </w:r>
      <w:r w:rsidR="00B66F01">
        <w:t>ing</w:t>
      </w:r>
      <w:r w:rsidRPr="00BC072D">
        <w:t xml:space="preserve"> millions of dollars to build additional parking</w:t>
      </w:r>
      <w:proofErr w:type="gramStart"/>
      <w:r w:rsidRPr="00BC072D">
        <w:t>;</w:t>
      </w:r>
      <w:proofErr w:type="gramEnd"/>
    </w:p>
    <w:p w14:paraId="73124154" w14:textId="5D1A8DE1" w:rsidR="009B7F78" w:rsidRPr="00BC072D" w:rsidRDefault="009B7F78" w:rsidP="009B7F78">
      <w:pPr>
        <w:pStyle w:val="SingleTxtG"/>
        <w:ind w:firstLine="567"/>
      </w:pPr>
      <w:proofErr w:type="gramStart"/>
      <w:r w:rsidRPr="00613CA3">
        <w:t>(d)</w:t>
      </w:r>
      <w:r w:rsidRPr="00613CA3">
        <w:tab/>
        <w:t>Were informed</w:t>
      </w:r>
      <w:proofErr w:type="gramEnd"/>
      <w:r w:rsidRPr="00613CA3">
        <w:t xml:space="preserve"> that </w:t>
      </w:r>
      <w:r w:rsidRPr="008C198D">
        <w:t xml:space="preserve">today </w:t>
      </w:r>
      <w:r w:rsidR="00A343A1" w:rsidRPr="00B755A3">
        <w:t>hailing</w:t>
      </w:r>
      <w:r w:rsidR="00A343A1" w:rsidRPr="008C198D">
        <w:t xml:space="preserve"> a </w:t>
      </w:r>
      <w:r w:rsidRPr="008C198D">
        <w:t>ride accounts</w:t>
      </w:r>
      <w:r w:rsidRPr="00613CA3">
        <w:t xml:space="preserve"> for 4 per cent of all miles driven globally. By 2030</w:t>
      </w:r>
      <w:r w:rsidR="008C198D">
        <w:t>,</w:t>
      </w:r>
      <w:r w:rsidRPr="00613CA3">
        <w:t xml:space="preserve"> it </w:t>
      </w:r>
      <w:proofErr w:type="gramStart"/>
      <w:r w:rsidR="00BC072D">
        <w:t>is estimated</w:t>
      </w:r>
      <w:proofErr w:type="gramEnd"/>
      <w:r w:rsidR="00BC072D">
        <w:t xml:space="preserve"> to </w:t>
      </w:r>
      <w:r w:rsidRPr="00BC072D">
        <w:t>be 25 per cent;</w:t>
      </w:r>
    </w:p>
    <w:p w14:paraId="1E613272" w14:textId="33D97BCB" w:rsidR="009B7F78" w:rsidRPr="00613CA3" w:rsidRDefault="009B7F78" w:rsidP="009B7F78">
      <w:pPr>
        <w:pStyle w:val="SingleTxtG"/>
        <w:ind w:firstLine="567"/>
      </w:pPr>
      <w:r w:rsidRPr="00613CA3">
        <w:t>(e)</w:t>
      </w:r>
      <w:r w:rsidRPr="00613CA3">
        <w:tab/>
        <w:t xml:space="preserve">Noted </w:t>
      </w:r>
      <w:r w:rsidR="00BC072D">
        <w:t xml:space="preserve">that </w:t>
      </w:r>
      <w:r w:rsidRPr="00BC072D">
        <w:t xml:space="preserve">the </w:t>
      </w:r>
      <w:proofErr w:type="spellStart"/>
      <w:r w:rsidRPr="00BC072D">
        <w:t>MaaS</w:t>
      </w:r>
      <w:proofErr w:type="spellEnd"/>
      <w:r w:rsidRPr="00BC072D">
        <w:t xml:space="preserve"> Alliance </w:t>
      </w:r>
      <w:r w:rsidRPr="00613CA3">
        <w:t xml:space="preserve">is a public-private partnership </w:t>
      </w:r>
      <w:r w:rsidR="00A343A1">
        <w:t xml:space="preserve">that </w:t>
      </w:r>
      <w:r w:rsidR="00A343A1" w:rsidRPr="00BC072D">
        <w:t>creat</w:t>
      </w:r>
      <w:r w:rsidR="00A343A1">
        <w:t>ed</w:t>
      </w:r>
      <w:r w:rsidR="00A343A1" w:rsidRPr="00BC072D">
        <w:t xml:space="preserve"> </w:t>
      </w:r>
      <w:r w:rsidRPr="00BC072D">
        <w:t xml:space="preserve">the foundations for a common approach to </w:t>
      </w:r>
      <w:proofErr w:type="spellStart"/>
      <w:r w:rsidRPr="00BC072D">
        <w:t>MaaS</w:t>
      </w:r>
      <w:proofErr w:type="spellEnd"/>
      <w:r w:rsidRPr="00613CA3">
        <w:t xml:space="preserve">, </w:t>
      </w:r>
      <w:r w:rsidR="00A343A1" w:rsidRPr="00613CA3">
        <w:t>unlock</w:t>
      </w:r>
      <w:r w:rsidR="00A343A1">
        <w:t>ed</w:t>
      </w:r>
      <w:r w:rsidR="00A343A1" w:rsidRPr="00BC072D">
        <w:t xml:space="preserve"> </w:t>
      </w:r>
      <w:r w:rsidR="00BC072D">
        <w:t xml:space="preserve">the </w:t>
      </w:r>
      <w:r w:rsidRPr="00BC072D">
        <w:t xml:space="preserve">economies of scale needed for </w:t>
      </w:r>
      <w:r w:rsidR="00BC072D">
        <w:lastRenderedPageBreak/>
        <w:t xml:space="preserve">the </w:t>
      </w:r>
      <w:r w:rsidRPr="00BC072D">
        <w:t xml:space="preserve">successful implementation and </w:t>
      </w:r>
      <w:r w:rsidRPr="00613CA3">
        <w:t>up</w:t>
      </w:r>
      <w:r w:rsidR="00BC072D">
        <w:t>take</w:t>
      </w:r>
      <w:r w:rsidRPr="00BC072D">
        <w:t xml:space="preserve"> of </w:t>
      </w:r>
      <w:proofErr w:type="spellStart"/>
      <w:r w:rsidRPr="00BC072D">
        <w:t>MaaS</w:t>
      </w:r>
      <w:proofErr w:type="spellEnd"/>
      <w:r w:rsidRPr="00BC072D">
        <w:t xml:space="preserve"> in Europe and beyond. The main goal is to facilitate a single, open market and full deployment of </w:t>
      </w:r>
      <w:proofErr w:type="spellStart"/>
      <w:r w:rsidRPr="00BC072D">
        <w:t>MaaS</w:t>
      </w:r>
      <w:proofErr w:type="spellEnd"/>
      <w:r w:rsidRPr="00BC072D">
        <w:t xml:space="preserve"> services</w:t>
      </w:r>
      <w:proofErr w:type="gramStart"/>
      <w:r w:rsidRPr="00BC072D">
        <w:t>;</w:t>
      </w:r>
      <w:proofErr w:type="gramEnd"/>
    </w:p>
    <w:p w14:paraId="11D90DDE" w14:textId="77777777" w:rsidR="009B7F78" w:rsidRPr="00613CA3" w:rsidRDefault="009B7F78" w:rsidP="009B7F78">
      <w:pPr>
        <w:pStyle w:val="SingleTxtG"/>
        <w:ind w:firstLine="567"/>
      </w:pPr>
      <w:proofErr w:type="gramStart"/>
      <w:r w:rsidRPr="00613CA3">
        <w:t>(f)</w:t>
      </w:r>
      <w:r w:rsidRPr="00613CA3">
        <w:tab/>
        <w:t>Were informed</w:t>
      </w:r>
      <w:proofErr w:type="gramEnd"/>
      <w:r w:rsidRPr="00613CA3">
        <w:t xml:space="preserve"> about technologies and applications that integrate various transport services into one mobility offer;</w:t>
      </w:r>
    </w:p>
    <w:p w14:paraId="4EF5B7F1" w14:textId="396EED18" w:rsidR="009B7F78" w:rsidRPr="00613CA3" w:rsidRDefault="009B7F78" w:rsidP="009B7F78">
      <w:pPr>
        <w:pStyle w:val="SingleTxtG"/>
        <w:ind w:firstLine="567"/>
      </w:pPr>
      <w:r w:rsidRPr="00613CA3">
        <w:t>(g)</w:t>
      </w:r>
      <w:r w:rsidRPr="00613CA3">
        <w:tab/>
        <w:t xml:space="preserve">Were informed about railways initiatives to provide an electronic </w:t>
      </w:r>
      <w:proofErr w:type="gramStart"/>
      <w:r w:rsidRPr="00613CA3">
        <w:t>door to door</w:t>
      </w:r>
      <w:proofErr w:type="gramEnd"/>
      <w:r w:rsidRPr="00613CA3">
        <w:t xml:space="preserve"> integrated transport system;</w:t>
      </w:r>
    </w:p>
    <w:p w14:paraId="439E7E87" w14:textId="6F8A7D18" w:rsidR="009B7F78" w:rsidRPr="00613CA3" w:rsidRDefault="009B7F78" w:rsidP="009B7F78">
      <w:pPr>
        <w:pStyle w:val="SingleTxtG"/>
        <w:ind w:firstLine="567"/>
      </w:pPr>
      <w:r w:rsidRPr="00613CA3">
        <w:t>(h)</w:t>
      </w:r>
      <w:r w:rsidRPr="00613CA3">
        <w:tab/>
        <w:t xml:space="preserve">Agreed that </w:t>
      </w:r>
      <w:proofErr w:type="gramStart"/>
      <w:r w:rsidRPr="00613CA3">
        <w:t>at the moment</w:t>
      </w:r>
      <w:proofErr w:type="gramEnd"/>
      <w:r w:rsidRPr="00613CA3">
        <w:t xml:space="preserve"> there is no harmoni</w:t>
      </w:r>
      <w:r w:rsidR="00BC072D">
        <w:t>z</w:t>
      </w:r>
      <w:r w:rsidRPr="00613CA3">
        <w:t>ed environment on how mobility as a service application could or should operate especially across borders.</w:t>
      </w:r>
    </w:p>
    <w:p w14:paraId="3268E30D" w14:textId="7A3FDE53" w:rsidR="009B7F78" w:rsidRPr="00613CA3" w:rsidRDefault="009B7F78" w:rsidP="00085C79">
      <w:pPr>
        <w:pStyle w:val="SingleTxtG"/>
      </w:pPr>
      <w:r w:rsidRPr="00613CA3">
        <w:t>1</w:t>
      </w:r>
      <w:r w:rsidR="007C5DFE" w:rsidRPr="00613CA3">
        <w:t>3</w:t>
      </w:r>
      <w:r w:rsidRPr="00613CA3">
        <w:t>.</w:t>
      </w:r>
      <w:r w:rsidRPr="00613CA3">
        <w:tab/>
        <w:t>The Working Party took note of the presentations made by the experts</w:t>
      </w:r>
      <w:r w:rsidR="00BC072D">
        <w:t xml:space="preserve">, </w:t>
      </w:r>
      <w:r w:rsidRPr="00613CA3">
        <w:t>thanked the experts for their participation</w:t>
      </w:r>
      <w:r w:rsidR="00BC072D">
        <w:t>,</w:t>
      </w:r>
      <w:r w:rsidRPr="00613CA3">
        <w:t xml:space="preserve"> and requested the secretariat to make sure that the topic be addressed in Working Party’s agenda on a regular basis.</w:t>
      </w:r>
    </w:p>
    <w:p w14:paraId="7CDB33AC" w14:textId="6D15C7B2" w:rsidR="009B7F78" w:rsidRPr="00D2630C" w:rsidRDefault="009B7F78" w:rsidP="00085C79">
      <w:pPr>
        <w:pStyle w:val="SingleTxtG"/>
      </w:pPr>
      <w:r w:rsidRPr="00613CA3">
        <w:t>1</w:t>
      </w:r>
      <w:r w:rsidR="007C5DFE" w:rsidRPr="00613CA3">
        <w:t>4</w:t>
      </w:r>
      <w:r w:rsidRPr="00613CA3">
        <w:t>.</w:t>
      </w:r>
      <w:r w:rsidRPr="00613CA3">
        <w:tab/>
        <w:t xml:space="preserve">The proceedings of the workshop, presentations and all workshop material </w:t>
      </w:r>
      <w:r w:rsidR="00BC072D">
        <w:t xml:space="preserve">are </w:t>
      </w:r>
      <w:r w:rsidRPr="00613CA3">
        <w:t xml:space="preserve">on the </w:t>
      </w:r>
      <w:r w:rsidR="002923A8">
        <w:t>ECE</w:t>
      </w:r>
      <w:r w:rsidRPr="00613CA3">
        <w:t xml:space="preserve"> website</w:t>
      </w:r>
      <w:r w:rsidR="008D1C41">
        <w:t>. See</w:t>
      </w:r>
      <w:r w:rsidRPr="00613CA3">
        <w:t xml:space="preserve"> </w:t>
      </w:r>
      <w:hyperlink r:id="rId10" w:history="1">
        <w:r w:rsidRPr="00D2630C">
          <w:rPr>
            <w:rStyle w:val="Hyperlink"/>
          </w:rPr>
          <w:t>www.unece.org/trans/main/wp5/mobility_as_a_service.html</w:t>
        </w:r>
      </w:hyperlink>
      <w:r w:rsidRPr="00D2630C">
        <w:t xml:space="preserve"> </w:t>
      </w:r>
    </w:p>
    <w:p w14:paraId="005A5868" w14:textId="07B3E1E2" w:rsidR="005C2D88" w:rsidRPr="00613CA3" w:rsidRDefault="00096067" w:rsidP="00B249DF">
      <w:pPr>
        <w:pStyle w:val="H1G"/>
      </w:pPr>
      <w:r w:rsidRPr="00613CA3">
        <w:tab/>
      </w:r>
      <w:r w:rsidR="005C2D88" w:rsidRPr="00613CA3">
        <w:t>C.</w:t>
      </w:r>
      <w:r w:rsidR="005C2D88" w:rsidRPr="00613CA3">
        <w:tab/>
        <w:t>Group</w:t>
      </w:r>
      <w:r w:rsidR="00783868">
        <w:t>s</w:t>
      </w:r>
      <w:r w:rsidR="005C2D88" w:rsidRPr="00613CA3">
        <w:t xml:space="preserve"> of Experts </w:t>
      </w:r>
    </w:p>
    <w:p w14:paraId="24FE3844" w14:textId="5E454C7E" w:rsidR="005C2D88" w:rsidRPr="00613CA3" w:rsidRDefault="005C2D88" w:rsidP="00027F17">
      <w:pPr>
        <w:pStyle w:val="H23G"/>
        <w:jc w:val="both"/>
      </w:pPr>
      <w:r w:rsidRPr="00613CA3">
        <w:tab/>
        <w:t>1.</w:t>
      </w:r>
      <w:r w:rsidRPr="00613CA3">
        <w:tab/>
        <w:t xml:space="preserve">Group of Experts on Climate Change Impacts and </w:t>
      </w:r>
      <w:r w:rsidRPr="00783868">
        <w:t xml:space="preserve">Adaptation </w:t>
      </w:r>
      <w:r w:rsidR="00BF64F0" w:rsidRPr="00783868">
        <w:t xml:space="preserve">for </w:t>
      </w:r>
      <w:r w:rsidRPr="00783868">
        <w:t>Transport Networks</w:t>
      </w:r>
      <w:r w:rsidR="00BF64F0" w:rsidRPr="00783868">
        <w:t xml:space="preserve"> and </w:t>
      </w:r>
      <w:r w:rsidR="00783868">
        <w:t>N</w:t>
      </w:r>
      <w:r w:rsidR="00BF64F0" w:rsidRPr="00783868">
        <w:t>odes</w:t>
      </w:r>
    </w:p>
    <w:p w14:paraId="47C1622B" w14:textId="127D1F05" w:rsidR="005D2D01" w:rsidRPr="00613CA3" w:rsidRDefault="00226801" w:rsidP="00085C79">
      <w:pPr>
        <w:pStyle w:val="SingleTxtG"/>
      </w:pPr>
      <w:r w:rsidRPr="00613CA3">
        <w:t>1</w:t>
      </w:r>
      <w:r w:rsidR="00027F17" w:rsidRPr="00613CA3">
        <w:t>5</w:t>
      </w:r>
      <w:r w:rsidR="005C2D88" w:rsidRPr="00613CA3">
        <w:t>.</w:t>
      </w:r>
      <w:r w:rsidR="005C2D88" w:rsidRPr="00613CA3">
        <w:tab/>
      </w:r>
      <w:r w:rsidR="00235CF6" w:rsidRPr="00613CA3">
        <w:t>A lot of analytical work undertaken</w:t>
      </w:r>
      <w:r w:rsidR="001F27C2">
        <w:t xml:space="preserve"> in </w:t>
      </w:r>
      <w:r w:rsidR="00235CF6" w:rsidRPr="00613CA3">
        <w:t>the second phase of the Group of Experts</w:t>
      </w:r>
      <w:r w:rsidR="00D41495" w:rsidRPr="00613CA3">
        <w:t>,</w:t>
      </w:r>
      <w:r w:rsidR="00235CF6" w:rsidRPr="00613CA3">
        <w:t xml:space="preserve"> which focused on</w:t>
      </w:r>
      <w:r w:rsidR="005D2D01" w:rsidRPr="00613CA3">
        <w:t xml:space="preserve"> the preparation of the </w:t>
      </w:r>
      <w:proofErr w:type="gramStart"/>
      <w:r w:rsidR="005D2D01" w:rsidRPr="00613CA3">
        <w:t>so called</w:t>
      </w:r>
      <w:proofErr w:type="gramEnd"/>
      <w:r w:rsidR="005D2D01" w:rsidRPr="00613CA3">
        <w:t xml:space="preserve"> “Hot Spots Map”. During the sessions </w:t>
      </w:r>
      <w:r w:rsidR="001F27C2">
        <w:t xml:space="preserve">of </w:t>
      </w:r>
      <w:r w:rsidR="005D2D01" w:rsidRPr="00613CA3">
        <w:t>2017, the Group:</w:t>
      </w:r>
    </w:p>
    <w:p w14:paraId="60DFEF33" w14:textId="77777777" w:rsidR="005D2D01" w:rsidRPr="00613CA3" w:rsidRDefault="005D2D01" w:rsidP="00A93ACA">
      <w:pPr>
        <w:pStyle w:val="SingleTxtG"/>
        <w:ind w:firstLine="567"/>
      </w:pPr>
      <w:r w:rsidRPr="00613CA3">
        <w:t>(</w:t>
      </w:r>
      <w:proofErr w:type="gramStart"/>
      <w:r w:rsidRPr="00613CA3">
        <w:t>a</w:t>
      </w:r>
      <w:proofErr w:type="gramEnd"/>
      <w:r w:rsidRPr="00613CA3">
        <w:t>)</w:t>
      </w:r>
      <w:r w:rsidRPr="00613CA3">
        <w:tab/>
        <w:t>Discussed the results of the first phase;</w:t>
      </w:r>
    </w:p>
    <w:p w14:paraId="09E860BB" w14:textId="77777777" w:rsidR="005D2D01" w:rsidRPr="00613CA3" w:rsidRDefault="005D2D01" w:rsidP="00A93ACA">
      <w:pPr>
        <w:pStyle w:val="SingleTxtG"/>
        <w:ind w:firstLine="567"/>
      </w:pPr>
      <w:r w:rsidRPr="00613CA3">
        <w:t>(b)</w:t>
      </w:r>
      <w:r w:rsidRPr="00613CA3">
        <w:tab/>
        <w:t xml:space="preserve">Prepared and discussed the first chapter of its final report, </w:t>
      </w:r>
    </w:p>
    <w:p w14:paraId="32D39A4F" w14:textId="77777777" w:rsidR="005D2D01" w:rsidRPr="00613CA3" w:rsidRDefault="005D2D01" w:rsidP="00A93ACA">
      <w:pPr>
        <w:pStyle w:val="SingleTxtG"/>
        <w:ind w:firstLine="567"/>
      </w:pPr>
      <w:r w:rsidRPr="00613CA3">
        <w:t>(c)</w:t>
      </w:r>
      <w:r w:rsidRPr="00613CA3">
        <w:tab/>
        <w:t>Prepared a draft chapter on national policies, good practices and case studies</w:t>
      </w:r>
      <w:proofErr w:type="gramStart"/>
      <w:r w:rsidRPr="00613CA3">
        <w:t>;</w:t>
      </w:r>
      <w:proofErr w:type="gramEnd"/>
      <w:r w:rsidRPr="00613CA3">
        <w:t xml:space="preserve"> </w:t>
      </w:r>
    </w:p>
    <w:p w14:paraId="7AD3A143" w14:textId="651BCABF" w:rsidR="005D2D01" w:rsidRPr="00613CA3" w:rsidRDefault="005D2D01" w:rsidP="00A93ACA">
      <w:pPr>
        <w:pStyle w:val="SingleTxtG"/>
        <w:ind w:firstLine="567"/>
      </w:pPr>
      <w:r w:rsidRPr="00613CA3">
        <w:t>(d)</w:t>
      </w:r>
      <w:r w:rsidRPr="00613CA3">
        <w:tab/>
        <w:t xml:space="preserve">Prepared, discussed and analysed the questionnaire sent to </w:t>
      </w:r>
      <w:r w:rsidR="00BC072D">
        <w:t>g</w:t>
      </w:r>
      <w:r w:rsidRPr="00613CA3">
        <w:t>overnments</w:t>
      </w:r>
      <w:proofErr w:type="gramStart"/>
      <w:r w:rsidRPr="00613CA3">
        <w:t>;</w:t>
      </w:r>
      <w:proofErr w:type="gramEnd"/>
      <w:r w:rsidRPr="00613CA3">
        <w:t xml:space="preserve"> </w:t>
      </w:r>
    </w:p>
    <w:p w14:paraId="23DE7C01" w14:textId="3E54EA92" w:rsidR="005D2D01" w:rsidRPr="00613CA3" w:rsidRDefault="005D2D01" w:rsidP="00A93ACA">
      <w:pPr>
        <w:pStyle w:val="SingleTxtG"/>
        <w:ind w:firstLine="567"/>
      </w:pPr>
      <w:r w:rsidRPr="00613CA3">
        <w:t>(e)</w:t>
      </w:r>
      <w:r w:rsidRPr="00613CA3">
        <w:tab/>
        <w:t>Collected (from the questionnaire or from other sources such as the European Union, the EATL project</w:t>
      </w:r>
      <w:r w:rsidR="00616C70">
        <w:t xml:space="preserve"> or</w:t>
      </w:r>
      <w:r w:rsidR="00616C70" w:rsidRPr="00613CA3">
        <w:t xml:space="preserve"> </w:t>
      </w:r>
      <w:r w:rsidRPr="00613CA3">
        <w:t xml:space="preserve">the ECE road and rail censuses) </w:t>
      </w:r>
      <w:r w:rsidR="00616C70">
        <w:t>from</w:t>
      </w:r>
      <w:r w:rsidR="00616C70" w:rsidRPr="00613CA3">
        <w:t xml:space="preserve"> </w:t>
      </w:r>
      <w:r w:rsidRPr="00613CA3">
        <w:t>a GIS environment</w:t>
      </w:r>
      <w:r w:rsidR="00616C70">
        <w:t>,</w:t>
      </w:r>
      <w:r w:rsidRPr="00613CA3">
        <w:t xml:space="preserve"> the transport infrastructure for the majority of the ECE member States</w:t>
      </w:r>
      <w:proofErr w:type="gramStart"/>
      <w:r w:rsidRPr="00613CA3">
        <w:t>;</w:t>
      </w:r>
      <w:proofErr w:type="gramEnd"/>
    </w:p>
    <w:p w14:paraId="29480529" w14:textId="5576F9AD" w:rsidR="005D2D01" w:rsidRPr="00613CA3" w:rsidRDefault="005D2D01" w:rsidP="00A93ACA">
      <w:pPr>
        <w:pStyle w:val="SingleTxtG"/>
        <w:ind w:firstLine="567"/>
      </w:pPr>
      <w:proofErr w:type="gramStart"/>
      <w:r w:rsidRPr="00613CA3">
        <w:t>(f)</w:t>
      </w:r>
      <w:r w:rsidRPr="00613CA3">
        <w:tab/>
        <w:t xml:space="preserve">Received from the World Meteorological Organization </w:t>
      </w:r>
      <w:r w:rsidR="00616C70">
        <w:t>i</w:t>
      </w:r>
      <w:r w:rsidR="00616C70" w:rsidRPr="00613CA3">
        <w:t xml:space="preserve">n </w:t>
      </w:r>
      <w:r w:rsidRPr="00613CA3">
        <w:t>a GIS environment</w:t>
      </w:r>
      <w:r w:rsidR="00BC072D">
        <w:t>,</w:t>
      </w:r>
      <w:r w:rsidRPr="00613CA3">
        <w:t xml:space="preserve"> the projections for the main climatic parameters such as precipitation, temperature, </w:t>
      </w:r>
      <w:r w:rsidR="00616C70" w:rsidRPr="00613CA3">
        <w:t xml:space="preserve">rising </w:t>
      </w:r>
      <w:r w:rsidR="00616C70">
        <w:t xml:space="preserve">of </w:t>
      </w:r>
      <w:r w:rsidRPr="00613CA3">
        <w:t>sea level.</w:t>
      </w:r>
      <w:proofErr w:type="gramEnd"/>
    </w:p>
    <w:p w14:paraId="4AFAC4B8" w14:textId="607944DC" w:rsidR="005D2D01" w:rsidRPr="00613CA3" w:rsidRDefault="005D2D01" w:rsidP="00085C79">
      <w:pPr>
        <w:pStyle w:val="SingleTxtG"/>
      </w:pPr>
      <w:r w:rsidRPr="00613CA3">
        <w:t>16.</w:t>
      </w:r>
      <w:r w:rsidRPr="00613CA3">
        <w:tab/>
        <w:t xml:space="preserve">However, for the Group to finalize its work and accomplish its objectives based on its </w:t>
      </w:r>
      <w:r w:rsidR="00BC072D">
        <w:t>t</w:t>
      </w:r>
      <w:r w:rsidRPr="00613CA3">
        <w:t xml:space="preserve">erms of </w:t>
      </w:r>
      <w:r w:rsidR="00BC072D">
        <w:t>r</w:t>
      </w:r>
      <w:r w:rsidRPr="00613CA3">
        <w:t xml:space="preserve">eference, many things remain to </w:t>
      </w:r>
      <w:proofErr w:type="gramStart"/>
      <w:r w:rsidRPr="00613CA3">
        <w:t>be done</w:t>
      </w:r>
      <w:proofErr w:type="gramEnd"/>
      <w:r w:rsidRPr="00613CA3">
        <w:t xml:space="preserve"> including the development of the hot spots map. Therefore, the Group requested the Working Party to extend its mandate for one more year based on the same </w:t>
      </w:r>
      <w:r w:rsidR="00BC072D">
        <w:t>t</w:t>
      </w:r>
      <w:r w:rsidR="00BC072D" w:rsidRPr="00E3372E">
        <w:t xml:space="preserve">erms of </w:t>
      </w:r>
      <w:r w:rsidR="00BC072D">
        <w:t>r</w:t>
      </w:r>
      <w:r w:rsidR="00BC072D" w:rsidRPr="00E3372E">
        <w:t>eference</w:t>
      </w:r>
      <w:r w:rsidRPr="00613CA3">
        <w:t>.</w:t>
      </w:r>
    </w:p>
    <w:p w14:paraId="1159A3FC" w14:textId="02A48126" w:rsidR="005C2D88" w:rsidRPr="00613CA3" w:rsidRDefault="005C2D88" w:rsidP="005C2D88">
      <w:pPr>
        <w:pStyle w:val="H23G"/>
      </w:pPr>
      <w:r w:rsidRPr="00613CA3">
        <w:tab/>
        <w:t>2.</w:t>
      </w:r>
      <w:r w:rsidRPr="00613CA3">
        <w:tab/>
        <w:t>Group of Experts on Euro-Asian Transport Links</w:t>
      </w:r>
    </w:p>
    <w:p w14:paraId="36F4A58E" w14:textId="2E19FAAC" w:rsidR="005D2D01" w:rsidRPr="00613CA3" w:rsidRDefault="009903BA" w:rsidP="00085C79">
      <w:pPr>
        <w:pStyle w:val="SingleTxtG"/>
      </w:pPr>
      <w:r w:rsidRPr="00613CA3">
        <w:t>1</w:t>
      </w:r>
      <w:r w:rsidR="005D2D01" w:rsidRPr="00613CA3">
        <w:t>7</w:t>
      </w:r>
      <w:r w:rsidR="005C2D88" w:rsidRPr="00613CA3">
        <w:t>.</w:t>
      </w:r>
      <w:r w:rsidR="005C2D88" w:rsidRPr="00613CA3">
        <w:tab/>
      </w:r>
      <w:r w:rsidR="005D2D01" w:rsidRPr="00613CA3">
        <w:t xml:space="preserve">The Group of Experts finalized its third phase and delivered its final report. </w:t>
      </w:r>
      <w:r w:rsidR="0004222C" w:rsidRPr="00613CA3">
        <w:t>The Working Party appreciated the efforts made by the experts, thanked them for the excellent work done and approved</w:t>
      </w:r>
      <w:r w:rsidR="00616C70">
        <w:t>,</w:t>
      </w:r>
      <w:r w:rsidR="0004222C" w:rsidRPr="00613CA3">
        <w:t xml:space="preserve"> as amended</w:t>
      </w:r>
      <w:r w:rsidR="00616C70">
        <w:t>,</w:t>
      </w:r>
      <w:r w:rsidR="0004222C" w:rsidRPr="00613CA3">
        <w:t xml:space="preserve"> the final report of the Group.</w:t>
      </w:r>
      <w:r w:rsidR="005D2D01" w:rsidRPr="00613CA3">
        <w:t xml:space="preserve"> </w:t>
      </w:r>
      <w:r w:rsidR="0004222C" w:rsidRPr="00613CA3">
        <w:t>The Working Party requested the secretariat to organize at its next session</w:t>
      </w:r>
      <w:r w:rsidR="00616C70">
        <w:t>,</w:t>
      </w:r>
      <w:r w:rsidR="0004222C" w:rsidRPr="00613CA3">
        <w:t xml:space="preserve"> as a follow-up to the third phase of the Group, an international conference on “</w:t>
      </w:r>
      <w:r w:rsidR="00257DDB">
        <w:t>O</w:t>
      </w:r>
      <w:r w:rsidR="00257DDB" w:rsidRPr="00613CA3">
        <w:t xml:space="preserve">perationalization </w:t>
      </w:r>
      <w:r w:rsidR="0004222C" w:rsidRPr="00613CA3">
        <w:t xml:space="preserve">of the Euro-Asian </w:t>
      </w:r>
      <w:r w:rsidR="00257DDB">
        <w:t>C</w:t>
      </w:r>
      <w:r w:rsidR="0004222C" w:rsidRPr="00613CA3">
        <w:t xml:space="preserve">orridors” </w:t>
      </w:r>
      <w:r w:rsidR="00257DDB">
        <w:t xml:space="preserve">and </w:t>
      </w:r>
      <w:r w:rsidR="00616C70">
        <w:t xml:space="preserve">to </w:t>
      </w:r>
      <w:r w:rsidR="00257DDB">
        <w:t>invite g</w:t>
      </w:r>
      <w:r w:rsidR="00257DDB" w:rsidRPr="00613CA3">
        <w:t>overnments</w:t>
      </w:r>
      <w:r w:rsidR="00616C70">
        <w:t>,</w:t>
      </w:r>
      <w:r w:rsidR="00257DDB" w:rsidRPr="00613CA3">
        <w:t xml:space="preserve"> </w:t>
      </w:r>
      <w:r w:rsidR="0004222C" w:rsidRPr="00613CA3">
        <w:t xml:space="preserve">freight forwarders, shippers </w:t>
      </w:r>
      <w:r w:rsidR="00257DDB" w:rsidRPr="00613CA3">
        <w:t xml:space="preserve">and </w:t>
      </w:r>
      <w:r w:rsidR="0004222C" w:rsidRPr="00613CA3">
        <w:t>railways undertakings to attend.</w:t>
      </w:r>
    </w:p>
    <w:p w14:paraId="62801C77" w14:textId="17016C8C" w:rsidR="00096067" w:rsidRPr="00613CA3" w:rsidRDefault="00096067" w:rsidP="00096067">
      <w:pPr>
        <w:pStyle w:val="H23G"/>
      </w:pPr>
      <w:r w:rsidRPr="00613CA3">
        <w:lastRenderedPageBreak/>
        <w:tab/>
        <w:t>3.</w:t>
      </w:r>
      <w:r w:rsidRPr="00613CA3">
        <w:tab/>
        <w:t xml:space="preserve">Group of Experts on Benchmarking </w:t>
      </w:r>
      <w:r w:rsidRPr="00783868">
        <w:t>Transport Infrastructure</w:t>
      </w:r>
      <w:r w:rsidR="00070BDC" w:rsidRPr="00783868">
        <w:t xml:space="preserve"> </w:t>
      </w:r>
      <w:r w:rsidR="00783868">
        <w:t>C</w:t>
      </w:r>
      <w:r w:rsidR="00070BDC" w:rsidRPr="00783868">
        <w:t xml:space="preserve">onstruction </w:t>
      </w:r>
      <w:r w:rsidR="00783868">
        <w:t>C</w:t>
      </w:r>
      <w:r w:rsidR="00070BDC" w:rsidRPr="00783868">
        <w:t>osts</w:t>
      </w:r>
      <w:r w:rsidRPr="00613CA3">
        <w:t xml:space="preserve"> </w:t>
      </w:r>
    </w:p>
    <w:p w14:paraId="67D0DFF0" w14:textId="6A0D01A9" w:rsidR="00AD5E20" w:rsidRPr="00613CA3" w:rsidRDefault="00C63A74" w:rsidP="00085C79">
      <w:pPr>
        <w:pStyle w:val="SingleTxtG"/>
      </w:pPr>
      <w:r w:rsidRPr="00613CA3">
        <w:t>1</w:t>
      </w:r>
      <w:r w:rsidR="0004222C" w:rsidRPr="00613CA3">
        <w:t>8</w:t>
      </w:r>
      <w:r w:rsidRPr="00613CA3">
        <w:t>.</w:t>
      </w:r>
      <w:r w:rsidR="00235CF6" w:rsidRPr="00613CA3">
        <w:tab/>
      </w:r>
      <w:r w:rsidR="00AD5E20" w:rsidRPr="00613CA3">
        <w:t xml:space="preserve">The benchmarking of </w:t>
      </w:r>
      <w:proofErr w:type="gramStart"/>
      <w:r w:rsidR="00AD5E20" w:rsidRPr="00613CA3">
        <w:t>transport infrastructure construction costs</w:t>
      </w:r>
      <w:proofErr w:type="gramEnd"/>
      <w:r w:rsidR="00AD5E20" w:rsidRPr="00613CA3">
        <w:t xml:space="preserve"> is critical for realistic construction costs</w:t>
      </w:r>
      <w:r w:rsidR="00070BDC" w:rsidRPr="00613CA3">
        <w:t>, increased governance</w:t>
      </w:r>
      <w:r w:rsidR="00AD5E20" w:rsidRPr="00613CA3">
        <w:t xml:space="preserve"> and a stable investment program</w:t>
      </w:r>
      <w:r w:rsidR="00D41495" w:rsidRPr="00613CA3">
        <w:t>me</w:t>
      </w:r>
      <w:r w:rsidR="00AD5E20" w:rsidRPr="00613CA3">
        <w:t xml:space="preserve"> without unexpected cost increases. The use of benchmarking of construction costs could also be useful for cost estimates </w:t>
      </w:r>
      <w:r w:rsidR="00257DDB">
        <w:t xml:space="preserve">and </w:t>
      </w:r>
      <w:r w:rsidR="00AD5E20" w:rsidRPr="00613CA3">
        <w:t xml:space="preserve">for </w:t>
      </w:r>
      <w:r w:rsidR="00257DDB">
        <w:t xml:space="preserve">the </w:t>
      </w:r>
      <w:r w:rsidR="00AD5E20" w:rsidRPr="00613CA3">
        <w:t>control of project costs. The duration of the Group’s mandate is two years and experts focus their work on:</w:t>
      </w:r>
    </w:p>
    <w:p w14:paraId="532BEACE" w14:textId="77777777" w:rsidR="00AD5E20" w:rsidRPr="00613CA3" w:rsidRDefault="00C63A74" w:rsidP="00B249DF">
      <w:pPr>
        <w:pStyle w:val="SingleTxtG"/>
        <w:ind w:firstLine="567"/>
      </w:pPr>
      <w:r w:rsidRPr="00613CA3">
        <w:t>(a)</w:t>
      </w:r>
      <w:r w:rsidRPr="00613CA3">
        <w:tab/>
      </w:r>
      <w:r w:rsidR="00AD5E20" w:rsidRPr="00613CA3">
        <w:t>Identify</w:t>
      </w:r>
      <w:r w:rsidR="00251C50" w:rsidRPr="00613CA3">
        <w:t>ing</w:t>
      </w:r>
      <w:r w:rsidR="00AD5E20" w:rsidRPr="00613CA3">
        <w:t xml:space="preserve"> models, methodologies, tools and good practices for evaluating, calculating and analysing inland transport infrastructure construction costs;</w:t>
      </w:r>
    </w:p>
    <w:p w14:paraId="56DBBAE6" w14:textId="77777777" w:rsidR="00AD5E20" w:rsidRPr="00613CA3" w:rsidRDefault="00C63A74" w:rsidP="00B249DF">
      <w:pPr>
        <w:pStyle w:val="SingleTxtG"/>
        <w:ind w:firstLine="567"/>
      </w:pPr>
      <w:r w:rsidRPr="00613CA3">
        <w:t>(b)</w:t>
      </w:r>
      <w:r w:rsidRPr="00613CA3">
        <w:tab/>
      </w:r>
      <w:r w:rsidR="00AD5E20" w:rsidRPr="00613CA3">
        <w:t>Identify</w:t>
      </w:r>
      <w:r w:rsidR="00251C50" w:rsidRPr="00613CA3">
        <w:t>ing</w:t>
      </w:r>
      <w:r w:rsidR="00AD5E20" w:rsidRPr="00613CA3">
        <w:t xml:space="preserve"> and list</w:t>
      </w:r>
      <w:r w:rsidR="00251C50" w:rsidRPr="00613CA3">
        <w:t>ing</w:t>
      </w:r>
      <w:r w:rsidR="00AD5E20" w:rsidRPr="00613CA3">
        <w:t xml:space="preserve"> terminologies used in the ECE region for construction costs of </w:t>
      </w:r>
      <w:r w:rsidR="00251C50" w:rsidRPr="00613CA3">
        <w:t>inland transport infrastructure. I</w:t>
      </w:r>
      <w:r w:rsidR="00AD5E20" w:rsidRPr="00613CA3">
        <w:t>f possible, create a glossary of agreed terminologies and related explanations;</w:t>
      </w:r>
    </w:p>
    <w:p w14:paraId="469DF022" w14:textId="1005AB21" w:rsidR="00AD5E20" w:rsidRPr="00613CA3" w:rsidRDefault="00C63A74" w:rsidP="00B249DF">
      <w:pPr>
        <w:pStyle w:val="SingleTxtG"/>
        <w:ind w:firstLine="567"/>
      </w:pPr>
      <w:r w:rsidRPr="00613CA3">
        <w:t>(c)</w:t>
      </w:r>
      <w:r w:rsidRPr="00613CA3">
        <w:tab/>
      </w:r>
      <w:r w:rsidR="00AD5E20" w:rsidRPr="00613CA3">
        <w:t>Collect</w:t>
      </w:r>
      <w:r w:rsidR="00251C50" w:rsidRPr="00613CA3">
        <w:t>ing</w:t>
      </w:r>
      <w:r w:rsidR="00AD5E20" w:rsidRPr="00613CA3">
        <w:t xml:space="preserve"> and analy</w:t>
      </w:r>
      <w:r w:rsidR="00251C50" w:rsidRPr="00613CA3">
        <w:t>sing</w:t>
      </w:r>
      <w:r w:rsidR="00AD5E20" w:rsidRPr="00613CA3">
        <w:t xml:space="preserve"> data to prepare a benchmarking of transport infrastructure construction costs </w:t>
      </w:r>
      <w:r w:rsidR="00251C50" w:rsidRPr="00613CA3">
        <w:t xml:space="preserve">in </w:t>
      </w:r>
      <w:r w:rsidR="00AD5E20" w:rsidRPr="00613CA3">
        <w:t xml:space="preserve">the ECE region for each inland transport mode </w:t>
      </w:r>
      <w:r w:rsidR="005565B3" w:rsidRPr="00613CA3">
        <w:t>—</w:t>
      </w:r>
      <w:r w:rsidR="00AD5E20" w:rsidRPr="00613CA3">
        <w:t xml:space="preserve"> road, rail, inland waterways </w:t>
      </w:r>
      <w:r w:rsidR="005565B3" w:rsidRPr="00613CA3">
        <w:t>—</w:t>
      </w:r>
      <w:r w:rsidR="00AD5E20" w:rsidRPr="00613CA3">
        <w:t xml:space="preserve"> including intermodal terminals, freight/logistics centr</w:t>
      </w:r>
      <w:r w:rsidR="001F7C26" w:rsidRPr="00613CA3">
        <w:t>e</w:t>
      </w:r>
      <w:r w:rsidR="00AD5E20" w:rsidRPr="00613CA3">
        <w:t xml:space="preserve">s and ports; </w:t>
      </w:r>
    </w:p>
    <w:p w14:paraId="34121561" w14:textId="77777777" w:rsidR="00096067" w:rsidRPr="00613CA3" w:rsidRDefault="00C63A74" w:rsidP="00C63A74">
      <w:pPr>
        <w:pStyle w:val="SingleTxtG"/>
        <w:ind w:firstLine="567"/>
      </w:pPr>
      <w:r w:rsidRPr="00613CA3">
        <w:t>(d)</w:t>
      </w:r>
      <w:r w:rsidRPr="00613CA3">
        <w:tab/>
      </w:r>
      <w:r w:rsidR="00251C50" w:rsidRPr="00613CA3">
        <w:t>Analysing</w:t>
      </w:r>
      <w:r w:rsidR="00AD5E20" w:rsidRPr="00613CA3">
        <w:t xml:space="preserve"> and describ</w:t>
      </w:r>
      <w:r w:rsidR="00251C50" w:rsidRPr="00613CA3">
        <w:t>ing</w:t>
      </w:r>
      <w:r w:rsidR="00AD5E20" w:rsidRPr="00613CA3">
        <w:t xml:space="preserve"> the conditions / parameters </w:t>
      </w:r>
      <w:r w:rsidR="00251C50" w:rsidRPr="00613CA3">
        <w:t xml:space="preserve">on </w:t>
      </w:r>
      <w:r w:rsidR="00AD5E20" w:rsidRPr="00613CA3">
        <w:t>which these costs have been calculated.</w:t>
      </w:r>
    </w:p>
    <w:p w14:paraId="34CAF997" w14:textId="1C25BA7B" w:rsidR="0004222C" w:rsidRPr="00613CA3" w:rsidRDefault="0004222C" w:rsidP="00085C79">
      <w:pPr>
        <w:pStyle w:val="SingleTxtG"/>
      </w:pPr>
      <w:r w:rsidRPr="00613CA3">
        <w:t xml:space="preserve">19. </w:t>
      </w:r>
      <w:r w:rsidRPr="00613CA3">
        <w:tab/>
        <w:t xml:space="preserve">The work for roads, ports and intermodal terminals has developed well since the teams </w:t>
      </w:r>
      <w:proofErr w:type="gramStart"/>
      <w:r w:rsidRPr="00613CA3">
        <w:t>have been formulated</w:t>
      </w:r>
      <w:proofErr w:type="gramEnd"/>
      <w:r w:rsidRPr="00613CA3">
        <w:t>, the team leaders appointed, and the appropriate documents have been prepared. However, this is not the case for railways and inland waterways.</w:t>
      </w:r>
      <w:r w:rsidR="008513B5" w:rsidRPr="00613CA3">
        <w:t xml:space="preserve"> </w:t>
      </w:r>
      <w:r w:rsidRPr="00613CA3">
        <w:t xml:space="preserve">The secretariat prepared the relevant documents (terminologies / benchmarking questionnaire) seeking active participation of experts from </w:t>
      </w:r>
      <w:r w:rsidR="002923A8">
        <w:t>g</w:t>
      </w:r>
      <w:r w:rsidRPr="00613CA3">
        <w:t xml:space="preserve">overnments to review and finalize those documents. </w:t>
      </w:r>
    </w:p>
    <w:p w14:paraId="69D5D70A" w14:textId="77777777" w:rsidR="00027F17" w:rsidRPr="00613CA3" w:rsidRDefault="00027F17" w:rsidP="00027F17">
      <w:pPr>
        <w:pStyle w:val="H1G"/>
      </w:pPr>
      <w:r w:rsidRPr="00613CA3">
        <w:tab/>
        <w:t xml:space="preserve">D. </w:t>
      </w:r>
      <w:r w:rsidRPr="00613CA3">
        <w:tab/>
        <w:t>Projects</w:t>
      </w:r>
    </w:p>
    <w:p w14:paraId="4BA79BE2" w14:textId="77777777" w:rsidR="00AF2D05" w:rsidRPr="00613CA3" w:rsidRDefault="00AF2D05" w:rsidP="00AF2D05">
      <w:pPr>
        <w:pStyle w:val="H23G"/>
      </w:pPr>
      <w:r w:rsidRPr="00613CA3">
        <w:tab/>
        <w:t xml:space="preserve">1. </w:t>
      </w:r>
      <w:r w:rsidRPr="00613CA3">
        <w:tab/>
        <w:t xml:space="preserve">Pan-European master plan for cycling infrastructure </w:t>
      </w:r>
    </w:p>
    <w:p w14:paraId="7814139A" w14:textId="6F67D53C" w:rsidR="00AF2D05" w:rsidRPr="00613CA3" w:rsidRDefault="00AF2D05" w:rsidP="00085C79">
      <w:pPr>
        <w:pStyle w:val="SingleTxtG"/>
      </w:pPr>
      <w:r w:rsidRPr="00613CA3">
        <w:t xml:space="preserve">20. </w:t>
      </w:r>
      <w:r w:rsidRPr="00613CA3">
        <w:tab/>
        <w:t>The Working Party as follow-up to the mandate given by ITC, considered cooperation with the Transport, Health and Environment Pan-European Programme (THE PEP) on the development of the pan-European master plan for cycling.</w:t>
      </w:r>
    </w:p>
    <w:p w14:paraId="3540E75E" w14:textId="4201FF4D" w:rsidR="00027F17" w:rsidRPr="00613CA3" w:rsidRDefault="00AF2D05" w:rsidP="00085C79">
      <w:pPr>
        <w:pStyle w:val="SingleTxtG"/>
      </w:pPr>
      <w:r w:rsidRPr="00613CA3">
        <w:t xml:space="preserve">21. </w:t>
      </w:r>
      <w:r w:rsidRPr="00613CA3">
        <w:tab/>
        <w:t>During the Team Leader Meeting of THE PEP Partnership on Cycling (2 June 2016</w:t>
      </w:r>
      <w:r w:rsidR="002923A8">
        <w:t>, Cologne</w:t>
      </w:r>
      <w:r w:rsidR="001B2417">
        <w:t>, Germany</w:t>
      </w:r>
      <w:r w:rsidRPr="00613CA3">
        <w:t xml:space="preserve">), the experience of </w:t>
      </w:r>
      <w:r w:rsidR="002923A8">
        <w:t>ECE</w:t>
      </w:r>
      <w:r w:rsidRPr="00613CA3">
        <w:t xml:space="preserve"> </w:t>
      </w:r>
      <w:r w:rsidR="001B2417">
        <w:t xml:space="preserve">in </w:t>
      </w:r>
      <w:r w:rsidRPr="00613CA3">
        <w:t xml:space="preserve">master plans such as TEM / TER and EATL was presented. The team leaders of the </w:t>
      </w:r>
      <w:r w:rsidR="002923A8">
        <w:t>p</w:t>
      </w:r>
      <w:r w:rsidRPr="00613CA3">
        <w:t xml:space="preserve">artnership decided that the Sustainable Transport Division and especially WP.5 should have a leading role </w:t>
      </w:r>
      <w:r w:rsidR="001B2417">
        <w:t>i</w:t>
      </w:r>
      <w:r w:rsidR="001B2417" w:rsidRPr="00613CA3">
        <w:t xml:space="preserve">n </w:t>
      </w:r>
      <w:r w:rsidRPr="00613CA3">
        <w:t xml:space="preserve">the development of the cycling master plan. </w:t>
      </w:r>
      <w:proofErr w:type="spellStart"/>
      <w:r w:rsidRPr="00613CA3">
        <w:t>Extrabudgetary</w:t>
      </w:r>
      <w:proofErr w:type="spellEnd"/>
      <w:r w:rsidRPr="00613CA3">
        <w:t xml:space="preserve"> resources such as consultant(s) needed for this undertaking </w:t>
      </w:r>
      <w:proofErr w:type="gramStart"/>
      <w:r w:rsidRPr="00613CA3">
        <w:t>would be secured</w:t>
      </w:r>
      <w:proofErr w:type="gramEnd"/>
      <w:r w:rsidRPr="00613CA3">
        <w:t xml:space="preserve"> through THE PEP Trust Fund.</w:t>
      </w:r>
    </w:p>
    <w:p w14:paraId="15F8D4B2" w14:textId="1D664411" w:rsidR="00027F17" w:rsidRPr="00613CA3" w:rsidRDefault="008B69D7" w:rsidP="008B69D7">
      <w:pPr>
        <w:pStyle w:val="H23G"/>
        <w:jc w:val="both"/>
      </w:pPr>
      <w:r w:rsidRPr="00613CA3">
        <w:tab/>
        <w:t xml:space="preserve">2. </w:t>
      </w:r>
      <w:r w:rsidRPr="00613CA3">
        <w:tab/>
        <w:t xml:space="preserve">Strengthening connectivity of countries in South and Central Asia, particularly Landlocked and Least Developed Countries, to link with </w:t>
      </w:r>
      <w:proofErr w:type="spellStart"/>
      <w:r w:rsidRPr="00613CA3">
        <w:t>subregional</w:t>
      </w:r>
      <w:proofErr w:type="spellEnd"/>
      <w:r w:rsidRPr="00613CA3">
        <w:t xml:space="preserve"> and regional transport and trade networks</w:t>
      </w:r>
      <w:r w:rsidR="002923A8">
        <w:t>,</w:t>
      </w:r>
      <w:r w:rsidRPr="00613CA3">
        <w:t xml:space="preserve"> in cooperation with ESCAP </w:t>
      </w:r>
    </w:p>
    <w:p w14:paraId="06047873" w14:textId="5DE207A9" w:rsidR="000713D8" w:rsidRPr="00613CA3" w:rsidRDefault="008B69D7" w:rsidP="00085C79">
      <w:pPr>
        <w:pStyle w:val="SingleTxtG"/>
      </w:pPr>
      <w:r w:rsidRPr="00613CA3">
        <w:t xml:space="preserve">22. </w:t>
      </w:r>
      <w:r w:rsidRPr="00613CA3">
        <w:tab/>
      </w:r>
      <w:r w:rsidR="000713D8" w:rsidRPr="00613CA3">
        <w:t xml:space="preserve">The project seeks to contribute to the capacities of the stakeholders in the countries of South and Central Asia, especially in the </w:t>
      </w:r>
      <w:r w:rsidR="001B2417" w:rsidRPr="001B2417">
        <w:t>landlocked least developed countr</w:t>
      </w:r>
      <w:r w:rsidR="001B2417">
        <w:t>ies</w:t>
      </w:r>
      <w:r w:rsidR="001B2417" w:rsidRPr="001B2417">
        <w:t xml:space="preserve"> </w:t>
      </w:r>
      <w:r w:rsidR="000713D8" w:rsidRPr="00613CA3">
        <w:t xml:space="preserve">and </w:t>
      </w:r>
      <w:r w:rsidR="001B2417">
        <w:t xml:space="preserve">the </w:t>
      </w:r>
      <w:r w:rsidR="000713D8" w:rsidRPr="00613CA3">
        <w:t xml:space="preserve">least developed countries (LLDCs and LDCs) to strengthen their links with </w:t>
      </w:r>
      <w:proofErr w:type="spellStart"/>
      <w:r w:rsidR="000713D8" w:rsidRPr="00613CA3">
        <w:t>subregional</w:t>
      </w:r>
      <w:proofErr w:type="spellEnd"/>
      <w:r w:rsidR="000713D8" w:rsidRPr="00613CA3">
        <w:t xml:space="preserve"> and regional transport and trade networks.</w:t>
      </w:r>
    </w:p>
    <w:p w14:paraId="748D87B3" w14:textId="05982047" w:rsidR="00AF2D05" w:rsidRPr="00613CA3" w:rsidRDefault="000713D8" w:rsidP="00085C79">
      <w:pPr>
        <w:pStyle w:val="SingleTxtG"/>
      </w:pPr>
      <w:proofErr w:type="gramStart"/>
      <w:r w:rsidRPr="00613CA3">
        <w:t xml:space="preserve">23. </w:t>
      </w:r>
      <w:r w:rsidRPr="00613CA3">
        <w:tab/>
        <w:t>T</w:t>
      </w:r>
      <w:r w:rsidR="001B2417">
        <w:t>herefore, t</w:t>
      </w:r>
      <w:r w:rsidRPr="00613CA3">
        <w:t xml:space="preserve">he project </w:t>
      </w:r>
      <w:r w:rsidR="000F1208">
        <w:t xml:space="preserve">aims to </w:t>
      </w:r>
      <w:r w:rsidRPr="00613CA3">
        <w:t>explore the possibilities of (</w:t>
      </w:r>
      <w:r w:rsidR="00783868">
        <w:t>a</w:t>
      </w:r>
      <w:r w:rsidRPr="00613CA3">
        <w:t xml:space="preserve">) linking these countries to the existing and proposed </w:t>
      </w:r>
      <w:proofErr w:type="spellStart"/>
      <w:r w:rsidR="002923A8">
        <w:t>subregional</w:t>
      </w:r>
      <w:proofErr w:type="spellEnd"/>
      <w:r w:rsidRPr="00613CA3">
        <w:t xml:space="preserve"> road and railway networks along the Asian Highway (AH)</w:t>
      </w:r>
      <w:r w:rsidR="00257DDB">
        <w:t>,</w:t>
      </w:r>
      <w:r w:rsidRPr="00613CA3">
        <w:t xml:space="preserve"> </w:t>
      </w:r>
      <w:r w:rsidR="00257DDB">
        <w:t xml:space="preserve">the </w:t>
      </w:r>
      <w:r w:rsidRPr="00613CA3">
        <w:t>Trans-Asian Railway (TAR) and Europe-Asia Transport Linkages (EATL) corridors based on minimal investments; (</w:t>
      </w:r>
      <w:r w:rsidR="00783868">
        <w:t>b</w:t>
      </w:r>
      <w:r w:rsidRPr="00613CA3">
        <w:t xml:space="preserve">) facilitating the movement of goods </w:t>
      </w:r>
      <w:r w:rsidR="001B2417">
        <w:t xml:space="preserve">on </w:t>
      </w:r>
      <w:r w:rsidRPr="00613CA3">
        <w:t xml:space="preserve">these corridors in a mutually beneficial manner, especially for LLDCs and LDCs in the </w:t>
      </w:r>
      <w:proofErr w:type="spellStart"/>
      <w:r w:rsidRPr="00613CA3">
        <w:lastRenderedPageBreak/>
        <w:t>subregions</w:t>
      </w:r>
      <w:proofErr w:type="spellEnd"/>
      <w:r w:rsidRPr="00613CA3">
        <w:t>; and (</w:t>
      </w:r>
      <w:r w:rsidR="00783868">
        <w:t>c</w:t>
      </w:r>
      <w:r w:rsidRPr="00613CA3">
        <w:t>) facilitating trade and investment promoti</w:t>
      </w:r>
      <w:r w:rsidR="001B2417">
        <w:t>ng</w:t>
      </w:r>
      <w:r w:rsidRPr="00613CA3">
        <w:t xml:space="preserve"> paperless trade and creati</w:t>
      </w:r>
      <w:r w:rsidR="001B2417">
        <w:t xml:space="preserve">ng </w:t>
      </w:r>
      <w:r w:rsidRPr="00613CA3">
        <w:t>economic corridors at the border crossings that could be of particular interest to LLDCs and countries emerging from conflict, such as Afghanistan.</w:t>
      </w:r>
      <w:proofErr w:type="gramEnd"/>
      <w:r w:rsidRPr="00613CA3">
        <w:t xml:space="preserve"> Those countries seek to rebuild their economies through improved connectivity with the region’s emerging markets and enhanced connectivity that could provide economic gains and help in restoring peace and stability.</w:t>
      </w:r>
    </w:p>
    <w:p w14:paraId="749BD982" w14:textId="3F583A9F" w:rsidR="00AF2D05" w:rsidRPr="00613CA3" w:rsidRDefault="000713D8" w:rsidP="000713D8">
      <w:pPr>
        <w:pStyle w:val="SingleTxtG"/>
        <w:ind w:hanging="567"/>
        <w:rPr>
          <w:b/>
        </w:rPr>
      </w:pPr>
      <w:r w:rsidRPr="00613CA3">
        <w:rPr>
          <w:b/>
        </w:rPr>
        <w:t>3.</w:t>
      </w:r>
      <w:r w:rsidRPr="00613CA3">
        <w:rPr>
          <w:b/>
        </w:rPr>
        <w:tab/>
        <w:t xml:space="preserve">Enhancing regional connectivity </w:t>
      </w:r>
      <w:r w:rsidR="000F1208">
        <w:rPr>
          <w:b/>
        </w:rPr>
        <w:t>with a G</w:t>
      </w:r>
      <w:r w:rsidRPr="00613CA3">
        <w:rPr>
          <w:b/>
        </w:rPr>
        <w:t xml:space="preserve">eographical </w:t>
      </w:r>
      <w:r w:rsidR="000F1208">
        <w:rPr>
          <w:b/>
        </w:rPr>
        <w:t>I</w:t>
      </w:r>
      <w:r w:rsidRPr="00613CA3">
        <w:rPr>
          <w:b/>
        </w:rPr>
        <w:t xml:space="preserve">nformation </w:t>
      </w:r>
      <w:r w:rsidR="000F1208">
        <w:rPr>
          <w:b/>
        </w:rPr>
        <w:t>S</w:t>
      </w:r>
      <w:r w:rsidRPr="00613CA3">
        <w:rPr>
          <w:b/>
        </w:rPr>
        <w:t xml:space="preserve">ystem </w:t>
      </w:r>
      <w:r w:rsidR="000F1208">
        <w:rPr>
          <w:b/>
        </w:rPr>
        <w:t>database</w:t>
      </w:r>
      <w:r w:rsidR="001B2417">
        <w:rPr>
          <w:b/>
        </w:rPr>
        <w:t>,</w:t>
      </w:r>
      <w:r w:rsidR="000F1208">
        <w:rPr>
          <w:b/>
        </w:rPr>
        <w:t xml:space="preserve"> </w:t>
      </w:r>
      <w:r w:rsidRPr="00613CA3">
        <w:rPr>
          <w:b/>
        </w:rPr>
        <w:t>in cooperation with</w:t>
      </w:r>
      <w:r w:rsidR="001B2417">
        <w:rPr>
          <w:b/>
        </w:rPr>
        <w:t xml:space="preserve"> the</w:t>
      </w:r>
      <w:r w:rsidRPr="00613CA3">
        <w:rPr>
          <w:b/>
        </w:rPr>
        <w:t xml:space="preserve"> Islamic Development Bank </w:t>
      </w:r>
    </w:p>
    <w:p w14:paraId="19F43741" w14:textId="5D79A7D3" w:rsidR="00027F17" w:rsidRPr="00613CA3" w:rsidRDefault="000713D8" w:rsidP="00085C79">
      <w:pPr>
        <w:pStyle w:val="SingleTxtG"/>
      </w:pPr>
      <w:r w:rsidRPr="00613CA3">
        <w:t>24.</w:t>
      </w:r>
      <w:r w:rsidRPr="00613CA3">
        <w:tab/>
        <w:t>The project comprises four components</w:t>
      </w:r>
      <w:r w:rsidR="00257DDB">
        <w:t>:</w:t>
      </w:r>
      <w:r w:rsidRPr="00613CA3">
        <w:t xml:space="preserve"> establishment of a GIS database, preparation of </w:t>
      </w:r>
      <w:r w:rsidR="001B2417">
        <w:t xml:space="preserve">a </w:t>
      </w:r>
      <w:r w:rsidRPr="00613CA3">
        <w:t>list of potential investment projects and their prioritization, and two regional studies on “benchmarking of transport construction and maintenance costs” and “establishment of multi-donor RCI financing facilities”. The beneficiary countries of the project are Albania, Afghanistan, Azerbaijan, Islamic Republic of Iran, Kazakhstan, Kyrgyzstan, Pakistan, Tajikistan, Turkey</w:t>
      </w:r>
      <w:r w:rsidR="000F1208">
        <w:t>,</w:t>
      </w:r>
      <w:r w:rsidRPr="00613CA3">
        <w:t xml:space="preserve"> </w:t>
      </w:r>
      <w:r w:rsidR="000F1208" w:rsidRPr="00E3372E">
        <w:t>Turkmenistan</w:t>
      </w:r>
      <w:r w:rsidR="000F1208" w:rsidRPr="00613CA3">
        <w:t xml:space="preserve"> </w:t>
      </w:r>
      <w:r w:rsidRPr="00613CA3">
        <w:t xml:space="preserve">and </w:t>
      </w:r>
      <w:r w:rsidR="000F1208" w:rsidRPr="00E3372E">
        <w:t>Uzbekistan</w:t>
      </w:r>
      <w:r w:rsidRPr="00613CA3">
        <w:t>.</w:t>
      </w:r>
    </w:p>
    <w:p w14:paraId="48F88929" w14:textId="1B696EBB" w:rsidR="005C2D88" w:rsidRPr="00613CA3" w:rsidRDefault="005C2D88" w:rsidP="00085C79">
      <w:pPr>
        <w:pStyle w:val="HChG"/>
      </w:pPr>
      <w:r w:rsidRPr="00613CA3">
        <w:tab/>
        <w:t>II.</w:t>
      </w:r>
      <w:r w:rsidRPr="00613CA3">
        <w:tab/>
        <w:t xml:space="preserve">Analytical Activities </w:t>
      </w:r>
      <w:r w:rsidR="00257DDB">
        <w:t xml:space="preserve">of </w:t>
      </w:r>
      <w:r w:rsidRPr="00613CA3">
        <w:t xml:space="preserve">the </w:t>
      </w:r>
      <w:r w:rsidR="00936FC2" w:rsidRPr="00613CA3">
        <w:t xml:space="preserve">Sustainable </w:t>
      </w:r>
      <w:r w:rsidRPr="00613CA3">
        <w:t>Transport Division</w:t>
      </w:r>
    </w:p>
    <w:p w14:paraId="01B2CDDA" w14:textId="728FFB59" w:rsidR="005C2D88" w:rsidRPr="00613CA3" w:rsidRDefault="005C2D88" w:rsidP="00085C79">
      <w:pPr>
        <w:pStyle w:val="H1G"/>
        <w:rPr>
          <w:rFonts w:ascii="Times New Roman Bold" w:hAnsi="Times New Roman Bold"/>
          <w:spacing w:val="-4"/>
        </w:rPr>
      </w:pPr>
      <w:r w:rsidRPr="00613CA3">
        <w:tab/>
        <w:t>A.</w:t>
      </w:r>
      <w:r w:rsidRPr="00613CA3">
        <w:tab/>
      </w:r>
      <w:r w:rsidR="00070BDC" w:rsidRPr="00613CA3">
        <w:rPr>
          <w:rFonts w:ascii="Times New Roman Bold" w:hAnsi="Times New Roman Bold"/>
          <w:spacing w:val="-4"/>
        </w:rPr>
        <w:t xml:space="preserve">Analytical tools developed by </w:t>
      </w:r>
      <w:r w:rsidR="00257DDB">
        <w:rPr>
          <w:rFonts w:ascii="Times New Roman Bold" w:hAnsi="Times New Roman Bold"/>
          <w:spacing w:val="-4"/>
        </w:rPr>
        <w:t>the Division</w:t>
      </w:r>
    </w:p>
    <w:p w14:paraId="438FE383" w14:textId="18AA7AD3" w:rsidR="00070BDC" w:rsidRPr="00613CA3" w:rsidRDefault="00070BDC" w:rsidP="00315FE4">
      <w:pPr>
        <w:pStyle w:val="H23G"/>
      </w:pPr>
      <w:r w:rsidRPr="00613CA3">
        <w:tab/>
      </w:r>
      <w:r w:rsidR="001A2E01" w:rsidRPr="00613CA3">
        <w:t>1.</w:t>
      </w:r>
      <w:r w:rsidRPr="00613CA3">
        <w:tab/>
      </w:r>
      <w:proofErr w:type="gramStart"/>
      <w:r w:rsidRPr="00613CA3">
        <w:t>For</w:t>
      </w:r>
      <w:proofErr w:type="gramEnd"/>
      <w:r w:rsidRPr="00613CA3">
        <w:t xml:space="preserve"> Future Inland Transport Systems</w:t>
      </w:r>
    </w:p>
    <w:p w14:paraId="0217DEBB" w14:textId="372D688E" w:rsidR="005C2D88" w:rsidRPr="00613CA3" w:rsidRDefault="00550672" w:rsidP="00085C79">
      <w:pPr>
        <w:pStyle w:val="SingleTxtG"/>
      </w:pPr>
      <w:r w:rsidRPr="00613CA3">
        <w:t>25</w:t>
      </w:r>
      <w:r w:rsidR="00095123" w:rsidRPr="00613CA3">
        <w:t>.</w:t>
      </w:r>
      <w:r w:rsidR="00095123" w:rsidRPr="00613CA3">
        <w:tab/>
      </w:r>
      <w:r w:rsidR="00070BDC" w:rsidRPr="00613CA3">
        <w:t>T</w:t>
      </w:r>
      <w:r w:rsidR="00095123" w:rsidRPr="00613CA3">
        <w:t xml:space="preserve">he </w:t>
      </w:r>
      <w:proofErr w:type="gramStart"/>
      <w:r w:rsidR="00095123" w:rsidRPr="00613CA3">
        <w:t>For</w:t>
      </w:r>
      <w:proofErr w:type="gramEnd"/>
      <w:r w:rsidR="00095123" w:rsidRPr="00613CA3">
        <w:t xml:space="preserve"> Future Inland Transport Systems (</w:t>
      </w:r>
      <w:bookmarkStart w:id="1" w:name="hit1"/>
      <w:bookmarkEnd w:id="1"/>
      <w:proofErr w:type="spellStart"/>
      <w:r w:rsidR="00095123" w:rsidRPr="00613CA3">
        <w:t>ForFITS</w:t>
      </w:r>
      <w:proofErr w:type="spellEnd"/>
      <w:r w:rsidR="00095123" w:rsidRPr="00613CA3">
        <w:t xml:space="preserve">) </w:t>
      </w:r>
      <w:r w:rsidR="005C2D88" w:rsidRPr="00613CA3">
        <w:t>tool</w:t>
      </w:r>
      <w:r w:rsidR="00257DDB">
        <w:t xml:space="preserve"> is</w:t>
      </w:r>
      <w:r w:rsidR="00257DDB" w:rsidRPr="00613CA3">
        <w:t xml:space="preserve"> </w:t>
      </w:r>
      <w:r w:rsidR="005C2D88" w:rsidRPr="00613CA3">
        <w:t xml:space="preserve">an outstanding analytical product </w:t>
      </w:r>
      <w:r w:rsidR="00B61CE6" w:rsidRPr="00613CA3">
        <w:t xml:space="preserve">that </w:t>
      </w:r>
      <w:r w:rsidR="005C2D88" w:rsidRPr="00613CA3">
        <w:t>ha</w:t>
      </w:r>
      <w:r w:rsidR="00B61CE6" w:rsidRPr="00613CA3">
        <w:t>d</w:t>
      </w:r>
      <w:r w:rsidR="005C2D88" w:rsidRPr="00613CA3">
        <w:t xml:space="preserve"> been </w:t>
      </w:r>
      <w:r w:rsidR="00B61CE6" w:rsidRPr="00613CA3">
        <w:t xml:space="preserve">developed </w:t>
      </w:r>
      <w:r w:rsidR="005C2D88" w:rsidRPr="00613CA3">
        <w:t xml:space="preserve">in </w:t>
      </w:r>
      <w:r w:rsidR="00B61CE6" w:rsidRPr="00613CA3">
        <w:t xml:space="preserve">a </w:t>
      </w:r>
      <w:r w:rsidR="00CE5048" w:rsidRPr="00613CA3">
        <w:t>capacity-</w:t>
      </w:r>
      <w:r w:rsidR="005C2D88" w:rsidRPr="00613CA3">
        <w:t>building project</w:t>
      </w:r>
      <w:r w:rsidR="00B61CE6" w:rsidRPr="00613CA3">
        <w:t xml:space="preserve"> funded </w:t>
      </w:r>
      <w:r w:rsidR="000F1208">
        <w:t xml:space="preserve">by </w:t>
      </w:r>
      <w:r w:rsidR="00B61CE6" w:rsidRPr="00613CA3">
        <w:t>the United Nations Development Account</w:t>
      </w:r>
      <w:r w:rsidR="005C2D88" w:rsidRPr="00613CA3">
        <w:t xml:space="preserve">. </w:t>
      </w:r>
      <w:proofErr w:type="spellStart"/>
      <w:r w:rsidR="00257DDB" w:rsidRPr="00613CA3">
        <w:t>ForFITS</w:t>
      </w:r>
      <w:proofErr w:type="spellEnd"/>
      <w:r w:rsidR="00257DDB" w:rsidRPr="00613CA3" w:rsidDel="00257DDB">
        <w:t xml:space="preserve"> </w:t>
      </w:r>
      <w:r w:rsidR="005C2D88" w:rsidRPr="00613CA3">
        <w:t>can serv</w:t>
      </w:r>
      <w:r w:rsidR="00CE5048" w:rsidRPr="00613CA3">
        <w:t xml:space="preserve">e </w:t>
      </w:r>
      <w:r w:rsidR="000F1208">
        <w:t xml:space="preserve">in </w:t>
      </w:r>
      <w:r w:rsidR="00CE5048" w:rsidRPr="00613CA3">
        <w:t xml:space="preserve">policy dialogues and </w:t>
      </w:r>
      <w:r w:rsidR="001B2417">
        <w:t xml:space="preserve">for </w:t>
      </w:r>
      <w:proofErr w:type="gramStart"/>
      <w:r w:rsidR="00CE5048" w:rsidRPr="00613CA3">
        <w:t>capacity-</w:t>
      </w:r>
      <w:r w:rsidR="005C2D88" w:rsidRPr="00613CA3">
        <w:t>building</w:t>
      </w:r>
      <w:proofErr w:type="gramEnd"/>
      <w:r w:rsidR="005C2D88" w:rsidRPr="00613CA3">
        <w:t xml:space="preserve"> </w:t>
      </w:r>
      <w:r w:rsidR="000F1208">
        <w:t xml:space="preserve">to </w:t>
      </w:r>
      <w:r w:rsidR="005C2D88" w:rsidRPr="00613CA3">
        <w:t xml:space="preserve">address climate change mitigation in transport, </w:t>
      </w:r>
      <w:r w:rsidR="000F1208">
        <w:t xml:space="preserve">or </w:t>
      </w:r>
      <w:r w:rsidR="005C2D88" w:rsidRPr="00613CA3">
        <w:t xml:space="preserve">it can lead studies at local, national, </w:t>
      </w:r>
      <w:proofErr w:type="spellStart"/>
      <w:r w:rsidR="005C2D88" w:rsidRPr="00613CA3">
        <w:t>subregional</w:t>
      </w:r>
      <w:proofErr w:type="spellEnd"/>
      <w:r w:rsidR="005C2D88" w:rsidRPr="00613CA3">
        <w:t>, regional and global levels.</w:t>
      </w:r>
      <w:r w:rsidR="00070BDC" w:rsidRPr="00613CA3">
        <w:t xml:space="preserve"> </w:t>
      </w:r>
      <w:r w:rsidR="001B2417">
        <w:t xml:space="preserve">The </w:t>
      </w:r>
      <w:r w:rsidR="00070BDC" w:rsidRPr="00613CA3">
        <w:t xml:space="preserve">Division prepared a </w:t>
      </w:r>
      <w:r w:rsidR="000F1208">
        <w:t xml:space="preserve">2-year </w:t>
      </w:r>
      <w:r w:rsidR="00070BDC" w:rsidRPr="00613CA3">
        <w:t xml:space="preserve">work plan to scale up the use of </w:t>
      </w:r>
      <w:proofErr w:type="spellStart"/>
      <w:r w:rsidR="00070BDC" w:rsidRPr="00613CA3">
        <w:t>ForFITs</w:t>
      </w:r>
      <w:proofErr w:type="spellEnd"/>
      <w:r w:rsidR="000F1208">
        <w:t>,</w:t>
      </w:r>
      <w:r w:rsidR="00070BDC" w:rsidRPr="00613CA3">
        <w:t xml:space="preserve"> and to further develop and enhance the model. </w:t>
      </w:r>
      <w:r w:rsidR="00764945">
        <w:t xml:space="preserve">For more details, see Informal Document No. 4. </w:t>
      </w:r>
      <w:r w:rsidR="00257DDB">
        <w:t>T</w:t>
      </w:r>
      <w:r w:rsidR="00070BDC" w:rsidRPr="00613CA3">
        <w:t xml:space="preserve">he following activities </w:t>
      </w:r>
      <w:r w:rsidR="003C68E9">
        <w:t xml:space="preserve">of the </w:t>
      </w:r>
      <w:r w:rsidR="003C68E9" w:rsidRPr="00613CA3">
        <w:t xml:space="preserve">work plan </w:t>
      </w:r>
      <w:r w:rsidR="00070BDC" w:rsidRPr="00613CA3">
        <w:t xml:space="preserve">are subject to fundraising for </w:t>
      </w:r>
      <w:proofErr w:type="spellStart"/>
      <w:r w:rsidR="00070BDC" w:rsidRPr="00613CA3">
        <w:t>extrabudgetary</w:t>
      </w:r>
      <w:proofErr w:type="spellEnd"/>
      <w:r w:rsidR="00070BDC" w:rsidRPr="00613CA3">
        <w:t xml:space="preserve"> projects</w:t>
      </w:r>
      <w:r w:rsidR="003C68E9">
        <w:t>:</w:t>
      </w:r>
    </w:p>
    <w:p w14:paraId="68C850A5" w14:textId="77777777" w:rsidR="00070BDC" w:rsidRPr="00613CA3" w:rsidRDefault="00BE0986" w:rsidP="00315FE4">
      <w:pPr>
        <w:pStyle w:val="SingleTxtG"/>
        <w:ind w:firstLine="567"/>
      </w:pPr>
      <w:r w:rsidRPr="00613CA3">
        <w:t>(a)</w:t>
      </w:r>
      <w:r w:rsidRPr="00613CA3">
        <w:tab/>
      </w:r>
      <w:r w:rsidR="00070BDC" w:rsidRPr="00613CA3">
        <w:t>Development of a new module on local pollutants;</w:t>
      </w:r>
    </w:p>
    <w:p w14:paraId="67CACA4B" w14:textId="77777777" w:rsidR="00070BDC" w:rsidRPr="00613CA3" w:rsidRDefault="00BE0986" w:rsidP="00315FE4">
      <w:pPr>
        <w:pStyle w:val="SingleTxtG"/>
        <w:ind w:firstLine="567"/>
      </w:pPr>
      <w:r w:rsidRPr="00613CA3">
        <w:t>(b)</w:t>
      </w:r>
      <w:r w:rsidRPr="00613CA3">
        <w:tab/>
      </w:r>
      <w:r w:rsidR="00070BDC" w:rsidRPr="00613CA3">
        <w:t>Development of a new module on Non-Road Mobile Machinery;</w:t>
      </w:r>
    </w:p>
    <w:p w14:paraId="69BF95DB" w14:textId="77777777" w:rsidR="00070BDC" w:rsidRPr="00613CA3" w:rsidRDefault="00BE0986" w:rsidP="00315FE4">
      <w:pPr>
        <w:pStyle w:val="SingleTxtG"/>
        <w:ind w:firstLine="567"/>
      </w:pPr>
      <w:r w:rsidRPr="00613CA3">
        <w:t>(c)</w:t>
      </w:r>
      <w:r w:rsidRPr="00613CA3">
        <w:tab/>
      </w:r>
      <w:r w:rsidR="00070BDC" w:rsidRPr="00613CA3">
        <w:t>Development of a new user interface;</w:t>
      </w:r>
    </w:p>
    <w:p w14:paraId="75E4E100" w14:textId="77777777" w:rsidR="00070BDC" w:rsidRPr="00613CA3" w:rsidRDefault="00BE0986" w:rsidP="00315FE4">
      <w:pPr>
        <w:pStyle w:val="SingleTxtG"/>
        <w:ind w:firstLine="567"/>
      </w:pPr>
      <w:r w:rsidRPr="00613CA3">
        <w:t>(d)</w:t>
      </w:r>
      <w:r w:rsidRPr="00613CA3">
        <w:tab/>
      </w:r>
      <w:r w:rsidR="00070BDC" w:rsidRPr="00613CA3">
        <w:t>Training sessions;</w:t>
      </w:r>
    </w:p>
    <w:p w14:paraId="6898B329" w14:textId="77777777" w:rsidR="00070BDC" w:rsidRPr="00613CA3" w:rsidRDefault="00BE0986" w:rsidP="00315FE4">
      <w:pPr>
        <w:pStyle w:val="SingleTxtG"/>
        <w:ind w:firstLine="567"/>
      </w:pPr>
      <w:r w:rsidRPr="00613CA3">
        <w:t>(e)</w:t>
      </w:r>
      <w:r w:rsidRPr="00613CA3">
        <w:tab/>
      </w:r>
      <w:r w:rsidR="00070BDC" w:rsidRPr="00613CA3">
        <w:t>Specific analyses for specific countries</w:t>
      </w:r>
      <w:r w:rsidRPr="00613CA3">
        <w:t>.</w:t>
      </w:r>
    </w:p>
    <w:p w14:paraId="451E16F8" w14:textId="4507348B" w:rsidR="00070BDC" w:rsidRPr="00613CA3" w:rsidRDefault="00070BDC" w:rsidP="00315FE4">
      <w:pPr>
        <w:pStyle w:val="H23G"/>
      </w:pPr>
      <w:r w:rsidRPr="00613CA3">
        <w:tab/>
        <w:t xml:space="preserve">2. </w:t>
      </w:r>
      <w:r w:rsidRPr="00613CA3">
        <w:tab/>
        <w:t>Safe Future Inland Transport Systems project</w:t>
      </w:r>
    </w:p>
    <w:p w14:paraId="2E63F13A" w14:textId="340DF891" w:rsidR="00070BDC" w:rsidRPr="00613CA3" w:rsidRDefault="00550672" w:rsidP="00085C79">
      <w:pPr>
        <w:pStyle w:val="SingleTxtG"/>
      </w:pPr>
      <w:r w:rsidRPr="00613CA3">
        <w:t>26</w:t>
      </w:r>
      <w:r w:rsidR="00070BDC" w:rsidRPr="00613CA3">
        <w:t xml:space="preserve">. </w:t>
      </w:r>
      <w:r w:rsidR="00070BDC" w:rsidRPr="00613CA3">
        <w:tab/>
      </w:r>
      <w:r w:rsidR="00E856CD" w:rsidRPr="00613CA3">
        <w:t>The road safety model Safe Future Inland Transport Systems (</w:t>
      </w:r>
      <w:proofErr w:type="spellStart"/>
      <w:r w:rsidR="00E856CD" w:rsidRPr="00613CA3">
        <w:t>SafeFITS</w:t>
      </w:r>
      <w:proofErr w:type="spellEnd"/>
      <w:r w:rsidR="00E856CD" w:rsidRPr="00613CA3">
        <w:t xml:space="preserve">) aims to facilitate </w:t>
      </w:r>
      <w:r w:rsidR="000F1208" w:rsidRPr="00613CA3">
        <w:t>knowledge</w:t>
      </w:r>
      <w:r w:rsidR="000F1208">
        <w:t>-</w:t>
      </w:r>
      <w:r w:rsidR="00E856CD" w:rsidRPr="00613CA3">
        <w:t xml:space="preserve">based transport policy </w:t>
      </w:r>
      <w:r w:rsidR="000F1208" w:rsidRPr="00613CA3">
        <w:t>decision</w:t>
      </w:r>
      <w:r w:rsidR="000F1208">
        <w:t>-</w:t>
      </w:r>
      <w:r w:rsidR="00E856CD" w:rsidRPr="00613CA3">
        <w:t xml:space="preserve">making related to road casualty reduction. </w:t>
      </w:r>
      <w:r w:rsidR="000915CB">
        <w:t xml:space="preserve">The </w:t>
      </w:r>
      <w:r w:rsidR="000915CB" w:rsidRPr="00E3372E">
        <w:t xml:space="preserve">primary objective </w:t>
      </w:r>
      <w:r w:rsidR="000915CB">
        <w:t xml:space="preserve">of </w:t>
      </w:r>
      <w:proofErr w:type="spellStart"/>
      <w:r w:rsidR="00E856CD" w:rsidRPr="00613CA3">
        <w:t>SafeFITS</w:t>
      </w:r>
      <w:proofErr w:type="spellEnd"/>
      <w:r w:rsidR="00E856CD" w:rsidRPr="00613CA3">
        <w:t xml:space="preserve"> </w:t>
      </w:r>
      <w:r w:rsidR="003C68E9">
        <w:t>i</w:t>
      </w:r>
      <w:r w:rsidR="003C68E9" w:rsidRPr="00613CA3">
        <w:t xml:space="preserve">s </w:t>
      </w:r>
      <w:r w:rsidR="00E856CD" w:rsidRPr="00613CA3">
        <w:t>to assist governments and decision makers in developed and developing countries</w:t>
      </w:r>
      <w:r w:rsidR="000915CB">
        <w:t xml:space="preserve"> </w:t>
      </w:r>
      <w:r w:rsidR="00E856CD" w:rsidRPr="00613CA3">
        <w:t xml:space="preserve">decide on the most appropriate road safety policies and measures </w:t>
      </w:r>
      <w:r w:rsidR="000915CB">
        <w:t xml:space="preserve">that would </w:t>
      </w:r>
      <w:r w:rsidR="00E856CD" w:rsidRPr="00613CA3">
        <w:t xml:space="preserve">achieve tangible results in improving road safety. The model </w:t>
      </w:r>
      <w:proofErr w:type="gramStart"/>
      <w:r w:rsidR="00E856CD" w:rsidRPr="00613CA3">
        <w:t>will be based</w:t>
      </w:r>
      <w:proofErr w:type="gramEnd"/>
      <w:r w:rsidR="00E856CD" w:rsidRPr="00613CA3">
        <w:t xml:space="preserve"> on historical road safety data and relations between several road safety parameters</w:t>
      </w:r>
      <w:r w:rsidR="000915CB">
        <w:t>,</w:t>
      </w:r>
      <w:r w:rsidR="00E856CD" w:rsidRPr="00613CA3">
        <w:t xml:space="preserve"> and </w:t>
      </w:r>
      <w:r w:rsidR="003C68E9">
        <w:t xml:space="preserve">should </w:t>
      </w:r>
      <w:r w:rsidR="00E856CD" w:rsidRPr="00613CA3">
        <w:t xml:space="preserve">provide information on </w:t>
      </w:r>
      <w:r w:rsidR="000915CB">
        <w:t xml:space="preserve">the </w:t>
      </w:r>
      <w:r w:rsidR="00E856CD" w:rsidRPr="00613CA3">
        <w:t>results of different road safety scenarios based on the chosen policies and measures</w:t>
      </w:r>
      <w:r w:rsidR="000F1208">
        <w:t xml:space="preserve"> (</w:t>
      </w:r>
      <w:r w:rsidR="00E856CD" w:rsidRPr="00613CA3">
        <w:t>ECE/TRANS/201</w:t>
      </w:r>
      <w:r w:rsidRPr="00613CA3">
        <w:t>8</w:t>
      </w:r>
      <w:r w:rsidR="00E856CD" w:rsidRPr="00613CA3">
        <w:t>/</w:t>
      </w:r>
      <w:r w:rsidRPr="00613CA3">
        <w:t>6</w:t>
      </w:r>
      <w:r w:rsidR="000F1208">
        <w:t>)</w:t>
      </w:r>
      <w:r w:rsidR="00E856CD" w:rsidRPr="00613CA3">
        <w:t xml:space="preserve">. </w:t>
      </w:r>
    </w:p>
    <w:p w14:paraId="4B29FC56" w14:textId="77777777" w:rsidR="005C2D88" w:rsidRPr="00BC072D" w:rsidRDefault="009E4861" w:rsidP="009E4861">
      <w:pPr>
        <w:pStyle w:val="H1G"/>
      </w:pPr>
      <w:r w:rsidRPr="00D2630C">
        <w:rPr>
          <w:noProof/>
          <w:lang w:val="en-US"/>
        </w:rPr>
        <w:lastRenderedPageBreak/>
        <w:drawing>
          <wp:anchor distT="0" distB="0" distL="114300" distR="114300" simplePos="0" relativeHeight="251658240" behindDoc="0" locked="0" layoutInCell="1" allowOverlap="1" wp14:anchorId="675154DF" wp14:editId="3631DD28">
            <wp:simplePos x="0" y="0"/>
            <wp:positionH relativeFrom="column">
              <wp:posOffset>4378960</wp:posOffset>
            </wp:positionH>
            <wp:positionV relativeFrom="paragraph">
              <wp:posOffset>555625</wp:posOffset>
            </wp:positionV>
            <wp:extent cx="1148080" cy="15741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080" cy="1574165"/>
                    </a:xfrm>
                    <a:prstGeom prst="rect">
                      <a:avLst/>
                    </a:prstGeom>
                    <a:noFill/>
                  </pic:spPr>
                </pic:pic>
              </a:graphicData>
            </a:graphic>
            <wp14:sizeRelH relativeFrom="page">
              <wp14:pctWidth>0</wp14:pctWidth>
            </wp14:sizeRelH>
            <wp14:sizeRelV relativeFrom="page">
              <wp14:pctHeight>0</wp14:pctHeight>
            </wp14:sizeRelV>
          </wp:anchor>
        </w:drawing>
      </w:r>
      <w:r w:rsidR="005C2D88" w:rsidRPr="00D2630C">
        <w:tab/>
        <w:t>B.</w:t>
      </w:r>
      <w:r w:rsidR="005C2D88" w:rsidRPr="00D2630C">
        <w:tab/>
        <w:t>Publications - Studies</w:t>
      </w:r>
    </w:p>
    <w:p w14:paraId="24C246E9" w14:textId="77777777" w:rsidR="002B5F85" w:rsidRPr="00613CA3" w:rsidRDefault="005C2D88">
      <w:pPr>
        <w:pStyle w:val="H23G"/>
      </w:pPr>
      <w:r w:rsidRPr="00613CA3">
        <w:tab/>
      </w:r>
      <w:r w:rsidR="002B5F85" w:rsidRPr="00613CA3">
        <w:t>1.</w:t>
      </w:r>
      <w:r w:rsidR="002B5F85" w:rsidRPr="00613CA3">
        <w:tab/>
      </w:r>
      <w:r w:rsidR="00C66014" w:rsidRPr="00613CA3">
        <w:t>Inland Transport Statistics for Europe and North America</w:t>
      </w:r>
    </w:p>
    <w:p w14:paraId="4C27200D" w14:textId="3B38D652" w:rsidR="00460C1D" w:rsidRPr="00613CA3" w:rsidRDefault="00C66014" w:rsidP="00085C79">
      <w:pPr>
        <w:pStyle w:val="SingleTxtG"/>
      </w:pPr>
      <w:r w:rsidRPr="00613CA3">
        <w:t>27</w:t>
      </w:r>
      <w:r w:rsidR="002B5F85" w:rsidRPr="00613CA3">
        <w:t>.</w:t>
      </w:r>
      <w:r w:rsidR="002B5F85" w:rsidRPr="00613CA3">
        <w:tab/>
      </w:r>
      <w:r w:rsidRPr="00613CA3">
        <w:t xml:space="preserve">This publication (volume LVIII) presents statistics and brief studies on transport </w:t>
      </w:r>
      <w:r w:rsidR="003C68E9">
        <w:t xml:space="preserve">and </w:t>
      </w:r>
      <w:r w:rsidRPr="00613CA3">
        <w:t>tables on energy consumption for transport. Data covers Canada</w:t>
      </w:r>
      <w:r w:rsidR="000F1208">
        <w:t>,</w:t>
      </w:r>
      <w:r w:rsidRPr="00613CA3">
        <w:t xml:space="preserve"> </w:t>
      </w:r>
      <w:r w:rsidR="000F1208" w:rsidRPr="00E3372E">
        <w:t>the United States</w:t>
      </w:r>
      <w:r w:rsidR="000F1208" w:rsidRPr="00613CA3">
        <w:t xml:space="preserve"> </w:t>
      </w:r>
      <w:r w:rsidR="000F1208">
        <w:t xml:space="preserve">of America </w:t>
      </w:r>
      <w:r w:rsidRPr="00613CA3">
        <w:t>and</w:t>
      </w:r>
      <w:r w:rsidR="000F1208">
        <w:t xml:space="preserve"> </w:t>
      </w:r>
      <w:r w:rsidR="000F1208" w:rsidRPr="00E3372E">
        <w:t>Europe</w:t>
      </w:r>
      <w:r w:rsidRPr="00613CA3">
        <w:t xml:space="preserve">. </w:t>
      </w:r>
    </w:p>
    <w:p w14:paraId="14057089" w14:textId="065AC8A9" w:rsidR="005B25FC" w:rsidRPr="00613CA3" w:rsidRDefault="00C66014" w:rsidP="00085C79">
      <w:pPr>
        <w:pStyle w:val="SingleTxtG"/>
      </w:pPr>
      <w:r w:rsidRPr="00613CA3">
        <w:t xml:space="preserve">28. </w:t>
      </w:r>
      <w:r w:rsidRPr="00613CA3">
        <w:tab/>
        <w:t>The Bulletin on Transport Statistics for Europe and North America</w:t>
      </w:r>
      <w:r w:rsidR="008513B5" w:rsidRPr="00613CA3">
        <w:t xml:space="preserve"> </w:t>
      </w:r>
      <w:r w:rsidRPr="00613CA3">
        <w:t>provides</w:t>
      </w:r>
      <w:r w:rsidR="008513B5" w:rsidRPr="00613CA3">
        <w:t xml:space="preserve"> </w:t>
      </w:r>
      <w:r w:rsidRPr="00613CA3">
        <w:t>this</w:t>
      </w:r>
      <w:r w:rsidR="008513B5" w:rsidRPr="00613CA3">
        <w:t xml:space="preserve"> </w:t>
      </w:r>
      <w:r w:rsidRPr="00613CA3">
        <w:t>data</w:t>
      </w:r>
      <w:r w:rsidR="008513B5" w:rsidRPr="00613CA3">
        <w:t xml:space="preserve"> </w:t>
      </w:r>
      <w:r w:rsidRPr="00613CA3">
        <w:t>in</w:t>
      </w:r>
      <w:r w:rsidR="008513B5" w:rsidRPr="00613CA3">
        <w:t xml:space="preserve"> </w:t>
      </w:r>
      <w:r w:rsidRPr="00613CA3">
        <w:t>a tabular</w:t>
      </w:r>
      <w:r w:rsidR="008513B5" w:rsidRPr="00613CA3">
        <w:t xml:space="preserve"> </w:t>
      </w:r>
      <w:r w:rsidRPr="00613CA3">
        <w:t>format</w:t>
      </w:r>
      <w:r w:rsidR="008513B5" w:rsidRPr="00613CA3">
        <w:t xml:space="preserve"> </w:t>
      </w:r>
      <w:r w:rsidRPr="00613CA3">
        <w:t>to</w:t>
      </w:r>
      <w:r w:rsidR="008513B5" w:rsidRPr="00613CA3">
        <w:t xml:space="preserve"> </w:t>
      </w:r>
      <w:r w:rsidRPr="00613CA3">
        <w:t>assist</w:t>
      </w:r>
      <w:r w:rsidR="008513B5" w:rsidRPr="00613CA3">
        <w:t xml:space="preserve"> </w:t>
      </w:r>
      <w:r w:rsidRPr="00613CA3">
        <w:t>in</w:t>
      </w:r>
      <w:r w:rsidR="008513B5" w:rsidRPr="00613CA3">
        <w:t xml:space="preserve"> </w:t>
      </w:r>
      <w:r w:rsidRPr="00613CA3">
        <w:t>policy</w:t>
      </w:r>
      <w:r w:rsidR="008513B5" w:rsidRPr="00613CA3">
        <w:t xml:space="preserve"> </w:t>
      </w:r>
      <w:r w:rsidRPr="00613CA3">
        <w:t>development. The Bulletin</w:t>
      </w:r>
      <w:r w:rsidR="008513B5" w:rsidRPr="00613CA3">
        <w:t xml:space="preserve"> </w:t>
      </w:r>
      <w:r w:rsidRPr="00613CA3">
        <w:t>is</w:t>
      </w:r>
      <w:r w:rsidR="008513B5" w:rsidRPr="00613CA3">
        <w:t xml:space="preserve"> </w:t>
      </w:r>
      <w:r w:rsidRPr="00613CA3">
        <w:t>the</w:t>
      </w:r>
      <w:r w:rsidR="008513B5" w:rsidRPr="00613CA3">
        <w:t xml:space="preserve"> </w:t>
      </w:r>
      <w:r w:rsidRPr="00613CA3">
        <w:t>result of</w:t>
      </w:r>
      <w:r w:rsidR="008513B5" w:rsidRPr="00613CA3">
        <w:t xml:space="preserve"> </w:t>
      </w:r>
      <w:r w:rsidRPr="00613CA3">
        <w:t>the</w:t>
      </w:r>
      <w:r w:rsidR="008513B5" w:rsidRPr="00613CA3">
        <w:t xml:space="preserve"> </w:t>
      </w:r>
      <w:r w:rsidRPr="00613CA3">
        <w:t>activities</w:t>
      </w:r>
      <w:r w:rsidR="008513B5" w:rsidRPr="00613CA3">
        <w:t xml:space="preserve"> </w:t>
      </w:r>
      <w:r w:rsidRPr="00613CA3">
        <w:t>on develo</w:t>
      </w:r>
      <w:r w:rsidR="003C68E9">
        <w:t>ping</w:t>
      </w:r>
      <w:r w:rsidR="008513B5" w:rsidRPr="00613CA3">
        <w:t xml:space="preserve"> </w:t>
      </w:r>
      <w:r w:rsidRPr="00613CA3">
        <w:t>methodologies</w:t>
      </w:r>
      <w:r w:rsidR="008513B5" w:rsidRPr="00613CA3">
        <w:t xml:space="preserve"> </w:t>
      </w:r>
      <w:r w:rsidRPr="00613CA3">
        <w:t>and</w:t>
      </w:r>
      <w:r w:rsidR="008513B5" w:rsidRPr="00613CA3">
        <w:t xml:space="preserve"> </w:t>
      </w:r>
      <w:r w:rsidRPr="00613CA3">
        <w:t>gathering transport data</w:t>
      </w:r>
      <w:r w:rsidR="003C68E9">
        <w:t>,</w:t>
      </w:r>
      <w:r w:rsidRPr="00613CA3">
        <w:t xml:space="preserve"> which </w:t>
      </w:r>
      <w:proofErr w:type="gramStart"/>
      <w:r w:rsidRPr="00613CA3">
        <w:t>are carried out</w:t>
      </w:r>
      <w:proofErr w:type="gramEnd"/>
      <w:r w:rsidRPr="00613CA3">
        <w:t xml:space="preserve"> by the Working Party on Transport Statistics (WP.6). It also supplements the online database of transport statistics that is available on the </w:t>
      </w:r>
      <w:r w:rsidR="002923A8">
        <w:t>ECE</w:t>
      </w:r>
      <w:r w:rsidRPr="00613CA3">
        <w:t xml:space="preserve"> website.</w:t>
      </w:r>
      <w:r w:rsidR="003C68E9">
        <w:t xml:space="preserve"> </w:t>
      </w:r>
      <w:r w:rsidRPr="00613CA3">
        <w:t xml:space="preserve">The 2017 edition provides a series of transport statistics tables for the 56 member States of </w:t>
      </w:r>
      <w:r w:rsidR="002923A8">
        <w:t>ECE</w:t>
      </w:r>
      <w:r w:rsidRPr="00613CA3">
        <w:t>.</w:t>
      </w:r>
      <w:r w:rsidR="008513B5" w:rsidRPr="00613CA3">
        <w:t xml:space="preserve"> </w:t>
      </w:r>
      <w:r w:rsidRPr="00613CA3">
        <w:t>The</w:t>
      </w:r>
      <w:r w:rsidR="008513B5" w:rsidRPr="00613CA3">
        <w:t xml:space="preserve"> </w:t>
      </w:r>
      <w:r w:rsidRPr="00613CA3">
        <w:t>publication</w:t>
      </w:r>
      <w:r w:rsidR="008513B5" w:rsidRPr="00613CA3">
        <w:t xml:space="preserve"> </w:t>
      </w:r>
      <w:r w:rsidRPr="00613CA3">
        <w:t>is</w:t>
      </w:r>
      <w:r w:rsidR="008513B5" w:rsidRPr="00613CA3">
        <w:t xml:space="preserve"> </w:t>
      </w:r>
      <w:r w:rsidRPr="00613CA3">
        <w:t>purely</w:t>
      </w:r>
      <w:r w:rsidR="008513B5" w:rsidRPr="00613CA3">
        <w:t xml:space="preserve"> </w:t>
      </w:r>
      <w:r w:rsidRPr="00613CA3">
        <w:t>statistical</w:t>
      </w:r>
      <w:r w:rsidR="008513B5" w:rsidRPr="00613CA3">
        <w:t xml:space="preserve"> </w:t>
      </w:r>
      <w:r w:rsidRPr="00613CA3">
        <w:t>in</w:t>
      </w:r>
      <w:r w:rsidR="008513B5" w:rsidRPr="00613CA3">
        <w:t xml:space="preserve"> </w:t>
      </w:r>
      <w:r w:rsidRPr="00613CA3">
        <w:t>character.</w:t>
      </w:r>
      <w:r w:rsidR="008513B5" w:rsidRPr="00613CA3">
        <w:t xml:space="preserve"> </w:t>
      </w:r>
      <w:r w:rsidRPr="00613CA3">
        <w:t>Like the</w:t>
      </w:r>
      <w:r w:rsidR="008513B5" w:rsidRPr="00613CA3">
        <w:t xml:space="preserve"> </w:t>
      </w:r>
      <w:r w:rsidRPr="00613CA3">
        <w:t>previous issues,</w:t>
      </w:r>
      <w:r w:rsidR="008513B5" w:rsidRPr="00613CA3">
        <w:t xml:space="preserve"> </w:t>
      </w:r>
      <w:proofErr w:type="gramStart"/>
      <w:r w:rsidRPr="00613CA3">
        <w:t>it</w:t>
      </w:r>
      <w:r w:rsidR="008513B5" w:rsidRPr="00613CA3">
        <w:t xml:space="preserve"> </w:t>
      </w:r>
      <w:r w:rsidRPr="00613CA3">
        <w:t>has been</w:t>
      </w:r>
      <w:r w:rsidR="008513B5" w:rsidRPr="00613CA3">
        <w:t xml:space="preserve"> </w:t>
      </w:r>
      <w:r w:rsidRPr="00613CA3">
        <w:t>prepared</w:t>
      </w:r>
      <w:r w:rsidR="008513B5" w:rsidRPr="00613CA3">
        <w:t xml:space="preserve"> </w:t>
      </w:r>
      <w:r w:rsidRPr="00613CA3">
        <w:t>by</w:t>
      </w:r>
      <w:r w:rsidR="008513B5" w:rsidRPr="00613CA3">
        <w:t xml:space="preserve"> </w:t>
      </w:r>
      <w:r w:rsidRPr="00613CA3">
        <w:t>the</w:t>
      </w:r>
      <w:r w:rsidR="008513B5" w:rsidRPr="00613CA3">
        <w:t xml:space="preserve"> </w:t>
      </w:r>
      <w:r w:rsidRPr="00613CA3">
        <w:t>Sustainable Transport</w:t>
      </w:r>
      <w:r w:rsidR="008513B5" w:rsidRPr="00613CA3">
        <w:t xml:space="preserve"> </w:t>
      </w:r>
      <w:r w:rsidRPr="00613CA3">
        <w:t>Division</w:t>
      </w:r>
      <w:r w:rsidR="008513B5" w:rsidRPr="00613CA3">
        <w:t xml:space="preserve"> </w:t>
      </w:r>
      <w:r w:rsidRPr="00613CA3">
        <w:t>of</w:t>
      </w:r>
      <w:r w:rsidR="008513B5" w:rsidRPr="00613CA3">
        <w:t xml:space="preserve"> </w:t>
      </w:r>
      <w:r w:rsidR="002923A8">
        <w:t>ECE</w:t>
      </w:r>
      <w:r w:rsidR="008513B5" w:rsidRPr="00613CA3">
        <w:t xml:space="preserve"> </w:t>
      </w:r>
      <w:r w:rsidRPr="00613CA3">
        <w:t>with</w:t>
      </w:r>
      <w:r w:rsidR="008513B5" w:rsidRPr="00613CA3">
        <w:t xml:space="preserve"> </w:t>
      </w:r>
      <w:r w:rsidRPr="00613CA3">
        <w:t>the</w:t>
      </w:r>
      <w:r w:rsidR="008513B5" w:rsidRPr="00613CA3">
        <w:t xml:space="preserve"> </w:t>
      </w:r>
      <w:r w:rsidRPr="00613CA3">
        <w:t>generous cooperation of national statistical offices</w:t>
      </w:r>
      <w:proofErr w:type="gramEnd"/>
      <w:r w:rsidRPr="00613CA3">
        <w:t>. It is issued in accordance with the recommendation of</w:t>
      </w:r>
      <w:r w:rsidR="008513B5" w:rsidRPr="00613CA3">
        <w:t xml:space="preserve"> </w:t>
      </w:r>
      <w:r w:rsidRPr="00613CA3">
        <w:t>the</w:t>
      </w:r>
      <w:r w:rsidR="008513B5" w:rsidRPr="00613CA3">
        <w:t xml:space="preserve"> </w:t>
      </w:r>
      <w:r w:rsidRPr="00613CA3">
        <w:t>Inland</w:t>
      </w:r>
      <w:r w:rsidR="008513B5" w:rsidRPr="00613CA3">
        <w:t xml:space="preserve"> </w:t>
      </w:r>
      <w:r w:rsidRPr="00613CA3">
        <w:t>Transport</w:t>
      </w:r>
      <w:r w:rsidR="008513B5" w:rsidRPr="00613CA3">
        <w:t xml:space="preserve"> </w:t>
      </w:r>
      <w:r w:rsidRPr="00613CA3">
        <w:t>Committee</w:t>
      </w:r>
      <w:r w:rsidR="008513B5" w:rsidRPr="00613CA3">
        <w:t xml:space="preserve"> </w:t>
      </w:r>
      <w:r w:rsidRPr="00613CA3">
        <w:t>at</w:t>
      </w:r>
      <w:r w:rsidR="008513B5" w:rsidRPr="00613CA3">
        <w:t xml:space="preserve"> </w:t>
      </w:r>
      <w:r w:rsidRPr="00613CA3">
        <w:t>its</w:t>
      </w:r>
      <w:r w:rsidR="008513B5" w:rsidRPr="00613CA3">
        <w:t xml:space="preserve"> </w:t>
      </w:r>
      <w:r w:rsidRPr="00613CA3">
        <w:t>first</w:t>
      </w:r>
      <w:r w:rsidR="008513B5" w:rsidRPr="00613CA3">
        <w:t xml:space="preserve"> </w:t>
      </w:r>
      <w:r w:rsidRPr="00613CA3">
        <w:t>session</w:t>
      </w:r>
      <w:r w:rsidR="008513B5" w:rsidRPr="00613CA3">
        <w:t xml:space="preserve"> </w:t>
      </w:r>
      <w:r w:rsidRPr="00613CA3">
        <w:t>that</w:t>
      </w:r>
      <w:r w:rsidR="008513B5" w:rsidRPr="00613CA3">
        <w:t xml:space="preserve"> </w:t>
      </w:r>
      <w:r w:rsidRPr="00613CA3">
        <w:t>the</w:t>
      </w:r>
      <w:r w:rsidR="008513B5" w:rsidRPr="00613CA3">
        <w:t xml:space="preserve"> </w:t>
      </w:r>
      <w:r w:rsidRPr="00613CA3">
        <w:t>Division</w:t>
      </w:r>
      <w:r w:rsidR="008513B5" w:rsidRPr="00613CA3">
        <w:t xml:space="preserve"> </w:t>
      </w:r>
      <w:r w:rsidRPr="00613CA3">
        <w:t>should</w:t>
      </w:r>
      <w:r w:rsidR="008513B5" w:rsidRPr="00613CA3">
        <w:t xml:space="preserve"> </w:t>
      </w:r>
      <w:r w:rsidRPr="00613CA3">
        <w:t>regularly publish</w:t>
      </w:r>
      <w:r w:rsidR="008513B5" w:rsidRPr="00613CA3">
        <w:t xml:space="preserve"> </w:t>
      </w:r>
      <w:r w:rsidRPr="00613CA3">
        <w:t>the</w:t>
      </w:r>
      <w:r w:rsidR="008513B5" w:rsidRPr="00613CA3">
        <w:t xml:space="preserve"> </w:t>
      </w:r>
      <w:r w:rsidRPr="00613CA3">
        <w:t>most</w:t>
      </w:r>
      <w:r w:rsidR="008513B5" w:rsidRPr="00613CA3">
        <w:t xml:space="preserve"> </w:t>
      </w:r>
      <w:r w:rsidRPr="00613CA3">
        <w:t>recent</w:t>
      </w:r>
      <w:r w:rsidR="008513B5" w:rsidRPr="00613CA3">
        <w:t xml:space="preserve"> </w:t>
      </w:r>
      <w:r w:rsidRPr="00613CA3">
        <w:t>available</w:t>
      </w:r>
      <w:r w:rsidR="008513B5" w:rsidRPr="00613CA3">
        <w:t xml:space="preserve"> </w:t>
      </w:r>
      <w:r w:rsidRPr="00613CA3">
        <w:t>data</w:t>
      </w:r>
      <w:r w:rsidR="008513B5" w:rsidRPr="00613CA3">
        <w:t xml:space="preserve"> </w:t>
      </w:r>
      <w:r w:rsidRPr="00613CA3">
        <w:t>on</w:t>
      </w:r>
      <w:r w:rsidR="008513B5" w:rsidRPr="00613CA3">
        <w:t xml:space="preserve"> </w:t>
      </w:r>
      <w:r w:rsidRPr="00613CA3">
        <w:t>transport</w:t>
      </w:r>
      <w:r w:rsidR="008513B5" w:rsidRPr="00613CA3">
        <w:t xml:space="preserve"> </w:t>
      </w:r>
      <w:r w:rsidRPr="00613CA3">
        <w:t>for</w:t>
      </w:r>
      <w:r w:rsidR="008513B5" w:rsidRPr="00613CA3">
        <w:t xml:space="preserve"> </w:t>
      </w:r>
      <w:r w:rsidRPr="00613CA3">
        <w:t>as</w:t>
      </w:r>
      <w:r w:rsidR="008513B5" w:rsidRPr="00613CA3">
        <w:t xml:space="preserve"> </w:t>
      </w:r>
      <w:r w:rsidRPr="00613CA3">
        <w:t>many</w:t>
      </w:r>
      <w:r w:rsidR="008513B5" w:rsidRPr="00613CA3">
        <w:t xml:space="preserve"> </w:t>
      </w:r>
      <w:r w:rsidRPr="00613CA3">
        <w:t>countries</w:t>
      </w:r>
      <w:r w:rsidR="008513B5" w:rsidRPr="00613CA3">
        <w:t xml:space="preserve"> </w:t>
      </w:r>
      <w:r w:rsidRPr="00613CA3">
        <w:t>within</w:t>
      </w:r>
      <w:r w:rsidR="008513B5" w:rsidRPr="00613CA3">
        <w:t xml:space="preserve"> </w:t>
      </w:r>
      <w:r w:rsidRPr="00613CA3">
        <w:t>the</w:t>
      </w:r>
      <w:r w:rsidR="008513B5" w:rsidRPr="00613CA3">
        <w:t xml:space="preserve"> </w:t>
      </w:r>
      <w:r w:rsidRPr="00613CA3">
        <w:t>ECE region as possible.</w:t>
      </w:r>
    </w:p>
    <w:p w14:paraId="2FBAFB22" w14:textId="77777777" w:rsidR="00C66014" w:rsidRPr="00D2630C" w:rsidRDefault="00C66014" w:rsidP="00C66014">
      <w:pPr>
        <w:pStyle w:val="H23G"/>
      </w:pPr>
      <w:r w:rsidRPr="00D2630C">
        <w:rPr>
          <w:noProof/>
          <w:lang w:val="en-US"/>
        </w:rPr>
        <w:drawing>
          <wp:anchor distT="0" distB="0" distL="114300" distR="114300" simplePos="0" relativeHeight="251659264" behindDoc="0" locked="0" layoutInCell="1" allowOverlap="1" wp14:anchorId="740E2554" wp14:editId="5DBB062E">
            <wp:simplePos x="0" y="0"/>
            <wp:positionH relativeFrom="column">
              <wp:posOffset>4454525</wp:posOffset>
            </wp:positionH>
            <wp:positionV relativeFrom="paragraph">
              <wp:posOffset>8255</wp:posOffset>
            </wp:positionV>
            <wp:extent cx="1019810" cy="1398905"/>
            <wp:effectExtent l="190500" t="190500" r="199390" b="182245"/>
            <wp:wrapSquare wrapText="bothSides"/>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2094" t="14526" r="32854"/>
                    <a:stretch/>
                  </pic:blipFill>
                  <pic:spPr bwMode="auto">
                    <a:xfrm>
                      <a:off x="0" y="0"/>
                      <a:ext cx="1019810" cy="1398905"/>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r w:rsidRPr="00D2630C">
        <w:tab/>
        <w:t xml:space="preserve">2. </w:t>
      </w:r>
      <w:r w:rsidRPr="00D2630C">
        <w:tab/>
        <w:t>AETR Road Map for Accession and Implementation</w:t>
      </w:r>
    </w:p>
    <w:p w14:paraId="33410624" w14:textId="046D963F" w:rsidR="00C66014" w:rsidRPr="00613CA3" w:rsidRDefault="00C66014" w:rsidP="00085C79">
      <w:pPr>
        <w:pStyle w:val="SingleTxtG"/>
      </w:pPr>
      <w:r w:rsidRPr="00BC072D">
        <w:t xml:space="preserve">29. </w:t>
      </w:r>
      <w:r w:rsidRPr="00BC072D">
        <w:tab/>
        <w:t xml:space="preserve">This is a road map for accession and implementation to </w:t>
      </w:r>
      <w:r w:rsidR="00CA7822">
        <w:t xml:space="preserve">the </w:t>
      </w:r>
      <w:r w:rsidRPr="00BC072D">
        <w:t>European Agreement concerning the Work of Crew</w:t>
      </w:r>
      <w:r w:rsidRPr="00613CA3">
        <w:t xml:space="preserve">s of Vehicles Engaged in International Road Transport (AETR). </w:t>
      </w:r>
    </w:p>
    <w:p w14:paraId="60957528" w14:textId="77777777" w:rsidR="00C66014" w:rsidRPr="00613CA3" w:rsidRDefault="00C66014" w:rsidP="00315FE4">
      <w:pPr>
        <w:pStyle w:val="SingleTxtG"/>
      </w:pPr>
    </w:p>
    <w:p w14:paraId="60BC76D1" w14:textId="77777777" w:rsidR="00C66014" w:rsidRPr="00613CA3" w:rsidRDefault="00C66014" w:rsidP="00315FE4">
      <w:pPr>
        <w:pStyle w:val="SingleTxtG"/>
      </w:pPr>
    </w:p>
    <w:p w14:paraId="3927105C" w14:textId="77777777" w:rsidR="00213445" w:rsidRPr="00613CA3" w:rsidRDefault="00213445" w:rsidP="00315FE4">
      <w:pPr>
        <w:pStyle w:val="SingleTxtG"/>
      </w:pPr>
    </w:p>
    <w:p w14:paraId="2AAB6A7F" w14:textId="77777777" w:rsidR="00C66014" w:rsidRPr="00D2630C" w:rsidRDefault="00213445" w:rsidP="00213445">
      <w:pPr>
        <w:pStyle w:val="H23G"/>
      </w:pPr>
      <w:r w:rsidRPr="00D2630C">
        <w:rPr>
          <w:noProof/>
          <w:lang w:val="en-US"/>
        </w:rPr>
        <w:drawing>
          <wp:anchor distT="0" distB="0" distL="114300" distR="114300" simplePos="0" relativeHeight="251660288" behindDoc="0" locked="0" layoutInCell="1" allowOverlap="1" wp14:anchorId="6AE90247" wp14:editId="08094965">
            <wp:simplePos x="0" y="0"/>
            <wp:positionH relativeFrom="column">
              <wp:posOffset>4375785</wp:posOffset>
            </wp:positionH>
            <wp:positionV relativeFrom="paragraph">
              <wp:posOffset>68580</wp:posOffset>
            </wp:positionV>
            <wp:extent cx="1240155" cy="16649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0155" cy="1664970"/>
                    </a:xfrm>
                    <a:prstGeom prst="rect">
                      <a:avLst/>
                    </a:prstGeom>
                    <a:noFill/>
                  </pic:spPr>
                </pic:pic>
              </a:graphicData>
            </a:graphic>
            <wp14:sizeRelH relativeFrom="page">
              <wp14:pctWidth>0</wp14:pctWidth>
            </wp14:sizeRelH>
            <wp14:sizeRelV relativeFrom="page">
              <wp14:pctHeight>0</wp14:pctHeight>
            </wp14:sizeRelV>
          </wp:anchor>
        </w:drawing>
      </w:r>
      <w:r w:rsidRPr="00D2630C">
        <w:tab/>
        <w:t xml:space="preserve">3. </w:t>
      </w:r>
      <w:r w:rsidRPr="00D2630C">
        <w:tab/>
        <w:t>International Driving Permit Categories</w:t>
      </w:r>
    </w:p>
    <w:p w14:paraId="0D215225" w14:textId="63D0A68D" w:rsidR="00C66014" w:rsidRPr="00613CA3" w:rsidRDefault="00213445" w:rsidP="00085C79">
      <w:pPr>
        <w:pStyle w:val="SingleTxtG"/>
      </w:pPr>
      <w:r w:rsidRPr="00BC072D">
        <w:t xml:space="preserve">30. </w:t>
      </w:r>
      <w:r w:rsidRPr="00BC072D">
        <w:tab/>
        <w:t xml:space="preserve">The brochure on International Driving Permit Categories recommends reconciliations of the differences between the International Driving </w:t>
      </w:r>
      <w:r w:rsidRPr="00613CA3">
        <w:t>Permit categories in the 1968 Convention on Road Traffic and the corresponding definition for the same symbol in the Driving Licence Directive (2006/126/EC of 20 December 2006)</w:t>
      </w:r>
      <w:r w:rsidR="00CA7822">
        <w:t xml:space="preserve"> of the </w:t>
      </w:r>
      <w:r w:rsidR="00CA7822" w:rsidRPr="00E3372E">
        <w:t>E</w:t>
      </w:r>
      <w:r w:rsidR="00CA7822">
        <w:t xml:space="preserve">uropean </w:t>
      </w:r>
      <w:r w:rsidR="00CA7822" w:rsidRPr="00E3372E">
        <w:t>U</w:t>
      </w:r>
      <w:r w:rsidR="00CA7822">
        <w:t>nion</w:t>
      </w:r>
      <w:r w:rsidRPr="00613CA3">
        <w:t xml:space="preserve">. </w:t>
      </w:r>
    </w:p>
    <w:p w14:paraId="52591E45" w14:textId="77777777" w:rsidR="00936FC2" w:rsidRPr="00613CA3" w:rsidRDefault="00936FC2" w:rsidP="007109A6">
      <w:pPr>
        <w:pStyle w:val="SingleTxtG"/>
        <w:spacing w:before="240" w:after="0"/>
        <w:jc w:val="center"/>
      </w:pPr>
      <w:r w:rsidRPr="00613CA3">
        <w:rPr>
          <w:u w:val="single"/>
        </w:rPr>
        <w:tab/>
      </w:r>
      <w:r w:rsidRPr="00613CA3">
        <w:rPr>
          <w:u w:val="single"/>
        </w:rPr>
        <w:tab/>
      </w:r>
      <w:r w:rsidRPr="00613CA3">
        <w:rPr>
          <w:u w:val="single"/>
        </w:rPr>
        <w:tab/>
      </w:r>
    </w:p>
    <w:sectPr w:rsidR="00936FC2" w:rsidRPr="00613CA3" w:rsidSect="00AF4BF2">
      <w:headerReference w:type="even" r:id="rId14"/>
      <w:headerReference w:type="default" r:id="rId15"/>
      <w:footerReference w:type="even" r:id="rId16"/>
      <w:footerReference w:type="defaul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0698C" w14:textId="77777777" w:rsidR="00BC072D" w:rsidRDefault="00BC072D"/>
  </w:endnote>
  <w:endnote w:type="continuationSeparator" w:id="0">
    <w:p w14:paraId="02818147" w14:textId="77777777" w:rsidR="00BC072D" w:rsidRDefault="00BC072D"/>
  </w:endnote>
  <w:endnote w:type="continuationNotice" w:id="1">
    <w:p w14:paraId="3B98160D" w14:textId="77777777" w:rsidR="00BC072D" w:rsidRDefault="00BC0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C5BE1" w14:textId="2CE87F3F" w:rsidR="00BC072D" w:rsidRPr="003A5F98" w:rsidRDefault="00BC072D"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02540B">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F96B3" w14:textId="6ABD280B" w:rsidR="00BC072D" w:rsidRPr="003A5F98" w:rsidRDefault="00BC072D"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02540B">
      <w:rPr>
        <w:b/>
        <w:noProof/>
        <w:sz w:val="18"/>
      </w:rPr>
      <w:t>7</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3846D" w14:textId="77777777" w:rsidR="00BC072D" w:rsidRPr="000B175B" w:rsidRDefault="00BC072D" w:rsidP="000B175B">
      <w:pPr>
        <w:tabs>
          <w:tab w:val="right" w:pos="2155"/>
        </w:tabs>
        <w:spacing w:after="80"/>
        <w:ind w:left="680"/>
        <w:rPr>
          <w:u w:val="single"/>
        </w:rPr>
      </w:pPr>
      <w:r>
        <w:rPr>
          <w:u w:val="single"/>
        </w:rPr>
        <w:tab/>
      </w:r>
    </w:p>
  </w:footnote>
  <w:footnote w:type="continuationSeparator" w:id="0">
    <w:p w14:paraId="500A2E12" w14:textId="77777777" w:rsidR="00BC072D" w:rsidRPr="00FC68B7" w:rsidRDefault="00BC072D" w:rsidP="00FC68B7">
      <w:pPr>
        <w:tabs>
          <w:tab w:val="left" w:pos="2155"/>
        </w:tabs>
        <w:spacing w:after="80"/>
        <w:ind w:left="680"/>
        <w:rPr>
          <w:u w:val="single"/>
        </w:rPr>
      </w:pPr>
      <w:r>
        <w:rPr>
          <w:u w:val="single"/>
        </w:rPr>
        <w:tab/>
      </w:r>
    </w:p>
  </w:footnote>
  <w:footnote w:type="continuationNotice" w:id="1">
    <w:p w14:paraId="6B8BEE28" w14:textId="77777777" w:rsidR="00BC072D" w:rsidRDefault="00BC07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C12A6" w14:textId="77777777" w:rsidR="00BC072D" w:rsidRPr="003A5F98" w:rsidRDefault="00BC072D">
    <w:pPr>
      <w:pStyle w:val="Header"/>
    </w:pPr>
    <w:r>
      <w:t>ECE/TRANS/2018</w:t>
    </w:r>
    <w:r w:rsidRPr="00E01227">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B61E0" w14:textId="77777777" w:rsidR="00BC072D" w:rsidRPr="003A5F98" w:rsidRDefault="00BC072D" w:rsidP="003A5F98">
    <w:pPr>
      <w:pStyle w:val="Header"/>
      <w:jc w:val="right"/>
    </w:pPr>
    <w:r>
      <w:t>ECE/TRANS/2018</w:t>
    </w:r>
    <w:r w:rsidRPr="00E01227">
      <w:t>/</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960E13"/>
    <w:multiLevelType w:val="multilevel"/>
    <w:tmpl w:val="1E8E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BC3C1B"/>
    <w:multiLevelType w:val="hybridMultilevel"/>
    <w:tmpl w:val="37D8B594"/>
    <w:lvl w:ilvl="0" w:tplc="08090017">
      <w:start w:val="1"/>
      <w:numFmt w:val="lowerLetter"/>
      <w:lvlText w:val="%1)"/>
      <w:lvlJc w:val="left"/>
      <w:pPr>
        <w:ind w:left="3131" w:hanging="360"/>
      </w:pPr>
    </w:lvl>
    <w:lvl w:ilvl="1" w:tplc="08090019" w:tentative="1">
      <w:start w:val="1"/>
      <w:numFmt w:val="lowerLetter"/>
      <w:lvlText w:val="%2."/>
      <w:lvlJc w:val="left"/>
      <w:pPr>
        <w:ind w:left="3851" w:hanging="360"/>
      </w:pPr>
    </w:lvl>
    <w:lvl w:ilvl="2" w:tplc="0809001B" w:tentative="1">
      <w:start w:val="1"/>
      <w:numFmt w:val="lowerRoman"/>
      <w:lvlText w:val="%3."/>
      <w:lvlJc w:val="right"/>
      <w:pPr>
        <w:ind w:left="4571" w:hanging="180"/>
      </w:pPr>
    </w:lvl>
    <w:lvl w:ilvl="3" w:tplc="0809000F" w:tentative="1">
      <w:start w:val="1"/>
      <w:numFmt w:val="decimal"/>
      <w:lvlText w:val="%4."/>
      <w:lvlJc w:val="left"/>
      <w:pPr>
        <w:ind w:left="5291" w:hanging="360"/>
      </w:pPr>
    </w:lvl>
    <w:lvl w:ilvl="4" w:tplc="08090019" w:tentative="1">
      <w:start w:val="1"/>
      <w:numFmt w:val="lowerLetter"/>
      <w:lvlText w:val="%5."/>
      <w:lvlJc w:val="left"/>
      <w:pPr>
        <w:ind w:left="6011" w:hanging="360"/>
      </w:pPr>
    </w:lvl>
    <w:lvl w:ilvl="5" w:tplc="0809001B" w:tentative="1">
      <w:start w:val="1"/>
      <w:numFmt w:val="lowerRoman"/>
      <w:lvlText w:val="%6."/>
      <w:lvlJc w:val="right"/>
      <w:pPr>
        <w:ind w:left="6731" w:hanging="180"/>
      </w:pPr>
    </w:lvl>
    <w:lvl w:ilvl="6" w:tplc="0809000F" w:tentative="1">
      <w:start w:val="1"/>
      <w:numFmt w:val="decimal"/>
      <w:lvlText w:val="%7."/>
      <w:lvlJc w:val="left"/>
      <w:pPr>
        <w:ind w:left="7451" w:hanging="360"/>
      </w:pPr>
    </w:lvl>
    <w:lvl w:ilvl="7" w:tplc="08090019" w:tentative="1">
      <w:start w:val="1"/>
      <w:numFmt w:val="lowerLetter"/>
      <w:lvlText w:val="%8."/>
      <w:lvlJc w:val="left"/>
      <w:pPr>
        <w:ind w:left="8171" w:hanging="360"/>
      </w:pPr>
    </w:lvl>
    <w:lvl w:ilvl="8" w:tplc="0809001B" w:tentative="1">
      <w:start w:val="1"/>
      <w:numFmt w:val="lowerRoman"/>
      <w:lvlText w:val="%9."/>
      <w:lvlJc w:val="right"/>
      <w:pPr>
        <w:ind w:left="8891" w:hanging="180"/>
      </w:pPr>
    </w:lvl>
  </w:abstractNum>
  <w:abstractNum w:abstractNumId="17">
    <w:nsid w:val="34BC51CB"/>
    <w:multiLevelType w:val="hybridMultilevel"/>
    <w:tmpl w:val="CF2A2572"/>
    <w:lvl w:ilvl="0" w:tplc="8058185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76262D1"/>
    <w:multiLevelType w:val="hybridMultilevel"/>
    <w:tmpl w:val="DE9827FC"/>
    <w:lvl w:ilvl="0" w:tplc="9CC6FE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280117"/>
    <w:multiLevelType w:val="hybridMultilevel"/>
    <w:tmpl w:val="0454878A"/>
    <w:lvl w:ilvl="0" w:tplc="574A0D7E">
      <w:start w:val="1"/>
      <w:numFmt w:val="bullet"/>
      <w:lvlText w:val=""/>
      <w:lvlJc w:val="left"/>
      <w:pPr>
        <w:ind w:left="1684" w:hanging="360"/>
      </w:pPr>
      <w:rPr>
        <w:rFonts w:ascii="Symbol" w:hAnsi="Symbol" w:hint="default"/>
        <w:color w:val="auto"/>
      </w:rPr>
    </w:lvl>
    <w:lvl w:ilvl="1" w:tplc="08090019" w:tentative="1">
      <w:start w:val="1"/>
      <w:numFmt w:val="lowerLetter"/>
      <w:lvlText w:val="%2."/>
      <w:lvlJc w:val="left"/>
      <w:pPr>
        <w:ind w:left="2404" w:hanging="360"/>
      </w:pPr>
    </w:lvl>
    <w:lvl w:ilvl="2" w:tplc="0809001B" w:tentative="1">
      <w:start w:val="1"/>
      <w:numFmt w:val="lowerRoman"/>
      <w:lvlText w:val="%3."/>
      <w:lvlJc w:val="right"/>
      <w:pPr>
        <w:ind w:left="3124" w:hanging="180"/>
      </w:pPr>
    </w:lvl>
    <w:lvl w:ilvl="3" w:tplc="0809000F" w:tentative="1">
      <w:start w:val="1"/>
      <w:numFmt w:val="decimal"/>
      <w:lvlText w:val="%4."/>
      <w:lvlJc w:val="left"/>
      <w:pPr>
        <w:ind w:left="3844" w:hanging="360"/>
      </w:pPr>
    </w:lvl>
    <w:lvl w:ilvl="4" w:tplc="08090019" w:tentative="1">
      <w:start w:val="1"/>
      <w:numFmt w:val="lowerLetter"/>
      <w:lvlText w:val="%5."/>
      <w:lvlJc w:val="left"/>
      <w:pPr>
        <w:ind w:left="4564" w:hanging="360"/>
      </w:pPr>
    </w:lvl>
    <w:lvl w:ilvl="5" w:tplc="0809001B" w:tentative="1">
      <w:start w:val="1"/>
      <w:numFmt w:val="lowerRoman"/>
      <w:lvlText w:val="%6."/>
      <w:lvlJc w:val="right"/>
      <w:pPr>
        <w:ind w:left="5284" w:hanging="180"/>
      </w:pPr>
    </w:lvl>
    <w:lvl w:ilvl="6" w:tplc="0809000F" w:tentative="1">
      <w:start w:val="1"/>
      <w:numFmt w:val="decimal"/>
      <w:lvlText w:val="%7."/>
      <w:lvlJc w:val="left"/>
      <w:pPr>
        <w:ind w:left="6004" w:hanging="360"/>
      </w:pPr>
    </w:lvl>
    <w:lvl w:ilvl="7" w:tplc="08090019" w:tentative="1">
      <w:start w:val="1"/>
      <w:numFmt w:val="lowerLetter"/>
      <w:lvlText w:val="%8."/>
      <w:lvlJc w:val="left"/>
      <w:pPr>
        <w:ind w:left="6724" w:hanging="360"/>
      </w:pPr>
    </w:lvl>
    <w:lvl w:ilvl="8" w:tplc="0809001B" w:tentative="1">
      <w:start w:val="1"/>
      <w:numFmt w:val="lowerRoman"/>
      <w:lvlText w:val="%9."/>
      <w:lvlJc w:val="right"/>
      <w:pPr>
        <w:ind w:left="7444" w:hanging="180"/>
      </w:pPr>
    </w:lvl>
  </w:abstractNum>
  <w:abstractNum w:abstractNumId="21">
    <w:nsid w:val="500F25BC"/>
    <w:multiLevelType w:val="hybridMultilevel"/>
    <w:tmpl w:val="9EA81C7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3550CE"/>
    <w:multiLevelType w:val="hybridMultilevel"/>
    <w:tmpl w:val="5C86D5AE"/>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8"/>
  </w:num>
  <w:num w:numId="16">
    <w:abstractNumId w:val="13"/>
  </w:num>
  <w:num w:numId="17">
    <w:abstractNumId w:val="22"/>
  </w:num>
  <w:num w:numId="18">
    <w:abstractNumId w:val="24"/>
  </w:num>
  <w:num w:numId="19">
    <w:abstractNumId w:val="20"/>
  </w:num>
  <w:num w:numId="20">
    <w:abstractNumId w:val="21"/>
  </w:num>
  <w:num w:numId="21">
    <w:abstractNumId w:val="16"/>
  </w:num>
  <w:num w:numId="22">
    <w:abstractNumId w:val="23"/>
  </w:num>
  <w:num w:numId="23">
    <w:abstractNumId w:val="17"/>
  </w:num>
  <w:num w:numId="24">
    <w:abstractNumId w:val="19"/>
  </w:num>
  <w:num w:numId="25">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 Yee">
    <w15:presenceInfo w15:providerId="None" w15:userId="Violet Yee"/>
  </w15:person>
  <w15:person w15:author="George Georgiadis">
    <w15:presenceInfo w15:providerId="None" w15:userId="George Georgia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540B"/>
    <w:rsid w:val="00027624"/>
    <w:rsid w:val="00027F17"/>
    <w:rsid w:val="0004222C"/>
    <w:rsid w:val="000463E0"/>
    <w:rsid w:val="00050F6B"/>
    <w:rsid w:val="000652AE"/>
    <w:rsid w:val="000678CD"/>
    <w:rsid w:val="00070BDC"/>
    <w:rsid w:val="000713D8"/>
    <w:rsid w:val="00072C8C"/>
    <w:rsid w:val="00081CE0"/>
    <w:rsid w:val="00084D30"/>
    <w:rsid w:val="00085C79"/>
    <w:rsid w:val="00090320"/>
    <w:rsid w:val="000915CB"/>
    <w:rsid w:val="000931C0"/>
    <w:rsid w:val="00095123"/>
    <w:rsid w:val="00096067"/>
    <w:rsid w:val="000A2E09"/>
    <w:rsid w:val="000B175B"/>
    <w:rsid w:val="000B3A0F"/>
    <w:rsid w:val="000B7882"/>
    <w:rsid w:val="000D460F"/>
    <w:rsid w:val="000E0415"/>
    <w:rsid w:val="000E258D"/>
    <w:rsid w:val="000F1208"/>
    <w:rsid w:val="000F7715"/>
    <w:rsid w:val="00134B2E"/>
    <w:rsid w:val="00156B99"/>
    <w:rsid w:val="00166124"/>
    <w:rsid w:val="00167D12"/>
    <w:rsid w:val="00184DDA"/>
    <w:rsid w:val="001900CD"/>
    <w:rsid w:val="001A0452"/>
    <w:rsid w:val="001A2E01"/>
    <w:rsid w:val="001B2417"/>
    <w:rsid w:val="001B4B04"/>
    <w:rsid w:val="001B5875"/>
    <w:rsid w:val="001C4B9C"/>
    <w:rsid w:val="001C6663"/>
    <w:rsid w:val="001C7895"/>
    <w:rsid w:val="001D26DF"/>
    <w:rsid w:val="001F1599"/>
    <w:rsid w:val="001F19C4"/>
    <w:rsid w:val="001F27C2"/>
    <w:rsid w:val="001F7C26"/>
    <w:rsid w:val="002043F0"/>
    <w:rsid w:val="00211E0B"/>
    <w:rsid w:val="00212415"/>
    <w:rsid w:val="00213445"/>
    <w:rsid w:val="00226801"/>
    <w:rsid w:val="0022680D"/>
    <w:rsid w:val="00226BE5"/>
    <w:rsid w:val="00232575"/>
    <w:rsid w:val="00235CF6"/>
    <w:rsid w:val="00245A2E"/>
    <w:rsid w:val="00247258"/>
    <w:rsid w:val="00251C50"/>
    <w:rsid w:val="00257CAC"/>
    <w:rsid w:val="00257DDB"/>
    <w:rsid w:val="0027237A"/>
    <w:rsid w:val="00276A3C"/>
    <w:rsid w:val="002923A8"/>
    <w:rsid w:val="002974E9"/>
    <w:rsid w:val="002A7F94"/>
    <w:rsid w:val="002B109A"/>
    <w:rsid w:val="002B50F0"/>
    <w:rsid w:val="002B5F85"/>
    <w:rsid w:val="002C6D45"/>
    <w:rsid w:val="002D4F9E"/>
    <w:rsid w:val="002D6E53"/>
    <w:rsid w:val="002F046D"/>
    <w:rsid w:val="00301764"/>
    <w:rsid w:val="00315FE4"/>
    <w:rsid w:val="003229D8"/>
    <w:rsid w:val="003352C0"/>
    <w:rsid w:val="00336C97"/>
    <w:rsid w:val="00337F88"/>
    <w:rsid w:val="00341267"/>
    <w:rsid w:val="00341EF1"/>
    <w:rsid w:val="00342432"/>
    <w:rsid w:val="0035223F"/>
    <w:rsid w:val="00352D4B"/>
    <w:rsid w:val="0035638C"/>
    <w:rsid w:val="003672C4"/>
    <w:rsid w:val="00383271"/>
    <w:rsid w:val="00394A1F"/>
    <w:rsid w:val="003A46BB"/>
    <w:rsid w:val="003A4EC7"/>
    <w:rsid w:val="003A5F98"/>
    <w:rsid w:val="003A7295"/>
    <w:rsid w:val="003B1F60"/>
    <w:rsid w:val="003C2CC4"/>
    <w:rsid w:val="003C68E9"/>
    <w:rsid w:val="003D0219"/>
    <w:rsid w:val="003D4B23"/>
    <w:rsid w:val="003E278A"/>
    <w:rsid w:val="003F3E64"/>
    <w:rsid w:val="00413520"/>
    <w:rsid w:val="00425821"/>
    <w:rsid w:val="004325CB"/>
    <w:rsid w:val="00436089"/>
    <w:rsid w:val="00440A07"/>
    <w:rsid w:val="0045433E"/>
    <w:rsid w:val="00460C1D"/>
    <w:rsid w:val="00462880"/>
    <w:rsid w:val="00466D6E"/>
    <w:rsid w:val="00476F24"/>
    <w:rsid w:val="004C55B0"/>
    <w:rsid w:val="004D575F"/>
    <w:rsid w:val="004F6BA0"/>
    <w:rsid w:val="00503BEA"/>
    <w:rsid w:val="00511975"/>
    <w:rsid w:val="00533616"/>
    <w:rsid w:val="00535ABA"/>
    <w:rsid w:val="0053768B"/>
    <w:rsid w:val="005420F2"/>
    <w:rsid w:val="0054285C"/>
    <w:rsid w:val="00545CBA"/>
    <w:rsid w:val="00550672"/>
    <w:rsid w:val="00553061"/>
    <w:rsid w:val="005565B3"/>
    <w:rsid w:val="00584173"/>
    <w:rsid w:val="00592E2A"/>
    <w:rsid w:val="00595520"/>
    <w:rsid w:val="005A44B9"/>
    <w:rsid w:val="005B1BA0"/>
    <w:rsid w:val="005B25FC"/>
    <w:rsid w:val="005B3DB3"/>
    <w:rsid w:val="005B67E4"/>
    <w:rsid w:val="005C2D88"/>
    <w:rsid w:val="005D15CA"/>
    <w:rsid w:val="005D2D01"/>
    <w:rsid w:val="005F3066"/>
    <w:rsid w:val="005F3E61"/>
    <w:rsid w:val="00604DDD"/>
    <w:rsid w:val="006115CC"/>
    <w:rsid w:val="00611FC4"/>
    <w:rsid w:val="0061384D"/>
    <w:rsid w:val="00613CA3"/>
    <w:rsid w:val="00616C70"/>
    <w:rsid w:val="006176FB"/>
    <w:rsid w:val="00630FCB"/>
    <w:rsid w:val="00640B26"/>
    <w:rsid w:val="006661F0"/>
    <w:rsid w:val="006770B2"/>
    <w:rsid w:val="006940E1"/>
    <w:rsid w:val="006A3C72"/>
    <w:rsid w:val="006A7392"/>
    <w:rsid w:val="006B03A1"/>
    <w:rsid w:val="006B67D9"/>
    <w:rsid w:val="006C5535"/>
    <w:rsid w:val="006C6CAD"/>
    <w:rsid w:val="006D0589"/>
    <w:rsid w:val="006D4E7B"/>
    <w:rsid w:val="006E534B"/>
    <w:rsid w:val="006E564B"/>
    <w:rsid w:val="006E7154"/>
    <w:rsid w:val="007003CD"/>
    <w:rsid w:val="007057BE"/>
    <w:rsid w:val="0070701E"/>
    <w:rsid w:val="007109A6"/>
    <w:rsid w:val="00716D27"/>
    <w:rsid w:val="0072632A"/>
    <w:rsid w:val="00726861"/>
    <w:rsid w:val="007358E8"/>
    <w:rsid w:val="00736ECE"/>
    <w:rsid w:val="0074533B"/>
    <w:rsid w:val="00745911"/>
    <w:rsid w:val="007643BC"/>
    <w:rsid w:val="00764945"/>
    <w:rsid w:val="00783868"/>
    <w:rsid w:val="007959FE"/>
    <w:rsid w:val="007A0CF1"/>
    <w:rsid w:val="007B6BA5"/>
    <w:rsid w:val="007C32D1"/>
    <w:rsid w:val="007C3390"/>
    <w:rsid w:val="007C42D8"/>
    <w:rsid w:val="007C4F4B"/>
    <w:rsid w:val="007C5DFE"/>
    <w:rsid w:val="007D484F"/>
    <w:rsid w:val="007D7362"/>
    <w:rsid w:val="007E3847"/>
    <w:rsid w:val="007E7FFE"/>
    <w:rsid w:val="007F33C7"/>
    <w:rsid w:val="007F5CE2"/>
    <w:rsid w:val="007F6611"/>
    <w:rsid w:val="007F7316"/>
    <w:rsid w:val="00800D8E"/>
    <w:rsid w:val="00810BAC"/>
    <w:rsid w:val="008175E9"/>
    <w:rsid w:val="008242D7"/>
    <w:rsid w:val="0082577B"/>
    <w:rsid w:val="008308F6"/>
    <w:rsid w:val="00835BEA"/>
    <w:rsid w:val="00847227"/>
    <w:rsid w:val="008472FC"/>
    <w:rsid w:val="008513B5"/>
    <w:rsid w:val="008666DE"/>
    <w:rsid w:val="00866893"/>
    <w:rsid w:val="00866F02"/>
    <w:rsid w:val="008674EF"/>
    <w:rsid w:val="00867D18"/>
    <w:rsid w:val="00871F9A"/>
    <w:rsid w:val="00871FD5"/>
    <w:rsid w:val="0088172E"/>
    <w:rsid w:val="00881EFA"/>
    <w:rsid w:val="008879CB"/>
    <w:rsid w:val="0089454E"/>
    <w:rsid w:val="00895730"/>
    <w:rsid w:val="008972ED"/>
    <w:rsid w:val="008979B1"/>
    <w:rsid w:val="008A6B25"/>
    <w:rsid w:val="008A6C4F"/>
    <w:rsid w:val="008B389E"/>
    <w:rsid w:val="008B69D7"/>
    <w:rsid w:val="008C198D"/>
    <w:rsid w:val="008D045E"/>
    <w:rsid w:val="008D1C41"/>
    <w:rsid w:val="008D3F25"/>
    <w:rsid w:val="008D4D82"/>
    <w:rsid w:val="008D6F04"/>
    <w:rsid w:val="008E0E46"/>
    <w:rsid w:val="008E7116"/>
    <w:rsid w:val="008F143B"/>
    <w:rsid w:val="008F3882"/>
    <w:rsid w:val="008F4B7C"/>
    <w:rsid w:val="009149FB"/>
    <w:rsid w:val="00926E47"/>
    <w:rsid w:val="00936FC2"/>
    <w:rsid w:val="009467B0"/>
    <w:rsid w:val="00947162"/>
    <w:rsid w:val="009610D0"/>
    <w:rsid w:val="0096375C"/>
    <w:rsid w:val="009662E6"/>
    <w:rsid w:val="0097095E"/>
    <w:rsid w:val="0097523C"/>
    <w:rsid w:val="00975EDC"/>
    <w:rsid w:val="0098592B"/>
    <w:rsid w:val="00985FC4"/>
    <w:rsid w:val="009903BA"/>
    <w:rsid w:val="00990766"/>
    <w:rsid w:val="00991261"/>
    <w:rsid w:val="009964C4"/>
    <w:rsid w:val="009A5148"/>
    <w:rsid w:val="009A7B81"/>
    <w:rsid w:val="009B7F78"/>
    <w:rsid w:val="009D01C0"/>
    <w:rsid w:val="009D6A08"/>
    <w:rsid w:val="009E0A16"/>
    <w:rsid w:val="009E4861"/>
    <w:rsid w:val="009E6CB7"/>
    <w:rsid w:val="009E7970"/>
    <w:rsid w:val="009F2EAC"/>
    <w:rsid w:val="009F34A0"/>
    <w:rsid w:val="009F57E3"/>
    <w:rsid w:val="00A10B80"/>
    <w:rsid w:val="00A10F4F"/>
    <w:rsid w:val="00A11067"/>
    <w:rsid w:val="00A1704A"/>
    <w:rsid w:val="00A17DB6"/>
    <w:rsid w:val="00A343A1"/>
    <w:rsid w:val="00A35EE9"/>
    <w:rsid w:val="00A425EB"/>
    <w:rsid w:val="00A4554B"/>
    <w:rsid w:val="00A72F22"/>
    <w:rsid w:val="00A733BC"/>
    <w:rsid w:val="00A748A6"/>
    <w:rsid w:val="00A76A69"/>
    <w:rsid w:val="00A879A4"/>
    <w:rsid w:val="00A93ACA"/>
    <w:rsid w:val="00AA0FF8"/>
    <w:rsid w:val="00AA723F"/>
    <w:rsid w:val="00AB4714"/>
    <w:rsid w:val="00AB7DD2"/>
    <w:rsid w:val="00AC0F2C"/>
    <w:rsid w:val="00AC502A"/>
    <w:rsid w:val="00AD5809"/>
    <w:rsid w:val="00AD5E20"/>
    <w:rsid w:val="00AE33DA"/>
    <w:rsid w:val="00AF2D05"/>
    <w:rsid w:val="00AF4BF2"/>
    <w:rsid w:val="00AF58C1"/>
    <w:rsid w:val="00B04A3F"/>
    <w:rsid w:val="00B06643"/>
    <w:rsid w:val="00B15055"/>
    <w:rsid w:val="00B249DF"/>
    <w:rsid w:val="00B253FA"/>
    <w:rsid w:val="00B26D92"/>
    <w:rsid w:val="00B30179"/>
    <w:rsid w:val="00B37B15"/>
    <w:rsid w:val="00B45C02"/>
    <w:rsid w:val="00B50000"/>
    <w:rsid w:val="00B576A9"/>
    <w:rsid w:val="00B61CE6"/>
    <w:rsid w:val="00B66F01"/>
    <w:rsid w:val="00B72A1E"/>
    <w:rsid w:val="00B755A3"/>
    <w:rsid w:val="00B81E12"/>
    <w:rsid w:val="00B91333"/>
    <w:rsid w:val="00BA339B"/>
    <w:rsid w:val="00BB06C6"/>
    <w:rsid w:val="00BB5594"/>
    <w:rsid w:val="00BC072D"/>
    <w:rsid w:val="00BC1E7E"/>
    <w:rsid w:val="00BC74E9"/>
    <w:rsid w:val="00BC7F91"/>
    <w:rsid w:val="00BE0986"/>
    <w:rsid w:val="00BE36A9"/>
    <w:rsid w:val="00BE618E"/>
    <w:rsid w:val="00BE7BEC"/>
    <w:rsid w:val="00BF0A5A"/>
    <w:rsid w:val="00BF0E63"/>
    <w:rsid w:val="00BF12A3"/>
    <w:rsid w:val="00BF16D7"/>
    <w:rsid w:val="00BF2373"/>
    <w:rsid w:val="00BF64F0"/>
    <w:rsid w:val="00C044E2"/>
    <w:rsid w:val="00C048CB"/>
    <w:rsid w:val="00C066F3"/>
    <w:rsid w:val="00C147CB"/>
    <w:rsid w:val="00C211BA"/>
    <w:rsid w:val="00C212FA"/>
    <w:rsid w:val="00C25AAD"/>
    <w:rsid w:val="00C463DD"/>
    <w:rsid w:val="00C54370"/>
    <w:rsid w:val="00C63A74"/>
    <w:rsid w:val="00C66014"/>
    <w:rsid w:val="00C745C3"/>
    <w:rsid w:val="00CA24A4"/>
    <w:rsid w:val="00CA5D5D"/>
    <w:rsid w:val="00CA7382"/>
    <w:rsid w:val="00CA7822"/>
    <w:rsid w:val="00CB30EF"/>
    <w:rsid w:val="00CB348D"/>
    <w:rsid w:val="00CB7ED2"/>
    <w:rsid w:val="00CD46F5"/>
    <w:rsid w:val="00CE4A8F"/>
    <w:rsid w:val="00CE5048"/>
    <w:rsid w:val="00CF071D"/>
    <w:rsid w:val="00CF3B22"/>
    <w:rsid w:val="00D15B04"/>
    <w:rsid w:val="00D2031B"/>
    <w:rsid w:val="00D22B2B"/>
    <w:rsid w:val="00D25FE2"/>
    <w:rsid w:val="00D2630C"/>
    <w:rsid w:val="00D35780"/>
    <w:rsid w:val="00D37DA9"/>
    <w:rsid w:val="00D406A7"/>
    <w:rsid w:val="00D41495"/>
    <w:rsid w:val="00D43252"/>
    <w:rsid w:val="00D44D86"/>
    <w:rsid w:val="00D50B7D"/>
    <w:rsid w:val="00D52012"/>
    <w:rsid w:val="00D5761F"/>
    <w:rsid w:val="00D631BF"/>
    <w:rsid w:val="00D704E5"/>
    <w:rsid w:val="00D72727"/>
    <w:rsid w:val="00D91F6C"/>
    <w:rsid w:val="00D978C6"/>
    <w:rsid w:val="00DA0956"/>
    <w:rsid w:val="00DA357F"/>
    <w:rsid w:val="00DA3E12"/>
    <w:rsid w:val="00DB0856"/>
    <w:rsid w:val="00DB2B94"/>
    <w:rsid w:val="00DC18AD"/>
    <w:rsid w:val="00DF7CAE"/>
    <w:rsid w:val="00E01227"/>
    <w:rsid w:val="00E128F2"/>
    <w:rsid w:val="00E423C0"/>
    <w:rsid w:val="00E507B6"/>
    <w:rsid w:val="00E566AF"/>
    <w:rsid w:val="00E6414C"/>
    <w:rsid w:val="00E7260F"/>
    <w:rsid w:val="00E856CD"/>
    <w:rsid w:val="00E8702D"/>
    <w:rsid w:val="00E916A9"/>
    <w:rsid w:val="00E916DE"/>
    <w:rsid w:val="00E925AD"/>
    <w:rsid w:val="00E96630"/>
    <w:rsid w:val="00EC2D14"/>
    <w:rsid w:val="00ED18DC"/>
    <w:rsid w:val="00ED6201"/>
    <w:rsid w:val="00ED7A2A"/>
    <w:rsid w:val="00EE5183"/>
    <w:rsid w:val="00EF1D7F"/>
    <w:rsid w:val="00F0137E"/>
    <w:rsid w:val="00F1199F"/>
    <w:rsid w:val="00F21786"/>
    <w:rsid w:val="00F21AD4"/>
    <w:rsid w:val="00F3742B"/>
    <w:rsid w:val="00F41FDB"/>
    <w:rsid w:val="00F43B47"/>
    <w:rsid w:val="00F507EC"/>
    <w:rsid w:val="00F56D63"/>
    <w:rsid w:val="00F609A9"/>
    <w:rsid w:val="00F80C99"/>
    <w:rsid w:val="00F867EC"/>
    <w:rsid w:val="00F91B2B"/>
    <w:rsid w:val="00FC03CD"/>
    <w:rsid w:val="00FC0646"/>
    <w:rsid w:val="00FC68B7"/>
    <w:rsid w:val="00FE2CBE"/>
    <w:rsid w:val="00FE6985"/>
    <w:rsid w:val="00FE79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9C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5C2D88"/>
    <w:rPr>
      <w:b/>
      <w:sz w:val="28"/>
      <w:lang w:eastAsia="en-US"/>
    </w:rPr>
  </w:style>
  <w:style w:type="character" w:customStyle="1" w:styleId="SingleTxtGChar">
    <w:name w:val="_ Single Txt_G Char"/>
    <w:link w:val="SingleTxtG"/>
    <w:rsid w:val="005C2D88"/>
    <w:rPr>
      <w:lang w:eastAsia="en-US"/>
    </w:rPr>
  </w:style>
  <w:style w:type="character" w:customStyle="1" w:styleId="H1GChar">
    <w:name w:val="_ H_1_G Char"/>
    <w:link w:val="H1G"/>
    <w:rsid w:val="005C2D88"/>
    <w:rPr>
      <w:b/>
      <w:sz w:val="24"/>
      <w:lang w:eastAsia="en-US"/>
    </w:rPr>
  </w:style>
  <w:style w:type="character" w:styleId="Emphasis">
    <w:name w:val="Emphasis"/>
    <w:uiPriority w:val="20"/>
    <w:qFormat/>
    <w:rsid w:val="005C2D88"/>
    <w:rPr>
      <w:i/>
      <w:iCs/>
    </w:rPr>
  </w:style>
  <w:style w:type="character" w:customStyle="1" w:styleId="preferred">
    <w:name w:val="preferred"/>
    <w:basedOn w:val="DefaultParagraphFont"/>
    <w:rsid w:val="00936FC2"/>
  </w:style>
  <w:style w:type="paragraph" w:styleId="ListParagraph">
    <w:name w:val="List Paragraph"/>
    <w:basedOn w:val="Normal"/>
    <w:uiPriority w:val="34"/>
    <w:qFormat/>
    <w:rsid w:val="00AD5E20"/>
    <w:pPr>
      <w:ind w:left="720"/>
      <w:contextualSpacing/>
    </w:pPr>
  </w:style>
  <w:style w:type="character" w:styleId="CommentReference">
    <w:name w:val="annotation reference"/>
    <w:basedOn w:val="DefaultParagraphFont"/>
    <w:semiHidden/>
    <w:unhideWhenUsed/>
    <w:rsid w:val="00835BEA"/>
    <w:rPr>
      <w:sz w:val="16"/>
      <w:szCs w:val="16"/>
    </w:rPr>
  </w:style>
  <w:style w:type="paragraph" w:styleId="CommentText">
    <w:name w:val="annotation text"/>
    <w:basedOn w:val="Normal"/>
    <w:link w:val="CommentTextChar"/>
    <w:semiHidden/>
    <w:unhideWhenUsed/>
    <w:rsid w:val="00835BEA"/>
    <w:pPr>
      <w:spacing w:line="240" w:lineRule="auto"/>
    </w:pPr>
  </w:style>
  <w:style w:type="character" w:customStyle="1" w:styleId="CommentTextChar">
    <w:name w:val="Comment Text Char"/>
    <w:basedOn w:val="DefaultParagraphFont"/>
    <w:link w:val="CommentText"/>
    <w:semiHidden/>
    <w:rsid w:val="00835BEA"/>
    <w:rPr>
      <w:lang w:eastAsia="en-US"/>
    </w:rPr>
  </w:style>
  <w:style w:type="paragraph" w:styleId="CommentSubject">
    <w:name w:val="annotation subject"/>
    <w:basedOn w:val="CommentText"/>
    <w:next w:val="CommentText"/>
    <w:link w:val="CommentSubjectChar"/>
    <w:semiHidden/>
    <w:unhideWhenUsed/>
    <w:rsid w:val="00835BEA"/>
    <w:rPr>
      <w:b/>
      <w:bCs/>
    </w:rPr>
  </w:style>
  <w:style w:type="character" w:customStyle="1" w:styleId="CommentSubjectChar">
    <w:name w:val="Comment Subject Char"/>
    <w:basedOn w:val="CommentTextChar"/>
    <w:link w:val="CommentSubject"/>
    <w:semiHidden/>
    <w:rsid w:val="00835BEA"/>
    <w:rPr>
      <w:b/>
      <w:bCs/>
      <w:lang w:eastAsia="en-US"/>
    </w:rPr>
  </w:style>
  <w:style w:type="paragraph" w:styleId="NormalWeb">
    <w:name w:val="Normal (Web)"/>
    <w:basedOn w:val="Normal"/>
    <w:uiPriority w:val="99"/>
    <w:semiHidden/>
    <w:unhideWhenUsed/>
    <w:rsid w:val="006E534B"/>
    <w:pPr>
      <w:suppressAutoHyphens w:val="0"/>
      <w:spacing w:before="100" w:beforeAutospacing="1" w:after="100" w:afterAutospacing="1" w:line="240" w:lineRule="auto"/>
    </w:pPr>
    <w:rPr>
      <w:sz w:val="24"/>
      <w:szCs w:val="24"/>
      <w:lang w:eastAsia="zh-CN"/>
    </w:rPr>
  </w:style>
  <w:style w:type="character" w:customStyle="1" w:styleId="style13">
    <w:name w:val="style13"/>
    <w:basedOn w:val="DefaultParagraphFont"/>
    <w:rsid w:val="006E534B"/>
  </w:style>
  <w:style w:type="character" w:customStyle="1" w:styleId="style2">
    <w:name w:val="style2"/>
    <w:basedOn w:val="DefaultParagraphFont"/>
    <w:rsid w:val="00B66F01"/>
  </w:style>
  <w:style w:type="paragraph" w:styleId="Revision">
    <w:name w:val="Revision"/>
    <w:hidden/>
    <w:uiPriority w:val="99"/>
    <w:semiHidden/>
    <w:rsid w:val="0078386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5C2D88"/>
    <w:rPr>
      <w:b/>
      <w:sz w:val="28"/>
      <w:lang w:eastAsia="en-US"/>
    </w:rPr>
  </w:style>
  <w:style w:type="character" w:customStyle="1" w:styleId="SingleTxtGChar">
    <w:name w:val="_ Single Txt_G Char"/>
    <w:link w:val="SingleTxtG"/>
    <w:rsid w:val="005C2D88"/>
    <w:rPr>
      <w:lang w:eastAsia="en-US"/>
    </w:rPr>
  </w:style>
  <w:style w:type="character" w:customStyle="1" w:styleId="H1GChar">
    <w:name w:val="_ H_1_G Char"/>
    <w:link w:val="H1G"/>
    <w:rsid w:val="005C2D88"/>
    <w:rPr>
      <w:b/>
      <w:sz w:val="24"/>
      <w:lang w:eastAsia="en-US"/>
    </w:rPr>
  </w:style>
  <w:style w:type="character" w:styleId="Emphasis">
    <w:name w:val="Emphasis"/>
    <w:uiPriority w:val="20"/>
    <w:qFormat/>
    <w:rsid w:val="005C2D88"/>
    <w:rPr>
      <w:i/>
      <w:iCs/>
    </w:rPr>
  </w:style>
  <w:style w:type="character" w:customStyle="1" w:styleId="preferred">
    <w:name w:val="preferred"/>
    <w:basedOn w:val="DefaultParagraphFont"/>
    <w:rsid w:val="00936FC2"/>
  </w:style>
  <w:style w:type="paragraph" w:styleId="ListParagraph">
    <w:name w:val="List Paragraph"/>
    <w:basedOn w:val="Normal"/>
    <w:uiPriority w:val="34"/>
    <w:qFormat/>
    <w:rsid w:val="00AD5E20"/>
    <w:pPr>
      <w:ind w:left="720"/>
      <w:contextualSpacing/>
    </w:pPr>
  </w:style>
  <w:style w:type="character" w:styleId="CommentReference">
    <w:name w:val="annotation reference"/>
    <w:basedOn w:val="DefaultParagraphFont"/>
    <w:semiHidden/>
    <w:unhideWhenUsed/>
    <w:rsid w:val="00835BEA"/>
    <w:rPr>
      <w:sz w:val="16"/>
      <w:szCs w:val="16"/>
    </w:rPr>
  </w:style>
  <w:style w:type="paragraph" w:styleId="CommentText">
    <w:name w:val="annotation text"/>
    <w:basedOn w:val="Normal"/>
    <w:link w:val="CommentTextChar"/>
    <w:semiHidden/>
    <w:unhideWhenUsed/>
    <w:rsid w:val="00835BEA"/>
    <w:pPr>
      <w:spacing w:line="240" w:lineRule="auto"/>
    </w:pPr>
  </w:style>
  <w:style w:type="character" w:customStyle="1" w:styleId="CommentTextChar">
    <w:name w:val="Comment Text Char"/>
    <w:basedOn w:val="DefaultParagraphFont"/>
    <w:link w:val="CommentText"/>
    <w:semiHidden/>
    <w:rsid w:val="00835BEA"/>
    <w:rPr>
      <w:lang w:eastAsia="en-US"/>
    </w:rPr>
  </w:style>
  <w:style w:type="paragraph" w:styleId="CommentSubject">
    <w:name w:val="annotation subject"/>
    <w:basedOn w:val="CommentText"/>
    <w:next w:val="CommentText"/>
    <w:link w:val="CommentSubjectChar"/>
    <w:semiHidden/>
    <w:unhideWhenUsed/>
    <w:rsid w:val="00835BEA"/>
    <w:rPr>
      <w:b/>
      <w:bCs/>
    </w:rPr>
  </w:style>
  <w:style w:type="character" w:customStyle="1" w:styleId="CommentSubjectChar">
    <w:name w:val="Comment Subject Char"/>
    <w:basedOn w:val="CommentTextChar"/>
    <w:link w:val="CommentSubject"/>
    <w:semiHidden/>
    <w:rsid w:val="00835BEA"/>
    <w:rPr>
      <w:b/>
      <w:bCs/>
      <w:lang w:eastAsia="en-US"/>
    </w:rPr>
  </w:style>
  <w:style w:type="paragraph" w:styleId="NormalWeb">
    <w:name w:val="Normal (Web)"/>
    <w:basedOn w:val="Normal"/>
    <w:uiPriority w:val="99"/>
    <w:semiHidden/>
    <w:unhideWhenUsed/>
    <w:rsid w:val="006E534B"/>
    <w:pPr>
      <w:suppressAutoHyphens w:val="0"/>
      <w:spacing w:before="100" w:beforeAutospacing="1" w:after="100" w:afterAutospacing="1" w:line="240" w:lineRule="auto"/>
    </w:pPr>
    <w:rPr>
      <w:sz w:val="24"/>
      <w:szCs w:val="24"/>
      <w:lang w:eastAsia="zh-CN"/>
    </w:rPr>
  </w:style>
  <w:style w:type="character" w:customStyle="1" w:styleId="style13">
    <w:name w:val="style13"/>
    <w:basedOn w:val="DefaultParagraphFont"/>
    <w:rsid w:val="006E534B"/>
  </w:style>
  <w:style w:type="character" w:customStyle="1" w:styleId="style2">
    <w:name w:val="style2"/>
    <w:basedOn w:val="DefaultParagraphFont"/>
    <w:rsid w:val="00B66F01"/>
  </w:style>
  <w:style w:type="paragraph" w:styleId="Revision">
    <w:name w:val="Revision"/>
    <w:hidden/>
    <w:uiPriority w:val="99"/>
    <w:semiHidden/>
    <w:rsid w:val="007838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25081">
      <w:bodyDiv w:val="1"/>
      <w:marLeft w:val="0"/>
      <w:marRight w:val="0"/>
      <w:marTop w:val="0"/>
      <w:marBottom w:val="0"/>
      <w:divBdr>
        <w:top w:val="none" w:sz="0" w:space="0" w:color="auto"/>
        <w:left w:val="none" w:sz="0" w:space="0" w:color="auto"/>
        <w:bottom w:val="none" w:sz="0" w:space="0" w:color="auto"/>
        <w:right w:val="none" w:sz="0" w:space="0" w:color="auto"/>
      </w:divBdr>
    </w:div>
    <w:div w:id="690643426">
      <w:bodyDiv w:val="1"/>
      <w:marLeft w:val="0"/>
      <w:marRight w:val="0"/>
      <w:marTop w:val="0"/>
      <w:marBottom w:val="0"/>
      <w:divBdr>
        <w:top w:val="none" w:sz="0" w:space="0" w:color="auto"/>
        <w:left w:val="none" w:sz="0" w:space="0" w:color="auto"/>
        <w:bottom w:val="none" w:sz="0" w:space="0" w:color="auto"/>
        <w:right w:val="none" w:sz="0" w:space="0" w:color="auto"/>
      </w:divBdr>
    </w:div>
    <w:div w:id="780303931">
      <w:bodyDiv w:val="1"/>
      <w:marLeft w:val="0"/>
      <w:marRight w:val="0"/>
      <w:marTop w:val="0"/>
      <w:marBottom w:val="0"/>
      <w:divBdr>
        <w:top w:val="none" w:sz="0" w:space="0" w:color="auto"/>
        <w:left w:val="none" w:sz="0" w:space="0" w:color="auto"/>
        <w:bottom w:val="none" w:sz="0" w:space="0" w:color="auto"/>
        <w:right w:val="none" w:sz="0" w:space="0" w:color="auto"/>
      </w:divBdr>
      <w:divsChild>
        <w:div w:id="301472229">
          <w:marLeft w:val="0"/>
          <w:marRight w:val="0"/>
          <w:marTop w:val="0"/>
          <w:marBottom w:val="0"/>
          <w:divBdr>
            <w:top w:val="none" w:sz="0" w:space="0" w:color="auto"/>
            <w:left w:val="none" w:sz="0" w:space="0" w:color="auto"/>
            <w:bottom w:val="none" w:sz="0" w:space="0" w:color="auto"/>
            <w:right w:val="none" w:sz="0" w:space="0" w:color="auto"/>
          </w:divBdr>
        </w:div>
        <w:div w:id="1901819206">
          <w:marLeft w:val="0"/>
          <w:marRight w:val="0"/>
          <w:marTop w:val="0"/>
          <w:marBottom w:val="0"/>
          <w:divBdr>
            <w:top w:val="none" w:sz="0" w:space="0" w:color="auto"/>
            <w:left w:val="none" w:sz="0" w:space="0" w:color="auto"/>
            <w:bottom w:val="none" w:sz="0" w:space="0" w:color="auto"/>
            <w:right w:val="none" w:sz="0" w:space="0" w:color="auto"/>
          </w:divBdr>
        </w:div>
        <w:div w:id="725953227">
          <w:marLeft w:val="0"/>
          <w:marRight w:val="0"/>
          <w:marTop w:val="0"/>
          <w:marBottom w:val="0"/>
          <w:divBdr>
            <w:top w:val="none" w:sz="0" w:space="0" w:color="auto"/>
            <w:left w:val="none" w:sz="0" w:space="0" w:color="auto"/>
            <w:bottom w:val="none" w:sz="0" w:space="0" w:color="auto"/>
            <w:right w:val="none" w:sz="0" w:space="0" w:color="auto"/>
          </w:divBdr>
        </w:div>
        <w:div w:id="1237590000">
          <w:marLeft w:val="0"/>
          <w:marRight w:val="0"/>
          <w:marTop w:val="0"/>
          <w:marBottom w:val="0"/>
          <w:divBdr>
            <w:top w:val="none" w:sz="0" w:space="0" w:color="auto"/>
            <w:left w:val="none" w:sz="0" w:space="0" w:color="auto"/>
            <w:bottom w:val="none" w:sz="0" w:space="0" w:color="auto"/>
            <w:right w:val="none" w:sz="0" w:space="0" w:color="auto"/>
          </w:divBdr>
        </w:div>
        <w:div w:id="1411078970">
          <w:marLeft w:val="0"/>
          <w:marRight w:val="0"/>
          <w:marTop w:val="0"/>
          <w:marBottom w:val="0"/>
          <w:divBdr>
            <w:top w:val="none" w:sz="0" w:space="0" w:color="auto"/>
            <w:left w:val="none" w:sz="0" w:space="0" w:color="auto"/>
            <w:bottom w:val="none" w:sz="0" w:space="0" w:color="auto"/>
            <w:right w:val="none" w:sz="0" w:space="0" w:color="auto"/>
          </w:divBdr>
        </w:div>
        <w:div w:id="1915117373">
          <w:marLeft w:val="0"/>
          <w:marRight w:val="0"/>
          <w:marTop w:val="0"/>
          <w:marBottom w:val="0"/>
          <w:divBdr>
            <w:top w:val="none" w:sz="0" w:space="0" w:color="auto"/>
            <w:left w:val="none" w:sz="0" w:space="0" w:color="auto"/>
            <w:bottom w:val="none" w:sz="0" w:space="0" w:color="auto"/>
            <w:right w:val="none" w:sz="0" w:space="0" w:color="auto"/>
          </w:divBdr>
        </w:div>
        <w:div w:id="1386638596">
          <w:marLeft w:val="0"/>
          <w:marRight w:val="0"/>
          <w:marTop w:val="0"/>
          <w:marBottom w:val="0"/>
          <w:divBdr>
            <w:top w:val="none" w:sz="0" w:space="0" w:color="auto"/>
            <w:left w:val="none" w:sz="0" w:space="0" w:color="auto"/>
            <w:bottom w:val="none" w:sz="0" w:space="0" w:color="auto"/>
            <w:right w:val="none" w:sz="0" w:space="0" w:color="auto"/>
          </w:divBdr>
        </w:div>
        <w:div w:id="1840928522">
          <w:marLeft w:val="0"/>
          <w:marRight w:val="0"/>
          <w:marTop w:val="0"/>
          <w:marBottom w:val="0"/>
          <w:divBdr>
            <w:top w:val="none" w:sz="0" w:space="0" w:color="auto"/>
            <w:left w:val="none" w:sz="0" w:space="0" w:color="auto"/>
            <w:bottom w:val="none" w:sz="0" w:space="0" w:color="auto"/>
            <w:right w:val="none" w:sz="0" w:space="0" w:color="auto"/>
          </w:divBdr>
        </w:div>
        <w:div w:id="1283265631">
          <w:marLeft w:val="0"/>
          <w:marRight w:val="0"/>
          <w:marTop w:val="0"/>
          <w:marBottom w:val="0"/>
          <w:divBdr>
            <w:top w:val="none" w:sz="0" w:space="0" w:color="auto"/>
            <w:left w:val="none" w:sz="0" w:space="0" w:color="auto"/>
            <w:bottom w:val="none" w:sz="0" w:space="0" w:color="auto"/>
            <w:right w:val="none" w:sz="0" w:space="0" w:color="auto"/>
          </w:divBdr>
        </w:div>
        <w:div w:id="125587269">
          <w:marLeft w:val="0"/>
          <w:marRight w:val="0"/>
          <w:marTop w:val="0"/>
          <w:marBottom w:val="0"/>
          <w:divBdr>
            <w:top w:val="none" w:sz="0" w:space="0" w:color="auto"/>
            <w:left w:val="none" w:sz="0" w:space="0" w:color="auto"/>
            <w:bottom w:val="none" w:sz="0" w:space="0" w:color="auto"/>
            <w:right w:val="none" w:sz="0" w:space="0" w:color="auto"/>
          </w:divBdr>
        </w:div>
        <w:div w:id="507644836">
          <w:marLeft w:val="0"/>
          <w:marRight w:val="0"/>
          <w:marTop w:val="0"/>
          <w:marBottom w:val="0"/>
          <w:divBdr>
            <w:top w:val="none" w:sz="0" w:space="0" w:color="auto"/>
            <w:left w:val="none" w:sz="0" w:space="0" w:color="auto"/>
            <w:bottom w:val="none" w:sz="0" w:space="0" w:color="auto"/>
            <w:right w:val="none" w:sz="0" w:space="0" w:color="auto"/>
          </w:divBdr>
        </w:div>
        <w:div w:id="748386921">
          <w:marLeft w:val="0"/>
          <w:marRight w:val="0"/>
          <w:marTop w:val="0"/>
          <w:marBottom w:val="0"/>
          <w:divBdr>
            <w:top w:val="none" w:sz="0" w:space="0" w:color="auto"/>
            <w:left w:val="none" w:sz="0" w:space="0" w:color="auto"/>
            <w:bottom w:val="none" w:sz="0" w:space="0" w:color="auto"/>
            <w:right w:val="none" w:sz="0" w:space="0" w:color="auto"/>
          </w:divBdr>
        </w:div>
        <w:div w:id="676154228">
          <w:marLeft w:val="0"/>
          <w:marRight w:val="0"/>
          <w:marTop w:val="0"/>
          <w:marBottom w:val="0"/>
          <w:divBdr>
            <w:top w:val="none" w:sz="0" w:space="0" w:color="auto"/>
            <w:left w:val="none" w:sz="0" w:space="0" w:color="auto"/>
            <w:bottom w:val="none" w:sz="0" w:space="0" w:color="auto"/>
            <w:right w:val="none" w:sz="0" w:space="0" w:color="auto"/>
          </w:divBdr>
        </w:div>
        <w:div w:id="1168787866">
          <w:marLeft w:val="0"/>
          <w:marRight w:val="0"/>
          <w:marTop w:val="0"/>
          <w:marBottom w:val="0"/>
          <w:divBdr>
            <w:top w:val="none" w:sz="0" w:space="0" w:color="auto"/>
            <w:left w:val="none" w:sz="0" w:space="0" w:color="auto"/>
            <w:bottom w:val="none" w:sz="0" w:space="0" w:color="auto"/>
            <w:right w:val="none" w:sz="0" w:space="0" w:color="auto"/>
          </w:divBdr>
        </w:div>
        <w:div w:id="1090389874">
          <w:marLeft w:val="0"/>
          <w:marRight w:val="0"/>
          <w:marTop w:val="0"/>
          <w:marBottom w:val="0"/>
          <w:divBdr>
            <w:top w:val="none" w:sz="0" w:space="0" w:color="auto"/>
            <w:left w:val="none" w:sz="0" w:space="0" w:color="auto"/>
            <w:bottom w:val="none" w:sz="0" w:space="0" w:color="auto"/>
            <w:right w:val="none" w:sz="0" w:space="0" w:color="auto"/>
          </w:divBdr>
        </w:div>
        <w:div w:id="731388337">
          <w:marLeft w:val="0"/>
          <w:marRight w:val="0"/>
          <w:marTop w:val="0"/>
          <w:marBottom w:val="0"/>
          <w:divBdr>
            <w:top w:val="none" w:sz="0" w:space="0" w:color="auto"/>
            <w:left w:val="none" w:sz="0" w:space="0" w:color="auto"/>
            <w:bottom w:val="none" w:sz="0" w:space="0" w:color="auto"/>
            <w:right w:val="none" w:sz="0" w:space="0" w:color="auto"/>
          </w:divBdr>
        </w:div>
        <w:div w:id="659622584">
          <w:marLeft w:val="0"/>
          <w:marRight w:val="0"/>
          <w:marTop w:val="0"/>
          <w:marBottom w:val="0"/>
          <w:divBdr>
            <w:top w:val="none" w:sz="0" w:space="0" w:color="auto"/>
            <w:left w:val="none" w:sz="0" w:space="0" w:color="auto"/>
            <w:bottom w:val="none" w:sz="0" w:space="0" w:color="auto"/>
            <w:right w:val="none" w:sz="0" w:space="0" w:color="auto"/>
          </w:divBdr>
        </w:div>
        <w:div w:id="1081834748">
          <w:marLeft w:val="0"/>
          <w:marRight w:val="0"/>
          <w:marTop w:val="0"/>
          <w:marBottom w:val="0"/>
          <w:divBdr>
            <w:top w:val="none" w:sz="0" w:space="0" w:color="auto"/>
            <w:left w:val="none" w:sz="0" w:space="0" w:color="auto"/>
            <w:bottom w:val="none" w:sz="0" w:space="0" w:color="auto"/>
            <w:right w:val="none" w:sz="0" w:space="0" w:color="auto"/>
          </w:divBdr>
        </w:div>
        <w:div w:id="258416623">
          <w:marLeft w:val="0"/>
          <w:marRight w:val="0"/>
          <w:marTop w:val="0"/>
          <w:marBottom w:val="0"/>
          <w:divBdr>
            <w:top w:val="none" w:sz="0" w:space="0" w:color="auto"/>
            <w:left w:val="none" w:sz="0" w:space="0" w:color="auto"/>
            <w:bottom w:val="none" w:sz="0" w:space="0" w:color="auto"/>
            <w:right w:val="none" w:sz="0" w:space="0" w:color="auto"/>
          </w:divBdr>
        </w:div>
        <w:div w:id="374548067">
          <w:marLeft w:val="0"/>
          <w:marRight w:val="0"/>
          <w:marTop w:val="0"/>
          <w:marBottom w:val="0"/>
          <w:divBdr>
            <w:top w:val="none" w:sz="0" w:space="0" w:color="auto"/>
            <w:left w:val="none" w:sz="0" w:space="0" w:color="auto"/>
            <w:bottom w:val="none" w:sz="0" w:space="0" w:color="auto"/>
            <w:right w:val="none" w:sz="0" w:space="0" w:color="auto"/>
          </w:divBdr>
        </w:div>
        <w:div w:id="610211763">
          <w:marLeft w:val="0"/>
          <w:marRight w:val="0"/>
          <w:marTop w:val="0"/>
          <w:marBottom w:val="0"/>
          <w:divBdr>
            <w:top w:val="none" w:sz="0" w:space="0" w:color="auto"/>
            <w:left w:val="none" w:sz="0" w:space="0" w:color="auto"/>
            <w:bottom w:val="none" w:sz="0" w:space="0" w:color="auto"/>
            <w:right w:val="none" w:sz="0" w:space="0" w:color="auto"/>
          </w:divBdr>
        </w:div>
        <w:div w:id="914700221">
          <w:marLeft w:val="0"/>
          <w:marRight w:val="0"/>
          <w:marTop w:val="0"/>
          <w:marBottom w:val="0"/>
          <w:divBdr>
            <w:top w:val="none" w:sz="0" w:space="0" w:color="auto"/>
            <w:left w:val="none" w:sz="0" w:space="0" w:color="auto"/>
            <w:bottom w:val="none" w:sz="0" w:space="0" w:color="auto"/>
            <w:right w:val="none" w:sz="0" w:space="0" w:color="auto"/>
          </w:divBdr>
        </w:div>
        <w:div w:id="1566913985">
          <w:marLeft w:val="0"/>
          <w:marRight w:val="0"/>
          <w:marTop w:val="0"/>
          <w:marBottom w:val="0"/>
          <w:divBdr>
            <w:top w:val="none" w:sz="0" w:space="0" w:color="auto"/>
            <w:left w:val="none" w:sz="0" w:space="0" w:color="auto"/>
            <w:bottom w:val="none" w:sz="0" w:space="0" w:color="auto"/>
            <w:right w:val="none" w:sz="0" w:space="0" w:color="auto"/>
          </w:divBdr>
        </w:div>
        <w:div w:id="1262949784">
          <w:marLeft w:val="0"/>
          <w:marRight w:val="0"/>
          <w:marTop w:val="0"/>
          <w:marBottom w:val="0"/>
          <w:divBdr>
            <w:top w:val="none" w:sz="0" w:space="0" w:color="auto"/>
            <w:left w:val="none" w:sz="0" w:space="0" w:color="auto"/>
            <w:bottom w:val="none" w:sz="0" w:space="0" w:color="auto"/>
            <w:right w:val="none" w:sz="0" w:space="0" w:color="auto"/>
          </w:divBdr>
        </w:div>
        <w:div w:id="87701726">
          <w:marLeft w:val="0"/>
          <w:marRight w:val="0"/>
          <w:marTop w:val="0"/>
          <w:marBottom w:val="0"/>
          <w:divBdr>
            <w:top w:val="none" w:sz="0" w:space="0" w:color="auto"/>
            <w:left w:val="none" w:sz="0" w:space="0" w:color="auto"/>
            <w:bottom w:val="none" w:sz="0" w:space="0" w:color="auto"/>
            <w:right w:val="none" w:sz="0" w:space="0" w:color="auto"/>
          </w:divBdr>
        </w:div>
        <w:div w:id="622926088">
          <w:marLeft w:val="0"/>
          <w:marRight w:val="0"/>
          <w:marTop w:val="0"/>
          <w:marBottom w:val="0"/>
          <w:divBdr>
            <w:top w:val="none" w:sz="0" w:space="0" w:color="auto"/>
            <w:left w:val="none" w:sz="0" w:space="0" w:color="auto"/>
            <w:bottom w:val="none" w:sz="0" w:space="0" w:color="auto"/>
            <w:right w:val="none" w:sz="0" w:space="0" w:color="auto"/>
          </w:divBdr>
        </w:div>
        <w:div w:id="1277442393">
          <w:marLeft w:val="0"/>
          <w:marRight w:val="0"/>
          <w:marTop w:val="0"/>
          <w:marBottom w:val="0"/>
          <w:divBdr>
            <w:top w:val="none" w:sz="0" w:space="0" w:color="auto"/>
            <w:left w:val="none" w:sz="0" w:space="0" w:color="auto"/>
            <w:bottom w:val="none" w:sz="0" w:space="0" w:color="auto"/>
            <w:right w:val="none" w:sz="0" w:space="0" w:color="auto"/>
          </w:divBdr>
        </w:div>
      </w:divsChild>
    </w:div>
    <w:div w:id="978418022">
      <w:bodyDiv w:val="1"/>
      <w:marLeft w:val="0"/>
      <w:marRight w:val="0"/>
      <w:marTop w:val="0"/>
      <w:marBottom w:val="0"/>
      <w:divBdr>
        <w:top w:val="none" w:sz="0" w:space="0" w:color="auto"/>
        <w:left w:val="none" w:sz="0" w:space="0" w:color="auto"/>
        <w:bottom w:val="none" w:sz="0" w:space="0" w:color="auto"/>
        <w:right w:val="none" w:sz="0" w:space="0" w:color="auto"/>
      </w:divBdr>
      <w:divsChild>
        <w:div w:id="750467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074291">
      <w:bodyDiv w:val="1"/>
      <w:marLeft w:val="0"/>
      <w:marRight w:val="0"/>
      <w:marTop w:val="0"/>
      <w:marBottom w:val="0"/>
      <w:divBdr>
        <w:top w:val="none" w:sz="0" w:space="0" w:color="auto"/>
        <w:left w:val="none" w:sz="0" w:space="0" w:color="auto"/>
        <w:bottom w:val="none" w:sz="0" w:space="0" w:color="auto"/>
        <w:right w:val="none" w:sz="0" w:space="0" w:color="auto"/>
      </w:divBdr>
    </w:div>
    <w:div w:id="1372265089">
      <w:bodyDiv w:val="1"/>
      <w:marLeft w:val="0"/>
      <w:marRight w:val="0"/>
      <w:marTop w:val="0"/>
      <w:marBottom w:val="0"/>
      <w:divBdr>
        <w:top w:val="none" w:sz="0" w:space="0" w:color="auto"/>
        <w:left w:val="none" w:sz="0" w:space="0" w:color="auto"/>
        <w:bottom w:val="none" w:sz="0" w:space="0" w:color="auto"/>
        <w:right w:val="none" w:sz="0" w:space="0" w:color="auto"/>
      </w:divBdr>
      <w:divsChild>
        <w:div w:id="1813062376">
          <w:marLeft w:val="0"/>
          <w:marRight w:val="0"/>
          <w:marTop w:val="0"/>
          <w:marBottom w:val="0"/>
          <w:divBdr>
            <w:top w:val="none" w:sz="0" w:space="0" w:color="auto"/>
            <w:left w:val="none" w:sz="0" w:space="0" w:color="auto"/>
            <w:bottom w:val="none" w:sz="0" w:space="0" w:color="auto"/>
            <w:right w:val="none" w:sz="0" w:space="0" w:color="auto"/>
          </w:divBdr>
        </w:div>
        <w:div w:id="1125277210">
          <w:marLeft w:val="0"/>
          <w:marRight w:val="0"/>
          <w:marTop w:val="0"/>
          <w:marBottom w:val="0"/>
          <w:divBdr>
            <w:top w:val="none" w:sz="0" w:space="0" w:color="auto"/>
            <w:left w:val="none" w:sz="0" w:space="0" w:color="auto"/>
            <w:bottom w:val="none" w:sz="0" w:space="0" w:color="auto"/>
            <w:right w:val="none" w:sz="0" w:space="0" w:color="auto"/>
          </w:divBdr>
        </w:div>
        <w:div w:id="722413483">
          <w:marLeft w:val="0"/>
          <w:marRight w:val="0"/>
          <w:marTop w:val="0"/>
          <w:marBottom w:val="0"/>
          <w:divBdr>
            <w:top w:val="none" w:sz="0" w:space="0" w:color="auto"/>
            <w:left w:val="none" w:sz="0" w:space="0" w:color="auto"/>
            <w:bottom w:val="none" w:sz="0" w:space="0" w:color="auto"/>
            <w:right w:val="none" w:sz="0" w:space="0" w:color="auto"/>
          </w:divBdr>
        </w:div>
        <w:div w:id="1278633560">
          <w:marLeft w:val="0"/>
          <w:marRight w:val="0"/>
          <w:marTop w:val="0"/>
          <w:marBottom w:val="0"/>
          <w:divBdr>
            <w:top w:val="none" w:sz="0" w:space="0" w:color="auto"/>
            <w:left w:val="none" w:sz="0" w:space="0" w:color="auto"/>
            <w:bottom w:val="none" w:sz="0" w:space="0" w:color="auto"/>
            <w:right w:val="none" w:sz="0" w:space="0" w:color="auto"/>
          </w:divBdr>
        </w:div>
        <w:div w:id="1501507621">
          <w:marLeft w:val="0"/>
          <w:marRight w:val="0"/>
          <w:marTop w:val="0"/>
          <w:marBottom w:val="0"/>
          <w:divBdr>
            <w:top w:val="none" w:sz="0" w:space="0" w:color="auto"/>
            <w:left w:val="none" w:sz="0" w:space="0" w:color="auto"/>
            <w:bottom w:val="none" w:sz="0" w:space="0" w:color="auto"/>
            <w:right w:val="none" w:sz="0" w:space="0" w:color="auto"/>
          </w:divBdr>
        </w:div>
        <w:div w:id="231820327">
          <w:marLeft w:val="0"/>
          <w:marRight w:val="0"/>
          <w:marTop w:val="0"/>
          <w:marBottom w:val="0"/>
          <w:divBdr>
            <w:top w:val="none" w:sz="0" w:space="0" w:color="auto"/>
            <w:left w:val="none" w:sz="0" w:space="0" w:color="auto"/>
            <w:bottom w:val="none" w:sz="0" w:space="0" w:color="auto"/>
            <w:right w:val="none" w:sz="0" w:space="0" w:color="auto"/>
          </w:divBdr>
        </w:div>
        <w:div w:id="468281455">
          <w:marLeft w:val="0"/>
          <w:marRight w:val="0"/>
          <w:marTop w:val="0"/>
          <w:marBottom w:val="0"/>
          <w:divBdr>
            <w:top w:val="none" w:sz="0" w:space="0" w:color="auto"/>
            <w:left w:val="none" w:sz="0" w:space="0" w:color="auto"/>
            <w:bottom w:val="none" w:sz="0" w:space="0" w:color="auto"/>
            <w:right w:val="none" w:sz="0" w:space="0" w:color="auto"/>
          </w:divBdr>
        </w:div>
        <w:div w:id="550993557">
          <w:marLeft w:val="0"/>
          <w:marRight w:val="0"/>
          <w:marTop w:val="0"/>
          <w:marBottom w:val="0"/>
          <w:divBdr>
            <w:top w:val="none" w:sz="0" w:space="0" w:color="auto"/>
            <w:left w:val="none" w:sz="0" w:space="0" w:color="auto"/>
            <w:bottom w:val="none" w:sz="0" w:space="0" w:color="auto"/>
            <w:right w:val="none" w:sz="0" w:space="0" w:color="auto"/>
          </w:divBdr>
        </w:div>
        <w:div w:id="973099730">
          <w:marLeft w:val="0"/>
          <w:marRight w:val="0"/>
          <w:marTop w:val="0"/>
          <w:marBottom w:val="0"/>
          <w:divBdr>
            <w:top w:val="none" w:sz="0" w:space="0" w:color="auto"/>
            <w:left w:val="none" w:sz="0" w:space="0" w:color="auto"/>
            <w:bottom w:val="none" w:sz="0" w:space="0" w:color="auto"/>
            <w:right w:val="none" w:sz="0" w:space="0" w:color="auto"/>
          </w:divBdr>
        </w:div>
        <w:div w:id="1749765925">
          <w:marLeft w:val="0"/>
          <w:marRight w:val="0"/>
          <w:marTop w:val="0"/>
          <w:marBottom w:val="0"/>
          <w:divBdr>
            <w:top w:val="none" w:sz="0" w:space="0" w:color="auto"/>
            <w:left w:val="none" w:sz="0" w:space="0" w:color="auto"/>
            <w:bottom w:val="none" w:sz="0" w:space="0" w:color="auto"/>
            <w:right w:val="none" w:sz="0" w:space="0" w:color="auto"/>
          </w:divBdr>
        </w:div>
        <w:div w:id="1623221315">
          <w:marLeft w:val="0"/>
          <w:marRight w:val="0"/>
          <w:marTop w:val="0"/>
          <w:marBottom w:val="0"/>
          <w:divBdr>
            <w:top w:val="none" w:sz="0" w:space="0" w:color="auto"/>
            <w:left w:val="none" w:sz="0" w:space="0" w:color="auto"/>
            <w:bottom w:val="none" w:sz="0" w:space="0" w:color="auto"/>
            <w:right w:val="none" w:sz="0" w:space="0" w:color="auto"/>
          </w:divBdr>
        </w:div>
        <w:div w:id="45572720">
          <w:marLeft w:val="0"/>
          <w:marRight w:val="0"/>
          <w:marTop w:val="0"/>
          <w:marBottom w:val="0"/>
          <w:divBdr>
            <w:top w:val="none" w:sz="0" w:space="0" w:color="auto"/>
            <w:left w:val="none" w:sz="0" w:space="0" w:color="auto"/>
            <w:bottom w:val="none" w:sz="0" w:space="0" w:color="auto"/>
            <w:right w:val="none" w:sz="0" w:space="0" w:color="auto"/>
          </w:divBdr>
        </w:div>
        <w:div w:id="2145853021">
          <w:marLeft w:val="0"/>
          <w:marRight w:val="0"/>
          <w:marTop w:val="0"/>
          <w:marBottom w:val="0"/>
          <w:divBdr>
            <w:top w:val="none" w:sz="0" w:space="0" w:color="auto"/>
            <w:left w:val="none" w:sz="0" w:space="0" w:color="auto"/>
            <w:bottom w:val="none" w:sz="0" w:space="0" w:color="auto"/>
            <w:right w:val="none" w:sz="0" w:space="0" w:color="auto"/>
          </w:divBdr>
        </w:div>
        <w:div w:id="1982609306">
          <w:marLeft w:val="0"/>
          <w:marRight w:val="0"/>
          <w:marTop w:val="0"/>
          <w:marBottom w:val="0"/>
          <w:divBdr>
            <w:top w:val="none" w:sz="0" w:space="0" w:color="auto"/>
            <w:left w:val="none" w:sz="0" w:space="0" w:color="auto"/>
            <w:bottom w:val="none" w:sz="0" w:space="0" w:color="auto"/>
            <w:right w:val="none" w:sz="0" w:space="0" w:color="auto"/>
          </w:divBdr>
        </w:div>
        <w:div w:id="491022902">
          <w:marLeft w:val="0"/>
          <w:marRight w:val="0"/>
          <w:marTop w:val="0"/>
          <w:marBottom w:val="0"/>
          <w:divBdr>
            <w:top w:val="none" w:sz="0" w:space="0" w:color="auto"/>
            <w:left w:val="none" w:sz="0" w:space="0" w:color="auto"/>
            <w:bottom w:val="none" w:sz="0" w:space="0" w:color="auto"/>
            <w:right w:val="none" w:sz="0" w:space="0" w:color="auto"/>
          </w:divBdr>
        </w:div>
        <w:div w:id="1312293702">
          <w:marLeft w:val="0"/>
          <w:marRight w:val="0"/>
          <w:marTop w:val="0"/>
          <w:marBottom w:val="0"/>
          <w:divBdr>
            <w:top w:val="none" w:sz="0" w:space="0" w:color="auto"/>
            <w:left w:val="none" w:sz="0" w:space="0" w:color="auto"/>
            <w:bottom w:val="none" w:sz="0" w:space="0" w:color="auto"/>
            <w:right w:val="none" w:sz="0" w:space="0" w:color="auto"/>
          </w:divBdr>
        </w:div>
        <w:div w:id="515582598">
          <w:marLeft w:val="0"/>
          <w:marRight w:val="0"/>
          <w:marTop w:val="0"/>
          <w:marBottom w:val="0"/>
          <w:divBdr>
            <w:top w:val="none" w:sz="0" w:space="0" w:color="auto"/>
            <w:left w:val="none" w:sz="0" w:space="0" w:color="auto"/>
            <w:bottom w:val="none" w:sz="0" w:space="0" w:color="auto"/>
            <w:right w:val="none" w:sz="0" w:space="0" w:color="auto"/>
          </w:divBdr>
        </w:div>
        <w:div w:id="1638952801">
          <w:marLeft w:val="0"/>
          <w:marRight w:val="0"/>
          <w:marTop w:val="0"/>
          <w:marBottom w:val="0"/>
          <w:divBdr>
            <w:top w:val="none" w:sz="0" w:space="0" w:color="auto"/>
            <w:left w:val="none" w:sz="0" w:space="0" w:color="auto"/>
            <w:bottom w:val="none" w:sz="0" w:space="0" w:color="auto"/>
            <w:right w:val="none" w:sz="0" w:space="0" w:color="auto"/>
          </w:divBdr>
        </w:div>
        <w:div w:id="277612291">
          <w:marLeft w:val="0"/>
          <w:marRight w:val="0"/>
          <w:marTop w:val="0"/>
          <w:marBottom w:val="0"/>
          <w:divBdr>
            <w:top w:val="none" w:sz="0" w:space="0" w:color="auto"/>
            <w:left w:val="none" w:sz="0" w:space="0" w:color="auto"/>
            <w:bottom w:val="none" w:sz="0" w:space="0" w:color="auto"/>
            <w:right w:val="none" w:sz="0" w:space="0" w:color="auto"/>
          </w:divBdr>
        </w:div>
        <w:div w:id="76489118">
          <w:marLeft w:val="0"/>
          <w:marRight w:val="0"/>
          <w:marTop w:val="0"/>
          <w:marBottom w:val="0"/>
          <w:divBdr>
            <w:top w:val="none" w:sz="0" w:space="0" w:color="auto"/>
            <w:left w:val="none" w:sz="0" w:space="0" w:color="auto"/>
            <w:bottom w:val="none" w:sz="0" w:space="0" w:color="auto"/>
            <w:right w:val="none" w:sz="0" w:space="0" w:color="auto"/>
          </w:divBdr>
        </w:div>
        <w:div w:id="753161366">
          <w:marLeft w:val="0"/>
          <w:marRight w:val="0"/>
          <w:marTop w:val="0"/>
          <w:marBottom w:val="0"/>
          <w:divBdr>
            <w:top w:val="none" w:sz="0" w:space="0" w:color="auto"/>
            <w:left w:val="none" w:sz="0" w:space="0" w:color="auto"/>
            <w:bottom w:val="none" w:sz="0" w:space="0" w:color="auto"/>
            <w:right w:val="none" w:sz="0" w:space="0" w:color="auto"/>
          </w:divBdr>
        </w:div>
        <w:div w:id="414864264">
          <w:marLeft w:val="0"/>
          <w:marRight w:val="0"/>
          <w:marTop w:val="0"/>
          <w:marBottom w:val="0"/>
          <w:divBdr>
            <w:top w:val="none" w:sz="0" w:space="0" w:color="auto"/>
            <w:left w:val="none" w:sz="0" w:space="0" w:color="auto"/>
            <w:bottom w:val="none" w:sz="0" w:space="0" w:color="auto"/>
            <w:right w:val="none" w:sz="0" w:space="0" w:color="auto"/>
          </w:divBdr>
        </w:div>
        <w:div w:id="910312354">
          <w:marLeft w:val="0"/>
          <w:marRight w:val="0"/>
          <w:marTop w:val="0"/>
          <w:marBottom w:val="0"/>
          <w:divBdr>
            <w:top w:val="none" w:sz="0" w:space="0" w:color="auto"/>
            <w:left w:val="none" w:sz="0" w:space="0" w:color="auto"/>
            <w:bottom w:val="none" w:sz="0" w:space="0" w:color="auto"/>
            <w:right w:val="none" w:sz="0" w:space="0" w:color="auto"/>
          </w:divBdr>
        </w:div>
        <w:div w:id="977493832">
          <w:marLeft w:val="0"/>
          <w:marRight w:val="0"/>
          <w:marTop w:val="0"/>
          <w:marBottom w:val="0"/>
          <w:divBdr>
            <w:top w:val="none" w:sz="0" w:space="0" w:color="auto"/>
            <w:left w:val="none" w:sz="0" w:space="0" w:color="auto"/>
            <w:bottom w:val="none" w:sz="0" w:space="0" w:color="auto"/>
            <w:right w:val="none" w:sz="0" w:space="0" w:color="auto"/>
          </w:divBdr>
        </w:div>
        <w:div w:id="1939215762">
          <w:marLeft w:val="0"/>
          <w:marRight w:val="0"/>
          <w:marTop w:val="0"/>
          <w:marBottom w:val="0"/>
          <w:divBdr>
            <w:top w:val="none" w:sz="0" w:space="0" w:color="auto"/>
            <w:left w:val="none" w:sz="0" w:space="0" w:color="auto"/>
            <w:bottom w:val="none" w:sz="0" w:space="0" w:color="auto"/>
            <w:right w:val="none" w:sz="0" w:space="0" w:color="auto"/>
          </w:divBdr>
        </w:div>
        <w:div w:id="550964137">
          <w:marLeft w:val="0"/>
          <w:marRight w:val="0"/>
          <w:marTop w:val="0"/>
          <w:marBottom w:val="0"/>
          <w:divBdr>
            <w:top w:val="none" w:sz="0" w:space="0" w:color="auto"/>
            <w:left w:val="none" w:sz="0" w:space="0" w:color="auto"/>
            <w:bottom w:val="none" w:sz="0" w:space="0" w:color="auto"/>
            <w:right w:val="none" w:sz="0" w:space="0" w:color="auto"/>
          </w:divBdr>
        </w:div>
        <w:div w:id="1871454586">
          <w:marLeft w:val="0"/>
          <w:marRight w:val="0"/>
          <w:marTop w:val="0"/>
          <w:marBottom w:val="0"/>
          <w:divBdr>
            <w:top w:val="none" w:sz="0" w:space="0" w:color="auto"/>
            <w:left w:val="none" w:sz="0" w:space="0" w:color="auto"/>
            <w:bottom w:val="none" w:sz="0" w:space="0" w:color="auto"/>
            <w:right w:val="none" w:sz="0" w:space="0" w:color="auto"/>
          </w:divBdr>
        </w:div>
        <w:div w:id="1444611070">
          <w:marLeft w:val="0"/>
          <w:marRight w:val="0"/>
          <w:marTop w:val="0"/>
          <w:marBottom w:val="0"/>
          <w:divBdr>
            <w:top w:val="none" w:sz="0" w:space="0" w:color="auto"/>
            <w:left w:val="none" w:sz="0" w:space="0" w:color="auto"/>
            <w:bottom w:val="none" w:sz="0" w:space="0" w:color="auto"/>
            <w:right w:val="none" w:sz="0" w:space="0" w:color="auto"/>
          </w:divBdr>
        </w:div>
        <w:div w:id="551500686">
          <w:marLeft w:val="0"/>
          <w:marRight w:val="0"/>
          <w:marTop w:val="0"/>
          <w:marBottom w:val="0"/>
          <w:divBdr>
            <w:top w:val="none" w:sz="0" w:space="0" w:color="auto"/>
            <w:left w:val="none" w:sz="0" w:space="0" w:color="auto"/>
            <w:bottom w:val="none" w:sz="0" w:space="0" w:color="auto"/>
            <w:right w:val="none" w:sz="0" w:space="0" w:color="auto"/>
          </w:divBdr>
        </w:div>
        <w:div w:id="1253660603">
          <w:marLeft w:val="0"/>
          <w:marRight w:val="0"/>
          <w:marTop w:val="0"/>
          <w:marBottom w:val="0"/>
          <w:divBdr>
            <w:top w:val="none" w:sz="0" w:space="0" w:color="auto"/>
            <w:left w:val="none" w:sz="0" w:space="0" w:color="auto"/>
            <w:bottom w:val="none" w:sz="0" w:space="0" w:color="auto"/>
            <w:right w:val="none" w:sz="0" w:space="0" w:color="auto"/>
          </w:divBdr>
        </w:div>
        <w:div w:id="1404379089">
          <w:marLeft w:val="0"/>
          <w:marRight w:val="0"/>
          <w:marTop w:val="0"/>
          <w:marBottom w:val="0"/>
          <w:divBdr>
            <w:top w:val="none" w:sz="0" w:space="0" w:color="auto"/>
            <w:left w:val="none" w:sz="0" w:space="0" w:color="auto"/>
            <w:bottom w:val="none" w:sz="0" w:space="0" w:color="auto"/>
            <w:right w:val="none" w:sz="0" w:space="0" w:color="auto"/>
          </w:divBdr>
        </w:div>
        <w:div w:id="871384252">
          <w:marLeft w:val="0"/>
          <w:marRight w:val="0"/>
          <w:marTop w:val="0"/>
          <w:marBottom w:val="0"/>
          <w:divBdr>
            <w:top w:val="none" w:sz="0" w:space="0" w:color="auto"/>
            <w:left w:val="none" w:sz="0" w:space="0" w:color="auto"/>
            <w:bottom w:val="none" w:sz="0" w:space="0" w:color="auto"/>
            <w:right w:val="none" w:sz="0" w:space="0" w:color="auto"/>
          </w:divBdr>
        </w:div>
        <w:div w:id="241568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nece.org/trans/main/wp5/mobility_as_a_service.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98CC3-E24F-4BC9-B0AE-6D53D6DF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8</Pages>
  <Words>3289</Words>
  <Characters>18750</Characters>
  <Application>Microsoft Office Word</Application>
  <DocSecurity>0</DocSecurity>
  <Lines>156</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2</cp:revision>
  <cp:lastPrinted>2017-12-05T10:14:00Z</cp:lastPrinted>
  <dcterms:created xsi:type="dcterms:W3CDTF">2017-12-12T09:13:00Z</dcterms:created>
  <dcterms:modified xsi:type="dcterms:W3CDTF">2017-12-12T09:13:00Z</dcterms:modified>
</cp:coreProperties>
</file>