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75C02" w:rsidTr="00C97039">
        <w:trPr>
          <w:trHeight w:hRule="exact" w:val="851"/>
        </w:trPr>
        <w:tc>
          <w:tcPr>
            <w:tcW w:w="1276" w:type="dxa"/>
            <w:tcBorders>
              <w:bottom w:val="single" w:sz="4" w:space="0" w:color="auto"/>
            </w:tcBorders>
          </w:tcPr>
          <w:p w:rsidR="00F35BAF" w:rsidRPr="00975C02" w:rsidRDefault="00F35BAF" w:rsidP="00E83641">
            <w:bookmarkStart w:id="0" w:name="_GoBack"/>
            <w:bookmarkEnd w:id="0"/>
          </w:p>
        </w:tc>
        <w:tc>
          <w:tcPr>
            <w:tcW w:w="2268" w:type="dxa"/>
            <w:tcBorders>
              <w:bottom w:val="single" w:sz="4" w:space="0" w:color="auto"/>
            </w:tcBorders>
            <w:vAlign w:val="bottom"/>
          </w:tcPr>
          <w:p w:rsidR="00F35BAF" w:rsidRPr="00975C02" w:rsidRDefault="00F35BAF" w:rsidP="00C97039">
            <w:pPr>
              <w:spacing w:after="80" w:line="300" w:lineRule="exact"/>
              <w:rPr>
                <w:sz w:val="28"/>
              </w:rPr>
            </w:pPr>
            <w:r w:rsidRPr="00975C02">
              <w:rPr>
                <w:sz w:val="28"/>
              </w:rPr>
              <w:t>Nations Unies</w:t>
            </w:r>
          </w:p>
        </w:tc>
        <w:tc>
          <w:tcPr>
            <w:tcW w:w="6095" w:type="dxa"/>
            <w:gridSpan w:val="2"/>
            <w:tcBorders>
              <w:bottom w:val="single" w:sz="4" w:space="0" w:color="auto"/>
            </w:tcBorders>
            <w:vAlign w:val="bottom"/>
          </w:tcPr>
          <w:p w:rsidR="00F35BAF" w:rsidRPr="00975C02" w:rsidRDefault="00E83641" w:rsidP="00E83641">
            <w:pPr>
              <w:jc w:val="right"/>
            </w:pPr>
            <w:r w:rsidRPr="00975C02">
              <w:rPr>
                <w:sz w:val="40"/>
              </w:rPr>
              <w:t>ECE</w:t>
            </w:r>
            <w:r w:rsidRPr="00975C02">
              <w:t>/TRANS/2018/22</w:t>
            </w:r>
          </w:p>
        </w:tc>
      </w:tr>
      <w:tr w:rsidR="00F35BAF" w:rsidRPr="00975C02" w:rsidTr="00C97039">
        <w:trPr>
          <w:trHeight w:hRule="exact" w:val="2835"/>
        </w:trPr>
        <w:tc>
          <w:tcPr>
            <w:tcW w:w="1276" w:type="dxa"/>
            <w:tcBorders>
              <w:top w:val="single" w:sz="4" w:space="0" w:color="auto"/>
              <w:bottom w:val="single" w:sz="12" w:space="0" w:color="auto"/>
            </w:tcBorders>
          </w:tcPr>
          <w:p w:rsidR="00F35BAF" w:rsidRPr="00975C02" w:rsidRDefault="00F35BAF" w:rsidP="00C97039">
            <w:pPr>
              <w:spacing w:before="120"/>
              <w:jc w:val="center"/>
            </w:pPr>
            <w:r w:rsidRPr="00975C02">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975C02" w:rsidRDefault="00F35BAF" w:rsidP="00C97039">
            <w:pPr>
              <w:spacing w:before="120" w:line="420" w:lineRule="exact"/>
              <w:rPr>
                <w:b/>
                <w:sz w:val="40"/>
                <w:szCs w:val="40"/>
              </w:rPr>
            </w:pPr>
            <w:r w:rsidRPr="00975C02">
              <w:rPr>
                <w:b/>
                <w:sz w:val="40"/>
                <w:szCs w:val="40"/>
              </w:rPr>
              <w:t>Conseil économique et social</w:t>
            </w:r>
          </w:p>
        </w:tc>
        <w:tc>
          <w:tcPr>
            <w:tcW w:w="2835" w:type="dxa"/>
            <w:tcBorders>
              <w:top w:val="single" w:sz="4" w:space="0" w:color="auto"/>
              <w:bottom w:val="single" w:sz="12" w:space="0" w:color="auto"/>
            </w:tcBorders>
          </w:tcPr>
          <w:p w:rsidR="00F35BAF" w:rsidRPr="00975C02" w:rsidRDefault="00E83641" w:rsidP="00C97039">
            <w:pPr>
              <w:spacing w:before="240"/>
            </w:pPr>
            <w:r w:rsidRPr="00975C02">
              <w:t>Distr. générale</w:t>
            </w:r>
          </w:p>
          <w:p w:rsidR="00E83641" w:rsidRPr="00975C02" w:rsidRDefault="00E83641" w:rsidP="00E83641">
            <w:pPr>
              <w:spacing w:line="240" w:lineRule="exact"/>
            </w:pPr>
            <w:r w:rsidRPr="00975C02">
              <w:t>12 décembre 2017</w:t>
            </w:r>
          </w:p>
          <w:p w:rsidR="00E83641" w:rsidRPr="00975C02" w:rsidRDefault="00E83641" w:rsidP="00E83641">
            <w:pPr>
              <w:spacing w:line="240" w:lineRule="exact"/>
            </w:pPr>
            <w:r w:rsidRPr="00975C02">
              <w:t>Français</w:t>
            </w:r>
          </w:p>
          <w:p w:rsidR="00E83641" w:rsidRPr="00975C02" w:rsidRDefault="00E83641" w:rsidP="00E83641">
            <w:pPr>
              <w:spacing w:line="240" w:lineRule="exact"/>
            </w:pPr>
            <w:r w:rsidRPr="00975C02">
              <w:t>Original : anglais</w:t>
            </w:r>
          </w:p>
        </w:tc>
      </w:tr>
    </w:tbl>
    <w:p w:rsidR="007F20FA" w:rsidRPr="00975C02" w:rsidRDefault="007F20FA" w:rsidP="007F20FA">
      <w:pPr>
        <w:spacing w:before="120"/>
        <w:rPr>
          <w:b/>
          <w:sz w:val="28"/>
          <w:szCs w:val="28"/>
        </w:rPr>
      </w:pPr>
      <w:r w:rsidRPr="00975C02">
        <w:rPr>
          <w:b/>
          <w:sz w:val="28"/>
          <w:szCs w:val="28"/>
        </w:rPr>
        <w:t>Commission économique pour l’Europe</w:t>
      </w:r>
    </w:p>
    <w:p w:rsidR="007F20FA" w:rsidRPr="00975C02" w:rsidRDefault="007F20FA" w:rsidP="007F20FA">
      <w:pPr>
        <w:spacing w:before="120"/>
        <w:rPr>
          <w:sz w:val="28"/>
          <w:szCs w:val="28"/>
        </w:rPr>
      </w:pPr>
      <w:r w:rsidRPr="00975C02">
        <w:rPr>
          <w:sz w:val="28"/>
          <w:szCs w:val="28"/>
        </w:rPr>
        <w:t>Comité des transports intérieurs</w:t>
      </w:r>
    </w:p>
    <w:p w:rsidR="00EA7B3A" w:rsidRPr="00975C02" w:rsidRDefault="00EA7B3A" w:rsidP="00EA7B3A">
      <w:pPr>
        <w:kinsoku/>
        <w:overflowPunct/>
        <w:autoSpaceDE/>
        <w:autoSpaceDN/>
        <w:adjustRightInd/>
        <w:snapToGrid/>
        <w:spacing w:before="120"/>
        <w:rPr>
          <w:rFonts w:eastAsia="Times New Roman"/>
          <w:b/>
          <w:bCs/>
        </w:rPr>
      </w:pPr>
      <w:r w:rsidRPr="00975C02">
        <w:rPr>
          <w:rFonts w:eastAsia="Times New Roman"/>
          <w:b/>
          <w:bCs/>
        </w:rPr>
        <w:t>Quatre-vingtième session</w:t>
      </w:r>
    </w:p>
    <w:p w:rsidR="00EA7B3A" w:rsidRPr="00975C02" w:rsidRDefault="00EA7B3A" w:rsidP="00EA7B3A">
      <w:pPr>
        <w:kinsoku/>
        <w:overflowPunct/>
        <w:autoSpaceDE/>
        <w:autoSpaceDN/>
        <w:adjustRightInd/>
        <w:snapToGrid/>
        <w:rPr>
          <w:rFonts w:eastAsia="Times New Roman"/>
          <w:b/>
          <w:bCs/>
        </w:rPr>
      </w:pPr>
      <w:r w:rsidRPr="00975C02">
        <w:rPr>
          <w:rFonts w:eastAsia="Times New Roman"/>
        </w:rPr>
        <w:t>Genève, 20-23 février 2018</w:t>
      </w:r>
      <w:r w:rsidRPr="00975C02">
        <w:rPr>
          <w:rFonts w:eastAsia="Times New Roman"/>
        </w:rPr>
        <w:br/>
        <w:t>Point 12 de l’ordre du jour provisoire</w:t>
      </w:r>
      <w:r w:rsidRPr="00975C02">
        <w:rPr>
          <w:rFonts w:eastAsia="Times New Roman"/>
        </w:rPr>
        <w:br/>
      </w:r>
      <w:r w:rsidRPr="00975C02">
        <w:rPr>
          <w:rFonts w:eastAsia="Times New Roman"/>
          <w:b/>
          <w:bCs/>
        </w:rPr>
        <w:t xml:space="preserve">Programme de travail et évaluation biennale pour 2018-2019 </w:t>
      </w:r>
      <w:r w:rsidRPr="00975C02">
        <w:rPr>
          <w:rFonts w:eastAsia="Times New Roman"/>
          <w:b/>
          <w:bCs/>
        </w:rPr>
        <w:br/>
        <w:t>et cadre stratégique pour 2020-2021</w:t>
      </w:r>
    </w:p>
    <w:p w:rsidR="00EA7B3A" w:rsidRPr="00975C02" w:rsidRDefault="00EA7B3A" w:rsidP="00975C02">
      <w:pPr>
        <w:pStyle w:val="HChG"/>
      </w:pPr>
      <w:r w:rsidRPr="00975C02">
        <w:tab/>
      </w:r>
      <w:r w:rsidRPr="00975C02">
        <w:tab/>
        <w:t>Plan d’évaluation biennale</w:t>
      </w:r>
      <w:r w:rsidR="00975C02" w:rsidRPr="00975C02">
        <w:t xml:space="preserve"> pour le sous-programme sur les </w:t>
      </w:r>
      <w:r w:rsidRPr="00975C02">
        <w:t>transports (</w:t>
      </w:r>
      <w:r w:rsidRPr="00975C02">
        <w:rPr>
          <w:bCs/>
        </w:rPr>
        <w:t>2018-2019</w:t>
      </w:r>
      <w:r w:rsidRPr="00975C02">
        <w:t>)</w:t>
      </w:r>
    </w:p>
    <w:p w:rsidR="00EA7B3A" w:rsidRPr="00975C02" w:rsidRDefault="00EA7B3A" w:rsidP="00D0385C">
      <w:pPr>
        <w:pStyle w:val="H1G"/>
      </w:pPr>
      <w:r w:rsidRPr="00975C02">
        <w:tab/>
      </w:r>
      <w:r w:rsidRPr="00975C02">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75C02" w:rsidRPr="00975C02" w:rsidTr="009233BC">
        <w:trPr>
          <w:jc w:val="center"/>
        </w:trPr>
        <w:tc>
          <w:tcPr>
            <w:tcW w:w="9637" w:type="dxa"/>
            <w:shd w:val="clear" w:color="auto" w:fill="auto"/>
          </w:tcPr>
          <w:p w:rsidR="00975C02" w:rsidRPr="00975C02" w:rsidRDefault="00975C02" w:rsidP="009233BC">
            <w:pPr>
              <w:spacing w:before="240" w:after="120"/>
              <w:ind w:left="255"/>
              <w:rPr>
                <w:i/>
                <w:sz w:val="24"/>
              </w:rPr>
            </w:pPr>
            <w:r w:rsidRPr="00975C02">
              <w:rPr>
                <w:i/>
                <w:sz w:val="24"/>
              </w:rPr>
              <w:t>Résumé</w:t>
            </w:r>
          </w:p>
        </w:tc>
      </w:tr>
      <w:tr w:rsidR="00975C02" w:rsidRPr="00975C02" w:rsidTr="009233BC">
        <w:trPr>
          <w:jc w:val="center"/>
        </w:trPr>
        <w:tc>
          <w:tcPr>
            <w:tcW w:w="9637" w:type="dxa"/>
            <w:shd w:val="clear" w:color="auto" w:fill="auto"/>
          </w:tcPr>
          <w:p w:rsidR="00975C02" w:rsidRPr="00975C02" w:rsidRDefault="00975C02" w:rsidP="00975C02">
            <w:pPr>
              <w:pStyle w:val="SingleTxtG"/>
              <w:ind w:firstLine="567"/>
            </w:pPr>
            <w:r w:rsidRPr="00975C02">
              <w:rPr>
                <w:rFonts w:eastAsia="Times New Roman"/>
              </w:rPr>
              <w:t>On trouvera dans la présente note le cadre logique d</w:t>
            </w:r>
            <w:r w:rsidR="00D9706D">
              <w:rPr>
                <w:rFonts w:eastAsia="Times New Roman"/>
              </w:rPr>
              <w:t>e l’évaluation biennale du sous</w:t>
            </w:r>
            <w:r w:rsidR="00D9706D">
              <w:rPr>
                <w:rFonts w:eastAsia="Times New Roman"/>
              </w:rPr>
              <w:noBreakHyphen/>
            </w:r>
            <w:r w:rsidRPr="00975C02">
              <w:rPr>
                <w:rFonts w:eastAsia="Times New Roman"/>
              </w:rPr>
              <w:t>programme sur les transports de la CEE pour la période 2018-2019.</w:t>
            </w:r>
            <w:r w:rsidRPr="00975C02">
              <w:t xml:space="preserve"> </w:t>
            </w:r>
            <w:r w:rsidRPr="00975C02">
              <w:rPr>
                <w:rFonts w:eastAsia="Times New Roman"/>
              </w:rPr>
              <w:t>Cette note est soumise au Comité des transports intérieurs pour approbation.</w:t>
            </w:r>
          </w:p>
        </w:tc>
      </w:tr>
      <w:tr w:rsidR="00975C02" w:rsidRPr="00975C02" w:rsidTr="009233BC">
        <w:trPr>
          <w:jc w:val="center"/>
        </w:trPr>
        <w:tc>
          <w:tcPr>
            <w:tcW w:w="9637" w:type="dxa"/>
            <w:shd w:val="clear" w:color="auto" w:fill="auto"/>
          </w:tcPr>
          <w:p w:rsidR="00975C02" w:rsidRPr="00975C02" w:rsidRDefault="00975C02" w:rsidP="00975C02">
            <w:pPr>
              <w:pStyle w:val="SingleTxtG"/>
              <w:ind w:firstLine="567"/>
            </w:pPr>
            <w:r w:rsidRPr="00975C02">
              <w:rPr>
                <w:rFonts w:eastAsia="Times New Roman"/>
                <w:bCs/>
              </w:rPr>
              <w:t>Chaque réalisation escomptée (RE) est suivie de tous les indicateurs de succès (IS) pertinents.</w:t>
            </w:r>
          </w:p>
        </w:tc>
      </w:tr>
      <w:tr w:rsidR="00975C02" w:rsidRPr="00975C02" w:rsidTr="009233BC">
        <w:trPr>
          <w:jc w:val="center"/>
        </w:trPr>
        <w:tc>
          <w:tcPr>
            <w:tcW w:w="9637" w:type="dxa"/>
            <w:shd w:val="clear" w:color="auto" w:fill="auto"/>
          </w:tcPr>
          <w:p w:rsidR="00975C02" w:rsidRPr="00975C02" w:rsidRDefault="00975C02" w:rsidP="009233BC"/>
        </w:tc>
      </w:tr>
    </w:tbl>
    <w:p w:rsidR="00EA7B3A" w:rsidRPr="00975C02" w:rsidRDefault="00EA7B3A" w:rsidP="00975C02">
      <w:pPr>
        <w:pStyle w:val="HChG"/>
      </w:pPr>
      <w:r w:rsidRPr="00975C02">
        <w:br w:type="page"/>
      </w:r>
      <w:r w:rsidR="00975C02" w:rsidRPr="00975C02">
        <w:lastRenderedPageBreak/>
        <w:tab/>
      </w:r>
      <w:r w:rsidR="00975C02" w:rsidRPr="00975C02">
        <w:tab/>
      </w:r>
      <w:r w:rsidRPr="00975C02">
        <w:t xml:space="preserve">Sous-programme 2 </w:t>
      </w:r>
      <w:r w:rsidR="00975C02" w:rsidRPr="00975C02">
        <w:t>−</w:t>
      </w:r>
      <w:r w:rsidRPr="00975C02">
        <w:t xml:space="preserve"> Transports </w:t>
      </w:r>
    </w:p>
    <w:tbl>
      <w:tblPr>
        <w:tblW w:w="9637" w:type="dxa"/>
        <w:tblLayout w:type="fixed"/>
        <w:tblCellMar>
          <w:left w:w="0" w:type="dxa"/>
          <w:right w:w="0" w:type="dxa"/>
        </w:tblCellMar>
        <w:tblLook w:val="01E0" w:firstRow="1" w:lastRow="1" w:firstColumn="1" w:lastColumn="1" w:noHBand="0" w:noVBand="0"/>
      </w:tblPr>
      <w:tblGrid>
        <w:gridCol w:w="3119"/>
        <w:gridCol w:w="1984"/>
        <w:gridCol w:w="4534"/>
      </w:tblGrid>
      <w:tr w:rsidR="00EA7B3A" w:rsidRPr="00975C02" w:rsidTr="00EC31A2">
        <w:trPr>
          <w:trHeight w:val="20"/>
          <w:tblHeader/>
        </w:trPr>
        <w:tc>
          <w:tcPr>
            <w:tcW w:w="3119" w:type="dxa"/>
            <w:tcBorders>
              <w:top w:val="single" w:sz="4" w:space="0" w:color="auto"/>
              <w:bottom w:val="single" w:sz="12" w:space="0" w:color="auto"/>
            </w:tcBorders>
            <w:shd w:val="clear" w:color="auto" w:fill="auto"/>
            <w:vAlign w:val="bottom"/>
          </w:tcPr>
          <w:p w:rsidR="00EA7B3A" w:rsidRPr="00975C02" w:rsidRDefault="00EA7B3A" w:rsidP="00E37EC6">
            <w:pPr>
              <w:spacing w:before="80" w:after="80" w:line="200" w:lineRule="exact"/>
              <w:ind w:right="113"/>
              <w:rPr>
                <w:i/>
                <w:sz w:val="16"/>
              </w:rPr>
            </w:pPr>
            <w:r w:rsidRPr="00975C02">
              <w:rPr>
                <w:i/>
                <w:sz w:val="16"/>
              </w:rPr>
              <w:br w:type="page"/>
            </w:r>
            <w:r w:rsidRPr="00975C02">
              <w:rPr>
                <w:i/>
                <w:sz w:val="16"/>
              </w:rPr>
              <w:br w:type="page"/>
            </w:r>
            <w:r w:rsidRPr="00975C02">
              <w:rPr>
                <w:i/>
                <w:sz w:val="16"/>
              </w:rPr>
              <w:br w:type="page"/>
            </w:r>
            <w:r w:rsidRPr="00975C02">
              <w:rPr>
                <w:i/>
                <w:sz w:val="16"/>
              </w:rPr>
              <w:br w:type="page"/>
              <w:t>Réalisations escomptées (RE) et indicateurs</w:t>
            </w:r>
            <w:r w:rsidRPr="00975C02">
              <w:rPr>
                <w:i/>
                <w:sz w:val="16"/>
              </w:rPr>
              <w:br/>
              <w:t>de succès (IS) pour le cadre stratégique</w:t>
            </w:r>
            <w:r w:rsidRPr="00975C02">
              <w:rPr>
                <w:i/>
                <w:sz w:val="16"/>
              </w:rPr>
              <w:br/>
              <w:t xml:space="preserve">2018-2019 </w:t>
            </w:r>
          </w:p>
        </w:tc>
        <w:tc>
          <w:tcPr>
            <w:tcW w:w="1984" w:type="dxa"/>
            <w:tcBorders>
              <w:top w:val="single" w:sz="4" w:space="0" w:color="auto"/>
              <w:bottom w:val="single" w:sz="12" w:space="0" w:color="auto"/>
            </w:tcBorders>
            <w:shd w:val="clear" w:color="auto" w:fill="auto"/>
            <w:vAlign w:val="bottom"/>
          </w:tcPr>
          <w:p w:rsidR="00EA7B3A" w:rsidRPr="00975C02" w:rsidRDefault="00EA7B3A" w:rsidP="00975C02">
            <w:pPr>
              <w:spacing w:before="80" w:after="80" w:line="200" w:lineRule="exact"/>
              <w:ind w:right="113"/>
              <w:rPr>
                <w:i/>
                <w:sz w:val="16"/>
              </w:rPr>
            </w:pPr>
            <w:r w:rsidRPr="00975C02">
              <w:rPr>
                <w:i/>
                <w:sz w:val="16"/>
              </w:rPr>
              <w:t xml:space="preserve">Groupe d’activités </w:t>
            </w:r>
          </w:p>
        </w:tc>
        <w:tc>
          <w:tcPr>
            <w:tcW w:w="4534" w:type="dxa"/>
            <w:tcBorders>
              <w:top w:val="single" w:sz="4" w:space="0" w:color="auto"/>
              <w:bottom w:val="single" w:sz="12" w:space="0" w:color="auto"/>
            </w:tcBorders>
            <w:shd w:val="clear" w:color="auto" w:fill="auto"/>
            <w:vAlign w:val="bottom"/>
          </w:tcPr>
          <w:p w:rsidR="00EA7B3A" w:rsidRPr="00975C02" w:rsidRDefault="00EA7B3A" w:rsidP="00E37EC6">
            <w:pPr>
              <w:spacing w:before="80" w:after="80" w:line="200" w:lineRule="exact"/>
              <w:rPr>
                <w:i/>
                <w:sz w:val="16"/>
              </w:rPr>
            </w:pPr>
            <w:r w:rsidRPr="00975C02">
              <w:rPr>
                <w:i/>
                <w:sz w:val="16"/>
              </w:rPr>
              <w:t>Réalisations escomptées (RE) et indicateurs de succès (IS) pour l’évaluation biennale 2018-2019</w:t>
            </w:r>
          </w:p>
        </w:tc>
      </w:tr>
      <w:tr w:rsidR="00975C02" w:rsidRPr="00975C02" w:rsidTr="00EC31A2">
        <w:trPr>
          <w:trHeight w:hRule="exact" w:val="113"/>
          <w:tblHeader/>
        </w:trPr>
        <w:tc>
          <w:tcPr>
            <w:tcW w:w="3119" w:type="dxa"/>
            <w:tcBorders>
              <w:top w:val="single" w:sz="12" w:space="0" w:color="auto"/>
            </w:tcBorders>
            <w:shd w:val="clear" w:color="auto" w:fill="auto"/>
          </w:tcPr>
          <w:p w:rsidR="00975C02" w:rsidRPr="00975C02" w:rsidRDefault="00975C02" w:rsidP="00E37EC6">
            <w:pPr>
              <w:spacing w:before="40" w:after="120"/>
              <w:ind w:right="113"/>
            </w:pPr>
          </w:p>
        </w:tc>
        <w:tc>
          <w:tcPr>
            <w:tcW w:w="1984" w:type="dxa"/>
            <w:tcBorders>
              <w:top w:val="single" w:sz="12" w:space="0" w:color="auto"/>
            </w:tcBorders>
            <w:shd w:val="clear" w:color="auto" w:fill="auto"/>
          </w:tcPr>
          <w:p w:rsidR="00975C02" w:rsidRPr="00975C02" w:rsidRDefault="00975C02" w:rsidP="00975C02">
            <w:pPr>
              <w:spacing w:before="40" w:after="120"/>
              <w:ind w:right="113"/>
            </w:pPr>
          </w:p>
        </w:tc>
        <w:tc>
          <w:tcPr>
            <w:tcW w:w="4534" w:type="dxa"/>
            <w:tcBorders>
              <w:top w:val="single" w:sz="12" w:space="0" w:color="auto"/>
            </w:tcBorders>
            <w:shd w:val="clear" w:color="auto" w:fill="auto"/>
          </w:tcPr>
          <w:p w:rsidR="00975C02" w:rsidRPr="00975C02" w:rsidRDefault="00975C02" w:rsidP="00E37EC6">
            <w:pPr>
              <w:spacing w:before="40" w:after="120"/>
            </w:pPr>
          </w:p>
        </w:tc>
      </w:tr>
      <w:tr w:rsidR="006756A1" w:rsidRPr="00975C02" w:rsidTr="00EC31A2">
        <w:trPr>
          <w:trHeight w:val="20"/>
        </w:trPr>
        <w:tc>
          <w:tcPr>
            <w:tcW w:w="3119" w:type="dxa"/>
            <w:vMerge w:val="restart"/>
            <w:shd w:val="clear" w:color="auto" w:fill="auto"/>
          </w:tcPr>
          <w:p w:rsidR="006756A1" w:rsidRPr="008F3CEE" w:rsidRDefault="006756A1" w:rsidP="006E4D1A">
            <w:pPr>
              <w:tabs>
                <w:tab w:val="left" w:pos="851"/>
              </w:tabs>
              <w:spacing w:before="40" w:after="120"/>
              <w:ind w:right="113"/>
              <w:rPr>
                <w:b/>
                <w:spacing w:val="-1"/>
              </w:rPr>
            </w:pPr>
            <w:r w:rsidRPr="008F3CEE">
              <w:rPr>
                <w:b/>
                <w:spacing w:val="-1"/>
              </w:rPr>
              <w:t>1. RE a)</w:t>
            </w:r>
            <w:r w:rsidRPr="008F3CEE">
              <w:rPr>
                <w:b/>
                <w:spacing w:val="-1"/>
              </w:rPr>
              <w:tab/>
              <w:t>Renforcement du cadre juridique et réglementaire concernant les transports terrestres internationaux (routiers, ferroviaires, fluviaux et intermodaux), les infrastructures, la facilitation du passage des frontières, le transport des marchandises dangereuses, la construction automobile et d’autres services liés aux transports</w:t>
            </w:r>
          </w:p>
        </w:tc>
        <w:tc>
          <w:tcPr>
            <w:tcW w:w="1984" w:type="dxa"/>
            <w:vMerge w:val="restart"/>
            <w:shd w:val="clear" w:color="auto" w:fill="auto"/>
          </w:tcPr>
          <w:p w:rsidR="006756A1" w:rsidRPr="00975C02" w:rsidRDefault="006756A1" w:rsidP="00294A6F">
            <w:pPr>
              <w:tabs>
                <w:tab w:val="left" w:pos="454"/>
              </w:tabs>
              <w:spacing w:before="40" w:after="120"/>
              <w:ind w:left="454" w:right="113" w:hanging="454"/>
            </w:pPr>
            <w:r w:rsidRPr="00975C02">
              <w:t>1.</w:t>
            </w:r>
            <w:r w:rsidRPr="00975C02">
              <w:tab/>
              <w:t xml:space="preserve">Coordination générale </w:t>
            </w:r>
          </w:p>
        </w:tc>
        <w:tc>
          <w:tcPr>
            <w:tcW w:w="4534" w:type="dxa"/>
            <w:shd w:val="clear" w:color="auto" w:fill="auto"/>
          </w:tcPr>
          <w:p w:rsidR="006756A1" w:rsidRPr="00975C02" w:rsidRDefault="006756A1" w:rsidP="00A2420F">
            <w:pPr>
              <w:tabs>
                <w:tab w:val="left" w:pos="964"/>
              </w:tabs>
              <w:spacing w:before="40" w:after="120"/>
            </w:pPr>
            <w:r w:rsidRPr="00975C02">
              <w:t>RE 1.</w:t>
            </w:r>
            <w:r w:rsidR="00A2420F">
              <w:t xml:space="preserve"> </w:t>
            </w:r>
            <w:r w:rsidRPr="00975C02">
              <w:t xml:space="preserve">Déroulement fructueux des réunions annuelles du Comité des transports intérieurs (CTI) et de son bureau et de </w:t>
            </w:r>
            <w:r w:rsidR="007277E9">
              <w:t>celles du Président et des Vice</w:t>
            </w:r>
            <w:r w:rsidR="007277E9">
              <w:noBreakHyphen/>
            </w:r>
            <w:r w:rsidRPr="00975C02">
              <w:t>Présidents du Comité</w:t>
            </w:r>
            <w:r w:rsidR="007277E9">
              <w:t xml:space="preserve"> des transports intérieurs avec </w:t>
            </w:r>
            <w:r w:rsidRPr="00975C02">
              <w:t xml:space="preserve">le Comité exécutif </w:t>
            </w:r>
          </w:p>
        </w:tc>
      </w:tr>
      <w:tr w:rsidR="006756A1" w:rsidRPr="00975C02" w:rsidTr="00EC31A2">
        <w:trPr>
          <w:trHeight w:val="20"/>
        </w:trPr>
        <w:tc>
          <w:tcPr>
            <w:tcW w:w="3119" w:type="dxa"/>
            <w:vMerge/>
            <w:shd w:val="clear" w:color="auto" w:fill="auto"/>
          </w:tcPr>
          <w:p w:rsidR="006756A1" w:rsidRPr="008F3CEE" w:rsidRDefault="006756A1" w:rsidP="006E4D1A">
            <w:pPr>
              <w:tabs>
                <w:tab w:val="left" w:pos="851"/>
              </w:tabs>
              <w:spacing w:before="40" w:after="120"/>
              <w:ind w:right="113"/>
              <w:rPr>
                <w:b/>
                <w:spacing w:val="-1"/>
              </w:rPr>
            </w:pPr>
          </w:p>
        </w:tc>
        <w:tc>
          <w:tcPr>
            <w:tcW w:w="1984" w:type="dxa"/>
            <w:vMerge/>
            <w:shd w:val="clear" w:color="auto" w:fill="auto"/>
          </w:tcPr>
          <w:p w:rsidR="006756A1" w:rsidRPr="00975C02" w:rsidRDefault="006756A1" w:rsidP="00975C02">
            <w:pPr>
              <w:spacing w:before="40" w:after="120"/>
              <w:ind w:right="113"/>
            </w:pPr>
          </w:p>
        </w:tc>
        <w:tc>
          <w:tcPr>
            <w:tcW w:w="4534" w:type="dxa"/>
            <w:shd w:val="clear" w:color="auto" w:fill="auto"/>
          </w:tcPr>
          <w:p w:rsidR="006756A1" w:rsidRPr="00975C02" w:rsidRDefault="006756A1" w:rsidP="00A2420F">
            <w:pPr>
              <w:tabs>
                <w:tab w:val="left" w:pos="964"/>
              </w:tabs>
              <w:spacing w:before="40" w:after="120"/>
            </w:pPr>
            <w:r w:rsidRPr="00975C02">
              <w:t>IS 1.</w:t>
            </w:r>
            <w:r w:rsidR="00A2420F">
              <w:t xml:space="preserve"> </w:t>
            </w:r>
            <w:r w:rsidRPr="00975C02">
              <w:t xml:space="preserve">Nombre d’États membres participant aux réunions du Comité des transports intérieurs </w:t>
            </w:r>
          </w:p>
        </w:tc>
      </w:tr>
      <w:tr w:rsidR="006756A1" w:rsidRPr="00975C02" w:rsidTr="00EC31A2">
        <w:trPr>
          <w:trHeight w:val="20"/>
        </w:trPr>
        <w:tc>
          <w:tcPr>
            <w:tcW w:w="3119" w:type="dxa"/>
            <w:vMerge/>
            <w:shd w:val="clear" w:color="auto" w:fill="auto"/>
          </w:tcPr>
          <w:p w:rsidR="006756A1" w:rsidRPr="008F3CEE" w:rsidRDefault="006756A1" w:rsidP="006E4D1A">
            <w:pPr>
              <w:tabs>
                <w:tab w:val="left" w:pos="851"/>
              </w:tabs>
              <w:spacing w:before="40" w:after="120"/>
              <w:ind w:right="113"/>
              <w:rPr>
                <w:b/>
                <w:spacing w:val="-1"/>
              </w:rPr>
            </w:pPr>
          </w:p>
        </w:tc>
        <w:tc>
          <w:tcPr>
            <w:tcW w:w="1984" w:type="dxa"/>
            <w:vMerge/>
            <w:shd w:val="clear" w:color="auto" w:fill="auto"/>
          </w:tcPr>
          <w:p w:rsidR="006756A1" w:rsidRPr="00975C02" w:rsidRDefault="006756A1" w:rsidP="00975C02">
            <w:pPr>
              <w:spacing w:before="40" w:after="120"/>
              <w:ind w:right="113"/>
            </w:pPr>
          </w:p>
        </w:tc>
        <w:tc>
          <w:tcPr>
            <w:tcW w:w="4534" w:type="dxa"/>
            <w:shd w:val="clear" w:color="auto" w:fill="auto"/>
          </w:tcPr>
          <w:p w:rsidR="006756A1" w:rsidRPr="00975C02" w:rsidRDefault="006756A1" w:rsidP="003B5572">
            <w:pPr>
              <w:tabs>
                <w:tab w:val="left" w:pos="964"/>
              </w:tabs>
              <w:spacing w:before="40" w:after="120"/>
            </w:pPr>
            <w:r w:rsidRPr="00E67F6A">
              <w:rPr>
                <w:i/>
              </w:rPr>
              <w:t>Mesure des résultats</w:t>
            </w:r>
            <w:r w:rsidRPr="00975C02">
              <w:t> :</w:t>
            </w:r>
            <w:r w:rsidRPr="00975C02">
              <w:br/>
              <w:t>Référence 2016-2017 : 70</w:t>
            </w:r>
            <w:r w:rsidR="00C85CD7">
              <w:t xml:space="preserve"> </w:t>
            </w:r>
            <w:r w:rsidRPr="00975C02">
              <w:t>+</w:t>
            </w:r>
            <w:r w:rsidR="00C85CD7">
              <w:t xml:space="preserve"> </w:t>
            </w:r>
            <w:r w:rsidRPr="00975C02">
              <w:t>45 OIG/ONG, 350 au total</w:t>
            </w:r>
          </w:p>
        </w:tc>
      </w:tr>
      <w:tr w:rsidR="006756A1" w:rsidRPr="00975C02" w:rsidTr="00EC31A2">
        <w:trPr>
          <w:trHeight w:val="20"/>
        </w:trPr>
        <w:tc>
          <w:tcPr>
            <w:tcW w:w="3119" w:type="dxa"/>
            <w:vMerge/>
            <w:shd w:val="clear" w:color="auto" w:fill="auto"/>
          </w:tcPr>
          <w:p w:rsidR="006756A1" w:rsidRPr="008F3CEE" w:rsidRDefault="006756A1" w:rsidP="006E4D1A">
            <w:pPr>
              <w:tabs>
                <w:tab w:val="left" w:pos="851"/>
              </w:tabs>
              <w:spacing w:before="40" w:after="120"/>
              <w:ind w:right="113"/>
              <w:rPr>
                <w:b/>
                <w:spacing w:val="-1"/>
              </w:rPr>
            </w:pPr>
          </w:p>
        </w:tc>
        <w:tc>
          <w:tcPr>
            <w:tcW w:w="1984" w:type="dxa"/>
            <w:shd w:val="clear" w:color="auto" w:fill="auto"/>
          </w:tcPr>
          <w:p w:rsidR="006756A1" w:rsidRPr="00975C02" w:rsidRDefault="006756A1" w:rsidP="00975C02">
            <w:pPr>
              <w:spacing w:before="40" w:after="120"/>
              <w:ind w:right="113"/>
            </w:pPr>
          </w:p>
        </w:tc>
        <w:tc>
          <w:tcPr>
            <w:tcW w:w="4534" w:type="dxa"/>
            <w:shd w:val="clear" w:color="auto" w:fill="auto"/>
          </w:tcPr>
          <w:p w:rsidR="006756A1" w:rsidRPr="00E67F6A" w:rsidRDefault="006756A1" w:rsidP="000B3701">
            <w:pPr>
              <w:tabs>
                <w:tab w:val="left" w:pos="964"/>
              </w:tabs>
              <w:spacing w:before="40" w:after="120"/>
              <w:rPr>
                <w:i/>
              </w:rPr>
            </w:pPr>
            <w:r w:rsidRPr="00975C02">
              <w:t>Objectif pour 2018-2019 : 42</w:t>
            </w:r>
            <w:r w:rsidR="00C85CD7">
              <w:t xml:space="preserve"> </w:t>
            </w:r>
            <w:r w:rsidRPr="00975C02">
              <w:t>+</w:t>
            </w:r>
            <w:r w:rsidR="00C85CD7">
              <w:t xml:space="preserve"> </w:t>
            </w:r>
            <w:r w:rsidRPr="00975C02">
              <w:t xml:space="preserve">15 OIG/ONG, </w:t>
            </w:r>
            <w:r>
              <w:br/>
            </w:r>
            <w:r w:rsidRPr="00975C02">
              <w:t>170 au total</w:t>
            </w:r>
          </w:p>
        </w:tc>
      </w:tr>
      <w:tr w:rsidR="000301A9" w:rsidRPr="00975C02" w:rsidTr="00EC31A2">
        <w:trPr>
          <w:trHeight w:val="20"/>
        </w:trPr>
        <w:tc>
          <w:tcPr>
            <w:tcW w:w="3119" w:type="dxa"/>
            <w:shd w:val="clear" w:color="auto" w:fill="auto"/>
          </w:tcPr>
          <w:p w:rsidR="000301A9" w:rsidRPr="00975C02" w:rsidRDefault="000301A9" w:rsidP="001C3AA2">
            <w:pPr>
              <w:tabs>
                <w:tab w:val="left" w:pos="851"/>
              </w:tabs>
              <w:spacing w:before="40" w:after="120"/>
              <w:ind w:right="113"/>
              <w:rPr>
                <w:b/>
              </w:rPr>
            </w:pPr>
            <w:r>
              <w:t>IS a) i)</w:t>
            </w:r>
            <w:r>
              <w:tab/>
            </w:r>
            <w:r w:rsidRPr="00975C02">
              <w:t>Augmentation du nombre d’instruments juridiques des Nations Unies en matière de transports adm</w:t>
            </w:r>
            <w:r w:rsidR="007E48F3">
              <w:t>inistrés par la CEE qui sont en </w:t>
            </w:r>
            <w:r w:rsidRPr="00975C02">
              <w:t>vigueur</w:t>
            </w:r>
          </w:p>
        </w:tc>
        <w:tc>
          <w:tcPr>
            <w:tcW w:w="1984" w:type="dxa"/>
            <w:vMerge w:val="restart"/>
            <w:shd w:val="clear" w:color="auto" w:fill="auto"/>
          </w:tcPr>
          <w:p w:rsidR="000301A9" w:rsidRPr="00975C02" w:rsidRDefault="007E48F3" w:rsidP="00294A6F">
            <w:pPr>
              <w:tabs>
                <w:tab w:val="left" w:pos="454"/>
              </w:tabs>
              <w:spacing w:before="40" w:after="120"/>
              <w:ind w:left="454" w:right="113" w:hanging="454"/>
            </w:pPr>
            <w:r>
              <w:t>2.</w:t>
            </w:r>
            <w:r>
              <w:tab/>
              <w:t>Tendances et économie des </w:t>
            </w:r>
            <w:r w:rsidR="000301A9" w:rsidRPr="00975C02">
              <w:t xml:space="preserve">transports </w:t>
            </w:r>
          </w:p>
        </w:tc>
        <w:tc>
          <w:tcPr>
            <w:tcW w:w="4534" w:type="dxa"/>
            <w:vMerge w:val="restart"/>
            <w:shd w:val="clear" w:color="auto" w:fill="auto"/>
          </w:tcPr>
          <w:p w:rsidR="000301A9" w:rsidRPr="00975C02" w:rsidRDefault="000301A9" w:rsidP="000B3701">
            <w:pPr>
              <w:tabs>
                <w:tab w:val="left" w:pos="964"/>
              </w:tabs>
              <w:spacing w:before="40" w:after="120"/>
            </w:pPr>
            <w:r w:rsidRPr="00975C02">
              <w:t>RE 2.1</w:t>
            </w:r>
            <w:r w:rsidR="00A2420F">
              <w:t xml:space="preserve"> </w:t>
            </w:r>
            <w:r w:rsidRPr="00975C02">
              <w:t>Meilleure compréhension par les États membres des grandes tendances et de l’évolution des transports dans la région de la CEE et renforcement de la coopération en matière de développement des infrastructures et couloirs de transport</w:t>
            </w:r>
          </w:p>
          <w:p w:rsidR="000301A9" w:rsidRPr="00975C02" w:rsidRDefault="000301A9" w:rsidP="000B3701">
            <w:pPr>
              <w:tabs>
                <w:tab w:val="left" w:pos="964"/>
              </w:tabs>
              <w:spacing w:before="40" w:after="120"/>
            </w:pPr>
            <w:r w:rsidRPr="00975C02">
              <w:t>IS 2.1 a)</w:t>
            </w:r>
            <w:r w:rsidR="00A2420F">
              <w:t xml:space="preserve"> </w:t>
            </w:r>
            <w:r w:rsidRPr="00975C02">
              <w:t xml:space="preserve">Nombre de pays participant aux réunions du Groupe de travail et du Groupe d’experts </w:t>
            </w:r>
          </w:p>
          <w:p w:rsidR="000301A9" w:rsidRDefault="000301A9" w:rsidP="00E37EC6">
            <w:pPr>
              <w:spacing w:before="40" w:after="120"/>
            </w:pPr>
            <w:r w:rsidRPr="00683A53">
              <w:rPr>
                <w:i/>
              </w:rPr>
              <w:t>Mesure des résultats</w:t>
            </w:r>
            <w:r w:rsidRPr="00975C02">
              <w:t> :</w:t>
            </w:r>
            <w:r w:rsidRPr="00975C02">
              <w:br/>
              <w:t xml:space="preserve">Référence 2016-2017 : 43 en 2016 </w:t>
            </w:r>
          </w:p>
          <w:p w:rsidR="000301A9" w:rsidRPr="00975C02" w:rsidRDefault="000301A9" w:rsidP="00E37EC6">
            <w:pPr>
              <w:spacing w:before="40" w:after="120"/>
            </w:pPr>
            <w:r w:rsidRPr="00975C02">
              <w:t xml:space="preserve">Objectif pour 2018-2019 : 50 </w:t>
            </w:r>
          </w:p>
          <w:p w:rsidR="000301A9" w:rsidRPr="00975C02" w:rsidRDefault="000301A9" w:rsidP="000B3701">
            <w:pPr>
              <w:tabs>
                <w:tab w:val="left" w:pos="964"/>
              </w:tabs>
              <w:spacing w:before="40" w:after="120"/>
            </w:pPr>
            <w:r w:rsidRPr="00975C02">
              <w:t>IS 2.1 b)</w:t>
            </w:r>
            <w:r w:rsidR="00A2420F">
              <w:t xml:space="preserve"> </w:t>
            </w:r>
            <w:r w:rsidRPr="00975C02">
              <w:t>Niveau de satisfaction des participants quant à l’utilité des renseignements obtenus ainsi que des réunions et des activités, mesuré au moyen d’enquêtes qui seront menées après les sessions ou d’observations communiquées au secrétariat</w:t>
            </w:r>
          </w:p>
          <w:p w:rsidR="000301A9" w:rsidRDefault="000301A9" w:rsidP="00E37EC6">
            <w:pPr>
              <w:spacing w:before="40" w:after="120"/>
            </w:pPr>
            <w:r w:rsidRPr="00683A53">
              <w:rPr>
                <w:i/>
              </w:rPr>
              <w:t>Mesure des résultats</w:t>
            </w:r>
            <w:r w:rsidR="00C85CD7">
              <w:t> :</w:t>
            </w:r>
            <w:r w:rsidR="00C85CD7">
              <w:br/>
              <w:t>Référence 2016-2017 : 75 %</w:t>
            </w:r>
            <w:r w:rsidRPr="00975C02">
              <w:t xml:space="preserve"> de satisfaction </w:t>
            </w:r>
          </w:p>
          <w:p w:rsidR="000301A9" w:rsidRPr="00975C02" w:rsidRDefault="00C85CD7" w:rsidP="00E37EC6">
            <w:pPr>
              <w:spacing w:before="40" w:after="120"/>
            </w:pPr>
            <w:r>
              <w:t>Objectif pour 2018-2019 : 75 %</w:t>
            </w:r>
            <w:r w:rsidR="000301A9" w:rsidRPr="00975C02">
              <w:t xml:space="preserve"> de satisfaction </w:t>
            </w:r>
          </w:p>
        </w:tc>
      </w:tr>
      <w:tr w:rsidR="000301A9" w:rsidRPr="00975C02" w:rsidTr="00EC31A2">
        <w:trPr>
          <w:trHeight w:val="20"/>
        </w:trPr>
        <w:tc>
          <w:tcPr>
            <w:tcW w:w="3119" w:type="dxa"/>
            <w:shd w:val="clear" w:color="auto" w:fill="auto"/>
          </w:tcPr>
          <w:p w:rsidR="000301A9" w:rsidRDefault="000301A9" w:rsidP="006E4D1A">
            <w:pPr>
              <w:tabs>
                <w:tab w:val="left" w:pos="851"/>
              </w:tabs>
              <w:spacing w:before="40" w:after="120"/>
              <w:ind w:right="113"/>
            </w:pPr>
            <w:r w:rsidRPr="00E67F6A">
              <w:rPr>
                <w:i/>
              </w:rPr>
              <w:t>Mesure des résultats</w:t>
            </w:r>
            <w:r w:rsidRPr="00975C02">
              <w:t xml:space="preserve"> </w:t>
            </w:r>
            <w:r w:rsidRPr="00975C02">
              <w:br/>
              <w:t>Objectif pour 2018-2019 : 50</w:t>
            </w:r>
            <w:r w:rsidR="00C85CD7">
              <w:t> %</w:t>
            </w:r>
          </w:p>
        </w:tc>
        <w:tc>
          <w:tcPr>
            <w:tcW w:w="1984" w:type="dxa"/>
            <w:vMerge/>
            <w:shd w:val="clear" w:color="auto" w:fill="auto"/>
          </w:tcPr>
          <w:p w:rsidR="000301A9" w:rsidRPr="00975C02" w:rsidRDefault="000301A9" w:rsidP="00975C02">
            <w:pPr>
              <w:spacing w:before="40" w:after="120"/>
              <w:ind w:right="113"/>
            </w:pPr>
          </w:p>
        </w:tc>
        <w:tc>
          <w:tcPr>
            <w:tcW w:w="4534" w:type="dxa"/>
            <w:vMerge/>
            <w:shd w:val="clear" w:color="auto" w:fill="auto"/>
          </w:tcPr>
          <w:p w:rsidR="000301A9" w:rsidRPr="00975C02" w:rsidRDefault="000301A9" w:rsidP="000B3701">
            <w:pPr>
              <w:tabs>
                <w:tab w:val="left" w:pos="964"/>
              </w:tabs>
              <w:spacing w:before="40" w:after="120"/>
            </w:pPr>
          </w:p>
        </w:tc>
      </w:tr>
      <w:tr w:rsidR="000301A9" w:rsidRPr="00975C02" w:rsidTr="00EC31A2">
        <w:trPr>
          <w:trHeight w:val="20"/>
        </w:trPr>
        <w:tc>
          <w:tcPr>
            <w:tcW w:w="3119" w:type="dxa"/>
            <w:shd w:val="clear" w:color="auto" w:fill="auto"/>
          </w:tcPr>
          <w:p w:rsidR="000301A9" w:rsidRPr="00975C02" w:rsidRDefault="000301A9" w:rsidP="006756A1">
            <w:pPr>
              <w:tabs>
                <w:tab w:val="left" w:pos="851"/>
              </w:tabs>
              <w:spacing w:before="40" w:after="120"/>
              <w:ind w:right="113"/>
              <w:rPr>
                <w:b/>
              </w:rPr>
            </w:pPr>
            <w:r w:rsidRPr="00975C02">
              <w:t>IS a) ii)</w:t>
            </w:r>
            <w:r>
              <w:tab/>
            </w:r>
            <w:r w:rsidRPr="00975C02">
              <w:t xml:space="preserve">Nombre de nouveaux </w:t>
            </w:r>
            <w:r w:rsidR="00A2420F" w:rsidRPr="00975C02">
              <w:t xml:space="preserve">Règlements </w:t>
            </w:r>
            <w:r w:rsidRPr="00975C02">
              <w:t>concernant les véhicules et d’amendements aux dispositions existantes adoptés</w:t>
            </w:r>
          </w:p>
        </w:tc>
        <w:tc>
          <w:tcPr>
            <w:tcW w:w="1984" w:type="dxa"/>
            <w:vMerge w:val="restart"/>
            <w:shd w:val="clear" w:color="auto" w:fill="auto"/>
          </w:tcPr>
          <w:p w:rsidR="000301A9" w:rsidRPr="00975C02" w:rsidRDefault="000301A9" w:rsidP="00975C02">
            <w:pPr>
              <w:spacing w:before="40" w:after="120"/>
              <w:ind w:right="113"/>
            </w:pPr>
          </w:p>
        </w:tc>
        <w:tc>
          <w:tcPr>
            <w:tcW w:w="4534" w:type="dxa"/>
            <w:vMerge/>
            <w:shd w:val="clear" w:color="auto" w:fill="auto"/>
          </w:tcPr>
          <w:p w:rsidR="000301A9" w:rsidRPr="00975C02" w:rsidRDefault="000301A9" w:rsidP="00E37EC6">
            <w:pPr>
              <w:spacing w:before="40" w:after="120"/>
            </w:pPr>
          </w:p>
        </w:tc>
      </w:tr>
      <w:tr w:rsidR="000301A9" w:rsidRPr="00975C02" w:rsidTr="00EC31A2">
        <w:trPr>
          <w:trHeight w:val="20"/>
        </w:trPr>
        <w:tc>
          <w:tcPr>
            <w:tcW w:w="3119" w:type="dxa"/>
            <w:shd w:val="clear" w:color="auto" w:fill="auto"/>
          </w:tcPr>
          <w:p w:rsidR="000301A9" w:rsidRPr="00975C02" w:rsidRDefault="000301A9" w:rsidP="000301A9">
            <w:pPr>
              <w:spacing w:before="40" w:after="120"/>
              <w:ind w:right="113"/>
            </w:pPr>
            <w:r w:rsidRPr="00683A53">
              <w:rPr>
                <w:i/>
              </w:rPr>
              <w:t>Mesure des résultats</w:t>
            </w:r>
            <w:r w:rsidRPr="00975C02">
              <w:t xml:space="preserve"> </w:t>
            </w:r>
            <w:r w:rsidRPr="00975C02">
              <w:br/>
              <w:t xml:space="preserve">Référence 2017 : 100 amendements et nouveaux </w:t>
            </w:r>
            <w:r w:rsidR="00A2420F" w:rsidRPr="00975C02">
              <w:t xml:space="preserve">Règlements </w:t>
            </w:r>
          </w:p>
        </w:tc>
        <w:tc>
          <w:tcPr>
            <w:tcW w:w="1984" w:type="dxa"/>
            <w:vMerge/>
            <w:shd w:val="clear" w:color="auto" w:fill="auto"/>
          </w:tcPr>
          <w:p w:rsidR="000301A9" w:rsidRPr="00975C02" w:rsidRDefault="000301A9" w:rsidP="00975C02">
            <w:pPr>
              <w:spacing w:before="40" w:after="120"/>
              <w:ind w:right="113"/>
            </w:pPr>
          </w:p>
        </w:tc>
        <w:tc>
          <w:tcPr>
            <w:tcW w:w="4534" w:type="dxa"/>
            <w:vMerge/>
            <w:shd w:val="clear" w:color="auto" w:fill="auto"/>
          </w:tcPr>
          <w:p w:rsidR="000301A9" w:rsidRPr="00975C02" w:rsidRDefault="000301A9" w:rsidP="00E37EC6">
            <w:pPr>
              <w:spacing w:before="40" w:after="120"/>
            </w:pPr>
          </w:p>
        </w:tc>
      </w:tr>
      <w:tr w:rsidR="000301A9" w:rsidRPr="00975C02" w:rsidTr="00EC31A2">
        <w:trPr>
          <w:trHeight w:val="20"/>
        </w:trPr>
        <w:tc>
          <w:tcPr>
            <w:tcW w:w="3119" w:type="dxa"/>
            <w:shd w:val="clear" w:color="auto" w:fill="auto"/>
          </w:tcPr>
          <w:p w:rsidR="000301A9" w:rsidRPr="00683A53" w:rsidRDefault="000301A9" w:rsidP="00E37EC6">
            <w:pPr>
              <w:spacing w:before="40" w:after="120"/>
              <w:ind w:right="113"/>
              <w:rPr>
                <w:i/>
              </w:rPr>
            </w:pPr>
            <w:r w:rsidRPr="00975C02">
              <w:t>Objectif pour 2018-2019 :</w:t>
            </w:r>
            <w:r>
              <w:t xml:space="preserve"> 100 </w:t>
            </w:r>
            <w:r w:rsidRPr="00975C02">
              <w:t>amendements et nouveaux règlements</w:t>
            </w:r>
          </w:p>
        </w:tc>
        <w:tc>
          <w:tcPr>
            <w:tcW w:w="1984" w:type="dxa"/>
            <w:vMerge/>
            <w:shd w:val="clear" w:color="auto" w:fill="auto"/>
          </w:tcPr>
          <w:p w:rsidR="000301A9" w:rsidRPr="00975C02" w:rsidRDefault="000301A9" w:rsidP="00975C02">
            <w:pPr>
              <w:spacing w:before="40" w:after="120"/>
              <w:ind w:right="113"/>
            </w:pPr>
          </w:p>
        </w:tc>
        <w:tc>
          <w:tcPr>
            <w:tcW w:w="4534" w:type="dxa"/>
            <w:vMerge/>
            <w:shd w:val="clear" w:color="auto" w:fill="auto"/>
          </w:tcPr>
          <w:p w:rsidR="000301A9" w:rsidRPr="00975C02" w:rsidRDefault="000301A9" w:rsidP="00E37EC6">
            <w:pPr>
              <w:spacing w:before="40" w:after="120"/>
            </w:pPr>
          </w:p>
        </w:tc>
      </w:tr>
      <w:tr w:rsidR="00F7183C" w:rsidRPr="00975C02" w:rsidTr="00F7183C">
        <w:trPr>
          <w:trHeight w:val="20"/>
        </w:trPr>
        <w:tc>
          <w:tcPr>
            <w:tcW w:w="3119" w:type="dxa"/>
            <w:shd w:val="clear" w:color="auto" w:fill="auto"/>
          </w:tcPr>
          <w:p w:rsidR="00F7183C" w:rsidRPr="00975C02" w:rsidRDefault="00F7183C" w:rsidP="006756A1">
            <w:pPr>
              <w:tabs>
                <w:tab w:val="left" w:pos="851"/>
              </w:tabs>
              <w:spacing w:before="40" w:after="120"/>
              <w:ind w:right="113"/>
              <w:rPr>
                <w:b/>
              </w:rPr>
            </w:pPr>
            <w:r w:rsidRPr="00975C02">
              <w:t>IS a) iii)</w:t>
            </w:r>
            <w:r>
              <w:tab/>
            </w:r>
            <w:r w:rsidRPr="00975C02">
              <w:t xml:space="preserve">Nombre d’instruments juridiques internationaux mis en conformité avec à la révision la plus récente des Recommandations de l’ONU relatives au transport des marchandises dangereuses </w:t>
            </w:r>
          </w:p>
        </w:tc>
        <w:tc>
          <w:tcPr>
            <w:tcW w:w="1984" w:type="dxa"/>
            <w:shd w:val="clear" w:color="auto" w:fill="auto"/>
          </w:tcPr>
          <w:p w:rsidR="00F7183C" w:rsidRPr="00975C02" w:rsidRDefault="00F7183C" w:rsidP="00975C02">
            <w:pPr>
              <w:spacing w:before="40" w:after="120"/>
              <w:ind w:right="113"/>
            </w:pPr>
          </w:p>
        </w:tc>
        <w:tc>
          <w:tcPr>
            <w:tcW w:w="4534" w:type="dxa"/>
            <w:vMerge/>
            <w:shd w:val="clear" w:color="auto" w:fill="auto"/>
          </w:tcPr>
          <w:p w:rsidR="00F7183C" w:rsidRPr="00975C02" w:rsidRDefault="00F7183C" w:rsidP="00E37EC6">
            <w:pPr>
              <w:spacing w:before="40" w:after="120"/>
            </w:pPr>
          </w:p>
        </w:tc>
      </w:tr>
      <w:tr w:rsidR="00F7183C" w:rsidRPr="00975C02" w:rsidTr="00EC31A2">
        <w:trPr>
          <w:trHeight w:val="20"/>
        </w:trPr>
        <w:tc>
          <w:tcPr>
            <w:tcW w:w="3119" w:type="dxa"/>
            <w:shd w:val="clear" w:color="auto" w:fill="auto"/>
          </w:tcPr>
          <w:p w:rsidR="00F7183C" w:rsidRPr="00683A53" w:rsidRDefault="00F7183C" w:rsidP="000301A9">
            <w:pPr>
              <w:spacing w:before="40" w:after="120"/>
              <w:ind w:right="113"/>
              <w:rPr>
                <w:i/>
              </w:rPr>
            </w:pPr>
            <w:r w:rsidRPr="00683A53">
              <w:rPr>
                <w:i/>
              </w:rPr>
              <w:t>Mesure des résultats</w:t>
            </w:r>
            <w:r w:rsidRPr="00975C02">
              <w:t xml:space="preserve"> </w:t>
            </w:r>
            <w:r w:rsidRPr="00975C02">
              <w:br/>
              <w:t>Référe</w:t>
            </w:r>
            <w:r>
              <w:t>nce 2017 : 6 </w:t>
            </w:r>
            <w:r w:rsidRPr="00975C02">
              <w:t>instruments juridiques</w:t>
            </w:r>
          </w:p>
        </w:tc>
        <w:tc>
          <w:tcPr>
            <w:tcW w:w="1984" w:type="dxa"/>
            <w:shd w:val="clear" w:color="auto" w:fill="auto"/>
          </w:tcPr>
          <w:p w:rsidR="00F7183C" w:rsidRPr="00975C02" w:rsidRDefault="00F7183C" w:rsidP="00975C02">
            <w:pPr>
              <w:spacing w:before="40" w:after="120"/>
              <w:ind w:right="113"/>
            </w:pPr>
          </w:p>
        </w:tc>
        <w:tc>
          <w:tcPr>
            <w:tcW w:w="4534" w:type="dxa"/>
            <w:shd w:val="clear" w:color="auto" w:fill="auto"/>
          </w:tcPr>
          <w:p w:rsidR="00F7183C" w:rsidRPr="00975C02" w:rsidRDefault="00F7183C" w:rsidP="00E37EC6">
            <w:pPr>
              <w:spacing w:before="40" w:after="120"/>
            </w:pPr>
          </w:p>
        </w:tc>
      </w:tr>
      <w:tr w:rsidR="000301A9" w:rsidRPr="00975C02" w:rsidTr="00EC31A2">
        <w:trPr>
          <w:trHeight w:val="20"/>
        </w:trPr>
        <w:tc>
          <w:tcPr>
            <w:tcW w:w="3119" w:type="dxa"/>
            <w:shd w:val="clear" w:color="auto" w:fill="auto"/>
          </w:tcPr>
          <w:p w:rsidR="000301A9" w:rsidRPr="00683A53" w:rsidRDefault="000301A9" w:rsidP="00E37EC6">
            <w:pPr>
              <w:spacing w:before="40" w:after="120"/>
              <w:ind w:right="113"/>
              <w:rPr>
                <w:i/>
              </w:rPr>
            </w:pPr>
            <w:r w:rsidRPr="00975C02">
              <w:t>Objectif pour 2018-2019 :</w:t>
            </w:r>
            <w:r>
              <w:t xml:space="preserve"> 6 </w:t>
            </w:r>
            <w:r w:rsidRPr="00975C02">
              <w:t>instruments juridiques</w:t>
            </w:r>
          </w:p>
        </w:tc>
        <w:tc>
          <w:tcPr>
            <w:tcW w:w="1984" w:type="dxa"/>
            <w:shd w:val="clear" w:color="auto" w:fill="auto"/>
          </w:tcPr>
          <w:p w:rsidR="000301A9" w:rsidRPr="00975C02" w:rsidRDefault="000301A9" w:rsidP="00975C02">
            <w:pPr>
              <w:spacing w:before="40" w:after="120"/>
              <w:ind w:right="113"/>
            </w:pPr>
          </w:p>
        </w:tc>
        <w:tc>
          <w:tcPr>
            <w:tcW w:w="4534" w:type="dxa"/>
            <w:shd w:val="clear" w:color="auto" w:fill="auto"/>
          </w:tcPr>
          <w:p w:rsidR="000301A9" w:rsidRPr="00975C02" w:rsidRDefault="000301A9" w:rsidP="00E37EC6">
            <w:pPr>
              <w:spacing w:before="40" w:after="120"/>
            </w:pPr>
          </w:p>
        </w:tc>
      </w:tr>
      <w:tr w:rsidR="00EA7B3A" w:rsidRPr="00975C02" w:rsidTr="00EC31A2">
        <w:trPr>
          <w:trHeight w:val="20"/>
        </w:trPr>
        <w:tc>
          <w:tcPr>
            <w:tcW w:w="3119" w:type="dxa"/>
            <w:shd w:val="clear" w:color="auto" w:fill="auto"/>
          </w:tcPr>
          <w:p w:rsidR="00EA7B3A" w:rsidRPr="00975C02" w:rsidRDefault="00EA7B3A" w:rsidP="00435632">
            <w:pPr>
              <w:spacing w:before="40" w:after="120"/>
              <w:ind w:right="113"/>
              <w:rPr>
                <w:b/>
              </w:rPr>
            </w:pPr>
          </w:p>
        </w:tc>
        <w:tc>
          <w:tcPr>
            <w:tcW w:w="1984" w:type="dxa"/>
            <w:shd w:val="clear" w:color="auto" w:fill="auto"/>
          </w:tcPr>
          <w:p w:rsidR="00EA7B3A" w:rsidRPr="00975C02" w:rsidRDefault="00EA7B3A" w:rsidP="00294A6F">
            <w:pPr>
              <w:tabs>
                <w:tab w:val="left" w:pos="454"/>
              </w:tabs>
              <w:spacing w:before="40" w:after="120"/>
              <w:ind w:left="454" w:right="113" w:hanging="454"/>
            </w:pPr>
            <w:r w:rsidRPr="00975C02">
              <w:t>3.</w:t>
            </w:r>
            <w:r w:rsidRPr="00975C02">
              <w:tab/>
              <w:t>Harmonisation des Règlements concernant les véhicules</w:t>
            </w:r>
          </w:p>
        </w:tc>
        <w:tc>
          <w:tcPr>
            <w:tcW w:w="4534" w:type="dxa"/>
            <w:shd w:val="clear" w:color="auto" w:fill="auto"/>
          </w:tcPr>
          <w:p w:rsidR="00EA7B3A" w:rsidRPr="00975C02" w:rsidRDefault="00EA7B3A" w:rsidP="00733585">
            <w:pPr>
              <w:tabs>
                <w:tab w:val="left" w:pos="964"/>
              </w:tabs>
              <w:spacing w:before="40" w:after="120"/>
            </w:pPr>
            <w:r w:rsidRPr="00975C02">
              <w:t>RE 3.</w:t>
            </w:r>
            <w:r w:rsidR="00733585">
              <w:t xml:space="preserve"> </w:t>
            </w:r>
            <w:r w:rsidRPr="00975C02">
              <w:t>Établissement de nouveaux Règlements concernant les véhicules et d’amendement aux Règlements existants pour rendre les véhicules plus sûrs et plus écologiques</w:t>
            </w:r>
          </w:p>
        </w:tc>
      </w:tr>
      <w:tr w:rsidR="003B4AC2" w:rsidRPr="00975C02" w:rsidTr="00EC31A2">
        <w:trPr>
          <w:trHeight w:val="20"/>
        </w:trPr>
        <w:tc>
          <w:tcPr>
            <w:tcW w:w="3119" w:type="dxa"/>
            <w:shd w:val="clear" w:color="auto" w:fill="auto"/>
          </w:tcPr>
          <w:p w:rsidR="003B4AC2" w:rsidRPr="00975C02" w:rsidRDefault="003B4AC2" w:rsidP="00E37EC6">
            <w:pPr>
              <w:spacing w:before="40" w:after="120"/>
              <w:ind w:right="113"/>
              <w:rPr>
                <w:b/>
              </w:rPr>
            </w:pPr>
          </w:p>
        </w:tc>
        <w:tc>
          <w:tcPr>
            <w:tcW w:w="1984" w:type="dxa"/>
            <w:shd w:val="clear" w:color="auto" w:fill="auto"/>
          </w:tcPr>
          <w:p w:rsidR="003B4AC2" w:rsidRPr="00975C02" w:rsidRDefault="003B4AC2" w:rsidP="00975C02">
            <w:pPr>
              <w:spacing w:before="40" w:after="120"/>
              <w:ind w:right="113"/>
            </w:pPr>
          </w:p>
        </w:tc>
        <w:tc>
          <w:tcPr>
            <w:tcW w:w="4534" w:type="dxa"/>
            <w:shd w:val="clear" w:color="auto" w:fill="auto"/>
          </w:tcPr>
          <w:p w:rsidR="003B4AC2" w:rsidRPr="00975C02" w:rsidRDefault="003B4AC2" w:rsidP="00733585">
            <w:pPr>
              <w:tabs>
                <w:tab w:val="left" w:pos="964"/>
              </w:tabs>
              <w:spacing w:before="40" w:after="120"/>
            </w:pPr>
            <w:r w:rsidRPr="00975C02">
              <w:t>IS 3 a)</w:t>
            </w:r>
            <w:r w:rsidR="00733585">
              <w:t xml:space="preserve"> </w:t>
            </w:r>
            <w:r w:rsidRPr="00975C02">
              <w:t>Adoption de nouveaux Règlements concernant les véhicules (Règlements et RTM de l’ONU) et de nouvelles Règles de l’ONU ainsi que d’amendements y relatifs</w:t>
            </w:r>
          </w:p>
        </w:tc>
      </w:tr>
      <w:tr w:rsidR="003B4AC2" w:rsidRPr="00975C02" w:rsidTr="00EC31A2">
        <w:trPr>
          <w:trHeight w:val="20"/>
        </w:trPr>
        <w:tc>
          <w:tcPr>
            <w:tcW w:w="3119" w:type="dxa"/>
            <w:shd w:val="clear" w:color="auto" w:fill="auto"/>
          </w:tcPr>
          <w:p w:rsidR="003B4AC2" w:rsidRPr="00975C02" w:rsidRDefault="003B4AC2" w:rsidP="00E37EC6">
            <w:pPr>
              <w:spacing w:before="40" w:after="120"/>
              <w:ind w:right="113"/>
              <w:rPr>
                <w:b/>
              </w:rPr>
            </w:pPr>
          </w:p>
        </w:tc>
        <w:tc>
          <w:tcPr>
            <w:tcW w:w="1984" w:type="dxa"/>
            <w:shd w:val="clear" w:color="auto" w:fill="auto"/>
          </w:tcPr>
          <w:p w:rsidR="003B4AC2" w:rsidRPr="00975C02" w:rsidRDefault="003B4AC2" w:rsidP="00975C02">
            <w:pPr>
              <w:spacing w:before="40" w:after="120"/>
              <w:ind w:right="113"/>
            </w:pPr>
          </w:p>
        </w:tc>
        <w:tc>
          <w:tcPr>
            <w:tcW w:w="4534" w:type="dxa"/>
            <w:shd w:val="clear" w:color="auto" w:fill="auto"/>
          </w:tcPr>
          <w:p w:rsidR="003B4AC2" w:rsidRPr="00683A53" w:rsidRDefault="003B4AC2" w:rsidP="000B3701">
            <w:pPr>
              <w:tabs>
                <w:tab w:val="left" w:pos="964"/>
              </w:tabs>
              <w:spacing w:before="40" w:after="120"/>
              <w:rPr>
                <w:i/>
              </w:rPr>
            </w:pPr>
            <w:r w:rsidRPr="00683A53">
              <w:rPr>
                <w:i/>
              </w:rPr>
              <w:t>Mesure des résultats</w:t>
            </w:r>
            <w:r w:rsidRPr="00975C02">
              <w:t> :</w:t>
            </w:r>
            <w:r w:rsidRPr="00975C02">
              <w:br/>
              <w:t xml:space="preserve">Référence 2016-2017 : 205 amendements et nouveaux </w:t>
            </w:r>
            <w:r w:rsidR="00BA31F3" w:rsidRPr="00975C02">
              <w:t xml:space="preserve">Règlements </w:t>
            </w:r>
            <w:r w:rsidRPr="00975C02">
              <w:t>adoptés jusqu’en juin 2017 et textes attendus pour la session de novembre 2017</w:t>
            </w:r>
          </w:p>
        </w:tc>
      </w:tr>
      <w:tr w:rsidR="003B4AC2" w:rsidRPr="00975C02" w:rsidTr="00EC31A2">
        <w:trPr>
          <w:trHeight w:val="20"/>
        </w:trPr>
        <w:tc>
          <w:tcPr>
            <w:tcW w:w="3119" w:type="dxa"/>
            <w:shd w:val="clear" w:color="auto" w:fill="auto"/>
          </w:tcPr>
          <w:p w:rsidR="003B4AC2" w:rsidRPr="00975C02" w:rsidRDefault="003B4AC2" w:rsidP="00E37EC6">
            <w:pPr>
              <w:spacing w:before="40" w:after="120"/>
              <w:ind w:right="113"/>
              <w:rPr>
                <w:b/>
              </w:rPr>
            </w:pPr>
          </w:p>
        </w:tc>
        <w:tc>
          <w:tcPr>
            <w:tcW w:w="1984" w:type="dxa"/>
            <w:shd w:val="clear" w:color="auto" w:fill="auto"/>
          </w:tcPr>
          <w:p w:rsidR="003B4AC2" w:rsidRPr="00975C02" w:rsidRDefault="003B4AC2" w:rsidP="00975C02">
            <w:pPr>
              <w:spacing w:before="40" w:after="120"/>
              <w:ind w:right="113"/>
            </w:pPr>
          </w:p>
        </w:tc>
        <w:tc>
          <w:tcPr>
            <w:tcW w:w="4534" w:type="dxa"/>
            <w:shd w:val="clear" w:color="auto" w:fill="auto"/>
          </w:tcPr>
          <w:p w:rsidR="003B4AC2" w:rsidRPr="00683A53" w:rsidRDefault="003B4AC2" w:rsidP="000B3701">
            <w:pPr>
              <w:tabs>
                <w:tab w:val="left" w:pos="964"/>
              </w:tabs>
              <w:spacing w:before="40" w:after="120"/>
              <w:rPr>
                <w:i/>
              </w:rPr>
            </w:pPr>
            <w:r w:rsidRPr="00975C02">
              <w:rPr>
                <w:iCs/>
              </w:rPr>
              <w:t xml:space="preserve">Objectif pour 2018-2019 : 100 amendements et nouveaux </w:t>
            </w:r>
            <w:r w:rsidR="00BA31F3" w:rsidRPr="00975C02">
              <w:rPr>
                <w:iCs/>
              </w:rPr>
              <w:t>Règlements</w:t>
            </w:r>
          </w:p>
        </w:tc>
      </w:tr>
      <w:tr w:rsidR="003B4AC2" w:rsidRPr="00975C02" w:rsidTr="00EC31A2">
        <w:trPr>
          <w:trHeight w:val="20"/>
        </w:trPr>
        <w:tc>
          <w:tcPr>
            <w:tcW w:w="3119" w:type="dxa"/>
            <w:shd w:val="clear" w:color="auto" w:fill="auto"/>
          </w:tcPr>
          <w:p w:rsidR="003B4AC2" w:rsidRPr="00975C02" w:rsidRDefault="003B4AC2" w:rsidP="00E37EC6">
            <w:pPr>
              <w:spacing w:before="40" w:after="120"/>
              <w:ind w:right="113"/>
              <w:rPr>
                <w:b/>
              </w:rPr>
            </w:pPr>
          </w:p>
        </w:tc>
        <w:tc>
          <w:tcPr>
            <w:tcW w:w="1984" w:type="dxa"/>
            <w:shd w:val="clear" w:color="auto" w:fill="auto"/>
          </w:tcPr>
          <w:p w:rsidR="003B4AC2" w:rsidRPr="00975C02" w:rsidRDefault="003B4AC2" w:rsidP="00975C02">
            <w:pPr>
              <w:spacing w:before="40" w:after="120"/>
              <w:ind w:right="113"/>
            </w:pPr>
          </w:p>
        </w:tc>
        <w:tc>
          <w:tcPr>
            <w:tcW w:w="4534" w:type="dxa"/>
            <w:shd w:val="clear" w:color="auto" w:fill="auto"/>
          </w:tcPr>
          <w:p w:rsidR="003B4AC2" w:rsidRPr="00975C02" w:rsidRDefault="003B4AC2" w:rsidP="00733585">
            <w:pPr>
              <w:tabs>
                <w:tab w:val="left" w:pos="964"/>
              </w:tabs>
              <w:spacing w:before="40" w:after="120"/>
            </w:pPr>
            <w:r w:rsidRPr="00975C02">
              <w:t>IS 3 b)</w:t>
            </w:r>
            <w:r w:rsidR="00733585">
              <w:t xml:space="preserve"> </w:t>
            </w:r>
            <w:r w:rsidRPr="00975C02">
              <w:t>Une publication sur le WP.29 et une brochure sur les véhicules autonomes</w:t>
            </w:r>
          </w:p>
        </w:tc>
      </w:tr>
      <w:tr w:rsidR="003B4AC2" w:rsidRPr="00975C02" w:rsidTr="00EC31A2">
        <w:trPr>
          <w:trHeight w:val="20"/>
        </w:trPr>
        <w:tc>
          <w:tcPr>
            <w:tcW w:w="3119" w:type="dxa"/>
            <w:shd w:val="clear" w:color="auto" w:fill="auto"/>
          </w:tcPr>
          <w:p w:rsidR="003B4AC2" w:rsidRPr="00975C02" w:rsidRDefault="003B4AC2" w:rsidP="00E37EC6">
            <w:pPr>
              <w:spacing w:before="40" w:after="120"/>
              <w:ind w:right="113"/>
              <w:rPr>
                <w:b/>
              </w:rPr>
            </w:pPr>
          </w:p>
        </w:tc>
        <w:tc>
          <w:tcPr>
            <w:tcW w:w="1984" w:type="dxa"/>
            <w:shd w:val="clear" w:color="auto" w:fill="auto"/>
          </w:tcPr>
          <w:p w:rsidR="003B4AC2" w:rsidRPr="00975C02" w:rsidRDefault="003B4AC2" w:rsidP="00975C02">
            <w:pPr>
              <w:spacing w:before="40" w:after="120"/>
              <w:ind w:right="113"/>
            </w:pPr>
          </w:p>
        </w:tc>
        <w:tc>
          <w:tcPr>
            <w:tcW w:w="4534" w:type="dxa"/>
            <w:shd w:val="clear" w:color="auto" w:fill="auto"/>
          </w:tcPr>
          <w:p w:rsidR="003B4AC2" w:rsidRPr="00683A53" w:rsidRDefault="003B4AC2" w:rsidP="00BA31F3">
            <w:pPr>
              <w:tabs>
                <w:tab w:val="left" w:pos="964"/>
              </w:tabs>
              <w:spacing w:before="40" w:after="120"/>
              <w:rPr>
                <w:i/>
              </w:rPr>
            </w:pPr>
            <w:r w:rsidRPr="00683A53">
              <w:rPr>
                <w:i/>
              </w:rPr>
              <w:t>Mesure des résultats</w:t>
            </w:r>
            <w:r w:rsidRPr="00975C02">
              <w:t> :</w:t>
            </w:r>
            <w:r w:rsidRPr="00975C02">
              <w:br/>
              <w:t>Référence 2016-2017 :</w:t>
            </w:r>
            <w:r w:rsidR="00BA31F3">
              <w:t xml:space="preserve"> </w:t>
            </w:r>
            <w:r w:rsidR="00D004B0">
              <w:br/>
            </w:r>
            <w:r w:rsidRPr="00975C02">
              <w:t>Une publication sur le WP.29 (Plan d’action pour l’adhésion aux accords de l’ONU sur les véhicule</w:t>
            </w:r>
            <w:r w:rsidR="00BA31F3">
              <w:t>s</w:t>
            </w:r>
            <w:r w:rsidRPr="00975C02">
              <w:t xml:space="preserve"> qui sera publié au début de 2018)</w:t>
            </w:r>
          </w:p>
        </w:tc>
      </w:tr>
      <w:tr w:rsidR="003B4AC2" w:rsidRPr="00975C02" w:rsidTr="00EC31A2">
        <w:trPr>
          <w:trHeight w:val="20"/>
        </w:trPr>
        <w:tc>
          <w:tcPr>
            <w:tcW w:w="3119" w:type="dxa"/>
            <w:shd w:val="clear" w:color="auto" w:fill="auto"/>
          </w:tcPr>
          <w:p w:rsidR="003B4AC2" w:rsidRPr="00975C02" w:rsidRDefault="003B4AC2" w:rsidP="00E37EC6">
            <w:pPr>
              <w:spacing w:before="40" w:after="120"/>
              <w:ind w:right="113"/>
              <w:rPr>
                <w:b/>
              </w:rPr>
            </w:pPr>
          </w:p>
        </w:tc>
        <w:tc>
          <w:tcPr>
            <w:tcW w:w="1984" w:type="dxa"/>
            <w:shd w:val="clear" w:color="auto" w:fill="auto"/>
          </w:tcPr>
          <w:p w:rsidR="003B4AC2" w:rsidRPr="00975C02" w:rsidRDefault="003B4AC2" w:rsidP="00975C02">
            <w:pPr>
              <w:spacing w:before="40" w:after="120"/>
              <w:ind w:right="113"/>
            </w:pPr>
          </w:p>
        </w:tc>
        <w:tc>
          <w:tcPr>
            <w:tcW w:w="4534" w:type="dxa"/>
            <w:shd w:val="clear" w:color="auto" w:fill="auto"/>
          </w:tcPr>
          <w:p w:rsidR="003B4AC2" w:rsidRPr="00683A53" w:rsidRDefault="003B4AC2" w:rsidP="000B3701">
            <w:pPr>
              <w:tabs>
                <w:tab w:val="left" w:pos="964"/>
              </w:tabs>
              <w:spacing w:before="40" w:after="120"/>
              <w:rPr>
                <w:i/>
              </w:rPr>
            </w:pPr>
            <w:r w:rsidRPr="00B003DE">
              <w:rPr>
                <w:iCs/>
                <w:spacing w:val="-2"/>
              </w:rPr>
              <w:t>Objectif pour 2018-2019 : Une publication sur le WP.29 et une publication sur les Règlements les plus importants pour faire la différence du point de vue de la sécurité routière − Étude coûts-avantages à l’intention des pays à faible revenu et à revenu intermédiaire</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E640DF">
            <w:pPr>
              <w:tabs>
                <w:tab w:val="left" w:pos="454"/>
              </w:tabs>
              <w:spacing w:before="40" w:after="120"/>
              <w:ind w:left="454" w:right="113" w:hanging="454"/>
            </w:pPr>
            <w:r w:rsidRPr="00975C02">
              <w:t>4.</w:t>
            </w:r>
            <w:r w:rsidRPr="00975C02">
              <w:tab/>
              <w:t xml:space="preserve">Transport ferroviaire </w:t>
            </w:r>
            <w:r w:rsidR="00E640DF">
              <w:t>(</w:t>
            </w:r>
            <w:r w:rsidRPr="00975C02">
              <w:t>projet de chemin de fer transeuropéen (TER)</w:t>
            </w:r>
            <w:r w:rsidR="00E640DF">
              <w:t>)</w:t>
            </w:r>
            <w:r w:rsidRPr="00975C02">
              <w:t xml:space="preserve"> </w:t>
            </w:r>
          </w:p>
        </w:tc>
        <w:tc>
          <w:tcPr>
            <w:tcW w:w="4534" w:type="dxa"/>
            <w:shd w:val="clear" w:color="auto" w:fill="auto"/>
          </w:tcPr>
          <w:p w:rsidR="00EA7B3A" w:rsidRPr="00975C02" w:rsidRDefault="00EA7B3A" w:rsidP="00733585">
            <w:pPr>
              <w:tabs>
                <w:tab w:val="left" w:pos="964"/>
              </w:tabs>
              <w:spacing w:before="40" w:after="120"/>
            </w:pPr>
            <w:r w:rsidRPr="00975C02">
              <w:t>RE 4 a)</w:t>
            </w:r>
            <w:r w:rsidR="00733585">
              <w:t xml:space="preserve"> </w:t>
            </w:r>
            <w:r w:rsidRPr="00975C02">
              <w:t>Meilleure compréhension des activités et des politiques en matière de transport ferroviaire dans la région, notamment en ce qui concerne les infrastructures, le passage des frontières, l’interopérabilité ainsi que le suivi et l’actualisation des instruments juridiques pertinents, et renforcement de la coopération entre les pays membres de la CEE dans la mise en œuvre de ces activités et politiques</w:t>
            </w:r>
          </w:p>
        </w:tc>
      </w:tr>
      <w:tr w:rsidR="00EC31A2" w:rsidRPr="00975C02" w:rsidTr="00EC31A2">
        <w:trPr>
          <w:trHeight w:val="20"/>
        </w:trPr>
        <w:tc>
          <w:tcPr>
            <w:tcW w:w="3119" w:type="dxa"/>
            <w:shd w:val="clear" w:color="auto" w:fill="auto"/>
          </w:tcPr>
          <w:p w:rsidR="00EC31A2" w:rsidRPr="00975C02" w:rsidRDefault="00EC31A2" w:rsidP="00E37EC6">
            <w:pPr>
              <w:spacing w:before="40" w:after="120"/>
              <w:ind w:right="113"/>
              <w:rPr>
                <w:b/>
              </w:rPr>
            </w:pPr>
          </w:p>
        </w:tc>
        <w:tc>
          <w:tcPr>
            <w:tcW w:w="1984" w:type="dxa"/>
            <w:shd w:val="clear" w:color="auto" w:fill="auto"/>
          </w:tcPr>
          <w:p w:rsidR="00EC31A2" w:rsidRPr="00975C02" w:rsidRDefault="00EC31A2" w:rsidP="00975C02">
            <w:pPr>
              <w:spacing w:before="40" w:after="120"/>
              <w:ind w:right="113"/>
            </w:pPr>
          </w:p>
        </w:tc>
        <w:tc>
          <w:tcPr>
            <w:tcW w:w="4534" w:type="dxa"/>
            <w:shd w:val="clear" w:color="auto" w:fill="auto"/>
          </w:tcPr>
          <w:p w:rsidR="00EC31A2" w:rsidRPr="00975C02" w:rsidRDefault="00EC31A2" w:rsidP="00733585">
            <w:pPr>
              <w:tabs>
                <w:tab w:val="left" w:pos="964"/>
              </w:tabs>
              <w:spacing w:before="40" w:after="120"/>
            </w:pPr>
            <w:r w:rsidRPr="00975C02">
              <w:t>IS 4 a) a)</w:t>
            </w:r>
            <w:r w:rsidR="00733585">
              <w:t xml:space="preserve"> </w:t>
            </w:r>
            <w:r w:rsidRPr="00975C02">
              <w:t>Nombre de pays, d’organisations intergouvernementales (OIG) et d’organisations non gouvernementales (ONG) participant aux deux réunions annuelles du Groupe de travail des transports par chemin de fer et au projet TER, et degré de satisfaction révélé par les enquêtes</w:t>
            </w:r>
          </w:p>
        </w:tc>
      </w:tr>
      <w:tr w:rsidR="003B4AC2" w:rsidRPr="00975C02" w:rsidTr="00EC31A2">
        <w:trPr>
          <w:trHeight w:val="20"/>
        </w:trPr>
        <w:tc>
          <w:tcPr>
            <w:tcW w:w="3119" w:type="dxa"/>
            <w:shd w:val="clear" w:color="auto" w:fill="auto"/>
          </w:tcPr>
          <w:p w:rsidR="003B4AC2" w:rsidRPr="00975C02" w:rsidRDefault="003B4AC2" w:rsidP="00E37EC6">
            <w:pPr>
              <w:spacing w:before="40" w:after="120"/>
              <w:ind w:right="113"/>
              <w:rPr>
                <w:b/>
              </w:rPr>
            </w:pPr>
          </w:p>
        </w:tc>
        <w:tc>
          <w:tcPr>
            <w:tcW w:w="1984" w:type="dxa"/>
            <w:shd w:val="clear" w:color="auto" w:fill="auto"/>
          </w:tcPr>
          <w:p w:rsidR="003B4AC2" w:rsidRPr="00975C02" w:rsidRDefault="003B4AC2" w:rsidP="00975C02">
            <w:pPr>
              <w:spacing w:before="40" w:after="120"/>
              <w:ind w:right="113"/>
            </w:pPr>
          </w:p>
        </w:tc>
        <w:tc>
          <w:tcPr>
            <w:tcW w:w="4534" w:type="dxa"/>
            <w:shd w:val="clear" w:color="auto" w:fill="auto"/>
          </w:tcPr>
          <w:p w:rsidR="003B4AC2" w:rsidRPr="00683A53" w:rsidRDefault="00EC31A2" w:rsidP="00F83825">
            <w:pPr>
              <w:tabs>
                <w:tab w:val="left" w:pos="964"/>
              </w:tabs>
              <w:spacing w:before="40" w:after="120"/>
              <w:rPr>
                <w:i/>
              </w:rPr>
            </w:pPr>
            <w:r w:rsidRPr="00683A53">
              <w:rPr>
                <w:i/>
              </w:rPr>
              <w:t>Mesure des résultats</w:t>
            </w:r>
            <w:r w:rsidRPr="00975C02">
              <w:t> :</w:t>
            </w:r>
            <w:r w:rsidRPr="00975C02">
              <w:br/>
              <w:t>Référence 2016-2017 : 72</w:t>
            </w:r>
          </w:p>
        </w:tc>
      </w:tr>
      <w:tr w:rsidR="003B4AC2" w:rsidRPr="00975C02" w:rsidTr="00EC31A2">
        <w:trPr>
          <w:trHeight w:val="20"/>
        </w:trPr>
        <w:tc>
          <w:tcPr>
            <w:tcW w:w="3119" w:type="dxa"/>
            <w:shd w:val="clear" w:color="auto" w:fill="auto"/>
          </w:tcPr>
          <w:p w:rsidR="003B4AC2" w:rsidRPr="00975C02" w:rsidRDefault="003B4AC2" w:rsidP="00E37EC6">
            <w:pPr>
              <w:spacing w:before="40" w:after="120"/>
              <w:ind w:right="113"/>
              <w:rPr>
                <w:b/>
              </w:rPr>
            </w:pPr>
          </w:p>
        </w:tc>
        <w:tc>
          <w:tcPr>
            <w:tcW w:w="1984" w:type="dxa"/>
            <w:shd w:val="clear" w:color="auto" w:fill="auto"/>
          </w:tcPr>
          <w:p w:rsidR="003B4AC2" w:rsidRPr="00975C02" w:rsidRDefault="003B4AC2" w:rsidP="00975C02">
            <w:pPr>
              <w:spacing w:before="40" w:after="120"/>
              <w:ind w:right="113"/>
            </w:pPr>
          </w:p>
        </w:tc>
        <w:tc>
          <w:tcPr>
            <w:tcW w:w="4534" w:type="dxa"/>
            <w:shd w:val="clear" w:color="auto" w:fill="auto"/>
          </w:tcPr>
          <w:p w:rsidR="003B4AC2" w:rsidRPr="00683A53" w:rsidRDefault="003B4AC2" w:rsidP="000B3701">
            <w:pPr>
              <w:tabs>
                <w:tab w:val="left" w:pos="964"/>
              </w:tabs>
              <w:spacing w:before="40" w:after="120"/>
              <w:rPr>
                <w:i/>
              </w:rPr>
            </w:pPr>
            <w:r w:rsidRPr="00975C02">
              <w:t>Objectif pour 2018-2019 : 4</w:t>
            </w:r>
            <w:r>
              <w:t>0</w:t>
            </w:r>
          </w:p>
        </w:tc>
      </w:tr>
      <w:tr w:rsidR="00E81CA5" w:rsidRPr="00975C02" w:rsidTr="00EC31A2">
        <w:trPr>
          <w:trHeight w:val="20"/>
        </w:trPr>
        <w:tc>
          <w:tcPr>
            <w:tcW w:w="3119" w:type="dxa"/>
            <w:vMerge w:val="restart"/>
            <w:shd w:val="clear" w:color="auto" w:fill="auto"/>
          </w:tcPr>
          <w:p w:rsidR="00E81CA5" w:rsidRPr="00975C02" w:rsidRDefault="00E81CA5" w:rsidP="00E37EC6">
            <w:pPr>
              <w:spacing w:before="40" w:after="120"/>
              <w:ind w:right="113"/>
              <w:rPr>
                <w:b/>
              </w:rPr>
            </w:pPr>
          </w:p>
        </w:tc>
        <w:tc>
          <w:tcPr>
            <w:tcW w:w="1984" w:type="dxa"/>
            <w:vMerge w:val="restart"/>
            <w:shd w:val="clear" w:color="auto" w:fill="auto"/>
          </w:tcPr>
          <w:p w:rsidR="00E81CA5" w:rsidRPr="00975C02" w:rsidRDefault="00E81CA5" w:rsidP="00975C02">
            <w:pPr>
              <w:spacing w:before="40" w:after="120"/>
              <w:ind w:right="113"/>
            </w:pPr>
          </w:p>
        </w:tc>
        <w:tc>
          <w:tcPr>
            <w:tcW w:w="4534" w:type="dxa"/>
            <w:shd w:val="clear" w:color="auto" w:fill="auto"/>
          </w:tcPr>
          <w:p w:rsidR="00E81CA5" w:rsidRPr="00975C02" w:rsidRDefault="00E81CA5" w:rsidP="00733585">
            <w:pPr>
              <w:tabs>
                <w:tab w:val="left" w:pos="964"/>
              </w:tabs>
              <w:spacing w:before="40" w:after="120"/>
            </w:pPr>
            <w:r w:rsidRPr="00975C02">
              <w:t>IS 4 a) b)</w:t>
            </w:r>
            <w:r w:rsidR="00733585">
              <w:t xml:space="preserve"> </w:t>
            </w:r>
            <w:r w:rsidRPr="00975C02">
              <w:t xml:space="preserve">Nombre d’amendements à l’Accord européen sur les grandes lignes internationales de chemin de fer (AGC) et de lignes actualisées et modifiées dans son annexe I, dont le Groupe de travail a assuré l’entrée en vigueur </w:t>
            </w:r>
          </w:p>
        </w:tc>
      </w:tr>
      <w:tr w:rsidR="00E81CA5" w:rsidRPr="00975C02" w:rsidTr="00EC31A2">
        <w:trPr>
          <w:trHeight w:val="20"/>
        </w:trPr>
        <w:tc>
          <w:tcPr>
            <w:tcW w:w="3119" w:type="dxa"/>
            <w:vMerge/>
            <w:shd w:val="clear" w:color="auto" w:fill="auto"/>
          </w:tcPr>
          <w:p w:rsidR="00E81CA5" w:rsidRPr="00975C02" w:rsidRDefault="00E81CA5" w:rsidP="00E37EC6">
            <w:pPr>
              <w:spacing w:before="40" w:after="120"/>
              <w:ind w:right="113"/>
              <w:rPr>
                <w:b/>
              </w:rPr>
            </w:pPr>
          </w:p>
        </w:tc>
        <w:tc>
          <w:tcPr>
            <w:tcW w:w="1984" w:type="dxa"/>
            <w:vMerge/>
            <w:shd w:val="clear" w:color="auto" w:fill="auto"/>
          </w:tcPr>
          <w:p w:rsidR="00E81CA5" w:rsidRPr="00975C02" w:rsidRDefault="00E81CA5" w:rsidP="00975C02">
            <w:pPr>
              <w:spacing w:before="40" w:after="120"/>
              <w:ind w:right="113"/>
            </w:pPr>
          </w:p>
        </w:tc>
        <w:tc>
          <w:tcPr>
            <w:tcW w:w="4534" w:type="dxa"/>
            <w:shd w:val="clear" w:color="auto" w:fill="auto"/>
          </w:tcPr>
          <w:p w:rsidR="00E81CA5" w:rsidRPr="00975C02" w:rsidRDefault="00E81CA5" w:rsidP="00B003DE">
            <w:pPr>
              <w:tabs>
                <w:tab w:val="left" w:pos="964"/>
              </w:tabs>
              <w:spacing w:before="40" w:after="120"/>
            </w:pPr>
            <w:r w:rsidRPr="00683A53">
              <w:rPr>
                <w:i/>
              </w:rPr>
              <w:t>Mesure des résultats</w:t>
            </w:r>
            <w:r w:rsidRPr="00975C02">
              <w:t> :</w:t>
            </w:r>
            <w:r w:rsidRPr="00975C02">
              <w:br/>
              <w:t>Référence 2016-2017 : 1</w:t>
            </w:r>
          </w:p>
        </w:tc>
      </w:tr>
      <w:tr w:rsidR="00B003DE" w:rsidRPr="00975C02" w:rsidTr="00EC31A2">
        <w:trPr>
          <w:trHeight w:val="20"/>
        </w:trPr>
        <w:tc>
          <w:tcPr>
            <w:tcW w:w="3119" w:type="dxa"/>
            <w:shd w:val="clear" w:color="auto" w:fill="auto"/>
          </w:tcPr>
          <w:p w:rsidR="00B003DE" w:rsidRPr="00975C02" w:rsidRDefault="00B003DE" w:rsidP="00E37EC6">
            <w:pPr>
              <w:spacing w:before="40" w:after="120"/>
              <w:ind w:right="113"/>
              <w:rPr>
                <w:b/>
              </w:rPr>
            </w:pPr>
          </w:p>
        </w:tc>
        <w:tc>
          <w:tcPr>
            <w:tcW w:w="1984" w:type="dxa"/>
            <w:shd w:val="clear" w:color="auto" w:fill="auto"/>
          </w:tcPr>
          <w:p w:rsidR="00B003DE" w:rsidRPr="00975C02" w:rsidRDefault="00B003DE" w:rsidP="00975C02">
            <w:pPr>
              <w:spacing w:before="40" w:after="120"/>
              <w:ind w:right="113"/>
            </w:pPr>
          </w:p>
        </w:tc>
        <w:tc>
          <w:tcPr>
            <w:tcW w:w="4534" w:type="dxa"/>
            <w:shd w:val="clear" w:color="auto" w:fill="auto"/>
          </w:tcPr>
          <w:p w:rsidR="00B003DE" w:rsidRPr="00683A53" w:rsidRDefault="00B003DE" w:rsidP="000B3701">
            <w:pPr>
              <w:tabs>
                <w:tab w:val="left" w:pos="964"/>
              </w:tabs>
              <w:spacing w:before="40" w:after="120"/>
              <w:rPr>
                <w:i/>
              </w:rPr>
            </w:pPr>
            <w:r w:rsidRPr="00975C02">
              <w:t>Objectif pour 2018-2019 : 1</w:t>
            </w:r>
          </w:p>
        </w:tc>
      </w:tr>
      <w:tr w:rsidR="00EC31A2" w:rsidRPr="00975C02" w:rsidTr="00EC31A2">
        <w:trPr>
          <w:trHeight w:val="20"/>
        </w:trPr>
        <w:tc>
          <w:tcPr>
            <w:tcW w:w="3119" w:type="dxa"/>
            <w:shd w:val="clear" w:color="auto" w:fill="auto"/>
          </w:tcPr>
          <w:p w:rsidR="00EC31A2" w:rsidRPr="00975C02" w:rsidRDefault="00EC31A2" w:rsidP="00E37EC6">
            <w:pPr>
              <w:spacing w:before="40" w:after="120"/>
              <w:ind w:right="113"/>
              <w:rPr>
                <w:b/>
              </w:rPr>
            </w:pPr>
          </w:p>
        </w:tc>
        <w:tc>
          <w:tcPr>
            <w:tcW w:w="1984" w:type="dxa"/>
            <w:shd w:val="clear" w:color="auto" w:fill="auto"/>
          </w:tcPr>
          <w:p w:rsidR="00EC31A2" w:rsidRPr="00975C02" w:rsidRDefault="00EC31A2" w:rsidP="00975C02">
            <w:pPr>
              <w:spacing w:before="40" w:after="120"/>
              <w:ind w:right="113"/>
            </w:pPr>
          </w:p>
        </w:tc>
        <w:tc>
          <w:tcPr>
            <w:tcW w:w="4534" w:type="dxa"/>
            <w:shd w:val="clear" w:color="auto" w:fill="auto"/>
          </w:tcPr>
          <w:p w:rsidR="00EC31A2" w:rsidRPr="00975C02" w:rsidRDefault="00EC31A2" w:rsidP="00733585">
            <w:pPr>
              <w:tabs>
                <w:tab w:val="left" w:pos="964"/>
              </w:tabs>
              <w:spacing w:before="40" w:after="120"/>
            </w:pPr>
            <w:r w:rsidRPr="00975C02">
              <w:t>IS 4 a) c)</w:t>
            </w:r>
            <w:r w:rsidR="00733585">
              <w:t xml:space="preserve"> </w:t>
            </w:r>
            <w:r w:rsidRPr="00975C02">
              <w:t xml:space="preserve">Nombre d’ateliers ou de séminaires thématiques organisés et nombre de participants </w:t>
            </w:r>
          </w:p>
        </w:tc>
      </w:tr>
      <w:tr w:rsidR="00EC31A2" w:rsidRPr="00975C02" w:rsidTr="00EC31A2">
        <w:trPr>
          <w:trHeight w:val="20"/>
        </w:trPr>
        <w:tc>
          <w:tcPr>
            <w:tcW w:w="3119" w:type="dxa"/>
            <w:shd w:val="clear" w:color="auto" w:fill="auto"/>
          </w:tcPr>
          <w:p w:rsidR="00EC31A2" w:rsidRPr="00975C02" w:rsidRDefault="00EC31A2" w:rsidP="00E37EC6">
            <w:pPr>
              <w:spacing w:before="40" w:after="120"/>
              <w:ind w:right="113"/>
              <w:rPr>
                <w:b/>
              </w:rPr>
            </w:pPr>
          </w:p>
        </w:tc>
        <w:tc>
          <w:tcPr>
            <w:tcW w:w="1984" w:type="dxa"/>
            <w:shd w:val="clear" w:color="auto" w:fill="auto"/>
          </w:tcPr>
          <w:p w:rsidR="00EC31A2" w:rsidRPr="00975C02" w:rsidRDefault="00EC31A2" w:rsidP="00975C02">
            <w:pPr>
              <w:spacing w:before="40" w:after="120"/>
              <w:ind w:right="113"/>
            </w:pPr>
          </w:p>
        </w:tc>
        <w:tc>
          <w:tcPr>
            <w:tcW w:w="4534" w:type="dxa"/>
            <w:shd w:val="clear" w:color="auto" w:fill="auto"/>
          </w:tcPr>
          <w:p w:rsidR="00EC31A2" w:rsidRPr="00683A53" w:rsidRDefault="00EC31A2" w:rsidP="00B003DE">
            <w:pPr>
              <w:tabs>
                <w:tab w:val="left" w:pos="964"/>
              </w:tabs>
              <w:spacing w:before="40" w:after="120"/>
              <w:rPr>
                <w:i/>
              </w:rPr>
            </w:pPr>
            <w:r w:rsidRPr="00683A53">
              <w:rPr>
                <w:i/>
              </w:rPr>
              <w:t>Mesure des résultats</w:t>
            </w:r>
            <w:r w:rsidRPr="00975C02">
              <w:t> :</w:t>
            </w:r>
            <w:r w:rsidRPr="00975C02">
              <w:br/>
              <w:t>Référence 2016-2017 : 2</w:t>
            </w:r>
          </w:p>
        </w:tc>
      </w:tr>
      <w:tr w:rsidR="00EC31A2" w:rsidRPr="00975C02" w:rsidTr="00EC31A2">
        <w:trPr>
          <w:trHeight w:val="20"/>
        </w:trPr>
        <w:tc>
          <w:tcPr>
            <w:tcW w:w="3119" w:type="dxa"/>
            <w:shd w:val="clear" w:color="auto" w:fill="auto"/>
          </w:tcPr>
          <w:p w:rsidR="00EC31A2" w:rsidRPr="00975C02" w:rsidRDefault="00EC31A2" w:rsidP="00E37EC6">
            <w:pPr>
              <w:spacing w:before="40" w:after="120"/>
              <w:ind w:right="113"/>
              <w:rPr>
                <w:b/>
              </w:rPr>
            </w:pPr>
          </w:p>
        </w:tc>
        <w:tc>
          <w:tcPr>
            <w:tcW w:w="1984" w:type="dxa"/>
            <w:shd w:val="clear" w:color="auto" w:fill="auto"/>
          </w:tcPr>
          <w:p w:rsidR="00EC31A2" w:rsidRPr="00975C02" w:rsidRDefault="00EC31A2" w:rsidP="00975C02">
            <w:pPr>
              <w:spacing w:before="40" w:after="120"/>
              <w:ind w:right="113"/>
            </w:pPr>
          </w:p>
        </w:tc>
        <w:tc>
          <w:tcPr>
            <w:tcW w:w="4534" w:type="dxa"/>
            <w:shd w:val="clear" w:color="auto" w:fill="auto"/>
          </w:tcPr>
          <w:p w:rsidR="00EC31A2" w:rsidRPr="00683A53" w:rsidRDefault="00EC31A2" w:rsidP="00B003DE">
            <w:pPr>
              <w:tabs>
                <w:tab w:val="left" w:pos="964"/>
              </w:tabs>
              <w:spacing w:before="40" w:after="120"/>
              <w:rPr>
                <w:i/>
              </w:rPr>
            </w:pPr>
            <w:r w:rsidRPr="00975C02">
              <w:t>Objectif pour 2018-2019 : 2</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5.</w:t>
            </w:r>
            <w:r w:rsidRPr="00975C02">
              <w:tab/>
              <w:t>Transport par</w:t>
            </w:r>
            <w:r w:rsidRPr="00975C02">
              <w:br/>
              <w:t xml:space="preserve">voie navigable </w:t>
            </w:r>
          </w:p>
        </w:tc>
        <w:tc>
          <w:tcPr>
            <w:tcW w:w="4534" w:type="dxa"/>
            <w:shd w:val="clear" w:color="auto" w:fill="auto"/>
          </w:tcPr>
          <w:p w:rsidR="00EA7B3A" w:rsidRPr="00975C02" w:rsidRDefault="00EA7B3A" w:rsidP="00733585">
            <w:pPr>
              <w:tabs>
                <w:tab w:val="left" w:pos="964"/>
              </w:tabs>
              <w:spacing w:before="40" w:after="120"/>
            </w:pPr>
            <w:r w:rsidRPr="00975C02">
              <w:t>RE 5.</w:t>
            </w:r>
            <w:r w:rsidR="00733585">
              <w:t xml:space="preserve"> </w:t>
            </w:r>
            <w:r w:rsidRPr="00975C02">
              <w:t>Amélioration et actualisation du cadre réglementaire pour l’infrastructure et les bateaux de navigation intérieure dans la région de la CEE</w:t>
            </w:r>
          </w:p>
        </w:tc>
      </w:tr>
      <w:tr w:rsidR="00697915" w:rsidRPr="00975C02" w:rsidTr="00EC31A2">
        <w:trPr>
          <w:trHeight w:val="20"/>
        </w:trPr>
        <w:tc>
          <w:tcPr>
            <w:tcW w:w="3119" w:type="dxa"/>
            <w:shd w:val="clear" w:color="auto" w:fill="auto"/>
          </w:tcPr>
          <w:p w:rsidR="00697915" w:rsidRPr="00975C02" w:rsidRDefault="00697915" w:rsidP="00E37EC6">
            <w:pPr>
              <w:spacing w:before="40" w:after="120"/>
              <w:ind w:right="113"/>
              <w:rPr>
                <w:b/>
              </w:rPr>
            </w:pPr>
          </w:p>
        </w:tc>
        <w:tc>
          <w:tcPr>
            <w:tcW w:w="1984" w:type="dxa"/>
            <w:shd w:val="clear" w:color="auto" w:fill="auto"/>
          </w:tcPr>
          <w:p w:rsidR="00697915" w:rsidRPr="00975C02" w:rsidRDefault="00697915" w:rsidP="00975C02">
            <w:pPr>
              <w:spacing w:before="40" w:after="120"/>
              <w:ind w:right="113"/>
            </w:pPr>
          </w:p>
        </w:tc>
        <w:tc>
          <w:tcPr>
            <w:tcW w:w="4534" w:type="dxa"/>
            <w:shd w:val="clear" w:color="auto" w:fill="auto"/>
          </w:tcPr>
          <w:p w:rsidR="00697915" w:rsidRPr="00975C02" w:rsidRDefault="00697915" w:rsidP="00733585">
            <w:pPr>
              <w:tabs>
                <w:tab w:val="left" w:pos="964"/>
              </w:tabs>
              <w:spacing w:before="40" w:after="120"/>
            </w:pPr>
            <w:r w:rsidRPr="00975C02">
              <w:t>IS 5 a)</w:t>
            </w:r>
            <w:r w:rsidR="00733585">
              <w:t xml:space="preserve"> </w:t>
            </w:r>
            <w:r w:rsidRPr="00975C02">
              <w:t xml:space="preserve">Promotion de la troisième édition du Livre bleu de la CEE et, sur cette base, mise à jour de l’Accord AGN et d’autres instruments </w:t>
            </w:r>
          </w:p>
        </w:tc>
      </w:tr>
      <w:tr w:rsidR="00697915" w:rsidRPr="00975C02" w:rsidTr="00EC31A2">
        <w:trPr>
          <w:trHeight w:val="20"/>
        </w:trPr>
        <w:tc>
          <w:tcPr>
            <w:tcW w:w="3119" w:type="dxa"/>
            <w:shd w:val="clear" w:color="auto" w:fill="auto"/>
          </w:tcPr>
          <w:p w:rsidR="00697915" w:rsidRPr="00975C02" w:rsidRDefault="00697915" w:rsidP="00E37EC6">
            <w:pPr>
              <w:spacing w:before="40" w:after="120"/>
              <w:ind w:right="113"/>
              <w:rPr>
                <w:b/>
              </w:rPr>
            </w:pPr>
          </w:p>
        </w:tc>
        <w:tc>
          <w:tcPr>
            <w:tcW w:w="1984" w:type="dxa"/>
            <w:shd w:val="clear" w:color="auto" w:fill="auto"/>
          </w:tcPr>
          <w:p w:rsidR="00697915" w:rsidRPr="00975C02" w:rsidRDefault="00697915" w:rsidP="00975C02">
            <w:pPr>
              <w:spacing w:before="40" w:after="120"/>
              <w:ind w:right="113"/>
            </w:pPr>
          </w:p>
        </w:tc>
        <w:tc>
          <w:tcPr>
            <w:tcW w:w="4534" w:type="dxa"/>
            <w:shd w:val="clear" w:color="auto" w:fill="auto"/>
          </w:tcPr>
          <w:p w:rsidR="00697915" w:rsidRPr="00683A53" w:rsidRDefault="00697915" w:rsidP="00697915">
            <w:pPr>
              <w:tabs>
                <w:tab w:val="left" w:pos="284"/>
              </w:tabs>
              <w:spacing w:before="40" w:after="120"/>
              <w:rPr>
                <w:i/>
              </w:rPr>
            </w:pPr>
            <w:r w:rsidRPr="00683A53">
              <w:rPr>
                <w:i/>
              </w:rPr>
              <w:t>Mesure des résultats</w:t>
            </w:r>
            <w:r w:rsidRPr="00975C02">
              <w:t> :</w:t>
            </w:r>
            <w:r w:rsidRPr="00975C02">
              <w:br/>
              <w:t>Référence 2016-2017 :</w:t>
            </w:r>
            <w:r w:rsidRPr="00975C02">
              <w:br/>
              <w:t>Adoption des amendements à la deuxième édition révisée du Livre bleu et élaboration de la troisième édition révisée</w:t>
            </w:r>
            <w:r>
              <w:br/>
            </w:r>
            <w:r w:rsidRPr="00975C02">
              <w:t>a)</w:t>
            </w:r>
            <w:r w:rsidRPr="00975C02">
              <w:tab/>
              <w:t>La troisième version révisée du Livre bleu a été adoptée en novembre 2016 et publiée en juillet 2017.</w:t>
            </w:r>
            <w:r>
              <w:br/>
            </w:r>
            <w:r w:rsidRPr="00975C02">
              <w:t>b)</w:t>
            </w:r>
            <w:r w:rsidRPr="00975C02">
              <w:tab/>
              <w:t>La base de données en ligne du Livre bleu a été mise à jour e</w:t>
            </w:r>
            <w:r>
              <w:t>n même temps qu’il était publié.</w:t>
            </w:r>
          </w:p>
        </w:tc>
      </w:tr>
      <w:tr w:rsidR="00697915" w:rsidRPr="00975C02" w:rsidTr="00EC31A2">
        <w:trPr>
          <w:trHeight w:val="20"/>
        </w:trPr>
        <w:tc>
          <w:tcPr>
            <w:tcW w:w="3119" w:type="dxa"/>
            <w:shd w:val="clear" w:color="auto" w:fill="auto"/>
          </w:tcPr>
          <w:p w:rsidR="00697915" w:rsidRPr="00975C02" w:rsidRDefault="00697915" w:rsidP="00E37EC6">
            <w:pPr>
              <w:spacing w:before="40" w:after="120"/>
              <w:ind w:right="113"/>
              <w:rPr>
                <w:b/>
              </w:rPr>
            </w:pPr>
          </w:p>
        </w:tc>
        <w:tc>
          <w:tcPr>
            <w:tcW w:w="1984" w:type="dxa"/>
            <w:shd w:val="clear" w:color="auto" w:fill="auto"/>
          </w:tcPr>
          <w:p w:rsidR="00697915" w:rsidRPr="00975C02" w:rsidRDefault="00697915" w:rsidP="00975C02">
            <w:pPr>
              <w:spacing w:before="40" w:after="120"/>
              <w:ind w:right="113"/>
            </w:pPr>
          </w:p>
        </w:tc>
        <w:tc>
          <w:tcPr>
            <w:tcW w:w="4534" w:type="dxa"/>
            <w:shd w:val="clear" w:color="auto" w:fill="auto"/>
          </w:tcPr>
          <w:p w:rsidR="00697915" w:rsidRPr="00683A53" w:rsidRDefault="00697915" w:rsidP="00697915">
            <w:pPr>
              <w:tabs>
                <w:tab w:val="left" w:pos="284"/>
              </w:tabs>
              <w:spacing w:before="40" w:after="120"/>
              <w:rPr>
                <w:i/>
              </w:rPr>
            </w:pPr>
            <w:r w:rsidRPr="00975C02">
              <w:t>Objectif pour 2018-2019 :</w:t>
            </w:r>
            <w:r w:rsidRPr="00975C02">
              <w:br/>
              <w:t>Adoption des amendements à l’AGN, élaboration de l’amendement n</w:t>
            </w:r>
            <w:r w:rsidRPr="00E81CA5">
              <w:rPr>
                <w:vertAlign w:val="superscript"/>
              </w:rPr>
              <w:t>o</w:t>
            </w:r>
            <w:r w:rsidR="00227B1E">
              <w:t> </w:t>
            </w:r>
            <w:r w:rsidRPr="00975C02">
              <w:t>1 au Livre bleu</w:t>
            </w:r>
          </w:p>
        </w:tc>
      </w:tr>
      <w:tr w:rsidR="00D30CD3" w:rsidRPr="00975C02" w:rsidTr="00EC31A2">
        <w:trPr>
          <w:trHeight w:val="20"/>
        </w:trPr>
        <w:tc>
          <w:tcPr>
            <w:tcW w:w="3119" w:type="dxa"/>
            <w:shd w:val="clear" w:color="auto" w:fill="auto"/>
          </w:tcPr>
          <w:p w:rsidR="00D30CD3" w:rsidRPr="00975C02" w:rsidRDefault="00D30CD3" w:rsidP="00E37EC6">
            <w:pPr>
              <w:spacing w:before="40" w:after="120"/>
              <w:ind w:right="113"/>
              <w:rPr>
                <w:b/>
              </w:rPr>
            </w:pPr>
          </w:p>
        </w:tc>
        <w:tc>
          <w:tcPr>
            <w:tcW w:w="1984" w:type="dxa"/>
            <w:shd w:val="clear" w:color="auto" w:fill="auto"/>
          </w:tcPr>
          <w:p w:rsidR="00D30CD3" w:rsidRPr="00975C02" w:rsidRDefault="00D30CD3" w:rsidP="00975C02">
            <w:pPr>
              <w:spacing w:before="40" w:after="120"/>
              <w:ind w:right="113"/>
            </w:pPr>
          </w:p>
        </w:tc>
        <w:tc>
          <w:tcPr>
            <w:tcW w:w="4534" w:type="dxa"/>
            <w:shd w:val="clear" w:color="auto" w:fill="auto"/>
          </w:tcPr>
          <w:p w:rsidR="00D30CD3" w:rsidRPr="00975C02" w:rsidRDefault="00D30CD3" w:rsidP="00733585">
            <w:pPr>
              <w:tabs>
                <w:tab w:val="left" w:pos="964"/>
              </w:tabs>
              <w:spacing w:before="40" w:after="120"/>
            </w:pPr>
            <w:r w:rsidRPr="00975C02">
              <w:t>IS 5 b)</w:t>
            </w:r>
            <w:r w:rsidR="00733585">
              <w:t xml:space="preserve"> </w:t>
            </w:r>
            <w:r w:rsidRPr="00975C02">
              <w:t xml:space="preserve">Élaboration de la troisième édition du Livre blanc de la CEE sur l’efficacité et la viabilité du transport par voie navigable en Europe </w:t>
            </w:r>
            <w:r w:rsidR="00F626D8">
              <w:t>(</w:t>
            </w:r>
            <w:r w:rsidRPr="00975C02">
              <w:t>2020)</w:t>
            </w:r>
          </w:p>
        </w:tc>
      </w:tr>
      <w:tr w:rsidR="00D30CD3" w:rsidRPr="00975C02" w:rsidTr="00EC31A2">
        <w:trPr>
          <w:trHeight w:val="20"/>
        </w:trPr>
        <w:tc>
          <w:tcPr>
            <w:tcW w:w="3119" w:type="dxa"/>
            <w:shd w:val="clear" w:color="auto" w:fill="auto"/>
          </w:tcPr>
          <w:p w:rsidR="00D30CD3" w:rsidRPr="00975C02" w:rsidRDefault="00D30CD3" w:rsidP="00E37EC6">
            <w:pPr>
              <w:spacing w:before="40" w:after="120"/>
              <w:ind w:right="113"/>
              <w:rPr>
                <w:b/>
              </w:rPr>
            </w:pPr>
          </w:p>
        </w:tc>
        <w:tc>
          <w:tcPr>
            <w:tcW w:w="1984" w:type="dxa"/>
            <w:shd w:val="clear" w:color="auto" w:fill="auto"/>
          </w:tcPr>
          <w:p w:rsidR="00D30CD3" w:rsidRPr="00975C02" w:rsidRDefault="00D30CD3" w:rsidP="00975C02">
            <w:pPr>
              <w:spacing w:before="40" w:after="120"/>
              <w:ind w:right="113"/>
            </w:pPr>
          </w:p>
        </w:tc>
        <w:tc>
          <w:tcPr>
            <w:tcW w:w="4534" w:type="dxa"/>
            <w:shd w:val="clear" w:color="auto" w:fill="auto"/>
          </w:tcPr>
          <w:p w:rsidR="00D30CD3" w:rsidRPr="00975C02" w:rsidRDefault="00261F16" w:rsidP="00315772">
            <w:pPr>
              <w:tabs>
                <w:tab w:val="left" w:pos="284"/>
              </w:tabs>
              <w:spacing w:before="40" w:after="120"/>
            </w:pPr>
            <w:r w:rsidRPr="00683A53">
              <w:rPr>
                <w:i/>
              </w:rPr>
              <w:t>Mesure des résultats</w:t>
            </w:r>
            <w:r w:rsidRPr="00975C02">
              <w:t> :</w:t>
            </w:r>
            <w:r w:rsidRPr="00975C02">
              <w:br/>
              <w:t>Référence 2016-2017 :</w:t>
            </w:r>
            <w:r w:rsidRPr="00975C02">
              <w:br/>
              <w:t xml:space="preserve">Élaboration d’un document sur la mise en œuvre du Livre blanc </w:t>
            </w:r>
            <w:r>
              <w:br/>
            </w:r>
            <w:r w:rsidRPr="00975C02">
              <w:t>a)</w:t>
            </w:r>
            <w:r w:rsidRPr="00975C02">
              <w:tab/>
              <w:t>Le document sur la mise en œuvre du Livre blanc (ECE/TRANS/SC.3/2015/1) a été soumis au CTI en février 2016</w:t>
            </w:r>
            <w:r>
              <w:t>.</w:t>
            </w:r>
            <w:r>
              <w:br/>
            </w:r>
            <w:r w:rsidRPr="00975C02">
              <w:t>b)</w:t>
            </w:r>
            <w:r w:rsidRPr="00975C02">
              <w:tab/>
              <w:t>Sur la base de ce document, le SC.3 a adopté en 2016 sa nouvelle stratégie pour 2016-2021.</w:t>
            </w:r>
            <w:r>
              <w:br/>
            </w:r>
            <w:r w:rsidRPr="00975C02">
              <w:t>c)</w:t>
            </w:r>
            <w:r w:rsidRPr="00975C02">
              <w:tab/>
              <w:t>Conformément à la Recommandation du Livre blanc</w:t>
            </w:r>
            <w:r w:rsidR="00127457">
              <w:t>,</w:t>
            </w:r>
            <w:r w:rsidRPr="00975C02">
              <w:t xml:space="preserve"> la Conférence de haut niveau sur les transports par voie navigable s’est tenue le 22</w:t>
            </w:r>
            <w:r w:rsidR="00227B1E">
              <w:t> </w:t>
            </w:r>
            <w:r w:rsidRPr="00975C02">
              <w:t>février 2017</w:t>
            </w:r>
            <w:r>
              <w:t>.</w:t>
            </w:r>
            <w:r>
              <w:br/>
            </w:r>
            <w:r w:rsidRPr="00975C02">
              <w:t>d)</w:t>
            </w:r>
            <w:r w:rsidRPr="00975C02">
              <w:tab/>
              <w:t>Le SC.3 a entrepris en 2017 les travaux préparatoires de la Conférence mondiale.</w:t>
            </w:r>
          </w:p>
        </w:tc>
      </w:tr>
      <w:tr w:rsidR="00697915" w:rsidRPr="00975C02" w:rsidTr="00EC31A2">
        <w:trPr>
          <w:trHeight w:val="20"/>
        </w:trPr>
        <w:tc>
          <w:tcPr>
            <w:tcW w:w="3119" w:type="dxa"/>
            <w:shd w:val="clear" w:color="auto" w:fill="auto"/>
          </w:tcPr>
          <w:p w:rsidR="00697915" w:rsidRPr="00975C02" w:rsidRDefault="00697915" w:rsidP="00E37EC6">
            <w:pPr>
              <w:spacing w:before="40" w:after="120"/>
              <w:ind w:right="113"/>
              <w:rPr>
                <w:b/>
              </w:rPr>
            </w:pPr>
          </w:p>
        </w:tc>
        <w:tc>
          <w:tcPr>
            <w:tcW w:w="1984" w:type="dxa"/>
            <w:shd w:val="clear" w:color="auto" w:fill="auto"/>
          </w:tcPr>
          <w:p w:rsidR="00697915" w:rsidRPr="00975C02" w:rsidRDefault="00697915" w:rsidP="00975C02">
            <w:pPr>
              <w:spacing w:before="40" w:after="120"/>
              <w:ind w:right="113"/>
            </w:pPr>
          </w:p>
        </w:tc>
        <w:tc>
          <w:tcPr>
            <w:tcW w:w="4534" w:type="dxa"/>
            <w:shd w:val="clear" w:color="auto" w:fill="auto"/>
          </w:tcPr>
          <w:p w:rsidR="00697915" w:rsidRPr="00683A53" w:rsidRDefault="00697915" w:rsidP="00261F16">
            <w:pPr>
              <w:spacing w:before="40" w:after="120"/>
              <w:rPr>
                <w:i/>
              </w:rPr>
            </w:pPr>
            <w:r w:rsidRPr="00975C02">
              <w:t>Objectif pour 2018-2019 :</w:t>
            </w:r>
            <w:r w:rsidRPr="00975C02">
              <w:br/>
              <w:t>Entamer la révision du Livre blanc et la préparation de sa prochaine édition</w:t>
            </w:r>
          </w:p>
        </w:tc>
      </w:tr>
      <w:tr w:rsidR="006D4CD6" w:rsidRPr="00975C02" w:rsidTr="00EC31A2">
        <w:trPr>
          <w:trHeight w:val="20"/>
        </w:trPr>
        <w:tc>
          <w:tcPr>
            <w:tcW w:w="3119" w:type="dxa"/>
            <w:shd w:val="clear" w:color="auto" w:fill="auto"/>
          </w:tcPr>
          <w:p w:rsidR="006D4CD6" w:rsidRPr="00975C02" w:rsidRDefault="006D4CD6" w:rsidP="00E37EC6">
            <w:pPr>
              <w:spacing w:before="40" w:after="120"/>
              <w:ind w:right="113"/>
              <w:rPr>
                <w:b/>
              </w:rPr>
            </w:pPr>
          </w:p>
        </w:tc>
        <w:tc>
          <w:tcPr>
            <w:tcW w:w="1984" w:type="dxa"/>
            <w:shd w:val="clear" w:color="auto" w:fill="auto"/>
          </w:tcPr>
          <w:p w:rsidR="006D4CD6" w:rsidRPr="00975C02" w:rsidRDefault="006D4CD6" w:rsidP="00975C02">
            <w:pPr>
              <w:spacing w:before="40" w:after="120"/>
              <w:ind w:right="113"/>
            </w:pPr>
          </w:p>
        </w:tc>
        <w:tc>
          <w:tcPr>
            <w:tcW w:w="4534" w:type="dxa"/>
            <w:shd w:val="clear" w:color="auto" w:fill="auto"/>
          </w:tcPr>
          <w:p w:rsidR="006D4CD6" w:rsidRPr="00975C02" w:rsidRDefault="006D4CD6" w:rsidP="00733585">
            <w:pPr>
              <w:tabs>
                <w:tab w:val="left" w:pos="964"/>
              </w:tabs>
              <w:spacing w:before="40" w:after="120"/>
            </w:pPr>
            <w:r w:rsidRPr="00975C02">
              <w:t>IS 5 c)</w:t>
            </w:r>
            <w:r w:rsidR="00733585">
              <w:t xml:space="preserve"> </w:t>
            </w:r>
            <w:r w:rsidRPr="00975C02">
              <w:t>Élaboration et adoption de la prochaine révision de la Résolution n</w:t>
            </w:r>
            <w:r w:rsidR="00227B1E" w:rsidRPr="00227B1E">
              <w:rPr>
                <w:vertAlign w:val="superscript"/>
              </w:rPr>
              <w:t>o</w:t>
            </w:r>
            <w:r w:rsidR="00227B1E">
              <w:t> </w:t>
            </w:r>
            <w:r w:rsidRPr="00975C02">
              <w:t xml:space="preserve">61 (Recommandations relatives à des prescriptions techniques harmonisées à l’échelle européenne applicables aux bateaux de navigation intérieure) </w:t>
            </w:r>
          </w:p>
        </w:tc>
      </w:tr>
      <w:tr w:rsidR="006D4CD6" w:rsidRPr="00975C02" w:rsidTr="00EC31A2">
        <w:trPr>
          <w:trHeight w:val="20"/>
        </w:trPr>
        <w:tc>
          <w:tcPr>
            <w:tcW w:w="3119" w:type="dxa"/>
            <w:shd w:val="clear" w:color="auto" w:fill="auto"/>
          </w:tcPr>
          <w:p w:rsidR="006D4CD6" w:rsidRPr="00975C02" w:rsidRDefault="006D4CD6" w:rsidP="00E37EC6">
            <w:pPr>
              <w:spacing w:before="40" w:after="120"/>
              <w:ind w:right="113"/>
              <w:rPr>
                <w:b/>
              </w:rPr>
            </w:pPr>
          </w:p>
        </w:tc>
        <w:tc>
          <w:tcPr>
            <w:tcW w:w="1984" w:type="dxa"/>
            <w:shd w:val="clear" w:color="auto" w:fill="auto"/>
          </w:tcPr>
          <w:p w:rsidR="006D4CD6" w:rsidRPr="00975C02" w:rsidRDefault="006D4CD6" w:rsidP="00975C02">
            <w:pPr>
              <w:spacing w:before="40" w:after="120"/>
              <w:ind w:right="113"/>
            </w:pPr>
          </w:p>
        </w:tc>
        <w:tc>
          <w:tcPr>
            <w:tcW w:w="4534" w:type="dxa"/>
            <w:shd w:val="clear" w:color="auto" w:fill="auto"/>
          </w:tcPr>
          <w:p w:rsidR="006D4CD6" w:rsidRPr="00975C02" w:rsidRDefault="006D4CD6" w:rsidP="00315772">
            <w:pPr>
              <w:tabs>
                <w:tab w:val="left" w:pos="284"/>
              </w:tabs>
              <w:spacing w:before="40" w:after="120"/>
            </w:pPr>
            <w:r w:rsidRPr="00683A53">
              <w:rPr>
                <w:i/>
              </w:rPr>
              <w:t>Mesure des résultats</w:t>
            </w:r>
            <w:r w:rsidRPr="00975C02">
              <w:t> :</w:t>
            </w:r>
            <w:r w:rsidRPr="00975C02">
              <w:br/>
              <w:t>Référence 2016-2017 :</w:t>
            </w:r>
            <w:r w:rsidRPr="00975C02">
              <w:br/>
              <w:t>Élaboration d’une version consolidée de la Résolution n</w:t>
            </w:r>
            <w:r w:rsidRPr="006D4CD6">
              <w:rPr>
                <w:vertAlign w:val="superscript"/>
              </w:rPr>
              <w:t>o</w:t>
            </w:r>
            <w:r>
              <w:t> </w:t>
            </w:r>
            <w:r w:rsidRPr="00975C02">
              <w:t xml:space="preserve">61 et de la révision 2 de cette résolution </w:t>
            </w:r>
            <w:r>
              <w:br/>
            </w:r>
            <w:r w:rsidRPr="00975C02">
              <w:t>a)</w:t>
            </w:r>
            <w:r w:rsidRPr="00975C02">
              <w:tab/>
              <w:t>L’amendement n</w:t>
            </w:r>
            <w:r w:rsidR="00227B1E" w:rsidRPr="00227B1E">
              <w:rPr>
                <w:vertAlign w:val="superscript"/>
              </w:rPr>
              <w:t>o</w:t>
            </w:r>
            <w:r w:rsidR="00227B1E">
              <w:t> </w:t>
            </w:r>
            <w:r w:rsidRPr="00975C02">
              <w:t>3 a été publié en 2016.</w:t>
            </w:r>
            <w:r>
              <w:br/>
            </w:r>
            <w:r w:rsidR="00227B1E">
              <w:t>b)</w:t>
            </w:r>
            <w:r w:rsidR="00227B1E">
              <w:tab/>
              <w:t xml:space="preserve">L’amendement </w:t>
            </w:r>
            <w:r w:rsidR="00227B1E">
              <w:rPr>
                <w:rFonts w:eastAsia="MS Mincho"/>
              </w:rPr>
              <w:t>n</w:t>
            </w:r>
            <w:r w:rsidR="00227B1E">
              <w:rPr>
                <w:rFonts w:eastAsia="MS Mincho"/>
                <w:vertAlign w:val="superscript"/>
              </w:rPr>
              <w:t>o</w:t>
            </w:r>
            <w:r w:rsidR="00227B1E">
              <w:t> </w:t>
            </w:r>
            <w:r w:rsidRPr="00975C02">
              <w:t>4 a été adopté par le SC.3 en novembre 2017 et publié en 2017.</w:t>
            </w:r>
            <w:r>
              <w:br/>
            </w:r>
            <w:r w:rsidRPr="00975C02">
              <w:t>c)</w:t>
            </w:r>
            <w:r w:rsidRPr="00975C02">
              <w:tab/>
              <w:t>De nouvelles propositions d’amendements ont été soumises au SC.3 et au SC.3/WP.3 pour être intégrée dans la version consolidée en 2017.</w:t>
            </w:r>
            <w:r>
              <w:br/>
            </w:r>
            <w:r w:rsidRPr="00975C02">
              <w:t>d)</w:t>
            </w:r>
            <w:r w:rsidRPr="00975C02">
              <w:tab/>
              <w:t>Le SC.3 a commencé à travailler à la version consolidée de la Résolution n</w:t>
            </w:r>
            <w:r w:rsidRPr="006D4CD6">
              <w:rPr>
                <w:vertAlign w:val="superscript"/>
              </w:rPr>
              <w:t>o</w:t>
            </w:r>
            <w:r>
              <w:t> </w:t>
            </w:r>
            <w:r w:rsidRPr="00975C02">
              <w:t>61 en 2017 en tenant dûment compte des développements nouveaux.</w:t>
            </w:r>
          </w:p>
        </w:tc>
      </w:tr>
      <w:tr w:rsidR="00697915" w:rsidRPr="00975C02" w:rsidTr="00EC31A2">
        <w:trPr>
          <w:trHeight w:val="20"/>
        </w:trPr>
        <w:tc>
          <w:tcPr>
            <w:tcW w:w="3119" w:type="dxa"/>
            <w:shd w:val="clear" w:color="auto" w:fill="auto"/>
          </w:tcPr>
          <w:p w:rsidR="00697915" w:rsidRPr="00975C02" w:rsidRDefault="00697915" w:rsidP="00E37EC6">
            <w:pPr>
              <w:spacing w:before="40" w:after="120"/>
              <w:ind w:right="113"/>
              <w:rPr>
                <w:b/>
              </w:rPr>
            </w:pPr>
          </w:p>
        </w:tc>
        <w:tc>
          <w:tcPr>
            <w:tcW w:w="1984" w:type="dxa"/>
            <w:shd w:val="clear" w:color="auto" w:fill="auto"/>
          </w:tcPr>
          <w:p w:rsidR="00697915" w:rsidRPr="00975C02" w:rsidRDefault="00697915" w:rsidP="00975C02">
            <w:pPr>
              <w:spacing w:before="40" w:after="120"/>
              <w:ind w:right="113"/>
            </w:pPr>
          </w:p>
        </w:tc>
        <w:tc>
          <w:tcPr>
            <w:tcW w:w="4534" w:type="dxa"/>
            <w:shd w:val="clear" w:color="auto" w:fill="auto"/>
          </w:tcPr>
          <w:p w:rsidR="00697915" w:rsidRPr="00683A53" w:rsidRDefault="00697915" w:rsidP="006D4CD6">
            <w:pPr>
              <w:spacing w:before="40" w:after="120"/>
              <w:rPr>
                <w:i/>
              </w:rPr>
            </w:pPr>
            <w:r w:rsidRPr="00975C02">
              <w:t>Objectif pour 2018-2019 :</w:t>
            </w:r>
            <w:r w:rsidRPr="00975C02">
              <w:br/>
              <w:t>Finalisation de la version</w:t>
            </w:r>
            <w:r>
              <w:t xml:space="preserve"> consolidée de la Résolution n</w:t>
            </w:r>
            <w:r w:rsidRPr="006D4CD6">
              <w:rPr>
                <w:vertAlign w:val="superscript"/>
              </w:rPr>
              <w:t>o</w:t>
            </w:r>
            <w:r>
              <w:t> </w:t>
            </w:r>
            <w:r w:rsidRPr="00975C02">
              <w:t>61 en vue de son adoption définitive</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6.</w:t>
            </w:r>
            <w:r w:rsidRPr="00975C02">
              <w:tab/>
              <w:t xml:space="preserve">Transport intermodal et logistique </w:t>
            </w:r>
          </w:p>
        </w:tc>
        <w:tc>
          <w:tcPr>
            <w:tcW w:w="4534" w:type="dxa"/>
            <w:shd w:val="clear" w:color="auto" w:fill="auto"/>
          </w:tcPr>
          <w:p w:rsidR="00EA7B3A" w:rsidRPr="00975C02" w:rsidRDefault="00EA7B3A" w:rsidP="00733585">
            <w:pPr>
              <w:tabs>
                <w:tab w:val="left" w:pos="964"/>
              </w:tabs>
              <w:spacing w:before="40" w:after="120"/>
            </w:pPr>
            <w:r w:rsidRPr="00975C02">
              <w:t>RE 6.</w:t>
            </w:r>
            <w:r w:rsidR="00733585">
              <w:t xml:space="preserve"> </w:t>
            </w:r>
            <w:r w:rsidRPr="00975C02">
              <w:t>Cadre renforcé pour les activités et les politiques concernant le transport intermodal durable et la logistique dans la région, et meilleure coopération entre les pays membres de la CEE dans l’examen des questions abordées, grâce à l’échange de données d’expérience et de bonnes pratiques. Ces questions concernent les infrastructures et le passage des frontières, ainsi que le suivi et la mise à jour des instruments juridiques pertinents (Accord AGTC et son Protocole sur le transport combiné par voies navigables)</w:t>
            </w:r>
          </w:p>
        </w:tc>
      </w:tr>
      <w:tr w:rsidR="00E86AA2" w:rsidRPr="00975C02" w:rsidTr="00EC31A2">
        <w:trPr>
          <w:trHeight w:val="20"/>
        </w:trPr>
        <w:tc>
          <w:tcPr>
            <w:tcW w:w="3119" w:type="dxa"/>
            <w:shd w:val="clear" w:color="auto" w:fill="auto"/>
          </w:tcPr>
          <w:p w:rsidR="00E86AA2" w:rsidRPr="00975C02" w:rsidRDefault="00E86AA2" w:rsidP="00E37EC6">
            <w:pPr>
              <w:spacing w:before="40" w:after="120"/>
              <w:ind w:right="113"/>
              <w:rPr>
                <w:b/>
              </w:rPr>
            </w:pPr>
          </w:p>
        </w:tc>
        <w:tc>
          <w:tcPr>
            <w:tcW w:w="1984" w:type="dxa"/>
            <w:shd w:val="clear" w:color="auto" w:fill="auto"/>
          </w:tcPr>
          <w:p w:rsidR="00E86AA2" w:rsidRPr="00975C02" w:rsidRDefault="00E86AA2" w:rsidP="00975C02">
            <w:pPr>
              <w:spacing w:before="40" w:after="120"/>
              <w:ind w:right="113"/>
            </w:pPr>
          </w:p>
        </w:tc>
        <w:tc>
          <w:tcPr>
            <w:tcW w:w="4534" w:type="dxa"/>
            <w:shd w:val="clear" w:color="auto" w:fill="auto"/>
          </w:tcPr>
          <w:p w:rsidR="00E86AA2" w:rsidRPr="00975C02" w:rsidRDefault="00E86AA2" w:rsidP="00733585">
            <w:pPr>
              <w:tabs>
                <w:tab w:val="left" w:pos="964"/>
              </w:tabs>
              <w:spacing w:before="40" w:after="120"/>
            </w:pPr>
            <w:r w:rsidRPr="00975C02">
              <w:t>IS 6 a)</w:t>
            </w:r>
            <w:r w:rsidR="00733585">
              <w:t xml:space="preserve"> </w:t>
            </w:r>
            <w:r w:rsidRPr="00975C02">
              <w:t xml:space="preserve">Nombre de pays, d’organisations intergouvernementales (OIG) et d’organisations non gouvernementales (ONG) participant aux deux réunions annuelles du Groupe de travail du transport intermodal et de la logistique (WP.24) </w:t>
            </w:r>
          </w:p>
        </w:tc>
      </w:tr>
      <w:tr w:rsidR="00E86AA2" w:rsidRPr="00975C02" w:rsidTr="00EC31A2">
        <w:trPr>
          <w:trHeight w:val="20"/>
        </w:trPr>
        <w:tc>
          <w:tcPr>
            <w:tcW w:w="3119" w:type="dxa"/>
            <w:shd w:val="clear" w:color="auto" w:fill="auto"/>
          </w:tcPr>
          <w:p w:rsidR="00E86AA2" w:rsidRPr="00975C02" w:rsidRDefault="00E86AA2" w:rsidP="00E37EC6">
            <w:pPr>
              <w:spacing w:before="40" w:after="120"/>
              <w:ind w:right="113"/>
              <w:rPr>
                <w:b/>
              </w:rPr>
            </w:pPr>
          </w:p>
        </w:tc>
        <w:tc>
          <w:tcPr>
            <w:tcW w:w="1984" w:type="dxa"/>
            <w:shd w:val="clear" w:color="auto" w:fill="auto"/>
          </w:tcPr>
          <w:p w:rsidR="00E86AA2" w:rsidRPr="00975C02" w:rsidRDefault="00E86AA2" w:rsidP="00975C02">
            <w:pPr>
              <w:spacing w:before="40" w:after="120"/>
              <w:ind w:right="113"/>
            </w:pPr>
          </w:p>
        </w:tc>
        <w:tc>
          <w:tcPr>
            <w:tcW w:w="4534" w:type="dxa"/>
            <w:shd w:val="clear" w:color="auto" w:fill="auto"/>
          </w:tcPr>
          <w:p w:rsidR="00E86AA2" w:rsidRPr="00975C02" w:rsidRDefault="00E86AA2" w:rsidP="00227B1E">
            <w:pPr>
              <w:tabs>
                <w:tab w:val="left" w:pos="964"/>
              </w:tabs>
              <w:spacing w:before="40" w:after="120"/>
            </w:pPr>
            <w:r w:rsidRPr="00683A53">
              <w:rPr>
                <w:i/>
              </w:rPr>
              <w:t>Mesure des résultats</w:t>
            </w:r>
            <w:r w:rsidRPr="00975C02">
              <w:t> :</w:t>
            </w:r>
            <w:r w:rsidRPr="00975C02">
              <w:br/>
              <w:t>Référence 2016-2017 : 2017 : À indiquer</w:t>
            </w:r>
          </w:p>
        </w:tc>
      </w:tr>
      <w:tr w:rsidR="00227B1E" w:rsidRPr="00975C02" w:rsidTr="00EC31A2">
        <w:trPr>
          <w:trHeight w:val="20"/>
        </w:trPr>
        <w:tc>
          <w:tcPr>
            <w:tcW w:w="3119" w:type="dxa"/>
            <w:shd w:val="clear" w:color="auto" w:fill="auto"/>
          </w:tcPr>
          <w:p w:rsidR="00227B1E" w:rsidRPr="00975C02" w:rsidRDefault="00227B1E" w:rsidP="00E37EC6">
            <w:pPr>
              <w:spacing w:before="40" w:after="120"/>
              <w:ind w:right="113"/>
              <w:rPr>
                <w:b/>
              </w:rPr>
            </w:pPr>
          </w:p>
        </w:tc>
        <w:tc>
          <w:tcPr>
            <w:tcW w:w="1984" w:type="dxa"/>
            <w:shd w:val="clear" w:color="auto" w:fill="auto"/>
          </w:tcPr>
          <w:p w:rsidR="00227B1E" w:rsidRPr="00975C02" w:rsidRDefault="00227B1E" w:rsidP="00975C02">
            <w:pPr>
              <w:spacing w:before="40" w:after="120"/>
              <w:ind w:right="113"/>
            </w:pPr>
          </w:p>
        </w:tc>
        <w:tc>
          <w:tcPr>
            <w:tcW w:w="4534" w:type="dxa"/>
            <w:shd w:val="clear" w:color="auto" w:fill="auto"/>
          </w:tcPr>
          <w:p w:rsidR="00227B1E" w:rsidRPr="00683A53" w:rsidRDefault="00227B1E" w:rsidP="00227B1E">
            <w:pPr>
              <w:tabs>
                <w:tab w:val="left" w:pos="964"/>
              </w:tabs>
              <w:spacing w:before="40" w:after="120"/>
              <w:rPr>
                <w:i/>
              </w:rPr>
            </w:pPr>
            <w:r w:rsidRPr="00975C02">
              <w:t>Objectif pour 2018-2019 : 35</w:t>
            </w:r>
          </w:p>
        </w:tc>
      </w:tr>
      <w:tr w:rsidR="00E86AA2" w:rsidRPr="00975C02" w:rsidTr="00EC31A2">
        <w:trPr>
          <w:trHeight w:val="20"/>
        </w:trPr>
        <w:tc>
          <w:tcPr>
            <w:tcW w:w="3119" w:type="dxa"/>
            <w:shd w:val="clear" w:color="auto" w:fill="auto"/>
          </w:tcPr>
          <w:p w:rsidR="00E86AA2" w:rsidRPr="00975C02" w:rsidRDefault="00E86AA2" w:rsidP="00E37EC6">
            <w:pPr>
              <w:spacing w:before="40" w:after="120"/>
              <w:ind w:right="113"/>
              <w:rPr>
                <w:b/>
              </w:rPr>
            </w:pPr>
          </w:p>
        </w:tc>
        <w:tc>
          <w:tcPr>
            <w:tcW w:w="1984" w:type="dxa"/>
            <w:shd w:val="clear" w:color="auto" w:fill="auto"/>
          </w:tcPr>
          <w:p w:rsidR="00E86AA2" w:rsidRPr="00975C02" w:rsidRDefault="00E86AA2" w:rsidP="00975C02">
            <w:pPr>
              <w:spacing w:before="40" w:after="120"/>
              <w:ind w:right="113"/>
            </w:pPr>
          </w:p>
        </w:tc>
        <w:tc>
          <w:tcPr>
            <w:tcW w:w="4534" w:type="dxa"/>
            <w:shd w:val="clear" w:color="auto" w:fill="auto"/>
          </w:tcPr>
          <w:p w:rsidR="00E86AA2" w:rsidRPr="00975C02" w:rsidRDefault="00E86AA2" w:rsidP="00733585">
            <w:pPr>
              <w:tabs>
                <w:tab w:val="left" w:pos="964"/>
              </w:tabs>
              <w:spacing w:before="40" w:after="120"/>
            </w:pPr>
            <w:r w:rsidRPr="00975C02">
              <w:t>IS</w:t>
            </w:r>
            <w:r>
              <w:t xml:space="preserve"> 6</w:t>
            </w:r>
            <w:r w:rsidRPr="00975C02">
              <w:t xml:space="preserve"> b)</w:t>
            </w:r>
            <w:r w:rsidR="00733585">
              <w:t xml:space="preserve"> </w:t>
            </w:r>
            <w:r w:rsidRPr="00975C02">
              <w:t>Nombre d’amendements et de lignes actualisées ou modifiées dans l’AGTC et son Protocole</w:t>
            </w:r>
          </w:p>
        </w:tc>
      </w:tr>
      <w:tr w:rsidR="00E86AA2" w:rsidRPr="00975C02" w:rsidTr="00EC31A2">
        <w:trPr>
          <w:trHeight w:val="20"/>
        </w:trPr>
        <w:tc>
          <w:tcPr>
            <w:tcW w:w="3119" w:type="dxa"/>
            <w:shd w:val="clear" w:color="auto" w:fill="auto"/>
          </w:tcPr>
          <w:p w:rsidR="00E86AA2" w:rsidRPr="00975C02" w:rsidRDefault="00E86AA2" w:rsidP="00E37EC6">
            <w:pPr>
              <w:spacing w:before="40" w:after="120"/>
              <w:ind w:right="113"/>
              <w:rPr>
                <w:b/>
              </w:rPr>
            </w:pPr>
          </w:p>
        </w:tc>
        <w:tc>
          <w:tcPr>
            <w:tcW w:w="1984" w:type="dxa"/>
            <w:shd w:val="clear" w:color="auto" w:fill="auto"/>
          </w:tcPr>
          <w:p w:rsidR="00E86AA2" w:rsidRPr="00975C02" w:rsidRDefault="00E86AA2" w:rsidP="00975C02">
            <w:pPr>
              <w:spacing w:before="40" w:after="120"/>
              <w:ind w:right="113"/>
            </w:pPr>
          </w:p>
        </w:tc>
        <w:tc>
          <w:tcPr>
            <w:tcW w:w="4534" w:type="dxa"/>
            <w:shd w:val="clear" w:color="auto" w:fill="auto"/>
          </w:tcPr>
          <w:p w:rsidR="00E86AA2" w:rsidRPr="00975C02" w:rsidRDefault="00E86AA2" w:rsidP="00227B1E">
            <w:pPr>
              <w:tabs>
                <w:tab w:val="left" w:pos="964"/>
              </w:tabs>
              <w:spacing w:before="40" w:after="120"/>
            </w:pPr>
            <w:r w:rsidRPr="00683A53">
              <w:rPr>
                <w:i/>
              </w:rPr>
              <w:t>Mesure des résultats</w:t>
            </w:r>
            <w:r w:rsidRPr="00975C02">
              <w:t> :</w:t>
            </w:r>
            <w:r w:rsidRPr="00975C02">
              <w:br/>
              <w:t>Référence 20</w:t>
            </w:r>
            <w:r w:rsidR="00227B1E">
              <w:t>16-2017 : 1 amendement en 2016</w:t>
            </w:r>
          </w:p>
        </w:tc>
      </w:tr>
      <w:tr w:rsidR="00227B1E" w:rsidRPr="00975C02" w:rsidTr="00EC31A2">
        <w:trPr>
          <w:trHeight w:val="20"/>
        </w:trPr>
        <w:tc>
          <w:tcPr>
            <w:tcW w:w="3119" w:type="dxa"/>
            <w:shd w:val="clear" w:color="auto" w:fill="auto"/>
          </w:tcPr>
          <w:p w:rsidR="00227B1E" w:rsidRPr="00975C02" w:rsidRDefault="00227B1E" w:rsidP="00E37EC6">
            <w:pPr>
              <w:spacing w:before="40" w:after="120"/>
              <w:ind w:right="113"/>
              <w:rPr>
                <w:b/>
              </w:rPr>
            </w:pPr>
          </w:p>
        </w:tc>
        <w:tc>
          <w:tcPr>
            <w:tcW w:w="1984" w:type="dxa"/>
            <w:shd w:val="clear" w:color="auto" w:fill="auto"/>
          </w:tcPr>
          <w:p w:rsidR="00227B1E" w:rsidRPr="00975C02" w:rsidRDefault="00227B1E" w:rsidP="00975C02">
            <w:pPr>
              <w:spacing w:before="40" w:after="120"/>
              <w:ind w:right="113"/>
            </w:pPr>
          </w:p>
        </w:tc>
        <w:tc>
          <w:tcPr>
            <w:tcW w:w="4534" w:type="dxa"/>
            <w:shd w:val="clear" w:color="auto" w:fill="auto"/>
          </w:tcPr>
          <w:p w:rsidR="00227B1E" w:rsidRPr="00683A53" w:rsidRDefault="00227B1E" w:rsidP="000B3701">
            <w:pPr>
              <w:tabs>
                <w:tab w:val="left" w:pos="964"/>
              </w:tabs>
              <w:spacing w:before="40" w:after="120"/>
              <w:rPr>
                <w:i/>
              </w:rPr>
            </w:pPr>
            <w:r w:rsidRPr="00975C02">
              <w:t>Objectif pour 2018-2019 : 2 amendements</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6 c)</w:t>
            </w:r>
            <w:r w:rsidR="00733585">
              <w:t xml:space="preserve"> </w:t>
            </w:r>
            <w:r w:rsidRPr="00975C02">
              <w:t>Niveau de satisfaction des participants quant à l’utilité des renseignements obtenus ainsi que des réunions et activités, mesuré au moyen d’enquêtes qui seront menées après les sessions ou d’observations communiquées au secrétariat</w:t>
            </w:r>
          </w:p>
        </w:tc>
      </w:tr>
      <w:tr w:rsidR="00E86AA2" w:rsidRPr="00975C02" w:rsidTr="00EC31A2">
        <w:trPr>
          <w:trHeight w:val="20"/>
        </w:trPr>
        <w:tc>
          <w:tcPr>
            <w:tcW w:w="3119" w:type="dxa"/>
            <w:shd w:val="clear" w:color="auto" w:fill="auto"/>
          </w:tcPr>
          <w:p w:rsidR="00E86AA2" w:rsidRPr="00975C02" w:rsidRDefault="00E86AA2" w:rsidP="00E37EC6">
            <w:pPr>
              <w:spacing w:before="40" w:after="120"/>
              <w:ind w:right="113"/>
              <w:rPr>
                <w:b/>
              </w:rPr>
            </w:pPr>
          </w:p>
        </w:tc>
        <w:tc>
          <w:tcPr>
            <w:tcW w:w="1984" w:type="dxa"/>
            <w:shd w:val="clear" w:color="auto" w:fill="auto"/>
          </w:tcPr>
          <w:p w:rsidR="00E86AA2" w:rsidRPr="00975C02" w:rsidRDefault="00E86AA2" w:rsidP="00975C02">
            <w:pPr>
              <w:spacing w:before="40" w:after="120"/>
              <w:ind w:right="113"/>
            </w:pPr>
          </w:p>
        </w:tc>
        <w:tc>
          <w:tcPr>
            <w:tcW w:w="4534" w:type="dxa"/>
            <w:shd w:val="clear" w:color="auto" w:fill="auto"/>
          </w:tcPr>
          <w:p w:rsidR="00E86AA2" w:rsidRPr="00975C02" w:rsidRDefault="00E86AA2" w:rsidP="000B3701">
            <w:pPr>
              <w:tabs>
                <w:tab w:val="left" w:pos="964"/>
              </w:tabs>
              <w:spacing w:before="40" w:after="120"/>
            </w:pPr>
            <w:r w:rsidRPr="00683A53">
              <w:rPr>
                <w:i/>
              </w:rPr>
              <w:t>Mesure des résultats</w:t>
            </w:r>
            <w:r w:rsidRPr="00975C02">
              <w:t xml:space="preserve"> : </w:t>
            </w:r>
            <w:r w:rsidRPr="00975C02">
              <w:br/>
              <w:t>Objectif pour 2018-2019 : 75</w:t>
            </w:r>
            <w:r w:rsidR="00C85CD7">
              <w:t> %</w:t>
            </w:r>
            <w:r w:rsidRPr="00975C02">
              <w:t xml:space="preserve"> de satisfaction</w:t>
            </w:r>
          </w:p>
        </w:tc>
      </w:tr>
      <w:tr w:rsidR="00EA7B3A" w:rsidRPr="00975C02" w:rsidTr="00C246F2">
        <w:trPr>
          <w:cantSplit/>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7 a)</w:t>
            </w:r>
            <w:r w:rsidRPr="00975C02">
              <w:tab/>
              <w:t xml:space="preserve">Problèmes douaniers intéressant les transports </w:t>
            </w:r>
          </w:p>
        </w:tc>
        <w:tc>
          <w:tcPr>
            <w:tcW w:w="4534" w:type="dxa"/>
            <w:shd w:val="clear" w:color="auto" w:fill="auto"/>
          </w:tcPr>
          <w:p w:rsidR="00EA7B3A" w:rsidRPr="00975C02" w:rsidRDefault="00EA7B3A" w:rsidP="00733585">
            <w:pPr>
              <w:tabs>
                <w:tab w:val="left" w:pos="964"/>
              </w:tabs>
              <w:spacing w:before="40" w:after="120"/>
            </w:pPr>
            <w:r w:rsidRPr="00975C02">
              <w:t>RE 7 a)</w:t>
            </w:r>
            <w:r w:rsidR="00733585">
              <w:t xml:space="preserve"> </w:t>
            </w:r>
            <w:r w:rsidRPr="00975C02">
              <w:t xml:space="preserve">Nouvelles adhésions aux instruments juridiques internationaux dans le domaine de la facilitation du passage des frontières et meilleure application de ces instruments </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7 a) a)</w:t>
            </w:r>
            <w:r w:rsidR="00733585">
              <w:t xml:space="preserve"> </w:t>
            </w:r>
            <w:r w:rsidRPr="00975C02">
              <w:t>Nombre cumulé de délégations de pays (Parties contractantes) et de participants aux sessions du Groupe de travail des problèmes douaniers intéressant les transports (WP.30) et de ses comités administratifs (AC.2 et AC.3) et aux réunions des groupes d’experts</w:t>
            </w:r>
          </w:p>
        </w:tc>
      </w:tr>
      <w:tr w:rsidR="00377876" w:rsidRPr="00975C02" w:rsidTr="00EC31A2">
        <w:trPr>
          <w:trHeight w:val="20"/>
        </w:trPr>
        <w:tc>
          <w:tcPr>
            <w:tcW w:w="3119" w:type="dxa"/>
            <w:shd w:val="clear" w:color="auto" w:fill="auto"/>
          </w:tcPr>
          <w:p w:rsidR="00377876" w:rsidRPr="00975C02" w:rsidRDefault="00377876" w:rsidP="00E37EC6">
            <w:pPr>
              <w:spacing w:before="40" w:after="120"/>
              <w:ind w:right="113"/>
              <w:rPr>
                <w:b/>
              </w:rPr>
            </w:pPr>
          </w:p>
        </w:tc>
        <w:tc>
          <w:tcPr>
            <w:tcW w:w="1984" w:type="dxa"/>
            <w:shd w:val="clear" w:color="auto" w:fill="auto"/>
          </w:tcPr>
          <w:p w:rsidR="00377876" w:rsidRPr="00975C02" w:rsidRDefault="00377876" w:rsidP="00975C02">
            <w:pPr>
              <w:spacing w:before="40" w:after="120"/>
              <w:ind w:right="113"/>
            </w:pPr>
          </w:p>
        </w:tc>
        <w:tc>
          <w:tcPr>
            <w:tcW w:w="4534" w:type="dxa"/>
            <w:shd w:val="clear" w:color="auto" w:fill="auto"/>
          </w:tcPr>
          <w:p w:rsidR="00377876" w:rsidRPr="00975C02" w:rsidRDefault="00377876" w:rsidP="00C246F2">
            <w:pPr>
              <w:tabs>
                <w:tab w:val="left" w:pos="964"/>
              </w:tabs>
              <w:spacing w:before="40" w:after="120"/>
            </w:pPr>
            <w:r w:rsidRPr="00377876">
              <w:rPr>
                <w:i/>
              </w:rPr>
              <w:t>Mesure des résultats</w:t>
            </w:r>
            <w:r w:rsidRPr="00975C02">
              <w:t> :</w:t>
            </w:r>
            <w:r w:rsidRPr="00975C02">
              <w:br/>
              <w:t>Référence 2016-2017 :</w:t>
            </w:r>
            <w:r>
              <w:t xml:space="preserve"> 400 délégations, 1 000 </w:t>
            </w:r>
            <w:r w:rsidRPr="00975C02">
              <w:t>participants</w:t>
            </w:r>
          </w:p>
        </w:tc>
      </w:tr>
      <w:tr w:rsidR="00C246F2" w:rsidRPr="00975C02" w:rsidTr="00EC31A2">
        <w:trPr>
          <w:trHeight w:val="20"/>
        </w:trPr>
        <w:tc>
          <w:tcPr>
            <w:tcW w:w="3119" w:type="dxa"/>
            <w:shd w:val="clear" w:color="auto" w:fill="auto"/>
          </w:tcPr>
          <w:p w:rsidR="00C246F2" w:rsidRPr="00975C02" w:rsidRDefault="00C246F2" w:rsidP="00E37EC6">
            <w:pPr>
              <w:spacing w:before="40" w:after="120"/>
              <w:ind w:right="113"/>
              <w:rPr>
                <w:b/>
              </w:rPr>
            </w:pPr>
          </w:p>
        </w:tc>
        <w:tc>
          <w:tcPr>
            <w:tcW w:w="1984" w:type="dxa"/>
            <w:shd w:val="clear" w:color="auto" w:fill="auto"/>
          </w:tcPr>
          <w:p w:rsidR="00C246F2" w:rsidRPr="00975C02" w:rsidRDefault="00C246F2" w:rsidP="00975C02">
            <w:pPr>
              <w:spacing w:before="40" w:after="120"/>
              <w:ind w:right="113"/>
            </w:pPr>
          </w:p>
        </w:tc>
        <w:tc>
          <w:tcPr>
            <w:tcW w:w="4534" w:type="dxa"/>
            <w:shd w:val="clear" w:color="auto" w:fill="auto"/>
          </w:tcPr>
          <w:p w:rsidR="00C246F2" w:rsidRPr="00377876" w:rsidRDefault="00C246F2" w:rsidP="00EE3734">
            <w:pPr>
              <w:tabs>
                <w:tab w:val="left" w:pos="964"/>
              </w:tabs>
              <w:spacing w:before="40" w:after="120"/>
              <w:rPr>
                <w:i/>
              </w:rPr>
            </w:pPr>
            <w:r w:rsidRPr="00975C02">
              <w:t>Résultat obtenu en 2016-2017 :</w:t>
            </w:r>
            <w:r>
              <w:t xml:space="preserve"> 450 délégations, 993 </w:t>
            </w:r>
            <w:r w:rsidRPr="00975C02">
              <w:t>participants</w:t>
            </w:r>
          </w:p>
        </w:tc>
      </w:tr>
      <w:tr w:rsidR="00EE3734" w:rsidRPr="00975C02" w:rsidTr="00EC31A2">
        <w:trPr>
          <w:trHeight w:val="20"/>
        </w:trPr>
        <w:tc>
          <w:tcPr>
            <w:tcW w:w="3119" w:type="dxa"/>
            <w:shd w:val="clear" w:color="auto" w:fill="auto"/>
          </w:tcPr>
          <w:p w:rsidR="00EE3734" w:rsidRPr="00975C02" w:rsidRDefault="00EE3734" w:rsidP="00E37EC6">
            <w:pPr>
              <w:spacing w:before="40" w:after="120"/>
              <w:ind w:right="113"/>
              <w:rPr>
                <w:b/>
              </w:rPr>
            </w:pPr>
          </w:p>
        </w:tc>
        <w:tc>
          <w:tcPr>
            <w:tcW w:w="1984" w:type="dxa"/>
            <w:shd w:val="clear" w:color="auto" w:fill="auto"/>
          </w:tcPr>
          <w:p w:rsidR="00EE3734" w:rsidRPr="00975C02" w:rsidRDefault="00EE3734" w:rsidP="00975C02">
            <w:pPr>
              <w:spacing w:before="40" w:after="120"/>
              <w:ind w:right="113"/>
            </w:pPr>
          </w:p>
        </w:tc>
        <w:tc>
          <w:tcPr>
            <w:tcW w:w="4534" w:type="dxa"/>
            <w:shd w:val="clear" w:color="auto" w:fill="auto"/>
          </w:tcPr>
          <w:p w:rsidR="00EE3734" w:rsidRPr="00377876" w:rsidRDefault="00EE3734" w:rsidP="000B3701">
            <w:pPr>
              <w:tabs>
                <w:tab w:val="left" w:pos="964"/>
              </w:tabs>
              <w:spacing w:before="40" w:after="120"/>
              <w:rPr>
                <w:i/>
              </w:rPr>
            </w:pPr>
            <w:r w:rsidRPr="00975C02">
              <w:t>Objectif pour 2018-2019 : 475 délégations, 1</w:t>
            </w:r>
            <w:r>
              <w:t> 150 </w:t>
            </w:r>
            <w:r w:rsidRPr="00975C02">
              <w:t>participants</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7 a) b)</w:t>
            </w:r>
            <w:r w:rsidR="00733585">
              <w:t xml:space="preserve"> </w:t>
            </w:r>
            <w:r w:rsidRPr="00975C02">
              <w:t xml:space="preserve">Nombre de nouveaux amendements adoptés et/ou examinés et nombre de nouvelles Parties contractantes </w:t>
            </w:r>
          </w:p>
        </w:tc>
      </w:tr>
      <w:tr w:rsidR="00377876" w:rsidRPr="00975C02" w:rsidTr="00EC31A2">
        <w:trPr>
          <w:trHeight w:val="20"/>
        </w:trPr>
        <w:tc>
          <w:tcPr>
            <w:tcW w:w="3119" w:type="dxa"/>
            <w:shd w:val="clear" w:color="auto" w:fill="auto"/>
          </w:tcPr>
          <w:p w:rsidR="00377876" w:rsidRPr="00975C02" w:rsidRDefault="00377876" w:rsidP="00E37EC6">
            <w:pPr>
              <w:spacing w:before="40" w:after="120"/>
              <w:ind w:right="113"/>
              <w:rPr>
                <w:b/>
              </w:rPr>
            </w:pPr>
          </w:p>
        </w:tc>
        <w:tc>
          <w:tcPr>
            <w:tcW w:w="1984" w:type="dxa"/>
            <w:shd w:val="clear" w:color="auto" w:fill="auto"/>
          </w:tcPr>
          <w:p w:rsidR="00377876" w:rsidRPr="00975C02" w:rsidRDefault="00377876" w:rsidP="00975C02">
            <w:pPr>
              <w:spacing w:before="40" w:after="120"/>
              <w:ind w:right="113"/>
            </w:pPr>
          </w:p>
        </w:tc>
        <w:tc>
          <w:tcPr>
            <w:tcW w:w="4534" w:type="dxa"/>
            <w:shd w:val="clear" w:color="auto" w:fill="auto"/>
          </w:tcPr>
          <w:p w:rsidR="00377876" w:rsidRPr="00975C02" w:rsidRDefault="00377876" w:rsidP="00C246F2">
            <w:pPr>
              <w:tabs>
                <w:tab w:val="left" w:pos="964"/>
              </w:tabs>
              <w:spacing w:before="40" w:after="120"/>
            </w:pPr>
            <w:r w:rsidRPr="00683A53">
              <w:rPr>
                <w:i/>
              </w:rPr>
              <w:t>Mesure des résultats</w:t>
            </w:r>
            <w:r w:rsidRPr="00975C02">
              <w:t> :</w:t>
            </w:r>
            <w:r w:rsidRPr="00975C02">
              <w:br/>
              <w:t>Référence 2016-2017 :</w:t>
            </w:r>
            <w:r w:rsidR="003D190F">
              <w:t xml:space="preserve"> </w:t>
            </w:r>
            <w:r w:rsidRPr="00975C02">
              <w:t xml:space="preserve">3 amendements adoptés et/ou examinés, 2 nouvelles Parties contractantes </w:t>
            </w:r>
          </w:p>
        </w:tc>
      </w:tr>
      <w:tr w:rsidR="00C246F2" w:rsidRPr="00975C02" w:rsidTr="00EC31A2">
        <w:trPr>
          <w:trHeight w:val="20"/>
        </w:trPr>
        <w:tc>
          <w:tcPr>
            <w:tcW w:w="3119" w:type="dxa"/>
            <w:shd w:val="clear" w:color="auto" w:fill="auto"/>
          </w:tcPr>
          <w:p w:rsidR="00C246F2" w:rsidRPr="00975C02" w:rsidRDefault="00C246F2" w:rsidP="00E37EC6">
            <w:pPr>
              <w:spacing w:before="40" w:after="120"/>
              <w:ind w:right="113"/>
              <w:rPr>
                <w:b/>
              </w:rPr>
            </w:pPr>
          </w:p>
        </w:tc>
        <w:tc>
          <w:tcPr>
            <w:tcW w:w="1984" w:type="dxa"/>
            <w:shd w:val="clear" w:color="auto" w:fill="auto"/>
          </w:tcPr>
          <w:p w:rsidR="00C246F2" w:rsidRPr="00975C02" w:rsidRDefault="00C246F2" w:rsidP="00975C02">
            <w:pPr>
              <w:spacing w:before="40" w:after="120"/>
              <w:ind w:right="113"/>
            </w:pPr>
          </w:p>
        </w:tc>
        <w:tc>
          <w:tcPr>
            <w:tcW w:w="4534" w:type="dxa"/>
            <w:shd w:val="clear" w:color="auto" w:fill="auto"/>
          </w:tcPr>
          <w:p w:rsidR="00C246F2" w:rsidRPr="00683A53" w:rsidRDefault="00C246F2" w:rsidP="00EE3734">
            <w:pPr>
              <w:tabs>
                <w:tab w:val="left" w:pos="964"/>
              </w:tabs>
              <w:spacing w:before="40" w:after="120"/>
              <w:rPr>
                <w:i/>
              </w:rPr>
            </w:pPr>
            <w:r w:rsidRPr="00975C02">
              <w:t>Résultat obtenu en 2016-2017 :</w:t>
            </w:r>
            <w:r>
              <w:t xml:space="preserve"> 21 amendements, 4 </w:t>
            </w:r>
            <w:r w:rsidRPr="00975C02">
              <w:t>nouve</w:t>
            </w:r>
            <w:r>
              <w:t>lles Parties contractantes.</w:t>
            </w:r>
          </w:p>
        </w:tc>
      </w:tr>
      <w:tr w:rsidR="00EE3734" w:rsidRPr="00975C02" w:rsidTr="00EC31A2">
        <w:trPr>
          <w:trHeight w:val="20"/>
        </w:trPr>
        <w:tc>
          <w:tcPr>
            <w:tcW w:w="3119" w:type="dxa"/>
            <w:shd w:val="clear" w:color="auto" w:fill="auto"/>
          </w:tcPr>
          <w:p w:rsidR="00EE3734" w:rsidRPr="00975C02" w:rsidRDefault="00EE3734" w:rsidP="00E37EC6">
            <w:pPr>
              <w:spacing w:before="40" w:after="120"/>
              <w:ind w:right="113"/>
              <w:rPr>
                <w:b/>
              </w:rPr>
            </w:pPr>
          </w:p>
        </w:tc>
        <w:tc>
          <w:tcPr>
            <w:tcW w:w="1984" w:type="dxa"/>
            <w:shd w:val="clear" w:color="auto" w:fill="auto"/>
          </w:tcPr>
          <w:p w:rsidR="00EE3734" w:rsidRPr="00975C02" w:rsidRDefault="00EE3734" w:rsidP="00975C02">
            <w:pPr>
              <w:spacing w:before="40" w:after="120"/>
              <w:ind w:right="113"/>
            </w:pPr>
          </w:p>
        </w:tc>
        <w:tc>
          <w:tcPr>
            <w:tcW w:w="4534" w:type="dxa"/>
            <w:shd w:val="clear" w:color="auto" w:fill="auto"/>
          </w:tcPr>
          <w:p w:rsidR="00EE3734" w:rsidRPr="00683A53" w:rsidRDefault="00EE3734" w:rsidP="000B3701">
            <w:pPr>
              <w:tabs>
                <w:tab w:val="left" w:pos="964"/>
              </w:tabs>
              <w:spacing w:before="40" w:after="120"/>
              <w:rPr>
                <w:i/>
              </w:rPr>
            </w:pPr>
            <w:r w:rsidRPr="00975C02">
              <w:t>Objectif pour 2018-2019 :</w:t>
            </w:r>
            <w:r>
              <w:t xml:space="preserve"> 3 amendements, 2 </w:t>
            </w:r>
            <w:r w:rsidRPr="00975C02">
              <w:t>nouvelles Parties contractantes</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8.</w:t>
            </w:r>
            <w:r w:rsidRPr="00975C02">
              <w:tab/>
              <w:t xml:space="preserve">Programme paneuropéen sur les transports, la santé et l’environnement (PPE-TSE) </w:t>
            </w:r>
          </w:p>
        </w:tc>
        <w:tc>
          <w:tcPr>
            <w:tcW w:w="4534" w:type="dxa"/>
            <w:shd w:val="clear" w:color="auto" w:fill="auto"/>
          </w:tcPr>
          <w:p w:rsidR="00EA7B3A" w:rsidRPr="00975C02" w:rsidRDefault="00EA7B3A" w:rsidP="00733585">
            <w:pPr>
              <w:tabs>
                <w:tab w:val="left" w:pos="964"/>
              </w:tabs>
              <w:spacing w:before="40" w:after="120"/>
            </w:pPr>
            <w:r w:rsidRPr="00975C02">
              <w:t>RE 8.</w:t>
            </w:r>
            <w:r w:rsidR="00733585">
              <w:t xml:space="preserve"> </w:t>
            </w:r>
            <w:r w:rsidRPr="00975C02">
              <w:t xml:space="preserve">Meilleure intégration des politiques relatives aux transports, à la santé et à l’environnement par l’échange de données d’expérience et de bonnes pratiques et le renforcement des capacités, en mettant l’accent sur les pays d’Europe orientale, du Caucase et d’Asie centrale (EOCAC) et les pays d’Europe du Sud-Est (ESE) </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8.</w:t>
            </w:r>
            <w:r w:rsidR="00733585">
              <w:t xml:space="preserve"> </w:t>
            </w:r>
            <w:r w:rsidRPr="00975C02">
              <w:t xml:space="preserve">Plus grand engagement des États membres et des coordonnateurs du Programme PPE-TSE dans les domaines des transports, de la santé et de l’environnement, dans le cadre du Programme </w:t>
            </w:r>
          </w:p>
        </w:tc>
      </w:tr>
      <w:tr w:rsidR="00377876" w:rsidRPr="00975C02" w:rsidTr="00EC31A2">
        <w:trPr>
          <w:trHeight w:val="20"/>
        </w:trPr>
        <w:tc>
          <w:tcPr>
            <w:tcW w:w="3119" w:type="dxa"/>
            <w:shd w:val="clear" w:color="auto" w:fill="auto"/>
          </w:tcPr>
          <w:p w:rsidR="00377876" w:rsidRPr="00975C02" w:rsidRDefault="00377876" w:rsidP="00E37EC6">
            <w:pPr>
              <w:spacing w:before="40" w:after="120"/>
              <w:ind w:right="113"/>
              <w:rPr>
                <w:b/>
              </w:rPr>
            </w:pPr>
          </w:p>
        </w:tc>
        <w:tc>
          <w:tcPr>
            <w:tcW w:w="1984" w:type="dxa"/>
            <w:shd w:val="clear" w:color="auto" w:fill="auto"/>
          </w:tcPr>
          <w:p w:rsidR="00377876" w:rsidRPr="00975C02" w:rsidRDefault="00377876" w:rsidP="00975C02">
            <w:pPr>
              <w:spacing w:before="40" w:after="120"/>
              <w:ind w:right="113"/>
            </w:pPr>
          </w:p>
        </w:tc>
        <w:tc>
          <w:tcPr>
            <w:tcW w:w="4534" w:type="dxa"/>
            <w:shd w:val="clear" w:color="auto" w:fill="auto"/>
          </w:tcPr>
          <w:p w:rsidR="00377876" w:rsidRPr="00975C02" w:rsidRDefault="00377876" w:rsidP="008B1007">
            <w:pPr>
              <w:tabs>
                <w:tab w:val="left" w:pos="964"/>
              </w:tabs>
              <w:spacing w:before="40" w:after="120"/>
            </w:pPr>
            <w:r w:rsidRPr="000C3EDC">
              <w:rPr>
                <w:i/>
              </w:rPr>
              <w:t>Mesure des résultats</w:t>
            </w:r>
            <w:r w:rsidRPr="00975C02">
              <w:t> :</w:t>
            </w:r>
            <w:r w:rsidRPr="00975C02">
              <w:br/>
              <w:t xml:space="preserve">Référence 2017 : 60 pays </w:t>
            </w:r>
            <w:r w:rsidR="008B1007">
              <w:t>et</w:t>
            </w:r>
            <w:r w:rsidRPr="00975C02">
              <w:t xml:space="preserve"> 43 organisations intergouvernementales et non gouvernementales ;</w:t>
            </w:r>
            <w:r>
              <w:t xml:space="preserve"> 5 </w:t>
            </w:r>
            <w:r w:rsidRPr="00975C02">
              <w:t xml:space="preserve">ateliers de renforcement des capacités et 2 sessions </w:t>
            </w:r>
            <w:r>
              <w:t>du Comité directeur.</w:t>
            </w:r>
          </w:p>
        </w:tc>
      </w:tr>
      <w:tr w:rsidR="00EE3734" w:rsidRPr="00975C02" w:rsidTr="00EC31A2">
        <w:trPr>
          <w:trHeight w:val="20"/>
        </w:trPr>
        <w:tc>
          <w:tcPr>
            <w:tcW w:w="3119" w:type="dxa"/>
            <w:shd w:val="clear" w:color="auto" w:fill="auto"/>
          </w:tcPr>
          <w:p w:rsidR="00EE3734" w:rsidRPr="00975C02" w:rsidRDefault="00EE3734" w:rsidP="00E37EC6">
            <w:pPr>
              <w:spacing w:before="40" w:after="120"/>
              <w:ind w:right="113"/>
              <w:rPr>
                <w:b/>
              </w:rPr>
            </w:pPr>
          </w:p>
        </w:tc>
        <w:tc>
          <w:tcPr>
            <w:tcW w:w="1984" w:type="dxa"/>
            <w:shd w:val="clear" w:color="auto" w:fill="auto"/>
          </w:tcPr>
          <w:p w:rsidR="00EE3734" w:rsidRPr="00975C02" w:rsidRDefault="00EE3734" w:rsidP="00975C02">
            <w:pPr>
              <w:spacing w:before="40" w:after="120"/>
              <w:ind w:right="113"/>
            </w:pPr>
          </w:p>
        </w:tc>
        <w:tc>
          <w:tcPr>
            <w:tcW w:w="4534" w:type="dxa"/>
            <w:shd w:val="clear" w:color="auto" w:fill="auto"/>
          </w:tcPr>
          <w:p w:rsidR="00EE3734" w:rsidRPr="000C3EDC" w:rsidRDefault="00EE3734" w:rsidP="000B3701">
            <w:pPr>
              <w:tabs>
                <w:tab w:val="left" w:pos="964"/>
              </w:tabs>
              <w:spacing w:before="40" w:after="120"/>
              <w:rPr>
                <w:i/>
              </w:rPr>
            </w:pPr>
            <w:r w:rsidRPr="00975C02">
              <w:t>Objectif pour 2018-2019 : 60 pays et 20 organisations intergouvernementales et non gouvernementales ;</w:t>
            </w:r>
            <w:r>
              <w:t xml:space="preserve"> 3 </w:t>
            </w:r>
            <w:r w:rsidRPr="00975C02">
              <w:t>ateliers de renforcement des capacités et 2 sessions du Comité directeur</w:t>
            </w:r>
          </w:p>
        </w:tc>
      </w:tr>
      <w:tr w:rsidR="00EA7B3A" w:rsidRPr="00975C02" w:rsidTr="00733585">
        <w:trPr>
          <w:cantSplit/>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9 a)</w:t>
            </w:r>
            <w:r w:rsidRPr="00975C02">
              <w:tab/>
              <w:t xml:space="preserve">Transport de marchandises dangereuses (CEE) </w:t>
            </w:r>
          </w:p>
        </w:tc>
        <w:tc>
          <w:tcPr>
            <w:tcW w:w="4534" w:type="dxa"/>
            <w:shd w:val="clear" w:color="auto" w:fill="auto"/>
          </w:tcPr>
          <w:p w:rsidR="00EA7B3A" w:rsidRPr="00975C02" w:rsidRDefault="00EA7B3A" w:rsidP="00B01591">
            <w:pPr>
              <w:tabs>
                <w:tab w:val="left" w:pos="964"/>
              </w:tabs>
              <w:spacing w:before="40" w:after="120"/>
            </w:pPr>
            <w:r w:rsidRPr="00975C02">
              <w:t>RE 9 a)</w:t>
            </w:r>
            <w:r w:rsidR="00733585">
              <w:t xml:space="preserve"> </w:t>
            </w:r>
            <w:r w:rsidRPr="00975C02">
              <w:t xml:space="preserve">Adoption d’amendements à l’ADR et, à l’issue d’activités communes entreprises avec l’Organisation intergouvernementale pour les transports internationaux ferroviaires (OTIF) et la Commission centrale pour la navigation du Rhin (CCNR) respectivement, d’amendements au RID et à l’ADN, afin de conserver le niveau nécessaire de sûreté, de sécurité et de protection de l’environnement dans un dispositif réglementaire harmonisé et cohérent applicable au transport des marchandises dangereuses, en s’inspirant des Recommandations de l’ONU relatives au transport des marchandises dangereuses ; mise en application effective par la voie de la législation internationale et nationale </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0A62DC">
            <w:pPr>
              <w:tabs>
                <w:tab w:val="left" w:pos="964"/>
              </w:tabs>
              <w:spacing w:before="40" w:after="120"/>
            </w:pPr>
            <w:r w:rsidRPr="00975C02">
              <w:t>IS 9 a) a)</w:t>
            </w:r>
            <w:r w:rsidR="00733585">
              <w:t xml:space="preserve"> </w:t>
            </w:r>
            <w:r w:rsidRPr="00975C02">
              <w:t>Amendements à l’ADR, au RID et à l’ADN adoptés en 2017 et 2018 et devant entrer en vigueur le 1</w:t>
            </w:r>
            <w:r w:rsidRPr="00975C02">
              <w:rPr>
                <w:vertAlign w:val="superscript"/>
              </w:rPr>
              <w:t>er</w:t>
            </w:r>
            <w:r w:rsidR="00EE3734">
              <w:t> </w:t>
            </w:r>
            <w:r w:rsidRPr="00975C02">
              <w:t>janvier 2019 pour le transport international et applicables à compter du 1</w:t>
            </w:r>
            <w:r w:rsidRPr="00975C02">
              <w:rPr>
                <w:vertAlign w:val="superscript"/>
              </w:rPr>
              <w:t>er</w:t>
            </w:r>
            <w:r w:rsidR="00BE7A0D">
              <w:t> </w:t>
            </w:r>
            <w:r w:rsidRPr="00975C02">
              <w:t>juillet 201</w:t>
            </w:r>
            <w:r w:rsidR="000A62DC">
              <w:t>9</w:t>
            </w:r>
            <w:r w:rsidRPr="00975C02">
              <w:t xml:space="preserve"> pour la circulation intérieure dans tous les pays membres de l’Union européenne et de l’Espace économique européen (EEE), correspondant notamment à la vingtième édition révisée des Recommandations de l’Organisation des Nations Unies relatives au transport des marchandises dangereuses (Règlement type, 2017)</w:t>
            </w:r>
          </w:p>
        </w:tc>
      </w:tr>
      <w:tr w:rsidR="00CD782B" w:rsidRPr="00975C02" w:rsidTr="00EC31A2">
        <w:trPr>
          <w:trHeight w:val="20"/>
        </w:trPr>
        <w:tc>
          <w:tcPr>
            <w:tcW w:w="3119" w:type="dxa"/>
            <w:shd w:val="clear" w:color="auto" w:fill="auto"/>
          </w:tcPr>
          <w:p w:rsidR="00CD782B" w:rsidRPr="00975C02" w:rsidRDefault="00CD782B" w:rsidP="00E37EC6">
            <w:pPr>
              <w:spacing w:before="40" w:after="120"/>
              <w:ind w:right="113"/>
              <w:rPr>
                <w:b/>
              </w:rPr>
            </w:pPr>
          </w:p>
        </w:tc>
        <w:tc>
          <w:tcPr>
            <w:tcW w:w="1984" w:type="dxa"/>
            <w:shd w:val="clear" w:color="auto" w:fill="auto"/>
          </w:tcPr>
          <w:p w:rsidR="00CD782B" w:rsidRPr="00975C02" w:rsidRDefault="00CD782B" w:rsidP="00975C02">
            <w:pPr>
              <w:spacing w:before="40" w:after="120"/>
              <w:ind w:right="113"/>
            </w:pPr>
          </w:p>
        </w:tc>
        <w:tc>
          <w:tcPr>
            <w:tcW w:w="4534" w:type="dxa"/>
            <w:shd w:val="clear" w:color="auto" w:fill="auto"/>
          </w:tcPr>
          <w:p w:rsidR="00CD782B" w:rsidRPr="00975C02" w:rsidRDefault="00CD782B" w:rsidP="008355FD">
            <w:pPr>
              <w:tabs>
                <w:tab w:val="left" w:pos="964"/>
              </w:tabs>
              <w:spacing w:before="40" w:after="120"/>
            </w:pPr>
            <w:r w:rsidRPr="000C3EDC">
              <w:rPr>
                <w:i/>
              </w:rPr>
              <w:t>Mesure des résultats</w:t>
            </w:r>
            <w:r w:rsidRPr="00975C02">
              <w:t> :</w:t>
            </w:r>
            <w:r w:rsidRPr="00975C02">
              <w:br/>
              <w:t xml:space="preserve">Référence 2016-2017 : 1 ensemble d’amendements pour chaque instrument juridique </w:t>
            </w:r>
          </w:p>
        </w:tc>
      </w:tr>
      <w:tr w:rsidR="00EE3734" w:rsidRPr="00975C02" w:rsidTr="00EC31A2">
        <w:trPr>
          <w:trHeight w:val="20"/>
        </w:trPr>
        <w:tc>
          <w:tcPr>
            <w:tcW w:w="3119" w:type="dxa"/>
            <w:shd w:val="clear" w:color="auto" w:fill="auto"/>
          </w:tcPr>
          <w:p w:rsidR="00EE3734" w:rsidRPr="00975C02" w:rsidRDefault="00EE3734" w:rsidP="00E37EC6">
            <w:pPr>
              <w:spacing w:before="40" w:after="120"/>
              <w:ind w:right="113"/>
              <w:rPr>
                <w:b/>
              </w:rPr>
            </w:pPr>
          </w:p>
        </w:tc>
        <w:tc>
          <w:tcPr>
            <w:tcW w:w="1984" w:type="dxa"/>
            <w:shd w:val="clear" w:color="auto" w:fill="auto"/>
          </w:tcPr>
          <w:p w:rsidR="00EE3734" w:rsidRPr="00975C02" w:rsidRDefault="00EE3734" w:rsidP="00975C02">
            <w:pPr>
              <w:spacing w:before="40" w:after="120"/>
              <w:ind w:right="113"/>
            </w:pPr>
          </w:p>
        </w:tc>
        <w:tc>
          <w:tcPr>
            <w:tcW w:w="4534" w:type="dxa"/>
            <w:shd w:val="clear" w:color="auto" w:fill="auto"/>
          </w:tcPr>
          <w:p w:rsidR="00EE3734" w:rsidRPr="000C3EDC" w:rsidRDefault="00EE3734" w:rsidP="00EE3734">
            <w:pPr>
              <w:tabs>
                <w:tab w:val="left" w:pos="964"/>
              </w:tabs>
              <w:spacing w:before="40" w:after="120"/>
              <w:rPr>
                <w:i/>
              </w:rPr>
            </w:pPr>
            <w:r w:rsidRPr="00975C02">
              <w:t>Objectif pour 2018-2019 : 1 ensemble d’amendements pour chaque instrument juridique</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9 a) b)</w:t>
            </w:r>
            <w:r w:rsidR="00733585">
              <w:t xml:space="preserve"> </w:t>
            </w:r>
            <w:r w:rsidRPr="00975C02">
              <w:t xml:space="preserve">Publication des éditions 2019 complètes et révisées de l’ADR et de l’ADN avant la fin 2018 </w:t>
            </w:r>
          </w:p>
        </w:tc>
      </w:tr>
      <w:tr w:rsidR="00CD782B" w:rsidRPr="00975C02" w:rsidTr="00EC31A2">
        <w:trPr>
          <w:trHeight w:val="20"/>
        </w:trPr>
        <w:tc>
          <w:tcPr>
            <w:tcW w:w="3119" w:type="dxa"/>
            <w:shd w:val="clear" w:color="auto" w:fill="auto"/>
          </w:tcPr>
          <w:p w:rsidR="00CD782B" w:rsidRPr="00975C02" w:rsidRDefault="00CD782B" w:rsidP="00E37EC6">
            <w:pPr>
              <w:spacing w:before="40" w:after="120"/>
              <w:ind w:right="113"/>
              <w:rPr>
                <w:b/>
              </w:rPr>
            </w:pPr>
          </w:p>
        </w:tc>
        <w:tc>
          <w:tcPr>
            <w:tcW w:w="1984" w:type="dxa"/>
            <w:shd w:val="clear" w:color="auto" w:fill="auto"/>
          </w:tcPr>
          <w:p w:rsidR="00CD782B" w:rsidRPr="00975C02" w:rsidRDefault="00CD782B" w:rsidP="00975C02">
            <w:pPr>
              <w:spacing w:before="40" w:after="120"/>
              <w:ind w:right="113"/>
            </w:pPr>
          </w:p>
        </w:tc>
        <w:tc>
          <w:tcPr>
            <w:tcW w:w="4534" w:type="dxa"/>
            <w:shd w:val="clear" w:color="auto" w:fill="auto"/>
          </w:tcPr>
          <w:p w:rsidR="00CD782B" w:rsidRPr="00975C02" w:rsidRDefault="00CD782B" w:rsidP="008355FD">
            <w:pPr>
              <w:tabs>
                <w:tab w:val="left" w:pos="964"/>
              </w:tabs>
              <w:spacing w:before="40" w:after="120"/>
            </w:pPr>
            <w:r w:rsidRPr="000C3EDC">
              <w:rPr>
                <w:i/>
              </w:rPr>
              <w:t>Mesure des résultats</w:t>
            </w:r>
            <w:r w:rsidRPr="00975C02">
              <w:t> :</w:t>
            </w:r>
            <w:r w:rsidRPr="00975C02">
              <w:br/>
              <w:t>Référence 2016-2017 : 1 ADR, 1 ADN</w:t>
            </w:r>
          </w:p>
        </w:tc>
      </w:tr>
      <w:tr w:rsidR="008355FD" w:rsidRPr="00975C02" w:rsidTr="00EC31A2">
        <w:trPr>
          <w:trHeight w:val="20"/>
        </w:trPr>
        <w:tc>
          <w:tcPr>
            <w:tcW w:w="3119" w:type="dxa"/>
            <w:shd w:val="clear" w:color="auto" w:fill="auto"/>
          </w:tcPr>
          <w:p w:rsidR="008355FD" w:rsidRPr="00975C02" w:rsidRDefault="008355FD" w:rsidP="00E37EC6">
            <w:pPr>
              <w:spacing w:before="40" w:after="120"/>
              <w:ind w:right="113"/>
              <w:rPr>
                <w:b/>
              </w:rPr>
            </w:pPr>
          </w:p>
        </w:tc>
        <w:tc>
          <w:tcPr>
            <w:tcW w:w="1984" w:type="dxa"/>
            <w:shd w:val="clear" w:color="auto" w:fill="auto"/>
          </w:tcPr>
          <w:p w:rsidR="008355FD" w:rsidRPr="00975C02" w:rsidRDefault="008355FD" w:rsidP="00975C02">
            <w:pPr>
              <w:spacing w:before="40" w:after="120"/>
              <w:ind w:right="113"/>
            </w:pPr>
          </w:p>
        </w:tc>
        <w:tc>
          <w:tcPr>
            <w:tcW w:w="4534" w:type="dxa"/>
            <w:shd w:val="clear" w:color="auto" w:fill="auto"/>
          </w:tcPr>
          <w:p w:rsidR="008355FD" w:rsidRPr="000C3EDC" w:rsidRDefault="008355FD" w:rsidP="000B3701">
            <w:pPr>
              <w:tabs>
                <w:tab w:val="left" w:pos="964"/>
              </w:tabs>
              <w:spacing w:before="40" w:after="120"/>
              <w:rPr>
                <w:i/>
              </w:rPr>
            </w:pPr>
            <w:r w:rsidRPr="00975C02">
              <w:t>Objectif pour 2018-2019 : 1 ADR, 1 ADN</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10 a)</w:t>
            </w:r>
            <w:r w:rsidRPr="00975C02">
              <w:tab/>
              <w:t xml:space="preserve">Transport de marchandises dangereuses (ECOSOC) </w:t>
            </w:r>
          </w:p>
        </w:tc>
        <w:tc>
          <w:tcPr>
            <w:tcW w:w="4534" w:type="dxa"/>
            <w:shd w:val="clear" w:color="auto" w:fill="auto"/>
          </w:tcPr>
          <w:p w:rsidR="00EA7B3A" w:rsidRPr="00975C02" w:rsidRDefault="00EA7B3A" w:rsidP="00733585">
            <w:pPr>
              <w:tabs>
                <w:tab w:val="left" w:pos="964"/>
              </w:tabs>
              <w:spacing w:before="40" w:after="120"/>
            </w:pPr>
            <w:r w:rsidRPr="00975C02">
              <w:t>RE 10 a)</w:t>
            </w:r>
            <w:r w:rsidR="00733585">
              <w:t xml:space="preserve"> </w:t>
            </w:r>
            <w:r w:rsidRPr="00975C02">
              <w:t xml:space="preserve">Adoption d’amendements aux Recommandations de l’ONU relatives au transport des marchandises dangereuses (Règlement type) et au Manuel d’épreuves et de critères et publication de nouvelles recommandations en 2018, et publication en 2019 des nouvelles versions récapitulatives du Règlement type et du Manuel d’épreuves et de critères comprenant les amendements et les nouvelles recommandations </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355FD">
            <w:pPr>
              <w:tabs>
                <w:tab w:val="left" w:pos="964"/>
              </w:tabs>
              <w:spacing w:before="40" w:after="120"/>
            </w:pPr>
            <w:r w:rsidRPr="00975C02">
              <w:t>IS 10 a) a)</w:t>
            </w:r>
            <w:r w:rsidR="00081151">
              <w:tab/>
            </w:r>
            <w:r w:rsidRPr="00975C02">
              <w:t xml:space="preserve">Amendements à la vingtième édition révisée du Règlement type et à la sixième édition révisée du Manuel d’épreuves et de critères adoptés en 2018 </w:t>
            </w:r>
          </w:p>
        </w:tc>
      </w:tr>
      <w:tr w:rsidR="00CD782B" w:rsidRPr="00975C02" w:rsidTr="00EC31A2">
        <w:trPr>
          <w:trHeight w:val="20"/>
        </w:trPr>
        <w:tc>
          <w:tcPr>
            <w:tcW w:w="3119" w:type="dxa"/>
            <w:shd w:val="clear" w:color="auto" w:fill="auto"/>
          </w:tcPr>
          <w:p w:rsidR="00CD782B" w:rsidRPr="00975C02" w:rsidRDefault="00CD782B" w:rsidP="00E37EC6">
            <w:pPr>
              <w:spacing w:before="40" w:after="120"/>
              <w:ind w:right="113"/>
              <w:rPr>
                <w:b/>
              </w:rPr>
            </w:pPr>
          </w:p>
        </w:tc>
        <w:tc>
          <w:tcPr>
            <w:tcW w:w="1984" w:type="dxa"/>
            <w:shd w:val="clear" w:color="auto" w:fill="auto"/>
          </w:tcPr>
          <w:p w:rsidR="00CD782B" w:rsidRPr="00975C02" w:rsidRDefault="00CD782B" w:rsidP="00975C02">
            <w:pPr>
              <w:spacing w:before="40" w:after="120"/>
              <w:ind w:right="113"/>
            </w:pPr>
          </w:p>
        </w:tc>
        <w:tc>
          <w:tcPr>
            <w:tcW w:w="4534" w:type="dxa"/>
            <w:shd w:val="clear" w:color="auto" w:fill="auto"/>
          </w:tcPr>
          <w:p w:rsidR="00CD782B" w:rsidRPr="00975C02" w:rsidRDefault="00CD782B" w:rsidP="008355FD">
            <w:pPr>
              <w:tabs>
                <w:tab w:val="left" w:pos="964"/>
              </w:tabs>
              <w:spacing w:before="40" w:after="120"/>
            </w:pPr>
            <w:r w:rsidRPr="000C3EDC">
              <w:rPr>
                <w:i/>
              </w:rPr>
              <w:t>Mesure des résultats</w:t>
            </w:r>
            <w:r w:rsidRPr="00975C02">
              <w:t> :</w:t>
            </w:r>
            <w:r w:rsidRPr="00975C02">
              <w:br/>
              <w:t xml:space="preserve">Référence 2016-2017 : 2 séries d’amendements </w:t>
            </w:r>
          </w:p>
        </w:tc>
      </w:tr>
      <w:tr w:rsidR="008355FD" w:rsidRPr="00975C02" w:rsidTr="00EC31A2">
        <w:trPr>
          <w:trHeight w:val="20"/>
        </w:trPr>
        <w:tc>
          <w:tcPr>
            <w:tcW w:w="3119" w:type="dxa"/>
            <w:shd w:val="clear" w:color="auto" w:fill="auto"/>
          </w:tcPr>
          <w:p w:rsidR="008355FD" w:rsidRPr="00975C02" w:rsidRDefault="008355FD" w:rsidP="00E37EC6">
            <w:pPr>
              <w:spacing w:before="40" w:after="120"/>
              <w:ind w:right="113"/>
              <w:rPr>
                <w:b/>
              </w:rPr>
            </w:pPr>
          </w:p>
        </w:tc>
        <w:tc>
          <w:tcPr>
            <w:tcW w:w="1984" w:type="dxa"/>
            <w:shd w:val="clear" w:color="auto" w:fill="auto"/>
          </w:tcPr>
          <w:p w:rsidR="008355FD" w:rsidRPr="00975C02" w:rsidRDefault="008355FD" w:rsidP="00975C02">
            <w:pPr>
              <w:spacing w:before="40" w:after="120"/>
              <w:ind w:right="113"/>
            </w:pPr>
          </w:p>
        </w:tc>
        <w:tc>
          <w:tcPr>
            <w:tcW w:w="4534" w:type="dxa"/>
            <w:shd w:val="clear" w:color="auto" w:fill="auto"/>
          </w:tcPr>
          <w:p w:rsidR="008355FD" w:rsidRPr="000C3EDC" w:rsidRDefault="008355FD" w:rsidP="000B3701">
            <w:pPr>
              <w:tabs>
                <w:tab w:val="left" w:pos="964"/>
              </w:tabs>
              <w:spacing w:before="40" w:after="120"/>
              <w:rPr>
                <w:i/>
              </w:rPr>
            </w:pPr>
            <w:r w:rsidRPr="00975C02">
              <w:t>Objectif pour 2018-2019 : 2 séries d’amendements</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10 a) b)</w:t>
            </w:r>
            <w:r w:rsidR="00733585">
              <w:t xml:space="preserve"> </w:t>
            </w:r>
            <w:r w:rsidRPr="00975C02">
              <w:t>Publication de la vingtième et unième édition révisée du Règlement type et de la septième édition révisée du Manuel (ou de l’amendement à la sixième édition révisée) avant la fin 2019</w:t>
            </w:r>
          </w:p>
        </w:tc>
      </w:tr>
      <w:tr w:rsidR="00CD782B" w:rsidRPr="00975C02" w:rsidTr="00EC31A2">
        <w:trPr>
          <w:trHeight w:val="20"/>
        </w:trPr>
        <w:tc>
          <w:tcPr>
            <w:tcW w:w="3119" w:type="dxa"/>
            <w:shd w:val="clear" w:color="auto" w:fill="auto"/>
          </w:tcPr>
          <w:p w:rsidR="00CD782B" w:rsidRPr="00975C02" w:rsidRDefault="00CD782B" w:rsidP="00E37EC6">
            <w:pPr>
              <w:spacing w:before="40" w:after="120"/>
              <w:ind w:right="113"/>
              <w:rPr>
                <w:b/>
              </w:rPr>
            </w:pPr>
          </w:p>
        </w:tc>
        <w:tc>
          <w:tcPr>
            <w:tcW w:w="1984" w:type="dxa"/>
            <w:shd w:val="clear" w:color="auto" w:fill="auto"/>
          </w:tcPr>
          <w:p w:rsidR="00CD782B" w:rsidRPr="00975C02" w:rsidRDefault="00CD782B" w:rsidP="00975C02">
            <w:pPr>
              <w:spacing w:before="40" w:after="120"/>
              <w:ind w:right="113"/>
            </w:pPr>
          </w:p>
        </w:tc>
        <w:tc>
          <w:tcPr>
            <w:tcW w:w="4534" w:type="dxa"/>
            <w:shd w:val="clear" w:color="auto" w:fill="auto"/>
          </w:tcPr>
          <w:p w:rsidR="00CD782B" w:rsidRPr="00975C02" w:rsidRDefault="00CD782B" w:rsidP="000B3701">
            <w:pPr>
              <w:tabs>
                <w:tab w:val="left" w:pos="964"/>
              </w:tabs>
              <w:spacing w:before="40" w:after="120"/>
            </w:pPr>
            <w:r w:rsidRPr="000C3EDC">
              <w:rPr>
                <w:i/>
              </w:rPr>
              <w:t>Mesure des résultats</w:t>
            </w:r>
            <w:r w:rsidRPr="00975C02">
              <w:t> :</w:t>
            </w:r>
            <w:r w:rsidRPr="00975C02">
              <w:br/>
              <w:t>Référence 2016-2017 :</w:t>
            </w:r>
            <w:r>
              <w:t xml:space="preserve"> 1 Règlement type et 1 </w:t>
            </w:r>
            <w:r w:rsidRPr="00975C02">
              <w:t>amendement à la sixième édition révisée du Manuel</w:t>
            </w:r>
          </w:p>
        </w:tc>
      </w:tr>
      <w:tr w:rsidR="008355FD" w:rsidRPr="00975C02" w:rsidTr="00EC31A2">
        <w:trPr>
          <w:trHeight w:val="20"/>
        </w:trPr>
        <w:tc>
          <w:tcPr>
            <w:tcW w:w="3119" w:type="dxa"/>
            <w:shd w:val="clear" w:color="auto" w:fill="auto"/>
          </w:tcPr>
          <w:p w:rsidR="008355FD" w:rsidRPr="00975C02" w:rsidRDefault="008355FD" w:rsidP="00E37EC6">
            <w:pPr>
              <w:spacing w:before="40" w:after="120"/>
              <w:ind w:right="113"/>
              <w:rPr>
                <w:b/>
              </w:rPr>
            </w:pPr>
          </w:p>
        </w:tc>
        <w:tc>
          <w:tcPr>
            <w:tcW w:w="1984" w:type="dxa"/>
            <w:shd w:val="clear" w:color="auto" w:fill="auto"/>
          </w:tcPr>
          <w:p w:rsidR="008355FD" w:rsidRPr="00975C02" w:rsidRDefault="008355FD" w:rsidP="00975C02">
            <w:pPr>
              <w:spacing w:before="40" w:after="120"/>
              <w:ind w:right="113"/>
            </w:pPr>
          </w:p>
        </w:tc>
        <w:tc>
          <w:tcPr>
            <w:tcW w:w="4534" w:type="dxa"/>
            <w:shd w:val="clear" w:color="auto" w:fill="auto"/>
          </w:tcPr>
          <w:p w:rsidR="008355FD" w:rsidRPr="000C3EDC" w:rsidRDefault="008355FD" w:rsidP="000B3701">
            <w:pPr>
              <w:tabs>
                <w:tab w:val="left" w:pos="964"/>
              </w:tabs>
              <w:spacing w:before="40" w:after="120"/>
              <w:rPr>
                <w:i/>
              </w:rPr>
            </w:pPr>
            <w:r w:rsidRPr="00975C02">
              <w:t>Objectif pour 2018-2019 :</w:t>
            </w:r>
            <w:r>
              <w:t xml:space="preserve"> 1 Règlement type et 1 </w:t>
            </w:r>
            <w:r w:rsidRPr="00975C02">
              <w:t>Manuel</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11 a)</w:t>
            </w:r>
            <w:r w:rsidR="00081151">
              <w:tab/>
            </w:r>
            <w:r w:rsidRPr="00975C02">
              <w:t xml:space="preserve">Système général harmonisé de classification et d’étiquetage des produits chimiques (SGH) </w:t>
            </w:r>
          </w:p>
        </w:tc>
        <w:tc>
          <w:tcPr>
            <w:tcW w:w="4534" w:type="dxa"/>
            <w:shd w:val="clear" w:color="auto" w:fill="auto"/>
          </w:tcPr>
          <w:p w:rsidR="00EA7B3A" w:rsidRPr="001A416A" w:rsidRDefault="00EA7B3A" w:rsidP="001A416A">
            <w:pPr>
              <w:tabs>
                <w:tab w:val="left" w:pos="964"/>
              </w:tabs>
              <w:spacing w:before="40" w:after="120"/>
              <w:rPr>
                <w:spacing w:val="-2"/>
              </w:rPr>
            </w:pPr>
            <w:r w:rsidRPr="001A416A">
              <w:rPr>
                <w:spacing w:val="-2"/>
              </w:rPr>
              <w:t>RE 11 a)</w:t>
            </w:r>
            <w:r w:rsidR="00733585" w:rsidRPr="001A416A">
              <w:rPr>
                <w:spacing w:val="-2"/>
              </w:rPr>
              <w:t xml:space="preserve"> </w:t>
            </w:r>
            <w:r w:rsidRPr="001A416A">
              <w:rPr>
                <w:spacing w:val="-2"/>
              </w:rPr>
              <w:t xml:space="preserve">Adoption d’amendements au Système général harmonisé visant à préciser ou harmoniser davantage les critères de classification et d’étiquetage actuels ou à adopter de nouveaux critères, de façon à maintenir ou renforcer le niveau de protection de l’environnement et des personnes qui fabriquent, manipulent, transportent ou utilisent des produits chimiques dangereux, en veillant à l’harmonisation et à la cohérence et en facilitant la mise en œuvre effective des dispositions dans la législation internationale et nationale, et publication en 2019 de la </w:t>
            </w:r>
            <w:r w:rsidR="001A416A" w:rsidRPr="001A416A">
              <w:rPr>
                <w:spacing w:val="-2"/>
              </w:rPr>
              <w:t>huitième</w:t>
            </w:r>
            <w:r w:rsidRPr="001A416A">
              <w:rPr>
                <w:spacing w:val="-2"/>
              </w:rPr>
              <w:t xml:space="preserve"> édition révisée du SGH</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11 a) a)</w:t>
            </w:r>
            <w:r w:rsidR="00733585">
              <w:t xml:space="preserve"> </w:t>
            </w:r>
            <w:r w:rsidRPr="00975C02">
              <w:t>Une série d’amendements au SGH adoptée en 2018</w:t>
            </w:r>
          </w:p>
        </w:tc>
      </w:tr>
      <w:tr w:rsidR="00CD782B" w:rsidRPr="00975C02" w:rsidTr="00EC31A2">
        <w:trPr>
          <w:trHeight w:val="20"/>
        </w:trPr>
        <w:tc>
          <w:tcPr>
            <w:tcW w:w="3119" w:type="dxa"/>
            <w:shd w:val="clear" w:color="auto" w:fill="auto"/>
          </w:tcPr>
          <w:p w:rsidR="00CD782B" w:rsidRPr="00975C02" w:rsidRDefault="00CD782B" w:rsidP="00E37EC6">
            <w:pPr>
              <w:spacing w:before="40" w:after="120"/>
              <w:ind w:right="113"/>
              <w:rPr>
                <w:b/>
              </w:rPr>
            </w:pPr>
          </w:p>
        </w:tc>
        <w:tc>
          <w:tcPr>
            <w:tcW w:w="1984" w:type="dxa"/>
            <w:shd w:val="clear" w:color="auto" w:fill="auto"/>
          </w:tcPr>
          <w:p w:rsidR="00CD782B" w:rsidRPr="00975C02" w:rsidRDefault="00CD782B" w:rsidP="00975C02">
            <w:pPr>
              <w:spacing w:before="40" w:after="120"/>
              <w:ind w:right="113"/>
            </w:pPr>
          </w:p>
        </w:tc>
        <w:tc>
          <w:tcPr>
            <w:tcW w:w="4534" w:type="dxa"/>
            <w:shd w:val="clear" w:color="auto" w:fill="auto"/>
          </w:tcPr>
          <w:p w:rsidR="00CD782B" w:rsidRPr="00975C02" w:rsidRDefault="00CD782B" w:rsidP="008355FD">
            <w:pPr>
              <w:tabs>
                <w:tab w:val="left" w:pos="964"/>
              </w:tabs>
              <w:spacing w:before="40" w:after="120"/>
            </w:pPr>
            <w:r w:rsidRPr="000C3EDC">
              <w:rPr>
                <w:i/>
              </w:rPr>
              <w:t>Mesure des résultats</w:t>
            </w:r>
            <w:r w:rsidRPr="00975C02">
              <w:t> :</w:t>
            </w:r>
            <w:r w:rsidRPr="00975C02">
              <w:br/>
              <w:t>Référence 20</w:t>
            </w:r>
            <w:r w:rsidR="008355FD">
              <w:t>16-2017 : 1 série d’amendements</w:t>
            </w:r>
          </w:p>
        </w:tc>
      </w:tr>
      <w:tr w:rsidR="008355FD" w:rsidRPr="00975C02" w:rsidTr="00EC31A2">
        <w:trPr>
          <w:trHeight w:val="20"/>
        </w:trPr>
        <w:tc>
          <w:tcPr>
            <w:tcW w:w="3119" w:type="dxa"/>
            <w:shd w:val="clear" w:color="auto" w:fill="auto"/>
          </w:tcPr>
          <w:p w:rsidR="008355FD" w:rsidRPr="00975C02" w:rsidRDefault="008355FD" w:rsidP="00E37EC6">
            <w:pPr>
              <w:spacing w:before="40" w:after="120"/>
              <w:ind w:right="113"/>
              <w:rPr>
                <w:b/>
              </w:rPr>
            </w:pPr>
          </w:p>
        </w:tc>
        <w:tc>
          <w:tcPr>
            <w:tcW w:w="1984" w:type="dxa"/>
            <w:shd w:val="clear" w:color="auto" w:fill="auto"/>
          </w:tcPr>
          <w:p w:rsidR="008355FD" w:rsidRPr="00975C02" w:rsidRDefault="008355FD" w:rsidP="00975C02">
            <w:pPr>
              <w:spacing w:before="40" w:after="120"/>
              <w:ind w:right="113"/>
            </w:pPr>
          </w:p>
        </w:tc>
        <w:tc>
          <w:tcPr>
            <w:tcW w:w="4534" w:type="dxa"/>
            <w:shd w:val="clear" w:color="auto" w:fill="auto"/>
          </w:tcPr>
          <w:p w:rsidR="008355FD" w:rsidRPr="000C3EDC" w:rsidRDefault="008355FD" w:rsidP="000B3701">
            <w:pPr>
              <w:tabs>
                <w:tab w:val="left" w:pos="964"/>
              </w:tabs>
              <w:spacing w:before="40" w:after="120"/>
              <w:rPr>
                <w:i/>
              </w:rPr>
            </w:pPr>
            <w:r w:rsidRPr="00975C02">
              <w:t>Objectif pour 2018-2019 : 1 série d’amendements</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11 a) b)</w:t>
            </w:r>
            <w:r w:rsidR="00733585">
              <w:t xml:space="preserve"> </w:t>
            </w:r>
            <w:r w:rsidRPr="00975C02">
              <w:t>Publication de la huitième édition révisée du SGH avant la fin 2019</w:t>
            </w:r>
          </w:p>
        </w:tc>
      </w:tr>
      <w:tr w:rsidR="0005028A" w:rsidRPr="00975C02" w:rsidTr="00EC31A2">
        <w:trPr>
          <w:trHeight w:val="20"/>
        </w:trPr>
        <w:tc>
          <w:tcPr>
            <w:tcW w:w="3119" w:type="dxa"/>
            <w:shd w:val="clear" w:color="auto" w:fill="auto"/>
          </w:tcPr>
          <w:p w:rsidR="0005028A" w:rsidRPr="00975C02" w:rsidRDefault="0005028A" w:rsidP="00E37EC6">
            <w:pPr>
              <w:spacing w:before="40" w:after="120"/>
              <w:ind w:right="113"/>
              <w:rPr>
                <w:b/>
              </w:rPr>
            </w:pPr>
          </w:p>
        </w:tc>
        <w:tc>
          <w:tcPr>
            <w:tcW w:w="1984" w:type="dxa"/>
            <w:shd w:val="clear" w:color="auto" w:fill="auto"/>
          </w:tcPr>
          <w:p w:rsidR="0005028A" w:rsidRPr="00975C02" w:rsidRDefault="0005028A" w:rsidP="00975C02">
            <w:pPr>
              <w:spacing w:before="40" w:after="120"/>
              <w:ind w:right="113"/>
            </w:pPr>
          </w:p>
        </w:tc>
        <w:tc>
          <w:tcPr>
            <w:tcW w:w="4534" w:type="dxa"/>
            <w:shd w:val="clear" w:color="auto" w:fill="auto"/>
          </w:tcPr>
          <w:p w:rsidR="0005028A" w:rsidRPr="00975C02" w:rsidRDefault="0005028A" w:rsidP="00A86A67">
            <w:pPr>
              <w:tabs>
                <w:tab w:val="left" w:pos="964"/>
              </w:tabs>
              <w:spacing w:before="40" w:after="120"/>
            </w:pPr>
            <w:r w:rsidRPr="000C3EDC">
              <w:rPr>
                <w:i/>
              </w:rPr>
              <w:t>Mesure des résultats</w:t>
            </w:r>
            <w:r w:rsidRPr="00975C02">
              <w:t> :</w:t>
            </w:r>
            <w:r w:rsidRPr="00975C02">
              <w:br/>
              <w:t>Référence 2016-2017 : 1 SGH</w:t>
            </w:r>
          </w:p>
        </w:tc>
      </w:tr>
      <w:tr w:rsidR="00A86A67" w:rsidRPr="00975C02" w:rsidTr="00EC31A2">
        <w:trPr>
          <w:trHeight w:val="20"/>
        </w:trPr>
        <w:tc>
          <w:tcPr>
            <w:tcW w:w="3119" w:type="dxa"/>
            <w:shd w:val="clear" w:color="auto" w:fill="auto"/>
          </w:tcPr>
          <w:p w:rsidR="00A86A67" w:rsidRPr="00975C02" w:rsidRDefault="00A86A67" w:rsidP="00E37EC6">
            <w:pPr>
              <w:spacing w:before="40" w:after="120"/>
              <w:ind w:right="113"/>
              <w:rPr>
                <w:b/>
              </w:rPr>
            </w:pPr>
          </w:p>
        </w:tc>
        <w:tc>
          <w:tcPr>
            <w:tcW w:w="1984" w:type="dxa"/>
            <w:shd w:val="clear" w:color="auto" w:fill="auto"/>
          </w:tcPr>
          <w:p w:rsidR="00A86A67" w:rsidRPr="00975C02" w:rsidRDefault="00A86A67" w:rsidP="00975C02">
            <w:pPr>
              <w:spacing w:before="40" w:after="120"/>
              <w:ind w:right="113"/>
            </w:pPr>
          </w:p>
        </w:tc>
        <w:tc>
          <w:tcPr>
            <w:tcW w:w="4534" w:type="dxa"/>
            <w:shd w:val="clear" w:color="auto" w:fill="auto"/>
          </w:tcPr>
          <w:p w:rsidR="00A86A67" w:rsidRPr="000C3EDC" w:rsidRDefault="00A86A67" w:rsidP="000B3701">
            <w:pPr>
              <w:tabs>
                <w:tab w:val="left" w:pos="964"/>
              </w:tabs>
              <w:spacing w:before="40" w:after="120"/>
              <w:rPr>
                <w:i/>
              </w:rPr>
            </w:pPr>
            <w:r w:rsidRPr="00975C02">
              <w:t>Objectif pour 2018-2019 : 1 SGH</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12 a)</w:t>
            </w:r>
            <w:r w:rsidRPr="00975C02">
              <w:tab/>
              <w:t xml:space="preserve">Transport de denrées périssables </w:t>
            </w:r>
          </w:p>
        </w:tc>
        <w:tc>
          <w:tcPr>
            <w:tcW w:w="4534" w:type="dxa"/>
            <w:shd w:val="clear" w:color="auto" w:fill="auto"/>
          </w:tcPr>
          <w:p w:rsidR="00EA7B3A" w:rsidRPr="00975C02" w:rsidRDefault="00EA7B3A" w:rsidP="00733585">
            <w:pPr>
              <w:tabs>
                <w:tab w:val="left" w:pos="964"/>
              </w:tabs>
              <w:spacing w:before="40" w:after="120"/>
            </w:pPr>
            <w:r w:rsidRPr="00975C02">
              <w:t>RE 12 a)</w:t>
            </w:r>
            <w:r w:rsidR="00733585">
              <w:t xml:space="preserve"> </w:t>
            </w:r>
            <w:r w:rsidRPr="00975C02">
              <w:t>Renforcement et mise à jour des prescriptions régissant le transport international des denrées périssables</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12 a) a)</w:t>
            </w:r>
            <w:r w:rsidR="00733585">
              <w:t xml:space="preserve"> </w:t>
            </w:r>
            <w:r w:rsidRPr="00975C02">
              <w:t>Pourcentage de propositions d’amendement autres que rédactionnelles dans l’ensemble des amendements adoptées par le WP.11</w:t>
            </w:r>
          </w:p>
        </w:tc>
      </w:tr>
      <w:tr w:rsidR="0005028A" w:rsidRPr="00975C02" w:rsidTr="00EC31A2">
        <w:trPr>
          <w:trHeight w:val="20"/>
        </w:trPr>
        <w:tc>
          <w:tcPr>
            <w:tcW w:w="3119" w:type="dxa"/>
            <w:shd w:val="clear" w:color="auto" w:fill="auto"/>
          </w:tcPr>
          <w:p w:rsidR="0005028A" w:rsidRPr="00975C02" w:rsidRDefault="0005028A" w:rsidP="00E37EC6">
            <w:pPr>
              <w:spacing w:before="40" w:after="120"/>
              <w:ind w:right="113"/>
              <w:rPr>
                <w:b/>
              </w:rPr>
            </w:pPr>
          </w:p>
        </w:tc>
        <w:tc>
          <w:tcPr>
            <w:tcW w:w="1984" w:type="dxa"/>
            <w:shd w:val="clear" w:color="auto" w:fill="auto"/>
          </w:tcPr>
          <w:p w:rsidR="0005028A" w:rsidRPr="00975C02" w:rsidRDefault="0005028A" w:rsidP="00975C02">
            <w:pPr>
              <w:spacing w:before="40" w:after="120"/>
              <w:ind w:right="113"/>
            </w:pPr>
          </w:p>
        </w:tc>
        <w:tc>
          <w:tcPr>
            <w:tcW w:w="4534" w:type="dxa"/>
            <w:shd w:val="clear" w:color="auto" w:fill="auto"/>
          </w:tcPr>
          <w:p w:rsidR="0005028A" w:rsidRPr="00975C02" w:rsidRDefault="0005028A" w:rsidP="00A86A67">
            <w:pPr>
              <w:tabs>
                <w:tab w:val="left" w:pos="964"/>
              </w:tabs>
              <w:spacing w:before="40" w:after="120"/>
            </w:pPr>
            <w:r w:rsidRPr="000C3EDC">
              <w:rPr>
                <w:i/>
              </w:rPr>
              <w:t>Mesure des résultats</w:t>
            </w:r>
            <w:r w:rsidRPr="00975C02">
              <w:t> :</w:t>
            </w:r>
            <w:r w:rsidRPr="00975C02">
              <w:br/>
              <w:t>Référence : 2016-2017 : 60</w:t>
            </w:r>
            <w:r w:rsidR="00C85CD7">
              <w:t> %</w:t>
            </w:r>
          </w:p>
        </w:tc>
      </w:tr>
      <w:tr w:rsidR="00A86A67" w:rsidRPr="00975C02" w:rsidTr="00EC31A2">
        <w:trPr>
          <w:trHeight w:val="20"/>
        </w:trPr>
        <w:tc>
          <w:tcPr>
            <w:tcW w:w="3119" w:type="dxa"/>
            <w:shd w:val="clear" w:color="auto" w:fill="auto"/>
          </w:tcPr>
          <w:p w:rsidR="00A86A67" w:rsidRPr="00975C02" w:rsidRDefault="00A86A67" w:rsidP="00E37EC6">
            <w:pPr>
              <w:spacing w:before="40" w:after="120"/>
              <w:ind w:right="113"/>
              <w:rPr>
                <w:b/>
              </w:rPr>
            </w:pPr>
          </w:p>
        </w:tc>
        <w:tc>
          <w:tcPr>
            <w:tcW w:w="1984" w:type="dxa"/>
            <w:shd w:val="clear" w:color="auto" w:fill="auto"/>
          </w:tcPr>
          <w:p w:rsidR="00A86A67" w:rsidRPr="00975C02" w:rsidRDefault="00A86A67" w:rsidP="00975C02">
            <w:pPr>
              <w:spacing w:before="40" w:after="120"/>
              <w:ind w:right="113"/>
            </w:pPr>
          </w:p>
        </w:tc>
        <w:tc>
          <w:tcPr>
            <w:tcW w:w="4534" w:type="dxa"/>
            <w:shd w:val="clear" w:color="auto" w:fill="auto"/>
          </w:tcPr>
          <w:p w:rsidR="00A86A67" w:rsidRPr="000C3EDC" w:rsidRDefault="00A86A67" w:rsidP="000B3701">
            <w:pPr>
              <w:tabs>
                <w:tab w:val="left" w:pos="964"/>
              </w:tabs>
              <w:spacing w:before="40" w:after="120"/>
              <w:rPr>
                <w:i/>
              </w:rPr>
            </w:pPr>
            <w:r w:rsidRPr="00975C02">
              <w:t>Objectif pour 2018-2019 : 60</w:t>
            </w:r>
            <w:r w:rsidR="00C85CD7">
              <w:t> %</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12 a) b)</w:t>
            </w:r>
            <w:r w:rsidR="00733585">
              <w:t xml:space="preserve"> </w:t>
            </w:r>
            <w:r w:rsidRPr="00975C02">
              <w:t xml:space="preserve">Nombre de pays ayant répondu au questionnaire sur la mise en œuvre de l’ATP </w:t>
            </w:r>
          </w:p>
        </w:tc>
      </w:tr>
      <w:tr w:rsidR="0005028A" w:rsidRPr="00975C02" w:rsidTr="00BE7A0D">
        <w:trPr>
          <w:cantSplit/>
          <w:trHeight w:val="20"/>
        </w:trPr>
        <w:tc>
          <w:tcPr>
            <w:tcW w:w="3119" w:type="dxa"/>
            <w:shd w:val="clear" w:color="auto" w:fill="auto"/>
          </w:tcPr>
          <w:p w:rsidR="0005028A" w:rsidRPr="00975C02" w:rsidRDefault="0005028A" w:rsidP="00E37EC6">
            <w:pPr>
              <w:spacing w:before="40" w:after="120"/>
              <w:ind w:right="113"/>
              <w:rPr>
                <w:b/>
              </w:rPr>
            </w:pPr>
          </w:p>
        </w:tc>
        <w:tc>
          <w:tcPr>
            <w:tcW w:w="1984" w:type="dxa"/>
            <w:shd w:val="clear" w:color="auto" w:fill="auto"/>
          </w:tcPr>
          <w:p w:rsidR="0005028A" w:rsidRPr="00975C02" w:rsidRDefault="0005028A" w:rsidP="00975C02">
            <w:pPr>
              <w:spacing w:before="40" w:after="120"/>
              <w:ind w:right="113"/>
            </w:pPr>
          </w:p>
        </w:tc>
        <w:tc>
          <w:tcPr>
            <w:tcW w:w="4534" w:type="dxa"/>
            <w:shd w:val="clear" w:color="auto" w:fill="auto"/>
          </w:tcPr>
          <w:p w:rsidR="0005028A" w:rsidRPr="00975C02" w:rsidRDefault="0005028A" w:rsidP="00A86A67">
            <w:pPr>
              <w:tabs>
                <w:tab w:val="left" w:pos="964"/>
              </w:tabs>
              <w:spacing w:before="40" w:after="120"/>
            </w:pPr>
            <w:r w:rsidRPr="000C3EDC">
              <w:rPr>
                <w:i/>
              </w:rPr>
              <w:t>Mesure des résultats</w:t>
            </w:r>
            <w:r w:rsidRPr="00975C02">
              <w:t> :</w:t>
            </w:r>
            <w:r w:rsidRPr="00975C02">
              <w:br/>
              <w:t>Référence 2016-2017 : 22</w:t>
            </w:r>
          </w:p>
        </w:tc>
      </w:tr>
      <w:tr w:rsidR="00A86A67" w:rsidRPr="00975C02" w:rsidTr="00EC31A2">
        <w:trPr>
          <w:trHeight w:val="20"/>
        </w:trPr>
        <w:tc>
          <w:tcPr>
            <w:tcW w:w="3119" w:type="dxa"/>
            <w:shd w:val="clear" w:color="auto" w:fill="auto"/>
          </w:tcPr>
          <w:p w:rsidR="00A86A67" w:rsidRPr="00975C02" w:rsidRDefault="00A86A67" w:rsidP="00E37EC6">
            <w:pPr>
              <w:spacing w:before="40" w:after="120"/>
              <w:ind w:right="113"/>
              <w:rPr>
                <w:b/>
              </w:rPr>
            </w:pPr>
          </w:p>
        </w:tc>
        <w:tc>
          <w:tcPr>
            <w:tcW w:w="1984" w:type="dxa"/>
            <w:shd w:val="clear" w:color="auto" w:fill="auto"/>
          </w:tcPr>
          <w:p w:rsidR="00A86A67" w:rsidRPr="00975C02" w:rsidRDefault="00A86A67" w:rsidP="00975C02">
            <w:pPr>
              <w:spacing w:before="40" w:after="120"/>
              <w:ind w:right="113"/>
            </w:pPr>
          </w:p>
        </w:tc>
        <w:tc>
          <w:tcPr>
            <w:tcW w:w="4534" w:type="dxa"/>
            <w:shd w:val="clear" w:color="auto" w:fill="auto"/>
          </w:tcPr>
          <w:p w:rsidR="00A86A67" w:rsidRPr="000C3EDC" w:rsidRDefault="00A86A67" w:rsidP="000B3701">
            <w:pPr>
              <w:tabs>
                <w:tab w:val="left" w:pos="964"/>
              </w:tabs>
              <w:spacing w:before="40" w:after="120"/>
              <w:rPr>
                <w:i/>
              </w:rPr>
            </w:pPr>
            <w:r w:rsidRPr="00975C02">
              <w:t>Objectif pour 2018-2019 : 24</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13.</w:t>
            </w:r>
            <w:r w:rsidRPr="00975C02">
              <w:tab/>
              <w:t xml:space="preserve">Statistiques des transports </w:t>
            </w:r>
          </w:p>
        </w:tc>
        <w:tc>
          <w:tcPr>
            <w:tcW w:w="4534" w:type="dxa"/>
            <w:shd w:val="clear" w:color="auto" w:fill="auto"/>
          </w:tcPr>
          <w:p w:rsidR="00EA7B3A" w:rsidRPr="00975C02" w:rsidRDefault="00EA7B3A" w:rsidP="00733585">
            <w:pPr>
              <w:tabs>
                <w:tab w:val="left" w:pos="964"/>
              </w:tabs>
              <w:spacing w:before="40" w:after="120"/>
            </w:pPr>
            <w:r w:rsidRPr="00975C02">
              <w:t>RE 13.</w:t>
            </w:r>
            <w:r w:rsidR="00733585">
              <w:t xml:space="preserve"> </w:t>
            </w:r>
            <w:r w:rsidRPr="00975C02">
              <w:t>Accroissement du volume et de la portée des statistiques disponibles sur les transports</w:t>
            </w:r>
          </w:p>
        </w:tc>
      </w:tr>
      <w:tr w:rsidR="0005028A" w:rsidRPr="00975C02" w:rsidTr="00EC31A2">
        <w:trPr>
          <w:trHeight w:val="20"/>
        </w:trPr>
        <w:tc>
          <w:tcPr>
            <w:tcW w:w="3119" w:type="dxa"/>
            <w:shd w:val="clear" w:color="auto" w:fill="auto"/>
          </w:tcPr>
          <w:p w:rsidR="0005028A" w:rsidRPr="00975C02" w:rsidRDefault="0005028A" w:rsidP="00E37EC6">
            <w:pPr>
              <w:spacing w:before="40" w:after="120"/>
              <w:ind w:right="113"/>
              <w:rPr>
                <w:b/>
              </w:rPr>
            </w:pPr>
          </w:p>
        </w:tc>
        <w:tc>
          <w:tcPr>
            <w:tcW w:w="1984" w:type="dxa"/>
            <w:shd w:val="clear" w:color="auto" w:fill="auto"/>
          </w:tcPr>
          <w:p w:rsidR="0005028A" w:rsidRPr="00975C02" w:rsidRDefault="0005028A" w:rsidP="00975C02">
            <w:pPr>
              <w:spacing w:before="40" w:after="120"/>
              <w:ind w:right="113"/>
            </w:pPr>
          </w:p>
        </w:tc>
        <w:tc>
          <w:tcPr>
            <w:tcW w:w="4534" w:type="dxa"/>
            <w:shd w:val="clear" w:color="auto" w:fill="auto"/>
          </w:tcPr>
          <w:p w:rsidR="0005028A" w:rsidRPr="00975C02" w:rsidRDefault="0005028A" w:rsidP="00733585">
            <w:pPr>
              <w:tabs>
                <w:tab w:val="left" w:pos="964"/>
              </w:tabs>
              <w:spacing w:before="40" w:after="120"/>
            </w:pPr>
            <w:r w:rsidRPr="00975C02">
              <w:t>IS 13 a)</w:t>
            </w:r>
            <w:r w:rsidR="00733585">
              <w:t xml:space="preserve"> </w:t>
            </w:r>
            <w:r w:rsidRPr="00975C02">
              <w:t>Nombre de produits statistiques fiables disponibles sur l’Internet</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A86A67">
            <w:pPr>
              <w:spacing w:before="40" w:after="120"/>
            </w:pPr>
            <w:r w:rsidRPr="000C3EDC">
              <w:rPr>
                <w:i/>
              </w:rPr>
              <w:t>Mesure des résultats</w:t>
            </w:r>
            <w:r w:rsidRPr="00975C02">
              <w:t> :</w:t>
            </w:r>
            <w:r w:rsidRPr="00975C02">
              <w:br/>
              <w:t>Référence 2016-2017 : base de données statistiques complète en ligne</w:t>
            </w:r>
          </w:p>
        </w:tc>
      </w:tr>
      <w:tr w:rsidR="00A86A67" w:rsidRPr="00975C02" w:rsidTr="00EC31A2">
        <w:trPr>
          <w:trHeight w:val="20"/>
        </w:trPr>
        <w:tc>
          <w:tcPr>
            <w:tcW w:w="3119" w:type="dxa"/>
            <w:shd w:val="clear" w:color="auto" w:fill="auto"/>
          </w:tcPr>
          <w:p w:rsidR="00A86A67" w:rsidRPr="00975C02" w:rsidRDefault="00A86A67" w:rsidP="00E37EC6">
            <w:pPr>
              <w:spacing w:before="40" w:after="120"/>
              <w:ind w:right="113"/>
              <w:rPr>
                <w:b/>
              </w:rPr>
            </w:pPr>
          </w:p>
        </w:tc>
        <w:tc>
          <w:tcPr>
            <w:tcW w:w="1984" w:type="dxa"/>
            <w:shd w:val="clear" w:color="auto" w:fill="auto"/>
          </w:tcPr>
          <w:p w:rsidR="00A86A67" w:rsidRPr="00975C02" w:rsidRDefault="00A86A67" w:rsidP="00975C02">
            <w:pPr>
              <w:spacing w:before="40" w:after="120"/>
              <w:ind w:right="113"/>
            </w:pPr>
          </w:p>
        </w:tc>
        <w:tc>
          <w:tcPr>
            <w:tcW w:w="4534" w:type="dxa"/>
            <w:shd w:val="clear" w:color="auto" w:fill="auto"/>
          </w:tcPr>
          <w:p w:rsidR="00A86A67" w:rsidRPr="000C3EDC" w:rsidRDefault="00A86A67" w:rsidP="00E37EC6">
            <w:pPr>
              <w:spacing w:before="40" w:after="120"/>
              <w:rPr>
                <w:i/>
              </w:rPr>
            </w:pPr>
            <w:r w:rsidRPr="00975C02">
              <w:t>Objectif pour 2018-2018 : mise à jour de la base de données statistiques en ligne</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733585">
            <w:pPr>
              <w:tabs>
                <w:tab w:val="left" w:pos="964"/>
              </w:tabs>
              <w:spacing w:before="40" w:after="120"/>
            </w:pPr>
            <w:r w:rsidRPr="00975C02">
              <w:t>IS 13 b)</w:t>
            </w:r>
            <w:r w:rsidR="00733585">
              <w:t xml:space="preserve"> </w:t>
            </w:r>
            <w:r w:rsidRPr="00975C02">
              <w:t>Usage des données mesuré en fonction du nombre de téléchargements effectués depuis le site Web</w:t>
            </w:r>
          </w:p>
        </w:tc>
      </w:tr>
      <w:tr w:rsidR="0005028A" w:rsidRPr="00975C02" w:rsidTr="00EC31A2">
        <w:trPr>
          <w:trHeight w:val="20"/>
        </w:trPr>
        <w:tc>
          <w:tcPr>
            <w:tcW w:w="3119" w:type="dxa"/>
            <w:shd w:val="clear" w:color="auto" w:fill="auto"/>
          </w:tcPr>
          <w:p w:rsidR="0005028A" w:rsidRPr="00975C02" w:rsidRDefault="0005028A" w:rsidP="00E37EC6">
            <w:pPr>
              <w:spacing w:before="40" w:after="120"/>
              <w:ind w:right="113"/>
              <w:rPr>
                <w:b/>
              </w:rPr>
            </w:pPr>
          </w:p>
        </w:tc>
        <w:tc>
          <w:tcPr>
            <w:tcW w:w="1984" w:type="dxa"/>
            <w:shd w:val="clear" w:color="auto" w:fill="auto"/>
          </w:tcPr>
          <w:p w:rsidR="0005028A" w:rsidRPr="00975C02" w:rsidRDefault="0005028A" w:rsidP="00975C02">
            <w:pPr>
              <w:spacing w:before="40" w:after="120"/>
              <w:ind w:right="113"/>
            </w:pPr>
          </w:p>
        </w:tc>
        <w:tc>
          <w:tcPr>
            <w:tcW w:w="4534" w:type="dxa"/>
            <w:shd w:val="clear" w:color="auto" w:fill="auto"/>
          </w:tcPr>
          <w:p w:rsidR="0005028A" w:rsidRPr="00975C02" w:rsidRDefault="0005028A" w:rsidP="00C046C8">
            <w:pPr>
              <w:tabs>
                <w:tab w:val="left" w:pos="964"/>
              </w:tabs>
              <w:spacing w:before="40" w:after="120"/>
            </w:pPr>
            <w:r w:rsidRPr="000C3EDC">
              <w:rPr>
                <w:i/>
              </w:rPr>
              <w:t>Mesure des résultats</w:t>
            </w:r>
            <w:r w:rsidR="00307F19">
              <w:t> :</w:t>
            </w:r>
            <w:r w:rsidR="00307F19">
              <w:br/>
              <w:t>Référence 2016-2017 : 83 </w:t>
            </w:r>
            <w:r w:rsidRPr="00975C02">
              <w:t>520 téléchargements</w:t>
            </w:r>
            <w:r w:rsidRPr="00975C02">
              <w:rPr>
                <w:rStyle w:val="FootnoteReference"/>
                <w:sz w:val="20"/>
              </w:rPr>
              <w:footnoteReference w:id="2"/>
            </w:r>
          </w:p>
        </w:tc>
      </w:tr>
      <w:tr w:rsidR="00A86A67" w:rsidRPr="00975C02" w:rsidTr="00EC31A2">
        <w:trPr>
          <w:trHeight w:val="20"/>
        </w:trPr>
        <w:tc>
          <w:tcPr>
            <w:tcW w:w="3119" w:type="dxa"/>
            <w:shd w:val="clear" w:color="auto" w:fill="auto"/>
          </w:tcPr>
          <w:p w:rsidR="00A86A67" w:rsidRPr="00975C02" w:rsidRDefault="00A86A67" w:rsidP="00E37EC6">
            <w:pPr>
              <w:spacing w:before="40" w:after="120"/>
              <w:ind w:right="113"/>
              <w:rPr>
                <w:b/>
              </w:rPr>
            </w:pPr>
          </w:p>
        </w:tc>
        <w:tc>
          <w:tcPr>
            <w:tcW w:w="1984" w:type="dxa"/>
            <w:shd w:val="clear" w:color="auto" w:fill="auto"/>
          </w:tcPr>
          <w:p w:rsidR="00A86A67" w:rsidRPr="00975C02" w:rsidRDefault="00A86A67" w:rsidP="00975C02">
            <w:pPr>
              <w:spacing w:before="40" w:after="120"/>
              <w:ind w:right="113"/>
            </w:pPr>
          </w:p>
        </w:tc>
        <w:tc>
          <w:tcPr>
            <w:tcW w:w="4534" w:type="dxa"/>
            <w:shd w:val="clear" w:color="auto" w:fill="auto"/>
          </w:tcPr>
          <w:p w:rsidR="00A86A67" w:rsidRPr="000C3EDC" w:rsidRDefault="00307F19" w:rsidP="000B3701">
            <w:pPr>
              <w:tabs>
                <w:tab w:val="left" w:pos="964"/>
              </w:tabs>
              <w:spacing w:before="40" w:after="120"/>
              <w:rPr>
                <w:i/>
              </w:rPr>
            </w:pPr>
            <w:r>
              <w:t>Objectif pour 2018-2019 : 92 </w:t>
            </w:r>
            <w:r w:rsidR="00C046C8" w:rsidRPr="00975C02">
              <w:t>000 téléchargements</w:t>
            </w:r>
          </w:p>
        </w:tc>
      </w:tr>
      <w:tr w:rsidR="00C046C8" w:rsidRPr="00975C02" w:rsidTr="00EC31A2">
        <w:trPr>
          <w:trHeight w:val="20"/>
        </w:trPr>
        <w:tc>
          <w:tcPr>
            <w:tcW w:w="3119" w:type="dxa"/>
            <w:shd w:val="clear" w:color="auto" w:fill="auto"/>
          </w:tcPr>
          <w:p w:rsidR="00C046C8" w:rsidRPr="00975C02" w:rsidRDefault="00C046C8" w:rsidP="006756A1">
            <w:pPr>
              <w:tabs>
                <w:tab w:val="left" w:pos="851"/>
              </w:tabs>
              <w:spacing w:before="40" w:after="120"/>
              <w:ind w:right="113"/>
              <w:rPr>
                <w:b/>
              </w:rPr>
            </w:pPr>
            <w:r w:rsidRPr="00975C02">
              <w:rPr>
                <w:b/>
              </w:rPr>
              <w:t>2. RE b)</w:t>
            </w:r>
            <w:r>
              <w:rPr>
                <w:b/>
              </w:rPr>
              <w:tab/>
            </w:r>
            <w:r w:rsidRPr="00975C02">
              <w:rPr>
                <w:b/>
              </w:rPr>
              <w:t xml:space="preserve">Extension de la couverture géographique et application plus efficace des instruments juridiques de l’ONU et des recommandations dans le domaine des transports administrés par la CEE </w:t>
            </w:r>
          </w:p>
        </w:tc>
        <w:tc>
          <w:tcPr>
            <w:tcW w:w="1984" w:type="dxa"/>
            <w:shd w:val="clear" w:color="auto" w:fill="auto"/>
          </w:tcPr>
          <w:p w:rsidR="00C046C8" w:rsidRPr="00975C02" w:rsidRDefault="00C046C8" w:rsidP="0041050D">
            <w:pPr>
              <w:tabs>
                <w:tab w:val="left" w:pos="454"/>
              </w:tabs>
              <w:spacing w:before="40" w:after="120"/>
              <w:ind w:left="454" w:right="113" w:hanging="454"/>
            </w:pPr>
            <w:r w:rsidRPr="00975C02">
              <w:t>7 b)</w:t>
            </w:r>
            <w:r w:rsidRPr="00975C02">
              <w:tab/>
              <w:t>Prob</w:t>
            </w:r>
            <w:r>
              <w:t>lèmes douaniers intéressant les </w:t>
            </w:r>
            <w:r w:rsidRPr="00975C02">
              <w:t xml:space="preserve">transports </w:t>
            </w:r>
          </w:p>
        </w:tc>
        <w:tc>
          <w:tcPr>
            <w:tcW w:w="4534" w:type="dxa"/>
            <w:vMerge w:val="restart"/>
            <w:shd w:val="clear" w:color="auto" w:fill="auto"/>
          </w:tcPr>
          <w:p w:rsidR="00C046C8" w:rsidRPr="00975C02" w:rsidRDefault="00C046C8" w:rsidP="000B3701">
            <w:pPr>
              <w:tabs>
                <w:tab w:val="left" w:pos="964"/>
              </w:tabs>
              <w:spacing w:before="40" w:after="120"/>
            </w:pPr>
            <w:r w:rsidRPr="00975C02">
              <w:t>IS 7 b) c)</w:t>
            </w:r>
            <w:r w:rsidR="00733585">
              <w:t xml:space="preserve"> </w:t>
            </w:r>
            <w:r w:rsidRPr="00975C02">
              <w:t xml:space="preserve">Nombre d’études sur la mise en œuvre des instruments juridiques concernant la facilitation du passage des frontières </w:t>
            </w:r>
          </w:p>
          <w:p w:rsidR="00307F19" w:rsidRDefault="00C046C8" w:rsidP="00E37EC6">
            <w:pPr>
              <w:spacing w:before="40" w:after="120"/>
            </w:pPr>
            <w:r w:rsidRPr="000C3EDC">
              <w:rPr>
                <w:i/>
              </w:rPr>
              <w:t>Mesure des résultats</w:t>
            </w:r>
            <w:r w:rsidRPr="00975C02">
              <w:t> :</w:t>
            </w:r>
            <w:r w:rsidRPr="00975C02">
              <w:br/>
              <w:t xml:space="preserve">Référence 2016-2017 : 2 </w:t>
            </w:r>
          </w:p>
          <w:p w:rsidR="00C046C8" w:rsidRDefault="00C046C8" w:rsidP="00E37EC6">
            <w:pPr>
              <w:spacing w:before="40" w:after="120"/>
            </w:pPr>
            <w:r w:rsidRPr="00975C02">
              <w:t xml:space="preserve">Résultat obtenu en 2016-2017 : 6 </w:t>
            </w:r>
          </w:p>
          <w:p w:rsidR="00C046C8" w:rsidRPr="00975C02" w:rsidRDefault="00C046C8" w:rsidP="00E37EC6">
            <w:pPr>
              <w:spacing w:before="40" w:after="120"/>
            </w:pPr>
            <w:r w:rsidRPr="00975C02">
              <w:t>Objectif pour 2018-2019 : 4</w:t>
            </w:r>
          </w:p>
        </w:tc>
      </w:tr>
      <w:tr w:rsidR="00C046C8" w:rsidRPr="00975C02" w:rsidTr="00EC31A2">
        <w:trPr>
          <w:trHeight w:val="20"/>
        </w:trPr>
        <w:tc>
          <w:tcPr>
            <w:tcW w:w="3119" w:type="dxa"/>
            <w:shd w:val="clear" w:color="auto" w:fill="auto"/>
          </w:tcPr>
          <w:p w:rsidR="00C046C8" w:rsidRPr="00975C02" w:rsidRDefault="00C046C8" w:rsidP="006756A1">
            <w:pPr>
              <w:tabs>
                <w:tab w:val="left" w:pos="851"/>
              </w:tabs>
              <w:spacing w:before="40" w:after="120"/>
              <w:ind w:right="113"/>
              <w:rPr>
                <w:b/>
              </w:rPr>
            </w:pPr>
            <w:r w:rsidRPr="00975C02">
              <w:t>IS b) i)</w:t>
            </w:r>
            <w:r>
              <w:tab/>
            </w:r>
            <w:r w:rsidRPr="00975C02">
              <w:t xml:space="preserve">Nombre accru de Parties contractantes, y compris de Parties extérieures à la région, aux instruments juridiques et aux recommandations des Nations Unies dans le domaine des transports administrés par la CEE </w:t>
            </w:r>
          </w:p>
        </w:tc>
        <w:tc>
          <w:tcPr>
            <w:tcW w:w="1984" w:type="dxa"/>
            <w:vMerge w:val="restart"/>
            <w:shd w:val="clear" w:color="auto" w:fill="auto"/>
          </w:tcPr>
          <w:p w:rsidR="00C046C8" w:rsidRPr="00975C02" w:rsidRDefault="00C046C8" w:rsidP="00975C02">
            <w:pPr>
              <w:spacing w:before="40" w:after="120"/>
              <w:ind w:right="113"/>
            </w:pPr>
          </w:p>
        </w:tc>
        <w:tc>
          <w:tcPr>
            <w:tcW w:w="4534" w:type="dxa"/>
            <w:vMerge/>
            <w:shd w:val="clear" w:color="auto" w:fill="auto"/>
          </w:tcPr>
          <w:p w:rsidR="00C046C8" w:rsidRPr="00975C02" w:rsidRDefault="00C046C8" w:rsidP="00E37EC6">
            <w:pPr>
              <w:spacing w:before="40" w:after="120"/>
            </w:pPr>
          </w:p>
        </w:tc>
      </w:tr>
      <w:tr w:rsidR="00C046C8" w:rsidRPr="00975C02" w:rsidTr="00EC31A2">
        <w:trPr>
          <w:trHeight w:val="20"/>
        </w:trPr>
        <w:tc>
          <w:tcPr>
            <w:tcW w:w="3119" w:type="dxa"/>
            <w:shd w:val="clear" w:color="auto" w:fill="auto"/>
          </w:tcPr>
          <w:p w:rsidR="00C046C8" w:rsidRPr="00975C02" w:rsidRDefault="00C046C8" w:rsidP="00C046C8">
            <w:pPr>
              <w:spacing w:before="40" w:after="120"/>
              <w:ind w:right="113"/>
            </w:pPr>
            <w:r w:rsidRPr="000C3EDC">
              <w:rPr>
                <w:i/>
              </w:rPr>
              <w:t>Mesure des résultats</w:t>
            </w:r>
            <w:r w:rsidRPr="00975C02">
              <w:t xml:space="preserve"> </w:t>
            </w:r>
            <w:r w:rsidRPr="00975C02">
              <w:br/>
              <w:t>Référence 2017 : 1 721 participations</w:t>
            </w:r>
          </w:p>
        </w:tc>
        <w:tc>
          <w:tcPr>
            <w:tcW w:w="1984" w:type="dxa"/>
            <w:vMerge/>
            <w:shd w:val="clear" w:color="auto" w:fill="auto"/>
          </w:tcPr>
          <w:p w:rsidR="00C046C8" w:rsidRPr="00975C02" w:rsidRDefault="00C046C8" w:rsidP="00975C02">
            <w:pPr>
              <w:spacing w:before="40" w:after="120"/>
              <w:ind w:right="113"/>
            </w:pPr>
          </w:p>
        </w:tc>
        <w:tc>
          <w:tcPr>
            <w:tcW w:w="4534" w:type="dxa"/>
            <w:vMerge/>
            <w:shd w:val="clear" w:color="auto" w:fill="auto"/>
          </w:tcPr>
          <w:p w:rsidR="00C046C8" w:rsidRPr="00975C02" w:rsidRDefault="00C046C8" w:rsidP="00E37EC6">
            <w:pPr>
              <w:spacing w:before="40" w:after="120"/>
            </w:pPr>
          </w:p>
        </w:tc>
      </w:tr>
      <w:tr w:rsidR="00C046C8" w:rsidRPr="00975C02" w:rsidTr="00EC31A2">
        <w:trPr>
          <w:trHeight w:val="20"/>
        </w:trPr>
        <w:tc>
          <w:tcPr>
            <w:tcW w:w="3119" w:type="dxa"/>
            <w:shd w:val="clear" w:color="auto" w:fill="auto"/>
          </w:tcPr>
          <w:p w:rsidR="00C046C8" w:rsidRPr="000C3EDC" w:rsidRDefault="00307F19" w:rsidP="00E37EC6">
            <w:pPr>
              <w:spacing w:before="40" w:after="120"/>
              <w:ind w:right="113"/>
              <w:rPr>
                <w:i/>
              </w:rPr>
            </w:pPr>
            <w:r>
              <w:t>Objectif pour 2018-2019 : 1 </w:t>
            </w:r>
            <w:r w:rsidR="00C046C8" w:rsidRPr="00975C02">
              <w:t>735 participations</w:t>
            </w:r>
          </w:p>
        </w:tc>
        <w:tc>
          <w:tcPr>
            <w:tcW w:w="1984" w:type="dxa"/>
            <w:vMerge/>
            <w:shd w:val="clear" w:color="auto" w:fill="auto"/>
          </w:tcPr>
          <w:p w:rsidR="00C046C8" w:rsidRPr="00975C02" w:rsidRDefault="00C046C8" w:rsidP="00975C02">
            <w:pPr>
              <w:spacing w:before="40" w:after="120"/>
              <w:ind w:right="113"/>
            </w:pPr>
          </w:p>
        </w:tc>
        <w:tc>
          <w:tcPr>
            <w:tcW w:w="4534" w:type="dxa"/>
            <w:vMerge/>
            <w:shd w:val="clear" w:color="auto" w:fill="auto"/>
          </w:tcPr>
          <w:p w:rsidR="00C046C8" w:rsidRPr="00975C02" w:rsidRDefault="00C046C8" w:rsidP="00E37EC6">
            <w:pPr>
              <w:spacing w:before="40" w:after="120"/>
            </w:pPr>
          </w:p>
        </w:tc>
      </w:tr>
      <w:tr w:rsidR="00C046C8" w:rsidRPr="00975C02" w:rsidTr="00EC31A2">
        <w:trPr>
          <w:trHeight w:val="20"/>
        </w:trPr>
        <w:tc>
          <w:tcPr>
            <w:tcW w:w="3119" w:type="dxa"/>
            <w:shd w:val="clear" w:color="auto" w:fill="auto"/>
          </w:tcPr>
          <w:p w:rsidR="00C046C8" w:rsidRPr="00975C02" w:rsidRDefault="00C046C8" w:rsidP="006756A1">
            <w:pPr>
              <w:tabs>
                <w:tab w:val="left" w:pos="851"/>
              </w:tabs>
              <w:spacing w:before="40" w:after="120"/>
              <w:ind w:right="113"/>
              <w:rPr>
                <w:b/>
              </w:rPr>
            </w:pPr>
            <w:r w:rsidRPr="00975C02">
              <w:t>IS b) ii)</w:t>
            </w:r>
            <w:r>
              <w:tab/>
            </w:r>
            <w:r w:rsidRPr="00975C02">
              <w:t xml:space="preserve">Nombre accru de mécanismes de suivi de l’application des instruments juridiques et des recommandations des Nations Unies administrés par la CEE </w:t>
            </w:r>
          </w:p>
        </w:tc>
        <w:tc>
          <w:tcPr>
            <w:tcW w:w="1984" w:type="dxa"/>
            <w:shd w:val="clear" w:color="auto" w:fill="auto"/>
          </w:tcPr>
          <w:p w:rsidR="00C046C8" w:rsidRPr="00975C02" w:rsidRDefault="00C046C8" w:rsidP="00975C02">
            <w:pPr>
              <w:spacing w:before="40" w:after="120"/>
              <w:ind w:right="113"/>
            </w:pPr>
          </w:p>
        </w:tc>
        <w:tc>
          <w:tcPr>
            <w:tcW w:w="4534" w:type="dxa"/>
            <w:vMerge/>
            <w:shd w:val="clear" w:color="auto" w:fill="auto"/>
          </w:tcPr>
          <w:p w:rsidR="00C046C8" w:rsidRPr="00975C02" w:rsidRDefault="00C046C8" w:rsidP="00E37EC6">
            <w:pPr>
              <w:spacing w:before="40" w:after="120"/>
            </w:pPr>
          </w:p>
        </w:tc>
      </w:tr>
      <w:tr w:rsidR="003447EE" w:rsidRPr="00975C02" w:rsidTr="00EC31A2">
        <w:trPr>
          <w:trHeight w:val="20"/>
        </w:trPr>
        <w:tc>
          <w:tcPr>
            <w:tcW w:w="3119" w:type="dxa"/>
            <w:shd w:val="clear" w:color="auto" w:fill="auto"/>
          </w:tcPr>
          <w:p w:rsidR="003447EE" w:rsidRPr="00975C02" w:rsidRDefault="003447EE" w:rsidP="00C046C8">
            <w:pPr>
              <w:spacing w:before="40" w:after="120"/>
              <w:ind w:right="113"/>
            </w:pPr>
            <w:r w:rsidRPr="000C3EDC">
              <w:rPr>
                <w:i/>
              </w:rPr>
              <w:t>Mesure des résultats</w:t>
            </w:r>
            <w:r w:rsidRPr="00975C02">
              <w:t xml:space="preserve"> : </w:t>
            </w:r>
            <w:r w:rsidRPr="00975C02">
              <w:br/>
              <w:t>Référence 2017 : 8 mécanismes</w:t>
            </w:r>
          </w:p>
        </w:tc>
        <w:tc>
          <w:tcPr>
            <w:tcW w:w="1984" w:type="dxa"/>
            <w:shd w:val="clear" w:color="auto" w:fill="auto"/>
          </w:tcPr>
          <w:p w:rsidR="003447EE" w:rsidRPr="00975C02" w:rsidRDefault="003447EE" w:rsidP="00975C02">
            <w:pPr>
              <w:spacing w:before="40" w:after="120"/>
              <w:ind w:right="113"/>
            </w:pPr>
          </w:p>
        </w:tc>
        <w:tc>
          <w:tcPr>
            <w:tcW w:w="4534" w:type="dxa"/>
            <w:shd w:val="clear" w:color="auto" w:fill="auto"/>
          </w:tcPr>
          <w:p w:rsidR="003447EE" w:rsidRPr="00975C02" w:rsidRDefault="003447EE" w:rsidP="00E37EC6">
            <w:pPr>
              <w:spacing w:before="40" w:after="120"/>
            </w:pPr>
          </w:p>
        </w:tc>
      </w:tr>
      <w:tr w:rsidR="00C046C8" w:rsidRPr="00975C02" w:rsidTr="00EC31A2">
        <w:trPr>
          <w:trHeight w:val="20"/>
        </w:trPr>
        <w:tc>
          <w:tcPr>
            <w:tcW w:w="3119" w:type="dxa"/>
            <w:shd w:val="clear" w:color="auto" w:fill="auto"/>
          </w:tcPr>
          <w:p w:rsidR="00C046C8" w:rsidRPr="000C3EDC" w:rsidRDefault="00307F19" w:rsidP="00E37EC6">
            <w:pPr>
              <w:spacing w:before="40" w:after="120"/>
              <w:ind w:right="113"/>
              <w:rPr>
                <w:i/>
              </w:rPr>
            </w:pPr>
            <w:r>
              <w:t>Objectif pour 2018-2019 : 9 </w:t>
            </w:r>
            <w:r w:rsidR="00C046C8" w:rsidRPr="00975C02">
              <w:t>mécanismes</w:t>
            </w:r>
          </w:p>
        </w:tc>
        <w:tc>
          <w:tcPr>
            <w:tcW w:w="1984" w:type="dxa"/>
            <w:shd w:val="clear" w:color="auto" w:fill="auto"/>
          </w:tcPr>
          <w:p w:rsidR="00C046C8" w:rsidRPr="00975C02" w:rsidRDefault="00C046C8" w:rsidP="00975C02">
            <w:pPr>
              <w:spacing w:before="40" w:after="120"/>
              <w:ind w:right="113"/>
            </w:pPr>
          </w:p>
        </w:tc>
        <w:tc>
          <w:tcPr>
            <w:tcW w:w="4534" w:type="dxa"/>
            <w:shd w:val="clear" w:color="auto" w:fill="auto"/>
          </w:tcPr>
          <w:p w:rsidR="00C046C8" w:rsidRPr="00975C02" w:rsidRDefault="00C046C8" w:rsidP="00E37EC6">
            <w:pPr>
              <w:spacing w:before="40" w:after="120"/>
            </w:pP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9 b)</w:t>
            </w:r>
            <w:r w:rsidRPr="00975C02">
              <w:tab/>
              <w:t xml:space="preserve">Transport de marchandises dangereuses (CEE) </w:t>
            </w:r>
          </w:p>
        </w:tc>
        <w:tc>
          <w:tcPr>
            <w:tcW w:w="4534" w:type="dxa"/>
            <w:shd w:val="clear" w:color="auto" w:fill="auto"/>
          </w:tcPr>
          <w:p w:rsidR="00EA7B3A" w:rsidRPr="00975C02" w:rsidRDefault="00EA7B3A" w:rsidP="00733585">
            <w:pPr>
              <w:tabs>
                <w:tab w:val="left" w:pos="964"/>
              </w:tabs>
              <w:spacing w:before="40" w:after="120"/>
            </w:pPr>
            <w:r w:rsidRPr="00975C02">
              <w:t>RE 9 b)</w:t>
            </w:r>
            <w:r w:rsidR="00733585">
              <w:t xml:space="preserve"> </w:t>
            </w:r>
            <w:r w:rsidRPr="00975C02">
              <w:t>Suivi de la mise en œuvre de la Feuille de route pour l’adhésion et la mise en œuvre de l’ADR (ECE/TRANS/238) pour les nouvelles Parties contractantes et les Par</w:t>
            </w:r>
            <w:r w:rsidR="007768C9">
              <w:t>ties contractantes existantes à </w:t>
            </w:r>
            <w:r w:rsidRPr="00975C02">
              <w:t xml:space="preserve">l’ADR </w:t>
            </w:r>
          </w:p>
        </w:tc>
      </w:tr>
      <w:tr w:rsidR="003447EE" w:rsidRPr="00975C02" w:rsidTr="00EC31A2">
        <w:trPr>
          <w:trHeight w:val="20"/>
        </w:trPr>
        <w:tc>
          <w:tcPr>
            <w:tcW w:w="3119" w:type="dxa"/>
            <w:shd w:val="clear" w:color="auto" w:fill="auto"/>
          </w:tcPr>
          <w:p w:rsidR="003447EE" w:rsidRPr="00975C02" w:rsidRDefault="003447EE" w:rsidP="00E37EC6">
            <w:pPr>
              <w:spacing w:before="40" w:after="120"/>
              <w:ind w:right="113"/>
              <w:rPr>
                <w:b/>
              </w:rPr>
            </w:pPr>
          </w:p>
        </w:tc>
        <w:tc>
          <w:tcPr>
            <w:tcW w:w="1984" w:type="dxa"/>
            <w:shd w:val="clear" w:color="auto" w:fill="auto"/>
          </w:tcPr>
          <w:p w:rsidR="003447EE" w:rsidRPr="00975C02" w:rsidRDefault="003447EE" w:rsidP="00975C02">
            <w:pPr>
              <w:spacing w:before="40" w:after="120"/>
              <w:ind w:right="113"/>
            </w:pPr>
          </w:p>
        </w:tc>
        <w:tc>
          <w:tcPr>
            <w:tcW w:w="4534" w:type="dxa"/>
            <w:shd w:val="clear" w:color="auto" w:fill="auto"/>
          </w:tcPr>
          <w:p w:rsidR="003447EE" w:rsidRPr="00975C02" w:rsidRDefault="003447EE" w:rsidP="00733585">
            <w:pPr>
              <w:tabs>
                <w:tab w:val="left" w:pos="964"/>
              </w:tabs>
              <w:spacing w:before="40" w:after="120"/>
            </w:pPr>
            <w:r w:rsidRPr="00975C02">
              <w:t>IS 9 b)</w:t>
            </w:r>
            <w:r w:rsidR="00733585">
              <w:t xml:space="preserve"> </w:t>
            </w:r>
            <w:r w:rsidRPr="00975C02">
              <w:t xml:space="preserve">Informations des pays sur l’ADR et notifications obligatoires (informations sur les certificats de formation des conducteurs et informations spécifiées à l’annexe I du plan) complétées et affichées sur le site </w:t>
            </w:r>
            <w:r w:rsidR="007768C9" w:rsidRPr="00975C02">
              <w:t xml:space="preserve">Internet </w:t>
            </w:r>
            <w:r w:rsidRPr="00975C02">
              <w:t>de la CEE</w:t>
            </w:r>
          </w:p>
        </w:tc>
      </w:tr>
      <w:tr w:rsidR="003447EE" w:rsidRPr="00975C02" w:rsidTr="00EC31A2">
        <w:trPr>
          <w:trHeight w:val="20"/>
        </w:trPr>
        <w:tc>
          <w:tcPr>
            <w:tcW w:w="3119" w:type="dxa"/>
            <w:shd w:val="clear" w:color="auto" w:fill="auto"/>
          </w:tcPr>
          <w:p w:rsidR="003447EE" w:rsidRPr="00975C02" w:rsidRDefault="003447EE" w:rsidP="00E37EC6">
            <w:pPr>
              <w:spacing w:before="40" w:after="120"/>
              <w:ind w:right="113"/>
              <w:rPr>
                <w:b/>
              </w:rPr>
            </w:pPr>
          </w:p>
        </w:tc>
        <w:tc>
          <w:tcPr>
            <w:tcW w:w="1984" w:type="dxa"/>
            <w:shd w:val="clear" w:color="auto" w:fill="auto"/>
          </w:tcPr>
          <w:p w:rsidR="003447EE" w:rsidRPr="00975C02" w:rsidRDefault="003447EE" w:rsidP="00975C02">
            <w:pPr>
              <w:spacing w:before="40" w:after="120"/>
              <w:ind w:right="113"/>
            </w:pPr>
          </w:p>
        </w:tc>
        <w:tc>
          <w:tcPr>
            <w:tcW w:w="4534" w:type="dxa"/>
            <w:shd w:val="clear" w:color="auto" w:fill="auto"/>
          </w:tcPr>
          <w:p w:rsidR="003447EE" w:rsidRPr="00975C02" w:rsidRDefault="003447EE" w:rsidP="00C046C8">
            <w:pPr>
              <w:tabs>
                <w:tab w:val="left" w:pos="964"/>
              </w:tabs>
              <w:spacing w:before="40" w:after="120"/>
            </w:pPr>
            <w:r w:rsidRPr="000C3EDC">
              <w:rPr>
                <w:i/>
              </w:rPr>
              <w:t>Mesure des résultats</w:t>
            </w:r>
            <w:r w:rsidRPr="00975C02">
              <w:t> :</w:t>
            </w:r>
            <w:r>
              <w:br/>
            </w:r>
            <w:r w:rsidRPr="00975C02">
              <w:t>Référence 2016-2017 : informations disponibles pour 75</w:t>
            </w:r>
            <w:r w:rsidR="00C85CD7">
              <w:t> %</w:t>
            </w:r>
            <w:r w:rsidRPr="00975C02">
              <w:t xml:space="preserve"> des Parties contractantes à l’ADR </w:t>
            </w:r>
          </w:p>
        </w:tc>
      </w:tr>
      <w:tr w:rsidR="00C046C8" w:rsidRPr="00975C02" w:rsidTr="00EC31A2">
        <w:trPr>
          <w:trHeight w:val="20"/>
        </w:trPr>
        <w:tc>
          <w:tcPr>
            <w:tcW w:w="3119" w:type="dxa"/>
            <w:shd w:val="clear" w:color="auto" w:fill="auto"/>
          </w:tcPr>
          <w:p w:rsidR="00C046C8" w:rsidRPr="00975C02" w:rsidRDefault="00C046C8" w:rsidP="00E37EC6">
            <w:pPr>
              <w:spacing w:before="40" w:after="120"/>
              <w:ind w:right="113"/>
              <w:rPr>
                <w:b/>
              </w:rPr>
            </w:pPr>
          </w:p>
        </w:tc>
        <w:tc>
          <w:tcPr>
            <w:tcW w:w="1984" w:type="dxa"/>
            <w:shd w:val="clear" w:color="auto" w:fill="auto"/>
          </w:tcPr>
          <w:p w:rsidR="00C046C8" w:rsidRPr="00975C02" w:rsidRDefault="00C046C8" w:rsidP="00975C02">
            <w:pPr>
              <w:spacing w:before="40" w:after="120"/>
              <w:ind w:right="113"/>
            </w:pPr>
          </w:p>
        </w:tc>
        <w:tc>
          <w:tcPr>
            <w:tcW w:w="4534" w:type="dxa"/>
            <w:shd w:val="clear" w:color="auto" w:fill="auto"/>
          </w:tcPr>
          <w:p w:rsidR="00C046C8" w:rsidRPr="000C3EDC" w:rsidRDefault="00C046C8" w:rsidP="000B3701">
            <w:pPr>
              <w:tabs>
                <w:tab w:val="left" w:pos="964"/>
              </w:tabs>
              <w:spacing w:before="40" w:after="120"/>
              <w:rPr>
                <w:i/>
              </w:rPr>
            </w:pPr>
            <w:r w:rsidRPr="00975C02">
              <w:t>Objectif pour 2018-2019 : informations disponibles et mises à jour pour 75</w:t>
            </w:r>
            <w:r w:rsidR="00C85CD7">
              <w:t> %</w:t>
            </w:r>
            <w:r w:rsidRPr="00975C02">
              <w:t xml:space="preserve"> des Parties contractantes à l’ADR</w:t>
            </w:r>
          </w:p>
        </w:tc>
      </w:tr>
      <w:tr w:rsidR="00307F19" w:rsidRPr="00975C02" w:rsidTr="00EC31A2">
        <w:trPr>
          <w:trHeight w:val="20"/>
        </w:trPr>
        <w:tc>
          <w:tcPr>
            <w:tcW w:w="3119" w:type="dxa"/>
            <w:vMerge w:val="restart"/>
            <w:shd w:val="clear" w:color="auto" w:fill="auto"/>
          </w:tcPr>
          <w:p w:rsidR="00307F19" w:rsidRPr="00975C02" w:rsidRDefault="00307F19" w:rsidP="00E37EC6">
            <w:pPr>
              <w:spacing w:before="40" w:after="120"/>
              <w:ind w:right="113"/>
              <w:rPr>
                <w:b/>
              </w:rPr>
            </w:pPr>
          </w:p>
        </w:tc>
        <w:tc>
          <w:tcPr>
            <w:tcW w:w="1984" w:type="dxa"/>
            <w:vMerge w:val="restart"/>
            <w:shd w:val="clear" w:color="auto" w:fill="auto"/>
          </w:tcPr>
          <w:p w:rsidR="00307F19" w:rsidRPr="00975C02" w:rsidRDefault="00307F19" w:rsidP="0041050D">
            <w:pPr>
              <w:tabs>
                <w:tab w:val="left" w:pos="454"/>
              </w:tabs>
              <w:spacing w:before="40" w:after="120"/>
              <w:ind w:left="454" w:right="113" w:hanging="454"/>
            </w:pPr>
            <w:r w:rsidRPr="00975C02">
              <w:t>10</w:t>
            </w:r>
            <w:r>
              <w:t xml:space="preserve"> </w:t>
            </w:r>
            <w:r w:rsidRPr="00975C02">
              <w:t>b</w:t>
            </w:r>
            <w:r>
              <w:t>)</w:t>
            </w:r>
            <w:r w:rsidRPr="00975C02">
              <w:tab/>
              <w:t>Transport de marchandises dangereuses (ECOSOC)</w:t>
            </w:r>
          </w:p>
        </w:tc>
        <w:tc>
          <w:tcPr>
            <w:tcW w:w="4534" w:type="dxa"/>
            <w:shd w:val="clear" w:color="auto" w:fill="auto"/>
          </w:tcPr>
          <w:p w:rsidR="00307F19" w:rsidRPr="00975C02" w:rsidRDefault="00307F19" w:rsidP="00733585">
            <w:pPr>
              <w:tabs>
                <w:tab w:val="left" w:pos="964"/>
              </w:tabs>
              <w:spacing w:before="40" w:after="120"/>
            </w:pPr>
            <w:r w:rsidRPr="00975C02">
              <w:t>RE 10 b)</w:t>
            </w:r>
            <w:r w:rsidR="00733585">
              <w:t xml:space="preserve"> </w:t>
            </w:r>
            <w:r w:rsidRPr="00975C02">
              <w:t xml:space="preserve">Pleine application des recommandations au moyen d’instruments juridiques nationaux et internationaux </w:t>
            </w:r>
          </w:p>
        </w:tc>
      </w:tr>
      <w:tr w:rsidR="00307F19" w:rsidRPr="00975C02" w:rsidTr="00EC31A2">
        <w:trPr>
          <w:trHeight w:val="20"/>
        </w:trPr>
        <w:tc>
          <w:tcPr>
            <w:tcW w:w="3119" w:type="dxa"/>
            <w:vMerge/>
            <w:shd w:val="clear" w:color="auto" w:fill="auto"/>
          </w:tcPr>
          <w:p w:rsidR="00307F19" w:rsidRPr="00975C02" w:rsidRDefault="00307F19" w:rsidP="00E37EC6">
            <w:pPr>
              <w:spacing w:before="40" w:after="120"/>
              <w:ind w:right="113"/>
              <w:rPr>
                <w:b/>
              </w:rPr>
            </w:pPr>
          </w:p>
        </w:tc>
        <w:tc>
          <w:tcPr>
            <w:tcW w:w="1984" w:type="dxa"/>
            <w:vMerge/>
            <w:shd w:val="clear" w:color="auto" w:fill="auto"/>
          </w:tcPr>
          <w:p w:rsidR="00307F19" w:rsidRPr="00975C02" w:rsidRDefault="00307F19" w:rsidP="00975C02">
            <w:pPr>
              <w:spacing w:before="40" w:after="120"/>
              <w:ind w:right="113"/>
            </w:pPr>
          </w:p>
        </w:tc>
        <w:tc>
          <w:tcPr>
            <w:tcW w:w="4534" w:type="dxa"/>
            <w:shd w:val="clear" w:color="auto" w:fill="auto"/>
          </w:tcPr>
          <w:p w:rsidR="00307F19" w:rsidRPr="00975C02" w:rsidRDefault="00307F19" w:rsidP="008A5D42">
            <w:pPr>
              <w:tabs>
                <w:tab w:val="left" w:pos="964"/>
              </w:tabs>
              <w:spacing w:before="40" w:after="120"/>
            </w:pPr>
            <w:r w:rsidRPr="00975C02">
              <w:t>IS 10 b) a)</w:t>
            </w:r>
            <w:r>
              <w:t xml:space="preserve"> </w:t>
            </w:r>
            <w:r w:rsidRPr="00975C02">
              <w:t xml:space="preserve">Nombre d’instruments juridiques internationaux modifiés pour reprendre les Recommandations de l’ONU de 2017 relatives au transport des marchandises dangereuses (Règlement type, vingtième édition révisée) </w:t>
            </w:r>
          </w:p>
        </w:tc>
      </w:tr>
      <w:tr w:rsidR="008A5D42" w:rsidRPr="00975C02" w:rsidTr="00EC31A2">
        <w:trPr>
          <w:trHeight w:val="20"/>
        </w:trPr>
        <w:tc>
          <w:tcPr>
            <w:tcW w:w="3119" w:type="dxa"/>
            <w:shd w:val="clear" w:color="auto" w:fill="auto"/>
          </w:tcPr>
          <w:p w:rsidR="008A5D42" w:rsidRPr="00975C02" w:rsidRDefault="008A5D42" w:rsidP="00E37EC6">
            <w:pPr>
              <w:spacing w:before="40" w:after="120"/>
              <w:ind w:right="113"/>
              <w:rPr>
                <w:b/>
              </w:rPr>
            </w:pPr>
          </w:p>
        </w:tc>
        <w:tc>
          <w:tcPr>
            <w:tcW w:w="1984" w:type="dxa"/>
            <w:shd w:val="clear" w:color="auto" w:fill="auto"/>
          </w:tcPr>
          <w:p w:rsidR="008A5D42" w:rsidRPr="00975C02" w:rsidRDefault="008A5D42" w:rsidP="00975C02">
            <w:pPr>
              <w:spacing w:before="40" w:after="120"/>
              <w:ind w:right="113"/>
            </w:pPr>
          </w:p>
        </w:tc>
        <w:tc>
          <w:tcPr>
            <w:tcW w:w="4534" w:type="dxa"/>
            <w:shd w:val="clear" w:color="auto" w:fill="auto"/>
          </w:tcPr>
          <w:p w:rsidR="008A5D42" w:rsidRPr="00975C02" w:rsidRDefault="008A5D42" w:rsidP="00C046C8">
            <w:pPr>
              <w:tabs>
                <w:tab w:val="left" w:pos="964"/>
              </w:tabs>
              <w:spacing w:before="40" w:after="120"/>
            </w:pPr>
            <w:r w:rsidRPr="000C3EDC">
              <w:rPr>
                <w:i/>
              </w:rPr>
              <w:t>Mesure des résultats</w:t>
            </w:r>
            <w:r w:rsidRPr="00975C02">
              <w:t> :</w:t>
            </w:r>
            <w:r w:rsidRPr="00975C02">
              <w:br/>
              <w:t>Référence 2017 : 6</w:t>
            </w:r>
          </w:p>
        </w:tc>
      </w:tr>
      <w:tr w:rsidR="00C046C8" w:rsidRPr="00975C02" w:rsidTr="00EC31A2">
        <w:trPr>
          <w:trHeight w:val="20"/>
        </w:trPr>
        <w:tc>
          <w:tcPr>
            <w:tcW w:w="3119" w:type="dxa"/>
            <w:shd w:val="clear" w:color="auto" w:fill="auto"/>
          </w:tcPr>
          <w:p w:rsidR="00C046C8" w:rsidRPr="00975C02" w:rsidRDefault="00C046C8" w:rsidP="00E37EC6">
            <w:pPr>
              <w:spacing w:before="40" w:after="120"/>
              <w:ind w:right="113"/>
              <w:rPr>
                <w:b/>
              </w:rPr>
            </w:pPr>
          </w:p>
        </w:tc>
        <w:tc>
          <w:tcPr>
            <w:tcW w:w="1984" w:type="dxa"/>
            <w:shd w:val="clear" w:color="auto" w:fill="auto"/>
          </w:tcPr>
          <w:p w:rsidR="00C046C8" w:rsidRPr="00975C02" w:rsidRDefault="00C046C8" w:rsidP="00975C02">
            <w:pPr>
              <w:spacing w:before="40" w:after="120"/>
              <w:ind w:right="113"/>
            </w:pPr>
          </w:p>
        </w:tc>
        <w:tc>
          <w:tcPr>
            <w:tcW w:w="4534" w:type="dxa"/>
            <w:shd w:val="clear" w:color="auto" w:fill="auto"/>
          </w:tcPr>
          <w:p w:rsidR="00C046C8" w:rsidRPr="000C3EDC" w:rsidRDefault="00C046C8" w:rsidP="000B3701">
            <w:pPr>
              <w:tabs>
                <w:tab w:val="left" w:pos="964"/>
              </w:tabs>
              <w:spacing w:before="40" w:after="120"/>
              <w:rPr>
                <w:i/>
              </w:rPr>
            </w:pPr>
            <w:r w:rsidRPr="00975C02">
              <w:t>Objectif pour 2018-2019 : 6</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A5D42">
            <w:pPr>
              <w:tabs>
                <w:tab w:val="left" w:pos="964"/>
              </w:tabs>
              <w:spacing w:before="40" w:after="120"/>
            </w:pPr>
            <w:r w:rsidRPr="00975C02">
              <w:t>IS 10 b) b)</w:t>
            </w:r>
            <w:r w:rsidR="003557E8">
              <w:t xml:space="preserve"> </w:t>
            </w:r>
            <w:r w:rsidRPr="00975C02">
              <w:t xml:space="preserve">Nombre de gouvernements ayant adopté les dispositions de la dernière édition révisée des Recommandations de l’ONU relatives au transport des marchandises dangereuses (Règlement type) pour la réglementation du transport intérieur </w:t>
            </w:r>
          </w:p>
        </w:tc>
      </w:tr>
      <w:tr w:rsidR="008A5D42" w:rsidRPr="00975C02" w:rsidTr="00EC31A2">
        <w:trPr>
          <w:trHeight w:val="20"/>
        </w:trPr>
        <w:tc>
          <w:tcPr>
            <w:tcW w:w="3119" w:type="dxa"/>
            <w:shd w:val="clear" w:color="auto" w:fill="auto"/>
          </w:tcPr>
          <w:p w:rsidR="008A5D42" w:rsidRPr="00975C02" w:rsidRDefault="008A5D42" w:rsidP="00E37EC6">
            <w:pPr>
              <w:spacing w:before="40" w:after="120"/>
              <w:ind w:right="113"/>
              <w:rPr>
                <w:b/>
              </w:rPr>
            </w:pPr>
          </w:p>
        </w:tc>
        <w:tc>
          <w:tcPr>
            <w:tcW w:w="1984" w:type="dxa"/>
            <w:shd w:val="clear" w:color="auto" w:fill="auto"/>
          </w:tcPr>
          <w:p w:rsidR="008A5D42" w:rsidRPr="00975C02" w:rsidRDefault="008A5D42" w:rsidP="00975C02">
            <w:pPr>
              <w:spacing w:before="40" w:after="120"/>
              <w:ind w:right="113"/>
            </w:pPr>
          </w:p>
        </w:tc>
        <w:tc>
          <w:tcPr>
            <w:tcW w:w="4534" w:type="dxa"/>
            <w:shd w:val="clear" w:color="auto" w:fill="auto"/>
          </w:tcPr>
          <w:p w:rsidR="008A5D42" w:rsidRPr="00975C02" w:rsidRDefault="008A5D42" w:rsidP="00C046C8">
            <w:pPr>
              <w:tabs>
                <w:tab w:val="left" w:pos="964"/>
              </w:tabs>
              <w:spacing w:before="40" w:after="120"/>
            </w:pPr>
            <w:r w:rsidRPr="000C3EDC">
              <w:rPr>
                <w:i/>
              </w:rPr>
              <w:t>Mesure des résultats</w:t>
            </w:r>
            <w:r w:rsidRPr="00975C02">
              <w:t> :</w:t>
            </w:r>
            <w:r w:rsidRPr="00975C02">
              <w:br/>
              <w:t>Référence 2017 : 38</w:t>
            </w:r>
          </w:p>
        </w:tc>
      </w:tr>
      <w:tr w:rsidR="00C046C8" w:rsidRPr="00975C02" w:rsidTr="00EC31A2">
        <w:trPr>
          <w:trHeight w:val="20"/>
        </w:trPr>
        <w:tc>
          <w:tcPr>
            <w:tcW w:w="3119" w:type="dxa"/>
            <w:shd w:val="clear" w:color="auto" w:fill="auto"/>
          </w:tcPr>
          <w:p w:rsidR="00C046C8" w:rsidRPr="00975C02" w:rsidRDefault="00C046C8" w:rsidP="00E37EC6">
            <w:pPr>
              <w:spacing w:before="40" w:after="120"/>
              <w:ind w:right="113"/>
              <w:rPr>
                <w:b/>
              </w:rPr>
            </w:pPr>
          </w:p>
        </w:tc>
        <w:tc>
          <w:tcPr>
            <w:tcW w:w="1984" w:type="dxa"/>
            <w:shd w:val="clear" w:color="auto" w:fill="auto"/>
          </w:tcPr>
          <w:p w:rsidR="00C046C8" w:rsidRPr="00975C02" w:rsidRDefault="00C046C8" w:rsidP="00975C02">
            <w:pPr>
              <w:spacing w:before="40" w:after="120"/>
              <w:ind w:right="113"/>
            </w:pPr>
          </w:p>
        </w:tc>
        <w:tc>
          <w:tcPr>
            <w:tcW w:w="4534" w:type="dxa"/>
            <w:shd w:val="clear" w:color="auto" w:fill="auto"/>
          </w:tcPr>
          <w:p w:rsidR="00C046C8" w:rsidRPr="000C3EDC" w:rsidRDefault="00C046C8" w:rsidP="00C046C8">
            <w:pPr>
              <w:tabs>
                <w:tab w:val="left" w:pos="964"/>
              </w:tabs>
              <w:spacing w:before="40" w:after="120"/>
              <w:rPr>
                <w:i/>
              </w:rPr>
            </w:pPr>
            <w:r w:rsidRPr="00975C02">
              <w:t>Objectif pour 2018-2019 : 38</w:t>
            </w:r>
          </w:p>
        </w:tc>
      </w:tr>
      <w:tr w:rsidR="008A5D42" w:rsidRPr="00975C02" w:rsidTr="00EC31A2">
        <w:trPr>
          <w:trHeight w:val="20"/>
        </w:trPr>
        <w:tc>
          <w:tcPr>
            <w:tcW w:w="3119" w:type="dxa"/>
            <w:shd w:val="clear" w:color="auto" w:fill="auto"/>
          </w:tcPr>
          <w:p w:rsidR="008A5D42" w:rsidRPr="00975C02" w:rsidRDefault="008A5D42" w:rsidP="00E37EC6">
            <w:pPr>
              <w:spacing w:before="40" w:after="120"/>
              <w:ind w:right="113"/>
              <w:rPr>
                <w:b/>
              </w:rPr>
            </w:pPr>
          </w:p>
        </w:tc>
        <w:tc>
          <w:tcPr>
            <w:tcW w:w="1984" w:type="dxa"/>
            <w:vMerge w:val="restart"/>
            <w:shd w:val="clear" w:color="auto" w:fill="auto"/>
          </w:tcPr>
          <w:p w:rsidR="008A5D42" w:rsidRPr="00975C02" w:rsidRDefault="008A5D42" w:rsidP="0041050D">
            <w:pPr>
              <w:tabs>
                <w:tab w:val="left" w:pos="454"/>
              </w:tabs>
              <w:spacing w:before="40" w:after="120"/>
              <w:ind w:left="454" w:right="113" w:hanging="454"/>
            </w:pPr>
            <w:r w:rsidRPr="00975C02">
              <w:t>11 b)</w:t>
            </w:r>
            <w:r w:rsidRPr="00975C02">
              <w:tab/>
              <w:t xml:space="preserve">Système général harmonisé de classification et d’étiquetage des produits chimiques (SGH) </w:t>
            </w:r>
          </w:p>
        </w:tc>
        <w:tc>
          <w:tcPr>
            <w:tcW w:w="4534" w:type="dxa"/>
            <w:shd w:val="clear" w:color="auto" w:fill="auto"/>
          </w:tcPr>
          <w:p w:rsidR="008A5D42" w:rsidRPr="00975C02" w:rsidRDefault="008A5D42" w:rsidP="00810F9D">
            <w:pPr>
              <w:tabs>
                <w:tab w:val="left" w:pos="964"/>
              </w:tabs>
              <w:spacing w:before="40" w:after="120"/>
            </w:pPr>
            <w:r w:rsidRPr="00975C02">
              <w:t>RE 11 b)</w:t>
            </w:r>
            <w:r w:rsidR="00810F9D">
              <w:t xml:space="preserve"> </w:t>
            </w:r>
            <w:r w:rsidRPr="00975C02">
              <w:t xml:space="preserve">Pleine application du SGH au moyen d’instruments juridiques nationaux et internationaux </w:t>
            </w:r>
          </w:p>
        </w:tc>
      </w:tr>
      <w:tr w:rsidR="008A5D42" w:rsidRPr="00975C02" w:rsidTr="00EC31A2">
        <w:trPr>
          <w:trHeight w:val="20"/>
        </w:trPr>
        <w:tc>
          <w:tcPr>
            <w:tcW w:w="3119" w:type="dxa"/>
            <w:shd w:val="clear" w:color="auto" w:fill="auto"/>
          </w:tcPr>
          <w:p w:rsidR="008A5D42" w:rsidRPr="00975C02" w:rsidRDefault="008A5D42" w:rsidP="00E37EC6">
            <w:pPr>
              <w:spacing w:before="40" w:after="120"/>
              <w:ind w:right="113"/>
              <w:rPr>
                <w:b/>
              </w:rPr>
            </w:pPr>
          </w:p>
        </w:tc>
        <w:tc>
          <w:tcPr>
            <w:tcW w:w="1984" w:type="dxa"/>
            <w:vMerge/>
            <w:shd w:val="clear" w:color="auto" w:fill="auto"/>
          </w:tcPr>
          <w:p w:rsidR="008A5D42" w:rsidRPr="00975C02" w:rsidRDefault="008A5D42" w:rsidP="00975C02">
            <w:pPr>
              <w:spacing w:before="40" w:after="120"/>
              <w:ind w:right="113"/>
            </w:pPr>
          </w:p>
        </w:tc>
        <w:tc>
          <w:tcPr>
            <w:tcW w:w="4534" w:type="dxa"/>
            <w:shd w:val="clear" w:color="auto" w:fill="auto"/>
          </w:tcPr>
          <w:p w:rsidR="008A5D42" w:rsidRPr="00975C02" w:rsidRDefault="008A5D42" w:rsidP="008A5D42">
            <w:pPr>
              <w:tabs>
                <w:tab w:val="left" w:pos="964"/>
              </w:tabs>
              <w:spacing w:before="40" w:after="120"/>
            </w:pPr>
            <w:r w:rsidRPr="00975C02">
              <w:t>IS 11 b) a)</w:t>
            </w:r>
            <w:r>
              <w:t xml:space="preserve"> </w:t>
            </w:r>
            <w:r w:rsidRPr="00975C02">
              <w:t xml:space="preserve">Nombre d’instruments juridiques internationaux, de codes, de directives ou de normes ayant été adoptés ou modifiés pour tenir compte des dispositions du SGH </w:t>
            </w:r>
          </w:p>
        </w:tc>
      </w:tr>
      <w:tr w:rsidR="008A5D42" w:rsidRPr="00975C02" w:rsidTr="00EC31A2">
        <w:trPr>
          <w:trHeight w:val="20"/>
        </w:trPr>
        <w:tc>
          <w:tcPr>
            <w:tcW w:w="3119" w:type="dxa"/>
            <w:shd w:val="clear" w:color="auto" w:fill="auto"/>
          </w:tcPr>
          <w:p w:rsidR="008A5D42" w:rsidRPr="00975C02" w:rsidRDefault="008A5D42" w:rsidP="00E37EC6">
            <w:pPr>
              <w:spacing w:before="40" w:after="120"/>
              <w:ind w:right="113"/>
              <w:rPr>
                <w:b/>
              </w:rPr>
            </w:pPr>
          </w:p>
        </w:tc>
        <w:tc>
          <w:tcPr>
            <w:tcW w:w="1984" w:type="dxa"/>
            <w:shd w:val="clear" w:color="auto" w:fill="auto"/>
          </w:tcPr>
          <w:p w:rsidR="008A5D42" w:rsidRPr="00975C02" w:rsidRDefault="008A5D42" w:rsidP="00975C02">
            <w:pPr>
              <w:spacing w:before="40" w:after="120"/>
              <w:ind w:right="113"/>
            </w:pPr>
          </w:p>
        </w:tc>
        <w:tc>
          <w:tcPr>
            <w:tcW w:w="4534" w:type="dxa"/>
            <w:shd w:val="clear" w:color="auto" w:fill="auto"/>
          </w:tcPr>
          <w:p w:rsidR="008A5D42" w:rsidRPr="00975C02" w:rsidRDefault="008A5D42" w:rsidP="00C046C8">
            <w:pPr>
              <w:tabs>
                <w:tab w:val="left" w:pos="964"/>
              </w:tabs>
              <w:spacing w:before="40" w:after="120"/>
            </w:pPr>
            <w:r w:rsidRPr="000C3EDC">
              <w:rPr>
                <w:i/>
              </w:rPr>
              <w:t>Mesure des résultats</w:t>
            </w:r>
            <w:r w:rsidRPr="00975C02">
              <w:t> :</w:t>
            </w:r>
            <w:r w:rsidRPr="00975C02">
              <w:br/>
              <w:t>Référence 2017 : 16</w:t>
            </w:r>
          </w:p>
        </w:tc>
      </w:tr>
      <w:tr w:rsidR="00C046C8" w:rsidRPr="00975C02" w:rsidTr="00EC31A2">
        <w:trPr>
          <w:trHeight w:val="20"/>
        </w:trPr>
        <w:tc>
          <w:tcPr>
            <w:tcW w:w="3119" w:type="dxa"/>
            <w:shd w:val="clear" w:color="auto" w:fill="auto"/>
          </w:tcPr>
          <w:p w:rsidR="00C046C8" w:rsidRPr="00975C02" w:rsidRDefault="00C046C8" w:rsidP="00E37EC6">
            <w:pPr>
              <w:spacing w:before="40" w:after="120"/>
              <w:ind w:right="113"/>
              <w:rPr>
                <w:b/>
              </w:rPr>
            </w:pPr>
          </w:p>
        </w:tc>
        <w:tc>
          <w:tcPr>
            <w:tcW w:w="1984" w:type="dxa"/>
            <w:shd w:val="clear" w:color="auto" w:fill="auto"/>
          </w:tcPr>
          <w:p w:rsidR="00C046C8" w:rsidRPr="00975C02" w:rsidRDefault="00C046C8" w:rsidP="00975C02">
            <w:pPr>
              <w:spacing w:before="40" w:after="120"/>
              <w:ind w:right="113"/>
            </w:pPr>
          </w:p>
        </w:tc>
        <w:tc>
          <w:tcPr>
            <w:tcW w:w="4534" w:type="dxa"/>
            <w:shd w:val="clear" w:color="auto" w:fill="auto"/>
          </w:tcPr>
          <w:p w:rsidR="00C046C8" w:rsidRPr="000C3EDC" w:rsidRDefault="00C046C8" w:rsidP="00AE084B">
            <w:pPr>
              <w:tabs>
                <w:tab w:val="left" w:pos="964"/>
              </w:tabs>
              <w:spacing w:before="40" w:after="120"/>
              <w:rPr>
                <w:i/>
              </w:rPr>
            </w:pPr>
            <w:r w:rsidRPr="00975C02">
              <w:t>Objectif pour 2018-2019 : 16</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11 b) b)</w:t>
            </w:r>
            <w:r w:rsidR="00810F9D">
              <w:t xml:space="preserve"> </w:t>
            </w:r>
            <w:r w:rsidRPr="00975C02">
              <w:t xml:space="preserve">Nombre de gouvernements ayant intégré les </w:t>
            </w:r>
            <w:r w:rsidRPr="00975C02">
              <w:lastRenderedPageBreak/>
              <w:t xml:space="preserve">dispositions du SGH ou les amendements au SGH dans leur réglementation nationale applicable à la classification et à l’étiquetage des produits chimiques dans les secteurs autres que celui des transports </w:t>
            </w:r>
          </w:p>
        </w:tc>
      </w:tr>
      <w:tr w:rsidR="008A5D42" w:rsidRPr="00975C02" w:rsidTr="00EC31A2">
        <w:trPr>
          <w:trHeight w:val="20"/>
        </w:trPr>
        <w:tc>
          <w:tcPr>
            <w:tcW w:w="3119" w:type="dxa"/>
            <w:shd w:val="clear" w:color="auto" w:fill="auto"/>
          </w:tcPr>
          <w:p w:rsidR="008A5D42" w:rsidRPr="00975C02" w:rsidRDefault="008A5D42" w:rsidP="00E37EC6">
            <w:pPr>
              <w:spacing w:before="40" w:after="120"/>
              <w:ind w:right="113"/>
              <w:rPr>
                <w:b/>
              </w:rPr>
            </w:pPr>
          </w:p>
        </w:tc>
        <w:tc>
          <w:tcPr>
            <w:tcW w:w="1984" w:type="dxa"/>
            <w:shd w:val="clear" w:color="auto" w:fill="auto"/>
          </w:tcPr>
          <w:p w:rsidR="008A5D42" w:rsidRPr="00975C02" w:rsidRDefault="008A5D42" w:rsidP="00975C02">
            <w:pPr>
              <w:spacing w:before="40" w:after="120"/>
              <w:ind w:right="113"/>
            </w:pPr>
          </w:p>
        </w:tc>
        <w:tc>
          <w:tcPr>
            <w:tcW w:w="4534" w:type="dxa"/>
            <w:shd w:val="clear" w:color="auto" w:fill="auto"/>
          </w:tcPr>
          <w:p w:rsidR="008A5D42" w:rsidRPr="00975C02" w:rsidRDefault="008A5D42" w:rsidP="00B7013C">
            <w:pPr>
              <w:tabs>
                <w:tab w:val="left" w:pos="964"/>
              </w:tabs>
              <w:spacing w:before="40" w:after="120"/>
            </w:pPr>
            <w:r w:rsidRPr="000C3EDC">
              <w:rPr>
                <w:i/>
              </w:rPr>
              <w:t>Mesure des résultats</w:t>
            </w:r>
            <w:r w:rsidRPr="00975C02">
              <w:t> :</w:t>
            </w:r>
            <w:r w:rsidRPr="00975C02">
              <w:br/>
              <w:t>Référence 2017 : 60</w:t>
            </w:r>
            <w:r w:rsidR="00B7013C">
              <w:t xml:space="preserve"> </w:t>
            </w:r>
          </w:p>
        </w:tc>
      </w:tr>
      <w:tr w:rsidR="00B7013C" w:rsidRPr="00975C02" w:rsidTr="00EC31A2">
        <w:trPr>
          <w:trHeight w:val="20"/>
        </w:trPr>
        <w:tc>
          <w:tcPr>
            <w:tcW w:w="3119" w:type="dxa"/>
            <w:shd w:val="clear" w:color="auto" w:fill="auto"/>
          </w:tcPr>
          <w:p w:rsidR="00B7013C" w:rsidRPr="00975C02" w:rsidRDefault="00B7013C" w:rsidP="00E37EC6">
            <w:pPr>
              <w:spacing w:before="40" w:after="120"/>
              <w:ind w:right="113"/>
              <w:rPr>
                <w:b/>
              </w:rPr>
            </w:pPr>
          </w:p>
        </w:tc>
        <w:tc>
          <w:tcPr>
            <w:tcW w:w="1984" w:type="dxa"/>
            <w:shd w:val="clear" w:color="auto" w:fill="auto"/>
          </w:tcPr>
          <w:p w:rsidR="00B7013C" w:rsidRPr="00975C02" w:rsidRDefault="00B7013C" w:rsidP="00975C02">
            <w:pPr>
              <w:spacing w:before="40" w:after="120"/>
              <w:ind w:right="113"/>
            </w:pPr>
          </w:p>
        </w:tc>
        <w:tc>
          <w:tcPr>
            <w:tcW w:w="4534" w:type="dxa"/>
            <w:shd w:val="clear" w:color="auto" w:fill="auto"/>
          </w:tcPr>
          <w:p w:rsidR="00B7013C" w:rsidRPr="000C3EDC" w:rsidRDefault="00B7013C" w:rsidP="00B7013C">
            <w:pPr>
              <w:tabs>
                <w:tab w:val="left" w:pos="964"/>
              </w:tabs>
              <w:spacing w:before="40" w:after="120"/>
              <w:rPr>
                <w:i/>
              </w:rPr>
            </w:pPr>
            <w:r w:rsidRPr="00975C02">
              <w:t>Objectif pour 2018-2019 : 61</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41050D" w:rsidP="0041050D">
            <w:pPr>
              <w:tabs>
                <w:tab w:val="left" w:pos="454"/>
              </w:tabs>
              <w:spacing w:before="40" w:after="120"/>
              <w:ind w:left="454" w:right="113" w:hanging="454"/>
            </w:pPr>
            <w:r>
              <w:t>12.b</w:t>
            </w:r>
            <w:r>
              <w:tab/>
              <w:t>Transport de </w:t>
            </w:r>
            <w:r w:rsidR="00EA7B3A" w:rsidRPr="00975C02">
              <w:t xml:space="preserve">denrées périssables </w:t>
            </w:r>
          </w:p>
        </w:tc>
        <w:tc>
          <w:tcPr>
            <w:tcW w:w="4534" w:type="dxa"/>
            <w:shd w:val="clear" w:color="auto" w:fill="auto"/>
          </w:tcPr>
          <w:p w:rsidR="00EA7B3A" w:rsidRPr="00975C02" w:rsidRDefault="00EA7B3A" w:rsidP="00810F9D">
            <w:pPr>
              <w:tabs>
                <w:tab w:val="left" w:pos="964"/>
              </w:tabs>
              <w:spacing w:before="40" w:after="120"/>
            </w:pPr>
            <w:r w:rsidRPr="00975C02">
              <w:t>RE 12 b)</w:t>
            </w:r>
            <w:r w:rsidR="00810F9D">
              <w:t xml:space="preserve"> </w:t>
            </w:r>
            <w:r w:rsidRPr="00975C02">
              <w:t xml:space="preserve">Renforcement et mise à jour des prescriptions régissant le transport international des denrées périssables </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12 b)</w:t>
            </w:r>
            <w:r w:rsidR="00810F9D">
              <w:t xml:space="preserve"> </w:t>
            </w:r>
            <w:r w:rsidRPr="00975C02">
              <w:t>Nombre total de Parties contractantes à l’Accord ATP</w:t>
            </w:r>
          </w:p>
        </w:tc>
      </w:tr>
      <w:tr w:rsidR="008A5D42" w:rsidRPr="00975C02" w:rsidTr="00EC31A2">
        <w:trPr>
          <w:trHeight w:val="20"/>
        </w:trPr>
        <w:tc>
          <w:tcPr>
            <w:tcW w:w="3119" w:type="dxa"/>
            <w:shd w:val="clear" w:color="auto" w:fill="auto"/>
          </w:tcPr>
          <w:p w:rsidR="008A5D42" w:rsidRPr="00975C02" w:rsidRDefault="008A5D42" w:rsidP="00E37EC6">
            <w:pPr>
              <w:spacing w:before="40" w:after="120"/>
              <w:ind w:right="113"/>
              <w:rPr>
                <w:b/>
              </w:rPr>
            </w:pPr>
          </w:p>
        </w:tc>
        <w:tc>
          <w:tcPr>
            <w:tcW w:w="1984" w:type="dxa"/>
            <w:shd w:val="clear" w:color="auto" w:fill="auto"/>
          </w:tcPr>
          <w:p w:rsidR="008A5D42" w:rsidRPr="00975C02" w:rsidRDefault="008A5D42" w:rsidP="00975C02">
            <w:pPr>
              <w:spacing w:before="40" w:after="120"/>
              <w:ind w:right="113"/>
            </w:pPr>
          </w:p>
        </w:tc>
        <w:tc>
          <w:tcPr>
            <w:tcW w:w="4534" w:type="dxa"/>
            <w:shd w:val="clear" w:color="auto" w:fill="auto"/>
          </w:tcPr>
          <w:p w:rsidR="008A5D42" w:rsidRPr="00975C02" w:rsidRDefault="0046766A" w:rsidP="00B7013C">
            <w:pPr>
              <w:tabs>
                <w:tab w:val="left" w:pos="964"/>
              </w:tabs>
              <w:spacing w:before="40" w:after="120"/>
            </w:pPr>
            <w:r w:rsidRPr="000C3EDC">
              <w:rPr>
                <w:i/>
              </w:rPr>
              <w:t>Mesure des résultats</w:t>
            </w:r>
            <w:r w:rsidRPr="00975C02">
              <w:t> :</w:t>
            </w:r>
            <w:r w:rsidRPr="00975C02">
              <w:br/>
              <w:t>Référence : 2016-2017 : 50</w:t>
            </w:r>
          </w:p>
        </w:tc>
      </w:tr>
      <w:tr w:rsidR="00B7013C" w:rsidRPr="00975C02" w:rsidTr="00EC31A2">
        <w:trPr>
          <w:trHeight w:val="20"/>
        </w:trPr>
        <w:tc>
          <w:tcPr>
            <w:tcW w:w="3119" w:type="dxa"/>
            <w:shd w:val="clear" w:color="auto" w:fill="auto"/>
          </w:tcPr>
          <w:p w:rsidR="00B7013C" w:rsidRPr="00975C02" w:rsidRDefault="00B7013C" w:rsidP="00E37EC6">
            <w:pPr>
              <w:spacing w:before="40" w:after="120"/>
              <w:ind w:right="113"/>
              <w:rPr>
                <w:b/>
              </w:rPr>
            </w:pPr>
          </w:p>
        </w:tc>
        <w:tc>
          <w:tcPr>
            <w:tcW w:w="1984" w:type="dxa"/>
            <w:shd w:val="clear" w:color="auto" w:fill="auto"/>
          </w:tcPr>
          <w:p w:rsidR="00B7013C" w:rsidRPr="00975C02" w:rsidRDefault="00B7013C" w:rsidP="00975C02">
            <w:pPr>
              <w:spacing w:before="40" w:after="120"/>
              <w:ind w:right="113"/>
            </w:pPr>
          </w:p>
        </w:tc>
        <w:tc>
          <w:tcPr>
            <w:tcW w:w="4534" w:type="dxa"/>
            <w:shd w:val="clear" w:color="auto" w:fill="auto"/>
          </w:tcPr>
          <w:p w:rsidR="00B7013C" w:rsidRPr="000C3EDC" w:rsidRDefault="00B7013C" w:rsidP="000B3701">
            <w:pPr>
              <w:tabs>
                <w:tab w:val="left" w:pos="964"/>
              </w:tabs>
              <w:spacing w:before="40" w:after="120"/>
              <w:rPr>
                <w:i/>
              </w:rPr>
            </w:pPr>
            <w:r w:rsidRPr="00975C02">
              <w:t>Objectif pour 2018-2019 : 52</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14 a)</w:t>
            </w:r>
            <w:r w:rsidRPr="00975C02">
              <w:tab/>
              <w:t>Transport</w:t>
            </w:r>
            <w:r w:rsidR="00B16FC7">
              <w:t xml:space="preserve"> </w:t>
            </w:r>
            <w:r w:rsidRPr="00975C02">
              <w:t xml:space="preserve">routier </w:t>
            </w:r>
          </w:p>
        </w:tc>
        <w:tc>
          <w:tcPr>
            <w:tcW w:w="4534" w:type="dxa"/>
            <w:shd w:val="clear" w:color="auto" w:fill="auto"/>
          </w:tcPr>
          <w:p w:rsidR="00EA7B3A" w:rsidRPr="00975C02" w:rsidRDefault="00EA7B3A" w:rsidP="00810F9D">
            <w:pPr>
              <w:tabs>
                <w:tab w:val="left" w:pos="964"/>
              </w:tabs>
              <w:spacing w:before="40" w:after="120"/>
            </w:pPr>
            <w:r w:rsidRPr="00975C02">
              <w:t>RE 14 a)</w:t>
            </w:r>
            <w:r w:rsidR="00810F9D">
              <w:t xml:space="preserve"> </w:t>
            </w:r>
            <w:r w:rsidRPr="00975C02">
              <w:t>Renforcement de la mise en œuvre de l’Accord européen relatif au travail des équipages des véhicules effectuant des transports internationaux par route (AETR)</w:t>
            </w:r>
          </w:p>
        </w:tc>
      </w:tr>
      <w:tr w:rsidR="002E013D" w:rsidRPr="00975C02" w:rsidTr="00EC31A2">
        <w:trPr>
          <w:trHeight w:val="20"/>
        </w:trPr>
        <w:tc>
          <w:tcPr>
            <w:tcW w:w="3119" w:type="dxa"/>
            <w:shd w:val="clear" w:color="auto" w:fill="auto"/>
          </w:tcPr>
          <w:p w:rsidR="002E013D" w:rsidRPr="00975C02" w:rsidRDefault="002E013D" w:rsidP="00E37EC6">
            <w:pPr>
              <w:spacing w:before="40" w:after="120"/>
              <w:ind w:right="113"/>
              <w:rPr>
                <w:b/>
              </w:rPr>
            </w:pPr>
          </w:p>
        </w:tc>
        <w:tc>
          <w:tcPr>
            <w:tcW w:w="1984" w:type="dxa"/>
            <w:shd w:val="clear" w:color="auto" w:fill="auto"/>
          </w:tcPr>
          <w:p w:rsidR="002E013D" w:rsidRPr="00975C02" w:rsidRDefault="002E013D" w:rsidP="00B16FC7">
            <w:pPr>
              <w:spacing w:before="40" w:after="120"/>
              <w:ind w:right="113"/>
            </w:pPr>
          </w:p>
        </w:tc>
        <w:tc>
          <w:tcPr>
            <w:tcW w:w="4534" w:type="dxa"/>
            <w:shd w:val="clear" w:color="auto" w:fill="auto"/>
          </w:tcPr>
          <w:p w:rsidR="002E013D" w:rsidRPr="00975C02" w:rsidRDefault="002E013D" w:rsidP="00810F9D">
            <w:pPr>
              <w:tabs>
                <w:tab w:val="left" w:pos="964"/>
              </w:tabs>
              <w:spacing w:before="40" w:after="120"/>
            </w:pPr>
            <w:r w:rsidRPr="00975C02">
              <w:t>IS 14 a) a)</w:t>
            </w:r>
            <w:r w:rsidR="00810F9D">
              <w:t xml:space="preserve"> </w:t>
            </w:r>
            <w:r w:rsidRPr="00975C02">
              <w:t>Nombre de domaines posant problème mis en évidence et propositions visant à y remédier</w:t>
            </w:r>
          </w:p>
        </w:tc>
      </w:tr>
      <w:tr w:rsidR="002E013D" w:rsidRPr="00975C02" w:rsidTr="00EC31A2">
        <w:trPr>
          <w:trHeight w:val="20"/>
        </w:trPr>
        <w:tc>
          <w:tcPr>
            <w:tcW w:w="3119" w:type="dxa"/>
            <w:shd w:val="clear" w:color="auto" w:fill="auto"/>
          </w:tcPr>
          <w:p w:rsidR="002E013D" w:rsidRPr="00975C02" w:rsidRDefault="002E013D" w:rsidP="00E37EC6">
            <w:pPr>
              <w:spacing w:before="40" w:after="120"/>
              <w:ind w:right="113"/>
              <w:rPr>
                <w:b/>
              </w:rPr>
            </w:pPr>
          </w:p>
        </w:tc>
        <w:tc>
          <w:tcPr>
            <w:tcW w:w="1984" w:type="dxa"/>
            <w:shd w:val="clear" w:color="auto" w:fill="auto"/>
          </w:tcPr>
          <w:p w:rsidR="002E013D" w:rsidRPr="00975C02" w:rsidRDefault="002E013D" w:rsidP="00B16FC7">
            <w:pPr>
              <w:spacing w:before="40" w:after="120"/>
              <w:ind w:right="113"/>
            </w:pPr>
          </w:p>
        </w:tc>
        <w:tc>
          <w:tcPr>
            <w:tcW w:w="4534" w:type="dxa"/>
            <w:shd w:val="clear" w:color="auto" w:fill="auto"/>
          </w:tcPr>
          <w:p w:rsidR="002E013D" w:rsidRPr="00975C02" w:rsidRDefault="002E013D" w:rsidP="000B3701">
            <w:pPr>
              <w:tabs>
                <w:tab w:val="left" w:pos="964"/>
              </w:tabs>
              <w:spacing w:before="40" w:after="120"/>
            </w:pPr>
            <w:r w:rsidRPr="000C3EDC">
              <w:rPr>
                <w:i/>
              </w:rPr>
              <w:t>Mesure des résultats</w:t>
            </w:r>
            <w:r w:rsidRPr="00975C02">
              <w:t> :</w:t>
            </w:r>
            <w:r w:rsidRPr="00975C02">
              <w:br/>
              <w:t>Référence 2016-2017 : 3</w:t>
            </w:r>
          </w:p>
        </w:tc>
      </w:tr>
      <w:tr w:rsidR="002E013D" w:rsidRPr="00975C02" w:rsidTr="00EC31A2">
        <w:trPr>
          <w:trHeight w:val="20"/>
        </w:trPr>
        <w:tc>
          <w:tcPr>
            <w:tcW w:w="3119" w:type="dxa"/>
            <w:shd w:val="clear" w:color="auto" w:fill="auto"/>
          </w:tcPr>
          <w:p w:rsidR="002E013D" w:rsidRPr="00975C02" w:rsidRDefault="002E013D" w:rsidP="00E37EC6">
            <w:pPr>
              <w:spacing w:before="40" w:after="120"/>
              <w:ind w:right="113"/>
              <w:rPr>
                <w:b/>
              </w:rPr>
            </w:pPr>
          </w:p>
        </w:tc>
        <w:tc>
          <w:tcPr>
            <w:tcW w:w="1984" w:type="dxa"/>
            <w:shd w:val="clear" w:color="auto" w:fill="auto"/>
          </w:tcPr>
          <w:p w:rsidR="002E013D" w:rsidRPr="00975C02" w:rsidRDefault="002E013D" w:rsidP="00B16FC7">
            <w:pPr>
              <w:spacing w:before="40" w:after="120"/>
              <w:ind w:right="113"/>
            </w:pPr>
          </w:p>
        </w:tc>
        <w:tc>
          <w:tcPr>
            <w:tcW w:w="4534" w:type="dxa"/>
            <w:shd w:val="clear" w:color="auto" w:fill="auto"/>
          </w:tcPr>
          <w:p w:rsidR="00ED73B8" w:rsidRPr="00975C02" w:rsidRDefault="002E013D" w:rsidP="00315772">
            <w:pPr>
              <w:tabs>
                <w:tab w:val="left" w:pos="284"/>
              </w:tabs>
              <w:spacing w:before="40" w:after="120"/>
            </w:pPr>
            <w:r w:rsidRPr="004F2919">
              <w:rPr>
                <w:i/>
              </w:rPr>
              <w:t>Domaines posant problème identifiés</w:t>
            </w:r>
            <w:r w:rsidRPr="00975C02">
              <w:t> :</w:t>
            </w:r>
            <w:r>
              <w:br/>
            </w:r>
            <w:r w:rsidRPr="00975C02">
              <w:t>1.</w:t>
            </w:r>
            <w:r>
              <w:tab/>
            </w:r>
            <w:r w:rsidRPr="00975C02">
              <w:t>La question de l’instrument juridique prédominant compte tenu de la législation parallèle/concomitante au sein de l’Union européenne</w:t>
            </w:r>
            <w:r w:rsidR="002114B5">
              <w:t>.</w:t>
            </w:r>
            <w:r w:rsidR="009079B8">
              <w:br/>
            </w:r>
            <w:r w:rsidR="00ED73B8" w:rsidRPr="00975C02">
              <w:t>2.</w:t>
            </w:r>
            <w:r w:rsidR="00ED73B8">
              <w:tab/>
            </w:r>
            <w:r w:rsidR="00ED73B8" w:rsidRPr="00975C02">
              <w:t>La question de la législation applicable sur les parcours combinés traversant le territoire de Parties non contractantes et de Parties contractantes membres ou non de l’Union européenne, compte tenu des réserves formulées par les États membres de l’Union européenne lors de la ratification de l’Accord, sachant que l’Union européenne n’est pas Partie contractante à l’AETR</w:t>
            </w:r>
            <w:r w:rsidR="002114B5">
              <w:t>.</w:t>
            </w:r>
            <w:r w:rsidR="009079B8">
              <w:br/>
            </w:r>
            <w:r w:rsidR="009079B8" w:rsidRPr="00975C02">
              <w:t>3.</w:t>
            </w:r>
            <w:r w:rsidR="009079B8">
              <w:tab/>
            </w:r>
            <w:r w:rsidR="009079B8" w:rsidRPr="00975C02">
              <w:t xml:space="preserve">La question de l’article 22 </w:t>
            </w:r>
            <w:r w:rsidR="009079B8" w:rsidRPr="009079B8">
              <w:rPr>
                <w:i/>
              </w:rPr>
              <w:t>bis</w:t>
            </w:r>
            <w:r w:rsidR="009079B8" w:rsidRPr="00975C02">
              <w:t xml:space="preserve"> et du centre décisionnel pour les amendements concernant les paramètres techniques figurant à l’appendice 1 B)</w:t>
            </w:r>
            <w:r w:rsidR="002114B5">
              <w:t>.</w:t>
            </w:r>
          </w:p>
        </w:tc>
      </w:tr>
      <w:tr w:rsidR="0046766A" w:rsidRPr="00975C02" w:rsidTr="00A23BD2">
        <w:trPr>
          <w:cantSplit/>
          <w:trHeight w:val="20"/>
        </w:trPr>
        <w:tc>
          <w:tcPr>
            <w:tcW w:w="3119" w:type="dxa"/>
            <w:shd w:val="clear" w:color="auto" w:fill="auto"/>
          </w:tcPr>
          <w:p w:rsidR="0046766A" w:rsidRPr="00975C02" w:rsidRDefault="0046766A" w:rsidP="00ED73B8">
            <w:pPr>
              <w:spacing w:before="40"/>
              <w:ind w:right="113"/>
              <w:rPr>
                <w:b/>
              </w:rPr>
            </w:pPr>
          </w:p>
        </w:tc>
        <w:tc>
          <w:tcPr>
            <w:tcW w:w="1984" w:type="dxa"/>
            <w:shd w:val="clear" w:color="auto" w:fill="auto"/>
          </w:tcPr>
          <w:p w:rsidR="0046766A" w:rsidRPr="00975C02" w:rsidRDefault="0046766A" w:rsidP="00ED73B8">
            <w:pPr>
              <w:spacing w:before="40"/>
              <w:ind w:right="113"/>
            </w:pPr>
          </w:p>
        </w:tc>
        <w:tc>
          <w:tcPr>
            <w:tcW w:w="4534" w:type="dxa"/>
            <w:shd w:val="clear" w:color="auto" w:fill="auto"/>
          </w:tcPr>
          <w:p w:rsidR="00B7013C" w:rsidRDefault="00B7013C" w:rsidP="00ED73B8">
            <w:pPr>
              <w:tabs>
                <w:tab w:val="left" w:pos="964"/>
              </w:tabs>
              <w:spacing w:before="40"/>
            </w:pPr>
            <w:r w:rsidRPr="004F2919">
              <w:rPr>
                <w:i/>
              </w:rPr>
              <w:t>Propositions visant à résoudre ces problèmes et progrès réalisés en 2016-2017</w:t>
            </w:r>
            <w:r w:rsidRPr="00975C02">
              <w:t> :</w:t>
            </w:r>
          </w:p>
          <w:p w:rsidR="0046766A" w:rsidRPr="00975C02" w:rsidRDefault="0046766A" w:rsidP="00F37F75">
            <w:pPr>
              <w:tabs>
                <w:tab w:val="left" w:pos="964"/>
              </w:tabs>
              <w:spacing w:before="40" w:after="120"/>
            </w:pPr>
            <w:r w:rsidRPr="00975C02">
              <w:t>La question de l’instrument juridique prédominant est toujours à l’examen et les progrès enregistrés jusqu’à présent sont mesurés. Le secrétariat à mis à la disposition des Parties contractantes à l’AETR une plateforme où se rencontrer régulièrement, ainsi que les conseils juridiques et autres qui sont nécessaires pour faciliter les discussions</w:t>
            </w:r>
            <w:r w:rsidR="002114B5">
              <w:t>.</w:t>
            </w:r>
            <w:r w:rsidR="009079B8">
              <w:br/>
            </w:r>
            <w:r w:rsidR="009079B8" w:rsidRPr="00975C02">
              <w:t>La question de la législation applicable sur les parcours combinés a fait l’objet de discussions et le Groupe d’experts a décidé de mettre un terme à ce débat sans parvenir à un accord compte tenu du nombre insuffisant de réponses à un questionnaire de l’Union internationale des transports routiers</w:t>
            </w:r>
            <w:r w:rsidR="002114B5">
              <w:t>.</w:t>
            </w:r>
            <w:r w:rsidR="009079B8">
              <w:br/>
            </w:r>
            <w:r w:rsidR="009079B8" w:rsidRPr="00975C02">
              <w:t xml:space="preserve">La question de la modification de l’article 22 </w:t>
            </w:r>
            <w:r w:rsidR="009079B8" w:rsidRPr="0046766A">
              <w:rPr>
                <w:i/>
              </w:rPr>
              <w:t>bis</w:t>
            </w:r>
            <w:r w:rsidR="009079B8" w:rsidRPr="00975C02">
              <w:t xml:space="preserve"> a été amplement débattue lors des réunions du Groupe d’experts AETR. Au moment de la rédaction du présent document, le Groupe n’avait pas encore été en mesure de se mettre d’accord sur la formulation d’un texte révisé de l’article 22 </w:t>
            </w:r>
            <w:r w:rsidR="009079B8" w:rsidRPr="0046766A">
              <w:rPr>
                <w:i/>
              </w:rPr>
              <w:t>bis</w:t>
            </w:r>
            <w:r w:rsidR="002114B5">
              <w:rPr>
                <w:i/>
              </w:rPr>
              <w:t>.</w:t>
            </w:r>
          </w:p>
        </w:tc>
      </w:tr>
      <w:tr w:rsidR="0046766A" w:rsidRPr="00975C02" w:rsidTr="00EC31A2">
        <w:trPr>
          <w:trHeight w:val="20"/>
        </w:trPr>
        <w:tc>
          <w:tcPr>
            <w:tcW w:w="3119" w:type="dxa"/>
            <w:shd w:val="clear" w:color="auto" w:fill="auto"/>
          </w:tcPr>
          <w:p w:rsidR="0046766A" w:rsidRPr="00975C02" w:rsidRDefault="0046766A" w:rsidP="00E37EC6">
            <w:pPr>
              <w:spacing w:before="40" w:after="120"/>
              <w:ind w:right="113"/>
              <w:rPr>
                <w:b/>
              </w:rPr>
            </w:pPr>
          </w:p>
        </w:tc>
        <w:tc>
          <w:tcPr>
            <w:tcW w:w="1984" w:type="dxa"/>
            <w:shd w:val="clear" w:color="auto" w:fill="auto"/>
          </w:tcPr>
          <w:p w:rsidR="0046766A" w:rsidRPr="00975C02" w:rsidRDefault="0046766A" w:rsidP="00B16FC7">
            <w:pPr>
              <w:spacing w:before="40" w:after="120"/>
              <w:ind w:right="113"/>
            </w:pPr>
          </w:p>
        </w:tc>
        <w:tc>
          <w:tcPr>
            <w:tcW w:w="4534" w:type="dxa"/>
            <w:shd w:val="clear" w:color="auto" w:fill="auto"/>
          </w:tcPr>
          <w:p w:rsidR="0046766A" w:rsidRPr="00975C02" w:rsidRDefault="0046766A" w:rsidP="000B3701">
            <w:pPr>
              <w:tabs>
                <w:tab w:val="left" w:pos="964"/>
              </w:tabs>
              <w:spacing w:before="40" w:after="120"/>
            </w:pPr>
            <w:r w:rsidRPr="00975C02">
              <w:t>Objectif pour 2018-2019 : 3 (Résolution des problèmes 1 et 3 identifiés plus</w:t>
            </w:r>
            <w:r w:rsidR="008E5AA4">
              <w:t xml:space="preserve"> haut et du nouveau problème ci</w:t>
            </w:r>
            <w:r w:rsidR="008E5AA4">
              <w:noBreakHyphen/>
            </w:r>
            <w:r w:rsidRPr="00975C02">
              <w:t>dessous)</w:t>
            </w:r>
            <w:r w:rsidR="00ED73B8">
              <w:br/>
            </w:r>
            <w:r w:rsidR="00ED73B8" w:rsidRPr="00975C02">
              <w:t>La question de savoir si les Règlements de l’Union européenne 165/2014 et 2016/799 sont incompatibles avec l’AETR, comme le pense la Fédération de Russie</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14 a) b)</w:t>
            </w:r>
            <w:r w:rsidR="00810F9D">
              <w:t xml:space="preserve"> </w:t>
            </w:r>
            <w:r w:rsidRPr="00975C02">
              <w:t xml:space="preserve">Nombre de séminaires et d’ateliers </w:t>
            </w:r>
          </w:p>
        </w:tc>
      </w:tr>
      <w:tr w:rsidR="00E51769" w:rsidRPr="00975C02" w:rsidTr="00EC31A2">
        <w:trPr>
          <w:trHeight w:val="20"/>
        </w:trPr>
        <w:tc>
          <w:tcPr>
            <w:tcW w:w="3119" w:type="dxa"/>
            <w:shd w:val="clear" w:color="auto" w:fill="auto"/>
          </w:tcPr>
          <w:p w:rsidR="00E51769" w:rsidRPr="00975C02" w:rsidRDefault="00E51769" w:rsidP="00E37EC6">
            <w:pPr>
              <w:spacing w:before="40" w:after="120"/>
              <w:ind w:right="113"/>
              <w:rPr>
                <w:b/>
              </w:rPr>
            </w:pPr>
          </w:p>
        </w:tc>
        <w:tc>
          <w:tcPr>
            <w:tcW w:w="1984" w:type="dxa"/>
            <w:shd w:val="clear" w:color="auto" w:fill="auto"/>
          </w:tcPr>
          <w:p w:rsidR="00E51769" w:rsidRPr="00975C02" w:rsidRDefault="00E51769" w:rsidP="00975C02">
            <w:pPr>
              <w:spacing w:before="40" w:after="120"/>
              <w:ind w:right="113"/>
            </w:pPr>
          </w:p>
        </w:tc>
        <w:tc>
          <w:tcPr>
            <w:tcW w:w="4534" w:type="dxa"/>
            <w:shd w:val="clear" w:color="auto" w:fill="auto"/>
          </w:tcPr>
          <w:p w:rsidR="00E51769" w:rsidRPr="00975C02" w:rsidRDefault="00E51769" w:rsidP="009079B8">
            <w:pPr>
              <w:tabs>
                <w:tab w:val="left" w:pos="964"/>
              </w:tabs>
              <w:spacing w:before="40" w:after="120"/>
            </w:pPr>
            <w:r w:rsidRPr="00E51769">
              <w:rPr>
                <w:i/>
              </w:rPr>
              <w:t>Mesure des résultats</w:t>
            </w:r>
            <w:r w:rsidRPr="00975C02">
              <w:t> :</w:t>
            </w:r>
            <w:r w:rsidRPr="00975C02">
              <w:br/>
              <w:t>Résultats 2016-2017 : 5 (Onzième à quinzième sessions du Groupe d’experts de l’AETR)</w:t>
            </w:r>
          </w:p>
        </w:tc>
      </w:tr>
      <w:tr w:rsidR="009079B8" w:rsidRPr="00975C02" w:rsidTr="00EC31A2">
        <w:trPr>
          <w:trHeight w:val="20"/>
        </w:trPr>
        <w:tc>
          <w:tcPr>
            <w:tcW w:w="3119" w:type="dxa"/>
            <w:shd w:val="clear" w:color="auto" w:fill="auto"/>
          </w:tcPr>
          <w:p w:rsidR="009079B8" w:rsidRPr="00975C02" w:rsidRDefault="009079B8" w:rsidP="00E37EC6">
            <w:pPr>
              <w:spacing w:before="40" w:after="120"/>
              <w:ind w:right="113"/>
              <w:rPr>
                <w:b/>
              </w:rPr>
            </w:pPr>
          </w:p>
        </w:tc>
        <w:tc>
          <w:tcPr>
            <w:tcW w:w="1984" w:type="dxa"/>
            <w:shd w:val="clear" w:color="auto" w:fill="auto"/>
          </w:tcPr>
          <w:p w:rsidR="009079B8" w:rsidRPr="00975C02" w:rsidRDefault="009079B8" w:rsidP="00975C02">
            <w:pPr>
              <w:spacing w:before="40" w:after="120"/>
              <w:ind w:right="113"/>
            </w:pPr>
          </w:p>
        </w:tc>
        <w:tc>
          <w:tcPr>
            <w:tcW w:w="4534" w:type="dxa"/>
            <w:shd w:val="clear" w:color="auto" w:fill="auto"/>
          </w:tcPr>
          <w:p w:rsidR="009079B8" w:rsidRPr="00E51769" w:rsidRDefault="009079B8" w:rsidP="000B3701">
            <w:pPr>
              <w:tabs>
                <w:tab w:val="left" w:pos="964"/>
              </w:tabs>
              <w:spacing w:before="40" w:after="120"/>
              <w:rPr>
                <w:i/>
              </w:rPr>
            </w:pPr>
            <w:r w:rsidRPr="00975C02">
              <w:t>Objectif pour 2018-2019 : 3</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14 a) c)</w:t>
            </w:r>
            <w:r w:rsidR="00810F9D">
              <w:t xml:space="preserve"> </w:t>
            </w:r>
            <w:r w:rsidRPr="00975C02">
              <w:t xml:space="preserve">Nombre de participants aux séminaires et ateliers </w:t>
            </w:r>
          </w:p>
        </w:tc>
      </w:tr>
      <w:tr w:rsidR="002E013D" w:rsidRPr="00975C02" w:rsidTr="00EC31A2">
        <w:trPr>
          <w:trHeight w:val="20"/>
        </w:trPr>
        <w:tc>
          <w:tcPr>
            <w:tcW w:w="3119" w:type="dxa"/>
            <w:shd w:val="clear" w:color="auto" w:fill="auto"/>
          </w:tcPr>
          <w:p w:rsidR="002E013D" w:rsidRPr="00975C02" w:rsidRDefault="002E013D" w:rsidP="00E37EC6">
            <w:pPr>
              <w:spacing w:before="40" w:after="120"/>
              <w:ind w:right="113"/>
              <w:rPr>
                <w:b/>
              </w:rPr>
            </w:pPr>
          </w:p>
        </w:tc>
        <w:tc>
          <w:tcPr>
            <w:tcW w:w="1984" w:type="dxa"/>
            <w:shd w:val="clear" w:color="auto" w:fill="auto"/>
          </w:tcPr>
          <w:p w:rsidR="002E013D" w:rsidRPr="00975C02" w:rsidRDefault="002E013D" w:rsidP="00975C02">
            <w:pPr>
              <w:spacing w:before="40" w:after="120"/>
              <w:ind w:right="113"/>
            </w:pPr>
          </w:p>
        </w:tc>
        <w:tc>
          <w:tcPr>
            <w:tcW w:w="4534" w:type="dxa"/>
            <w:shd w:val="clear" w:color="auto" w:fill="auto"/>
          </w:tcPr>
          <w:p w:rsidR="002E013D" w:rsidRPr="00975C02" w:rsidRDefault="002E013D" w:rsidP="009079B8">
            <w:pPr>
              <w:tabs>
                <w:tab w:val="left" w:pos="964"/>
              </w:tabs>
              <w:spacing w:before="40" w:after="120"/>
            </w:pPr>
            <w:r w:rsidRPr="00203D7B">
              <w:rPr>
                <w:i/>
              </w:rPr>
              <w:t>Mesure des résultats</w:t>
            </w:r>
            <w:r w:rsidRPr="00975C02">
              <w:t> :</w:t>
            </w:r>
            <w:r w:rsidRPr="00975C02">
              <w:br/>
              <w:t>Référence 2016-2017 : 111</w:t>
            </w:r>
          </w:p>
        </w:tc>
      </w:tr>
      <w:tr w:rsidR="009079B8" w:rsidRPr="00975C02" w:rsidTr="00EC31A2">
        <w:trPr>
          <w:trHeight w:val="20"/>
        </w:trPr>
        <w:tc>
          <w:tcPr>
            <w:tcW w:w="3119" w:type="dxa"/>
            <w:shd w:val="clear" w:color="auto" w:fill="auto"/>
          </w:tcPr>
          <w:p w:rsidR="009079B8" w:rsidRPr="00975C02" w:rsidRDefault="009079B8" w:rsidP="00E37EC6">
            <w:pPr>
              <w:spacing w:before="40" w:after="120"/>
              <w:ind w:right="113"/>
              <w:rPr>
                <w:b/>
              </w:rPr>
            </w:pPr>
          </w:p>
        </w:tc>
        <w:tc>
          <w:tcPr>
            <w:tcW w:w="1984" w:type="dxa"/>
            <w:shd w:val="clear" w:color="auto" w:fill="auto"/>
          </w:tcPr>
          <w:p w:rsidR="009079B8" w:rsidRPr="00975C02" w:rsidRDefault="009079B8" w:rsidP="00975C02">
            <w:pPr>
              <w:spacing w:before="40" w:after="120"/>
              <w:ind w:right="113"/>
            </w:pPr>
          </w:p>
        </w:tc>
        <w:tc>
          <w:tcPr>
            <w:tcW w:w="4534" w:type="dxa"/>
            <w:shd w:val="clear" w:color="auto" w:fill="auto"/>
          </w:tcPr>
          <w:p w:rsidR="009079B8" w:rsidRPr="00203D7B" w:rsidRDefault="009079B8" w:rsidP="000B3701">
            <w:pPr>
              <w:tabs>
                <w:tab w:val="left" w:pos="964"/>
              </w:tabs>
              <w:spacing w:before="40" w:after="120"/>
              <w:rPr>
                <w:i/>
              </w:rPr>
            </w:pPr>
            <w:r w:rsidRPr="00975C02">
              <w:t>Objectif pour 2018-2019 : 65</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RE 14. b)</w:t>
            </w:r>
            <w:r w:rsidR="00810F9D">
              <w:t xml:space="preserve"> </w:t>
            </w:r>
            <w:r w:rsidRPr="00975C02">
              <w:t xml:space="preserve">Meilleure application de la Convention relative au contrat de transport international de marchandises par route (CMR) du 19 mai 1956 et du Protocole additionnel à la CMR concernant la lettre de voiture électronique, du 27 mai 2008 (e-CMR) </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14 b) a)</w:t>
            </w:r>
            <w:r w:rsidR="00810F9D">
              <w:t xml:space="preserve"> </w:t>
            </w:r>
            <w:r w:rsidRPr="00975C02">
              <w:t>Nombre de nouvelles Parties contractantes à la CMR et au protocole e-CMR</w:t>
            </w:r>
          </w:p>
        </w:tc>
      </w:tr>
      <w:tr w:rsidR="00E51769" w:rsidRPr="00975C02" w:rsidTr="00EC31A2">
        <w:trPr>
          <w:trHeight w:val="20"/>
        </w:trPr>
        <w:tc>
          <w:tcPr>
            <w:tcW w:w="3119" w:type="dxa"/>
            <w:shd w:val="clear" w:color="auto" w:fill="auto"/>
          </w:tcPr>
          <w:p w:rsidR="00E51769" w:rsidRPr="00975C02" w:rsidRDefault="00E51769" w:rsidP="00E37EC6">
            <w:pPr>
              <w:spacing w:before="40" w:after="120"/>
              <w:ind w:right="113"/>
              <w:rPr>
                <w:b/>
              </w:rPr>
            </w:pPr>
          </w:p>
        </w:tc>
        <w:tc>
          <w:tcPr>
            <w:tcW w:w="1984" w:type="dxa"/>
            <w:shd w:val="clear" w:color="auto" w:fill="auto"/>
          </w:tcPr>
          <w:p w:rsidR="00E51769" w:rsidRPr="00975C02" w:rsidRDefault="00E51769" w:rsidP="00975C02">
            <w:pPr>
              <w:spacing w:before="40" w:after="120"/>
              <w:ind w:right="113"/>
            </w:pPr>
          </w:p>
        </w:tc>
        <w:tc>
          <w:tcPr>
            <w:tcW w:w="4534" w:type="dxa"/>
            <w:shd w:val="clear" w:color="auto" w:fill="auto"/>
          </w:tcPr>
          <w:p w:rsidR="00E51769" w:rsidRPr="00975C02" w:rsidRDefault="00E51769" w:rsidP="000B3701">
            <w:pPr>
              <w:tabs>
                <w:tab w:val="left" w:pos="964"/>
              </w:tabs>
              <w:spacing w:before="40" w:after="120"/>
            </w:pPr>
            <w:r w:rsidRPr="00975C02">
              <w:t>Objectif pour 2018-2019 : 2</w:t>
            </w:r>
          </w:p>
        </w:tc>
      </w:tr>
      <w:tr w:rsidR="00EA7B3A" w:rsidRPr="00975C02" w:rsidTr="00EC31A2">
        <w:trPr>
          <w:trHeight w:val="20"/>
        </w:trPr>
        <w:tc>
          <w:tcPr>
            <w:tcW w:w="3119" w:type="dxa"/>
            <w:shd w:val="clear" w:color="auto" w:fill="auto"/>
          </w:tcPr>
          <w:p w:rsidR="00EA7B3A" w:rsidRPr="00975C02" w:rsidRDefault="00EA7B3A" w:rsidP="00A23BD2">
            <w:pPr>
              <w:keepNext/>
              <w:spacing w:before="40" w:after="120"/>
              <w:ind w:right="113"/>
              <w:rPr>
                <w:b/>
              </w:rPr>
            </w:pPr>
          </w:p>
        </w:tc>
        <w:tc>
          <w:tcPr>
            <w:tcW w:w="1984" w:type="dxa"/>
            <w:shd w:val="clear" w:color="auto" w:fill="auto"/>
          </w:tcPr>
          <w:p w:rsidR="00EA7B3A" w:rsidRPr="00975C02" w:rsidRDefault="00EA7B3A" w:rsidP="00A23BD2">
            <w:pPr>
              <w:keepNext/>
              <w:spacing w:before="40" w:after="120"/>
              <w:ind w:right="113"/>
            </w:pPr>
          </w:p>
        </w:tc>
        <w:tc>
          <w:tcPr>
            <w:tcW w:w="4534" w:type="dxa"/>
            <w:shd w:val="clear" w:color="auto" w:fill="auto"/>
          </w:tcPr>
          <w:p w:rsidR="00EA7B3A" w:rsidRPr="00975C02" w:rsidRDefault="00EA7B3A" w:rsidP="00810F9D">
            <w:pPr>
              <w:keepNext/>
              <w:tabs>
                <w:tab w:val="left" w:pos="964"/>
              </w:tabs>
              <w:spacing w:before="40" w:after="120"/>
            </w:pPr>
            <w:r w:rsidRPr="00975C02">
              <w:t>IS 14 b) b)</w:t>
            </w:r>
            <w:r w:rsidR="00810F9D">
              <w:t xml:space="preserve"> </w:t>
            </w:r>
            <w:r w:rsidRPr="00975C02">
              <w:t>Nombre de séminaires, ateliers et autres manifestations organisés</w:t>
            </w:r>
          </w:p>
        </w:tc>
      </w:tr>
      <w:tr w:rsidR="00E51769" w:rsidRPr="00975C02" w:rsidTr="00EC31A2">
        <w:trPr>
          <w:trHeight w:val="20"/>
        </w:trPr>
        <w:tc>
          <w:tcPr>
            <w:tcW w:w="3119" w:type="dxa"/>
            <w:shd w:val="clear" w:color="auto" w:fill="auto"/>
          </w:tcPr>
          <w:p w:rsidR="00E51769" w:rsidRPr="00975C02" w:rsidRDefault="00E51769" w:rsidP="00E37EC6">
            <w:pPr>
              <w:spacing w:before="40" w:after="120"/>
              <w:ind w:right="113"/>
              <w:rPr>
                <w:b/>
              </w:rPr>
            </w:pPr>
          </w:p>
        </w:tc>
        <w:tc>
          <w:tcPr>
            <w:tcW w:w="1984" w:type="dxa"/>
            <w:shd w:val="clear" w:color="auto" w:fill="auto"/>
          </w:tcPr>
          <w:p w:rsidR="00E51769" w:rsidRPr="00975C02" w:rsidRDefault="00E51769" w:rsidP="00975C02">
            <w:pPr>
              <w:spacing w:before="40" w:after="120"/>
              <w:ind w:right="113"/>
            </w:pPr>
          </w:p>
        </w:tc>
        <w:tc>
          <w:tcPr>
            <w:tcW w:w="4534" w:type="dxa"/>
            <w:shd w:val="clear" w:color="auto" w:fill="auto"/>
          </w:tcPr>
          <w:p w:rsidR="00E51769" w:rsidRPr="00975C02" w:rsidRDefault="00E51769" w:rsidP="000B3701">
            <w:pPr>
              <w:tabs>
                <w:tab w:val="left" w:pos="964"/>
              </w:tabs>
              <w:spacing w:before="40" w:after="120"/>
            </w:pPr>
            <w:r w:rsidRPr="00975C02">
              <w:t>Objectif pour 2018-2019 : 2</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14 b) c)</w:t>
            </w:r>
            <w:r w:rsidR="00810F9D">
              <w:t xml:space="preserve"> </w:t>
            </w:r>
            <w:r w:rsidRPr="00975C02">
              <w:t>Nombre total de participants par séminaire, atelier et manifestation, y compris ceux des Parties contractantes</w:t>
            </w:r>
          </w:p>
        </w:tc>
      </w:tr>
      <w:tr w:rsidR="00E51769" w:rsidRPr="00975C02" w:rsidTr="00EC31A2">
        <w:trPr>
          <w:trHeight w:val="20"/>
        </w:trPr>
        <w:tc>
          <w:tcPr>
            <w:tcW w:w="3119" w:type="dxa"/>
            <w:shd w:val="clear" w:color="auto" w:fill="auto"/>
          </w:tcPr>
          <w:p w:rsidR="00E51769" w:rsidRPr="00975C02" w:rsidRDefault="00E51769" w:rsidP="00E37EC6">
            <w:pPr>
              <w:spacing w:before="40" w:after="120"/>
              <w:ind w:right="113"/>
              <w:rPr>
                <w:b/>
              </w:rPr>
            </w:pPr>
          </w:p>
        </w:tc>
        <w:tc>
          <w:tcPr>
            <w:tcW w:w="1984" w:type="dxa"/>
            <w:shd w:val="clear" w:color="auto" w:fill="auto"/>
          </w:tcPr>
          <w:p w:rsidR="00E51769" w:rsidRPr="00975C02" w:rsidRDefault="00E51769" w:rsidP="00975C02">
            <w:pPr>
              <w:spacing w:before="40" w:after="120"/>
              <w:ind w:right="113"/>
            </w:pPr>
          </w:p>
        </w:tc>
        <w:tc>
          <w:tcPr>
            <w:tcW w:w="4534" w:type="dxa"/>
            <w:shd w:val="clear" w:color="auto" w:fill="auto"/>
          </w:tcPr>
          <w:p w:rsidR="00E51769" w:rsidRPr="00975C02" w:rsidRDefault="00E51769" w:rsidP="000B3701">
            <w:pPr>
              <w:tabs>
                <w:tab w:val="left" w:pos="964"/>
              </w:tabs>
              <w:spacing w:before="40" w:after="120"/>
            </w:pPr>
            <w:r w:rsidRPr="00975C02">
              <w:t>Objectif pour 2018-2019 : 20</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14 b) d)</w:t>
            </w:r>
            <w:r w:rsidR="00810F9D">
              <w:t xml:space="preserve"> </w:t>
            </w:r>
            <w:r w:rsidRPr="00975C02">
              <w:t xml:space="preserve">Réactions des participants aux séminaires, ateliers, conférences et autres manifestations </w:t>
            </w:r>
          </w:p>
        </w:tc>
      </w:tr>
      <w:tr w:rsidR="00E51769" w:rsidRPr="00975C02" w:rsidTr="00EC31A2">
        <w:trPr>
          <w:trHeight w:val="20"/>
        </w:trPr>
        <w:tc>
          <w:tcPr>
            <w:tcW w:w="3119" w:type="dxa"/>
            <w:shd w:val="clear" w:color="auto" w:fill="auto"/>
          </w:tcPr>
          <w:p w:rsidR="00E51769" w:rsidRPr="00975C02" w:rsidRDefault="00E51769" w:rsidP="00E37EC6">
            <w:pPr>
              <w:spacing w:before="40" w:after="120"/>
              <w:ind w:right="113"/>
              <w:rPr>
                <w:b/>
              </w:rPr>
            </w:pPr>
          </w:p>
        </w:tc>
        <w:tc>
          <w:tcPr>
            <w:tcW w:w="1984" w:type="dxa"/>
            <w:shd w:val="clear" w:color="auto" w:fill="auto"/>
          </w:tcPr>
          <w:p w:rsidR="00E51769" w:rsidRPr="00975C02" w:rsidRDefault="00E51769" w:rsidP="00975C02">
            <w:pPr>
              <w:spacing w:before="40" w:after="120"/>
              <w:ind w:right="113"/>
            </w:pPr>
          </w:p>
        </w:tc>
        <w:tc>
          <w:tcPr>
            <w:tcW w:w="4534" w:type="dxa"/>
            <w:shd w:val="clear" w:color="auto" w:fill="auto"/>
          </w:tcPr>
          <w:p w:rsidR="00E51769" w:rsidRPr="00975C02" w:rsidRDefault="00E51769" w:rsidP="000B3701">
            <w:pPr>
              <w:tabs>
                <w:tab w:val="left" w:pos="964"/>
              </w:tabs>
              <w:spacing w:before="40" w:after="120"/>
            </w:pPr>
            <w:r w:rsidRPr="00975C02">
              <w:t>Objectif pour 2018-2019 : Réactions positives</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41050D">
            <w:pPr>
              <w:tabs>
                <w:tab w:val="left" w:pos="454"/>
              </w:tabs>
              <w:spacing w:before="40" w:after="120"/>
              <w:ind w:left="454" w:right="113" w:hanging="454"/>
            </w:pPr>
            <w:r w:rsidRPr="00975C02">
              <w:t>15.</w:t>
            </w:r>
            <w:r w:rsidRPr="00975C02">
              <w:tab/>
              <w:t xml:space="preserve">Sécurité de la circulation routière </w:t>
            </w:r>
          </w:p>
        </w:tc>
        <w:tc>
          <w:tcPr>
            <w:tcW w:w="4534" w:type="dxa"/>
            <w:shd w:val="clear" w:color="auto" w:fill="auto"/>
          </w:tcPr>
          <w:p w:rsidR="00EA7B3A" w:rsidRPr="00975C02" w:rsidRDefault="00EA7B3A" w:rsidP="00810F9D">
            <w:pPr>
              <w:tabs>
                <w:tab w:val="left" w:pos="964"/>
              </w:tabs>
              <w:spacing w:before="40" w:after="120"/>
            </w:pPr>
            <w:r w:rsidRPr="00975C02">
              <w:t>RE 15.</w:t>
            </w:r>
            <w:r w:rsidR="00810F9D">
              <w:t xml:space="preserve"> </w:t>
            </w:r>
            <w:r w:rsidRPr="00975C02">
              <w:t xml:space="preserve">Application plus efficace des Conventions sur la circulation et la signalisation routières de 1968 et des Accords européens de 1971 les complétant, ainsi que des Résolutions d’ensemble sur la circulation routière et la signalisation routière </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15 a)</w:t>
            </w:r>
            <w:r w:rsidR="00810F9D">
              <w:t xml:space="preserve"> </w:t>
            </w:r>
            <w:r w:rsidRPr="00975C02">
              <w:t>Nombre de nouvelles Parties contractantes aux Conventions et aux Accords européens</w:t>
            </w:r>
          </w:p>
        </w:tc>
      </w:tr>
      <w:tr w:rsidR="00B71FC7" w:rsidRPr="00975C02" w:rsidTr="00EC31A2">
        <w:trPr>
          <w:trHeight w:val="20"/>
        </w:trPr>
        <w:tc>
          <w:tcPr>
            <w:tcW w:w="3119" w:type="dxa"/>
            <w:shd w:val="clear" w:color="auto" w:fill="auto"/>
          </w:tcPr>
          <w:p w:rsidR="00B71FC7" w:rsidRPr="00975C02" w:rsidRDefault="00B71FC7" w:rsidP="00E37EC6">
            <w:pPr>
              <w:spacing w:before="40" w:after="120"/>
              <w:ind w:right="113"/>
              <w:rPr>
                <w:b/>
              </w:rPr>
            </w:pPr>
          </w:p>
        </w:tc>
        <w:tc>
          <w:tcPr>
            <w:tcW w:w="1984" w:type="dxa"/>
            <w:shd w:val="clear" w:color="auto" w:fill="auto"/>
          </w:tcPr>
          <w:p w:rsidR="00B71FC7" w:rsidRPr="00975C02" w:rsidRDefault="00B71FC7" w:rsidP="00975C02">
            <w:pPr>
              <w:spacing w:before="40" w:after="120"/>
              <w:ind w:right="113"/>
            </w:pPr>
          </w:p>
        </w:tc>
        <w:tc>
          <w:tcPr>
            <w:tcW w:w="4534" w:type="dxa"/>
            <w:shd w:val="clear" w:color="auto" w:fill="auto"/>
          </w:tcPr>
          <w:p w:rsidR="00B71FC7" w:rsidRPr="00975C02" w:rsidRDefault="00B71FC7" w:rsidP="00A23BD2">
            <w:pPr>
              <w:tabs>
                <w:tab w:val="left" w:pos="964"/>
              </w:tabs>
              <w:spacing w:before="40" w:after="120"/>
            </w:pPr>
            <w:r w:rsidRPr="00203D7B">
              <w:rPr>
                <w:i/>
              </w:rPr>
              <w:t>Mesure des résultats</w:t>
            </w:r>
            <w:r w:rsidRPr="00975C02">
              <w:t> :</w:t>
            </w:r>
            <w:r w:rsidRPr="00975C02">
              <w:br/>
              <w:t>Objectif pour 2016-2017 : 2</w:t>
            </w:r>
          </w:p>
        </w:tc>
      </w:tr>
      <w:tr w:rsidR="00A23BD2" w:rsidRPr="00975C02" w:rsidTr="00EC31A2">
        <w:trPr>
          <w:trHeight w:val="20"/>
        </w:trPr>
        <w:tc>
          <w:tcPr>
            <w:tcW w:w="3119" w:type="dxa"/>
            <w:shd w:val="clear" w:color="auto" w:fill="auto"/>
          </w:tcPr>
          <w:p w:rsidR="00A23BD2" w:rsidRPr="00975C02" w:rsidRDefault="00A23BD2" w:rsidP="00E37EC6">
            <w:pPr>
              <w:spacing w:before="40" w:after="120"/>
              <w:ind w:right="113"/>
              <w:rPr>
                <w:b/>
              </w:rPr>
            </w:pPr>
          </w:p>
        </w:tc>
        <w:tc>
          <w:tcPr>
            <w:tcW w:w="1984" w:type="dxa"/>
            <w:shd w:val="clear" w:color="auto" w:fill="auto"/>
          </w:tcPr>
          <w:p w:rsidR="00A23BD2" w:rsidRPr="00975C02" w:rsidRDefault="00A23BD2" w:rsidP="00975C02">
            <w:pPr>
              <w:spacing w:before="40" w:after="120"/>
              <w:ind w:right="113"/>
            </w:pPr>
          </w:p>
        </w:tc>
        <w:tc>
          <w:tcPr>
            <w:tcW w:w="4534" w:type="dxa"/>
            <w:shd w:val="clear" w:color="auto" w:fill="auto"/>
          </w:tcPr>
          <w:p w:rsidR="00871D54" w:rsidRDefault="00A23BD2" w:rsidP="000B3701">
            <w:pPr>
              <w:tabs>
                <w:tab w:val="left" w:pos="964"/>
              </w:tabs>
              <w:spacing w:before="40" w:after="120"/>
            </w:pPr>
            <w:r w:rsidRPr="00975C02">
              <w:t>Résultat obtenu en 2016-2017 : 6 (voir ci-après)</w:t>
            </w:r>
          </w:p>
          <w:p w:rsidR="00A23BD2" w:rsidRPr="00203D7B" w:rsidRDefault="00A23BD2" w:rsidP="00871D54">
            <w:pPr>
              <w:tabs>
                <w:tab w:val="left" w:pos="964"/>
              </w:tabs>
              <w:spacing w:before="40" w:after="120"/>
              <w:rPr>
                <w:i/>
              </w:rPr>
            </w:pPr>
            <w:r w:rsidRPr="00975C02">
              <w:t>Convention de 1968 sur la circulation ro</w:t>
            </w:r>
            <w:r>
              <w:t>utière : 2 (Arabie Saoudite, 12 </w:t>
            </w:r>
            <w:r w:rsidRPr="00975C02">
              <w:t>mai 2016</w:t>
            </w:r>
            <w:r w:rsidR="00871D54">
              <w:t> ;</w:t>
            </w:r>
            <w:r w:rsidRPr="00975C02">
              <w:t xml:space="preserve"> Iraq, 1</w:t>
            </w:r>
            <w:r w:rsidRPr="00975C02">
              <w:rPr>
                <w:vertAlign w:val="superscript"/>
              </w:rPr>
              <w:t>er</w:t>
            </w:r>
            <w:r>
              <w:t> </w:t>
            </w:r>
            <w:r w:rsidRPr="00975C02">
              <w:t>février 2017)</w:t>
            </w:r>
            <w:r>
              <w:br/>
            </w:r>
            <w:r w:rsidRPr="00975C02">
              <w:t>Convention de 1968 sur la signalisation routièr</w:t>
            </w:r>
            <w:r>
              <w:t>e : 2 (République de Moldova, 8 </w:t>
            </w:r>
            <w:r w:rsidRPr="00975C02">
              <w:t>octobre 2015</w:t>
            </w:r>
            <w:r w:rsidR="00871D54">
              <w:t> ;</w:t>
            </w:r>
            <w:r w:rsidRPr="00975C02">
              <w:t xml:space="preserve"> Chypre</w:t>
            </w:r>
            <w:r>
              <w:t>, 16 </w:t>
            </w:r>
            <w:r w:rsidRPr="00975C02">
              <w:t>août 2016)</w:t>
            </w:r>
            <w:r>
              <w:br/>
            </w:r>
            <w:r w:rsidRPr="00975C02">
              <w:t>Accord européen de 1971 complétant la Convention sur la signalisation routière</w:t>
            </w:r>
            <w:r>
              <w:t> : 2 (République de Moldova, 27 </w:t>
            </w:r>
            <w:r w:rsidRPr="00975C02">
              <w:t>octobre 2015</w:t>
            </w:r>
            <w:r w:rsidR="00871D54">
              <w:t> ;</w:t>
            </w:r>
            <w:r w:rsidRPr="00975C02">
              <w:t xml:space="preserve"> Chypre,</w:t>
            </w:r>
            <w:r>
              <w:t xml:space="preserve"> 16 </w:t>
            </w:r>
            <w:r w:rsidRPr="00975C02">
              <w:t>août 2016)</w:t>
            </w:r>
          </w:p>
        </w:tc>
      </w:tr>
      <w:tr w:rsidR="00B71FC7" w:rsidRPr="00975C02" w:rsidTr="00EC31A2">
        <w:trPr>
          <w:trHeight w:val="20"/>
        </w:trPr>
        <w:tc>
          <w:tcPr>
            <w:tcW w:w="3119" w:type="dxa"/>
            <w:shd w:val="clear" w:color="auto" w:fill="auto"/>
          </w:tcPr>
          <w:p w:rsidR="00B71FC7" w:rsidRPr="00975C02" w:rsidRDefault="00B71FC7" w:rsidP="00E37EC6">
            <w:pPr>
              <w:spacing w:before="40" w:after="120"/>
              <w:ind w:right="113"/>
              <w:rPr>
                <w:b/>
              </w:rPr>
            </w:pPr>
          </w:p>
        </w:tc>
        <w:tc>
          <w:tcPr>
            <w:tcW w:w="1984" w:type="dxa"/>
            <w:shd w:val="clear" w:color="auto" w:fill="auto"/>
          </w:tcPr>
          <w:p w:rsidR="00B71FC7" w:rsidRPr="00975C02" w:rsidRDefault="00B71FC7" w:rsidP="00975C02">
            <w:pPr>
              <w:spacing w:before="40" w:after="120"/>
              <w:ind w:right="113"/>
            </w:pPr>
          </w:p>
        </w:tc>
        <w:tc>
          <w:tcPr>
            <w:tcW w:w="4534" w:type="dxa"/>
            <w:shd w:val="clear" w:color="auto" w:fill="auto"/>
          </w:tcPr>
          <w:p w:rsidR="00B71FC7" w:rsidRPr="00975C02" w:rsidRDefault="00B71FC7" w:rsidP="000B3701">
            <w:pPr>
              <w:tabs>
                <w:tab w:val="left" w:pos="964"/>
              </w:tabs>
              <w:spacing w:before="40" w:after="120"/>
            </w:pPr>
            <w:r w:rsidRPr="00975C02">
              <w:t>Objectif pour 2018-2019 : 2</w:t>
            </w:r>
          </w:p>
        </w:tc>
      </w:tr>
      <w:tr w:rsidR="00EA7B3A" w:rsidRPr="00975C02" w:rsidTr="00EC31A2">
        <w:trPr>
          <w:trHeight w:val="20"/>
        </w:trPr>
        <w:tc>
          <w:tcPr>
            <w:tcW w:w="3119" w:type="dxa"/>
            <w:shd w:val="clear" w:color="auto" w:fill="auto"/>
          </w:tcPr>
          <w:p w:rsidR="00EA7B3A" w:rsidRPr="00975C02" w:rsidRDefault="00EA7B3A" w:rsidP="00B71FC7">
            <w:pPr>
              <w:spacing w:before="40" w:after="120"/>
              <w:ind w:right="113"/>
              <w:rPr>
                <w:b/>
              </w:rPr>
            </w:pPr>
          </w:p>
        </w:tc>
        <w:tc>
          <w:tcPr>
            <w:tcW w:w="1984" w:type="dxa"/>
            <w:shd w:val="clear" w:color="auto" w:fill="auto"/>
          </w:tcPr>
          <w:p w:rsidR="00EA7B3A" w:rsidRPr="00975C02" w:rsidRDefault="00EA7B3A" w:rsidP="00B71FC7">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15 b)</w:t>
            </w:r>
            <w:r w:rsidR="00810F9D">
              <w:t xml:space="preserve"> </w:t>
            </w:r>
            <w:r w:rsidRPr="00975C02">
              <w:t>Nombre de séminaires, ateliers, conférences, campagnes et manifestations organisées sur le thème de la sécurité routière</w:t>
            </w:r>
          </w:p>
        </w:tc>
      </w:tr>
      <w:tr w:rsidR="00B71FC7" w:rsidRPr="00975C02" w:rsidTr="00EC31A2">
        <w:trPr>
          <w:trHeight w:val="20"/>
        </w:trPr>
        <w:tc>
          <w:tcPr>
            <w:tcW w:w="3119" w:type="dxa"/>
            <w:shd w:val="clear" w:color="auto" w:fill="auto"/>
          </w:tcPr>
          <w:p w:rsidR="00B71FC7" w:rsidRPr="00975C02" w:rsidRDefault="00B71FC7" w:rsidP="00E37EC6">
            <w:pPr>
              <w:spacing w:before="40" w:after="120"/>
              <w:ind w:right="113"/>
              <w:rPr>
                <w:b/>
              </w:rPr>
            </w:pPr>
          </w:p>
        </w:tc>
        <w:tc>
          <w:tcPr>
            <w:tcW w:w="1984" w:type="dxa"/>
            <w:shd w:val="clear" w:color="auto" w:fill="auto"/>
          </w:tcPr>
          <w:p w:rsidR="00B71FC7" w:rsidRPr="00975C02" w:rsidRDefault="00B71FC7" w:rsidP="00975C02">
            <w:pPr>
              <w:spacing w:before="40" w:after="120"/>
              <w:ind w:right="113"/>
            </w:pPr>
          </w:p>
        </w:tc>
        <w:tc>
          <w:tcPr>
            <w:tcW w:w="4534" w:type="dxa"/>
            <w:shd w:val="clear" w:color="auto" w:fill="auto"/>
          </w:tcPr>
          <w:p w:rsidR="00B71FC7" w:rsidRPr="00975C02" w:rsidRDefault="00B71FC7" w:rsidP="00D46FC9">
            <w:pPr>
              <w:tabs>
                <w:tab w:val="left" w:pos="284"/>
              </w:tabs>
              <w:spacing w:before="40" w:after="120"/>
            </w:pPr>
            <w:r w:rsidRPr="00203D7B">
              <w:rPr>
                <w:i/>
              </w:rPr>
              <w:t>Mesure des résultats</w:t>
            </w:r>
            <w:r w:rsidRPr="00975C02">
              <w:t> :</w:t>
            </w:r>
            <w:r w:rsidRPr="00975C02">
              <w:br/>
              <w:t>Objectif pour 2016-2017 : 2</w:t>
            </w:r>
          </w:p>
        </w:tc>
      </w:tr>
      <w:tr w:rsidR="00D46FC9" w:rsidRPr="00975C02" w:rsidTr="00EC31A2">
        <w:trPr>
          <w:trHeight w:val="20"/>
        </w:trPr>
        <w:tc>
          <w:tcPr>
            <w:tcW w:w="3119" w:type="dxa"/>
            <w:shd w:val="clear" w:color="auto" w:fill="auto"/>
          </w:tcPr>
          <w:p w:rsidR="00D46FC9" w:rsidRPr="00975C02" w:rsidRDefault="00D46FC9" w:rsidP="00E37EC6">
            <w:pPr>
              <w:spacing w:before="40" w:after="120"/>
              <w:ind w:right="113"/>
              <w:rPr>
                <w:b/>
              </w:rPr>
            </w:pPr>
          </w:p>
        </w:tc>
        <w:tc>
          <w:tcPr>
            <w:tcW w:w="1984" w:type="dxa"/>
            <w:shd w:val="clear" w:color="auto" w:fill="auto"/>
          </w:tcPr>
          <w:p w:rsidR="00D46FC9" w:rsidRPr="00975C02" w:rsidRDefault="00D46FC9" w:rsidP="00975C02">
            <w:pPr>
              <w:spacing w:before="40" w:after="120"/>
              <w:ind w:right="113"/>
            </w:pPr>
          </w:p>
        </w:tc>
        <w:tc>
          <w:tcPr>
            <w:tcW w:w="4534" w:type="dxa"/>
            <w:shd w:val="clear" w:color="auto" w:fill="auto"/>
          </w:tcPr>
          <w:p w:rsidR="00D46FC9" w:rsidRPr="00203D7B" w:rsidRDefault="00D46FC9" w:rsidP="00D46FC9">
            <w:pPr>
              <w:tabs>
                <w:tab w:val="left" w:pos="284"/>
              </w:tabs>
              <w:spacing w:before="40" w:after="120"/>
              <w:rPr>
                <w:i/>
              </w:rPr>
            </w:pPr>
            <w:r w:rsidRPr="00975C02">
              <w:t>Résultat obtenu en 2016-2017 : 3 (voir ci-après)</w:t>
            </w:r>
            <w:r>
              <w:br/>
            </w:r>
            <w:r w:rsidRPr="00975C02">
              <w:t>1.</w:t>
            </w:r>
            <w:r>
              <w:tab/>
            </w:r>
            <w:r w:rsidRPr="00975C02">
              <w:t>Atelier sur la sécurité routière pour l’Afrique anglophone, organisé en partenariat avec la Commission économique pour l’Afrique (CEA) et avec l’appui de l’Envoyé spécial du Secrétaire général pour la sécurité routière. Atelier ten</w:t>
            </w:r>
            <w:r w:rsidR="00B01743">
              <w:t>u à Nairobi (Kenya) du 13 au 15 </w:t>
            </w:r>
            <w:r w:rsidRPr="00975C02">
              <w:t>décembre 2016</w:t>
            </w:r>
            <w:r>
              <w:br/>
            </w:r>
            <w:r w:rsidRPr="00975C02">
              <w:t>2.</w:t>
            </w:r>
            <w:r>
              <w:tab/>
            </w:r>
            <w:r w:rsidRPr="00975C02">
              <w:t xml:space="preserve">Atelier sur la conduite des véhicules automatisés, organisé à l’université Stanford le 20 octobre 2016 avec l’Administration nationale de la sécurité routière des États-Unis (NHTSA) et le Centre de recherches sur l’automobile de Stanford </w:t>
            </w:r>
          </w:p>
        </w:tc>
      </w:tr>
      <w:tr w:rsidR="00D46FC9" w:rsidRPr="00975C02" w:rsidTr="00EC31A2">
        <w:trPr>
          <w:trHeight w:val="20"/>
        </w:trPr>
        <w:tc>
          <w:tcPr>
            <w:tcW w:w="3119" w:type="dxa"/>
            <w:shd w:val="clear" w:color="auto" w:fill="auto"/>
          </w:tcPr>
          <w:p w:rsidR="00D46FC9" w:rsidRPr="00975C02" w:rsidRDefault="00D46FC9" w:rsidP="00E37EC6">
            <w:pPr>
              <w:spacing w:before="40" w:after="120"/>
              <w:ind w:right="113"/>
              <w:rPr>
                <w:b/>
              </w:rPr>
            </w:pPr>
          </w:p>
        </w:tc>
        <w:tc>
          <w:tcPr>
            <w:tcW w:w="1984" w:type="dxa"/>
            <w:shd w:val="clear" w:color="auto" w:fill="auto"/>
          </w:tcPr>
          <w:p w:rsidR="00D46FC9" w:rsidRPr="00975C02" w:rsidRDefault="00D46FC9" w:rsidP="00975C02">
            <w:pPr>
              <w:spacing w:before="40" w:after="120"/>
              <w:ind w:right="113"/>
            </w:pPr>
          </w:p>
        </w:tc>
        <w:tc>
          <w:tcPr>
            <w:tcW w:w="4534" w:type="dxa"/>
            <w:shd w:val="clear" w:color="auto" w:fill="auto"/>
          </w:tcPr>
          <w:p w:rsidR="00D46FC9" w:rsidRPr="00975C02" w:rsidRDefault="00D46FC9" w:rsidP="00315772">
            <w:pPr>
              <w:tabs>
                <w:tab w:val="left" w:pos="284"/>
              </w:tabs>
              <w:spacing w:before="40" w:after="120"/>
            </w:pPr>
            <w:r w:rsidRPr="00975C02">
              <w:t>3.</w:t>
            </w:r>
            <w:r>
              <w:tab/>
            </w:r>
            <w:r w:rsidRPr="00975C02">
              <w:t>Atelier sur la conduite des véhicules automatisés,</w:t>
            </w:r>
            <w:r>
              <w:t xml:space="preserve"> organisé à Genève les 28 et 29 </w:t>
            </w:r>
            <w:r w:rsidRPr="00975C02">
              <w:t>juin 2017 avec l’Administration nationale de la sécurité routière des États-Unis (NHTSA) et l’Institut français des sciences et technologies des transports, de l’aména</w:t>
            </w:r>
            <w:r>
              <w:t>gement et des réseaux (IFSTTAR)</w:t>
            </w:r>
          </w:p>
        </w:tc>
      </w:tr>
      <w:tr w:rsidR="00B24CDF" w:rsidRPr="00975C02" w:rsidTr="00EC31A2">
        <w:trPr>
          <w:trHeight w:val="20"/>
        </w:trPr>
        <w:tc>
          <w:tcPr>
            <w:tcW w:w="3119" w:type="dxa"/>
            <w:shd w:val="clear" w:color="auto" w:fill="auto"/>
          </w:tcPr>
          <w:p w:rsidR="00B24CDF" w:rsidRPr="00975C02" w:rsidRDefault="00B24CDF" w:rsidP="00E37EC6">
            <w:pPr>
              <w:spacing w:before="40" w:after="120"/>
              <w:ind w:right="113"/>
              <w:rPr>
                <w:b/>
              </w:rPr>
            </w:pPr>
          </w:p>
        </w:tc>
        <w:tc>
          <w:tcPr>
            <w:tcW w:w="1984" w:type="dxa"/>
            <w:shd w:val="clear" w:color="auto" w:fill="auto"/>
          </w:tcPr>
          <w:p w:rsidR="00B24CDF" w:rsidRPr="00975C02" w:rsidRDefault="00B24CDF" w:rsidP="00975C02">
            <w:pPr>
              <w:spacing w:before="40" w:after="120"/>
              <w:ind w:right="113"/>
            </w:pPr>
          </w:p>
        </w:tc>
        <w:tc>
          <w:tcPr>
            <w:tcW w:w="4534" w:type="dxa"/>
            <w:shd w:val="clear" w:color="auto" w:fill="auto"/>
          </w:tcPr>
          <w:p w:rsidR="00B24CDF" w:rsidRPr="00203D7B" w:rsidRDefault="00B24CDF" w:rsidP="000B3701">
            <w:pPr>
              <w:tabs>
                <w:tab w:val="left" w:pos="964"/>
              </w:tabs>
              <w:spacing w:before="40" w:after="120"/>
              <w:rPr>
                <w:i/>
              </w:rPr>
            </w:pPr>
            <w:r w:rsidRPr="00975C02">
              <w:t>Objectif pour 2018-2019 : 2</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15 c)</w:t>
            </w:r>
            <w:r w:rsidR="00810F9D">
              <w:t xml:space="preserve"> </w:t>
            </w:r>
            <w:r w:rsidRPr="00975C02">
              <w:t>Nombre total de participants par séminaire, atelier,</w:t>
            </w:r>
            <w:r w:rsidR="009233BC">
              <w:t xml:space="preserve"> conférence et manifestation, y </w:t>
            </w:r>
            <w:r w:rsidRPr="00975C02">
              <w:t xml:space="preserve">compris ceux des Parties contractantes </w:t>
            </w:r>
          </w:p>
        </w:tc>
      </w:tr>
      <w:tr w:rsidR="009233BC" w:rsidRPr="00975C02" w:rsidTr="00EC31A2">
        <w:trPr>
          <w:trHeight w:val="20"/>
        </w:trPr>
        <w:tc>
          <w:tcPr>
            <w:tcW w:w="3119" w:type="dxa"/>
            <w:shd w:val="clear" w:color="auto" w:fill="auto"/>
          </w:tcPr>
          <w:p w:rsidR="009233BC" w:rsidRPr="00975C02" w:rsidRDefault="009233BC" w:rsidP="00E37EC6">
            <w:pPr>
              <w:spacing w:before="40" w:after="120"/>
              <w:ind w:right="113"/>
              <w:rPr>
                <w:b/>
              </w:rPr>
            </w:pPr>
          </w:p>
        </w:tc>
        <w:tc>
          <w:tcPr>
            <w:tcW w:w="1984" w:type="dxa"/>
            <w:shd w:val="clear" w:color="auto" w:fill="auto"/>
          </w:tcPr>
          <w:p w:rsidR="009233BC" w:rsidRPr="00975C02" w:rsidRDefault="009233BC" w:rsidP="00975C02">
            <w:pPr>
              <w:spacing w:before="40" w:after="120"/>
              <w:ind w:right="113"/>
            </w:pPr>
          </w:p>
        </w:tc>
        <w:tc>
          <w:tcPr>
            <w:tcW w:w="4534" w:type="dxa"/>
            <w:shd w:val="clear" w:color="auto" w:fill="auto"/>
          </w:tcPr>
          <w:p w:rsidR="009233BC" w:rsidRPr="00975C02" w:rsidRDefault="009233BC" w:rsidP="00B24CDF">
            <w:pPr>
              <w:tabs>
                <w:tab w:val="left" w:pos="964"/>
              </w:tabs>
              <w:spacing w:before="40" w:after="120"/>
            </w:pPr>
            <w:r w:rsidRPr="00203D7B">
              <w:rPr>
                <w:i/>
              </w:rPr>
              <w:t>Mesure des résultats</w:t>
            </w:r>
            <w:r w:rsidRPr="00975C02">
              <w:t> :</w:t>
            </w:r>
            <w:r w:rsidRPr="00975C02">
              <w:br/>
              <w:t>Objectif pour 2016-2017 : 60</w:t>
            </w:r>
          </w:p>
        </w:tc>
      </w:tr>
      <w:tr w:rsidR="00B24CDF" w:rsidRPr="00975C02" w:rsidTr="00EC31A2">
        <w:trPr>
          <w:trHeight w:val="20"/>
        </w:trPr>
        <w:tc>
          <w:tcPr>
            <w:tcW w:w="3119" w:type="dxa"/>
            <w:shd w:val="clear" w:color="auto" w:fill="auto"/>
          </w:tcPr>
          <w:p w:rsidR="00B24CDF" w:rsidRPr="00975C02" w:rsidRDefault="00B24CDF" w:rsidP="00E37EC6">
            <w:pPr>
              <w:spacing w:before="40" w:after="120"/>
              <w:ind w:right="113"/>
              <w:rPr>
                <w:b/>
              </w:rPr>
            </w:pPr>
          </w:p>
        </w:tc>
        <w:tc>
          <w:tcPr>
            <w:tcW w:w="1984" w:type="dxa"/>
            <w:shd w:val="clear" w:color="auto" w:fill="auto"/>
          </w:tcPr>
          <w:p w:rsidR="00B24CDF" w:rsidRPr="00975C02" w:rsidRDefault="00B24CDF" w:rsidP="00975C02">
            <w:pPr>
              <w:spacing w:before="40" w:after="120"/>
              <w:ind w:right="113"/>
            </w:pPr>
          </w:p>
        </w:tc>
        <w:tc>
          <w:tcPr>
            <w:tcW w:w="4534" w:type="dxa"/>
            <w:shd w:val="clear" w:color="auto" w:fill="auto"/>
          </w:tcPr>
          <w:p w:rsidR="00B24CDF" w:rsidRPr="00203D7B" w:rsidRDefault="00B24CDF" w:rsidP="000B3701">
            <w:pPr>
              <w:tabs>
                <w:tab w:val="left" w:pos="964"/>
              </w:tabs>
              <w:spacing w:before="40" w:after="120"/>
              <w:rPr>
                <w:i/>
              </w:rPr>
            </w:pPr>
            <w:r w:rsidRPr="00975C02">
              <w:t>Résultat obtenu en 2016-2017 : 270</w:t>
            </w:r>
          </w:p>
        </w:tc>
      </w:tr>
      <w:tr w:rsidR="00B24CDF" w:rsidRPr="00975C02" w:rsidTr="00EC31A2">
        <w:trPr>
          <w:trHeight w:val="20"/>
        </w:trPr>
        <w:tc>
          <w:tcPr>
            <w:tcW w:w="3119" w:type="dxa"/>
            <w:shd w:val="clear" w:color="auto" w:fill="auto"/>
          </w:tcPr>
          <w:p w:rsidR="00B24CDF" w:rsidRPr="00975C02" w:rsidRDefault="00B24CDF" w:rsidP="00E37EC6">
            <w:pPr>
              <w:spacing w:before="40" w:after="120"/>
              <w:ind w:right="113"/>
              <w:rPr>
                <w:b/>
              </w:rPr>
            </w:pPr>
          </w:p>
        </w:tc>
        <w:tc>
          <w:tcPr>
            <w:tcW w:w="1984" w:type="dxa"/>
            <w:shd w:val="clear" w:color="auto" w:fill="auto"/>
          </w:tcPr>
          <w:p w:rsidR="00B24CDF" w:rsidRPr="00975C02" w:rsidRDefault="00B24CDF" w:rsidP="00975C02">
            <w:pPr>
              <w:spacing w:before="40" w:after="120"/>
              <w:ind w:right="113"/>
            </w:pPr>
          </w:p>
        </w:tc>
        <w:tc>
          <w:tcPr>
            <w:tcW w:w="4534" w:type="dxa"/>
            <w:shd w:val="clear" w:color="auto" w:fill="auto"/>
          </w:tcPr>
          <w:p w:rsidR="00B24CDF" w:rsidRPr="00203D7B" w:rsidRDefault="00B24CDF" w:rsidP="000B3701">
            <w:pPr>
              <w:tabs>
                <w:tab w:val="left" w:pos="964"/>
              </w:tabs>
              <w:spacing w:before="40" w:after="120"/>
              <w:rPr>
                <w:i/>
              </w:rPr>
            </w:pPr>
            <w:r w:rsidRPr="00975C02">
              <w:t>Objectif pour 2018-2019 : 60</w:t>
            </w:r>
          </w:p>
        </w:tc>
      </w:tr>
      <w:tr w:rsidR="00EA7B3A" w:rsidRPr="00975C02" w:rsidTr="00EC31A2">
        <w:trPr>
          <w:trHeight w:val="20"/>
        </w:trPr>
        <w:tc>
          <w:tcPr>
            <w:tcW w:w="3119" w:type="dxa"/>
            <w:shd w:val="clear" w:color="auto" w:fill="auto"/>
          </w:tcPr>
          <w:p w:rsidR="00EA7B3A" w:rsidRPr="00975C02" w:rsidRDefault="00EA7B3A" w:rsidP="00E37EC6">
            <w:pPr>
              <w:spacing w:before="40" w:after="120"/>
              <w:ind w:right="113"/>
              <w:rPr>
                <w:b/>
              </w:rPr>
            </w:pP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810F9D">
            <w:pPr>
              <w:tabs>
                <w:tab w:val="left" w:pos="964"/>
              </w:tabs>
              <w:spacing w:before="40" w:after="120"/>
            </w:pPr>
            <w:r w:rsidRPr="00975C02">
              <w:t>IS 15 d)</w:t>
            </w:r>
            <w:r w:rsidR="00810F9D">
              <w:t xml:space="preserve"> </w:t>
            </w:r>
            <w:r w:rsidRPr="00975C02">
              <w:t>Réactions des participants aux séminaires, ateliers, conférences et autres manifestations</w:t>
            </w:r>
          </w:p>
        </w:tc>
      </w:tr>
      <w:tr w:rsidR="009233BC" w:rsidRPr="00975C02" w:rsidTr="00EC31A2">
        <w:trPr>
          <w:trHeight w:val="20"/>
        </w:trPr>
        <w:tc>
          <w:tcPr>
            <w:tcW w:w="3119" w:type="dxa"/>
            <w:shd w:val="clear" w:color="auto" w:fill="auto"/>
          </w:tcPr>
          <w:p w:rsidR="009233BC" w:rsidRPr="00975C02" w:rsidRDefault="009233BC" w:rsidP="00E37EC6">
            <w:pPr>
              <w:spacing w:before="40" w:after="120"/>
              <w:ind w:right="113"/>
              <w:rPr>
                <w:b/>
              </w:rPr>
            </w:pPr>
          </w:p>
        </w:tc>
        <w:tc>
          <w:tcPr>
            <w:tcW w:w="1984" w:type="dxa"/>
            <w:shd w:val="clear" w:color="auto" w:fill="auto"/>
          </w:tcPr>
          <w:p w:rsidR="009233BC" w:rsidRPr="00975C02" w:rsidRDefault="009233BC" w:rsidP="00975C02">
            <w:pPr>
              <w:spacing w:before="40" w:after="120"/>
              <w:ind w:right="113"/>
            </w:pPr>
          </w:p>
        </w:tc>
        <w:tc>
          <w:tcPr>
            <w:tcW w:w="4534" w:type="dxa"/>
            <w:shd w:val="clear" w:color="auto" w:fill="auto"/>
          </w:tcPr>
          <w:p w:rsidR="009233BC" w:rsidRPr="00975C02" w:rsidRDefault="009233BC" w:rsidP="007B116C">
            <w:pPr>
              <w:tabs>
                <w:tab w:val="left" w:pos="964"/>
              </w:tabs>
              <w:spacing w:before="40" w:after="120"/>
            </w:pPr>
            <w:r w:rsidRPr="00203D7B">
              <w:rPr>
                <w:i/>
              </w:rPr>
              <w:t>Mesure des résultats</w:t>
            </w:r>
            <w:r w:rsidRPr="00975C02">
              <w:t> :</w:t>
            </w:r>
            <w:r w:rsidRPr="00975C02">
              <w:br/>
              <w:t xml:space="preserve">Objectif pour 2016-2017 : réactions positives (d’après la majorité des réponses fournies) de la part des participants aux séminaires, ateliers, conférences et autres manifestations, au sujet de l’organisation, des possibilités de contact et de la qualité des renseignements techniques communiqués et des exposés présentées </w:t>
            </w:r>
          </w:p>
        </w:tc>
      </w:tr>
      <w:tr w:rsidR="007B116C" w:rsidRPr="00975C02" w:rsidTr="00EC31A2">
        <w:trPr>
          <w:trHeight w:val="20"/>
        </w:trPr>
        <w:tc>
          <w:tcPr>
            <w:tcW w:w="3119" w:type="dxa"/>
            <w:shd w:val="clear" w:color="auto" w:fill="auto"/>
          </w:tcPr>
          <w:p w:rsidR="007B116C" w:rsidRPr="00975C02" w:rsidRDefault="007B116C" w:rsidP="00E37EC6">
            <w:pPr>
              <w:spacing w:before="40" w:after="120"/>
              <w:ind w:right="113"/>
              <w:rPr>
                <w:b/>
              </w:rPr>
            </w:pPr>
          </w:p>
        </w:tc>
        <w:tc>
          <w:tcPr>
            <w:tcW w:w="1984" w:type="dxa"/>
            <w:shd w:val="clear" w:color="auto" w:fill="auto"/>
          </w:tcPr>
          <w:p w:rsidR="007B116C" w:rsidRPr="00975C02" w:rsidRDefault="007B116C" w:rsidP="00975C02">
            <w:pPr>
              <w:spacing w:before="40" w:after="120"/>
              <w:ind w:right="113"/>
            </w:pPr>
          </w:p>
        </w:tc>
        <w:tc>
          <w:tcPr>
            <w:tcW w:w="4534" w:type="dxa"/>
            <w:shd w:val="clear" w:color="auto" w:fill="auto"/>
          </w:tcPr>
          <w:p w:rsidR="007B116C" w:rsidRPr="00203D7B" w:rsidRDefault="007B116C" w:rsidP="00B24CDF">
            <w:pPr>
              <w:tabs>
                <w:tab w:val="left" w:pos="964"/>
              </w:tabs>
              <w:spacing w:before="40" w:after="120"/>
              <w:rPr>
                <w:i/>
              </w:rPr>
            </w:pPr>
            <w:r w:rsidRPr="00975C02">
              <w:t>Résultat obtenu en 2016-2017 : des appréciations positives ont été reçues officiellement (par le biais de l’enquête) et à titre informel au sujet des deux activités décrites ci-dessus. En outre, le film intitulé « Sauver des vies aux passages à niv</w:t>
            </w:r>
            <w:r>
              <w:t>eau » a été visionné près de 81 </w:t>
            </w:r>
            <w:r w:rsidRPr="00975C02">
              <w:t>500 fois depuis son lancement, en juin 2014</w:t>
            </w:r>
          </w:p>
        </w:tc>
      </w:tr>
      <w:tr w:rsidR="00B24CDF" w:rsidRPr="00975C02" w:rsidTr="00EC31A2">
        <w:trPr>
          <w:trHeight w:val="20"/>
        </w:trPr>
        <w:tc>
          <w:tcPr>
            <w:tcW w:w="3119" w:type="dxa"/>
            <w:shd w:val="clear" w:color="auto" w:fill="auto"/>
          </w:tcPr>
          <w:p w:rsidR="00B24CDF" w:rsidRPr="00975C02" w:rsidRDefault="00B24CDF" w:rsidP="00E37EC6">
            <w:pPr>
              <w:spacing w:before="40" w:after="120"/>
              <w:ind w:right="113"/>
              <w:rPr>
                <w:b/>
              </w:rPr>
            </w:pPr>
          </w:p>
        </w:tc>
        <w:tc>
          <w:tcPr>
            <w:tcW w:w="1984" w:type="dxa"/>
            <w:shd w:val="clear" w:color="auto" w:fill="auto"/>
          </w:tcPr>
          <w:p w:rsidR="00B24CDF" w:rsidRPr="00975C02" w:rsidRDefault="00B24CDF" w:rsidP="00975C02">
            <w:pPr>
              <w:spacing w:before="40" w:after="120"/>
              <w:ind w:right="113"/>
            </w:pPr>
          </w:p>
        </w:tc>
        <w:tc>
          <w:tcPr>
            <w:tcW w:w="4534" w:type="dxa"/>
            <w:shd w:val="clear" w:color="auto" w:fill="auto"/>
          </w:tcPr>
          <w:p w:rsidR="00B24CDF" w:rsidRPr="007B116C" w:rsidRDefault="00B24CDF" w:rsidP="000B3701">
            <w:pPr>
              <w:tabs>
                <w:tab w:val="left" w:pos="964"/>
              </w:tabs>
              <w:spacing w:before="40" w:after="120"/>
              <w:rPr>
                <w:i/>
                <w:spacing w:val="-2"/>
              </w:rPr>
            </w:pPr>
            <w:r w:rsidRPr="007B116C">
              <w:rPr>
                <w:spacing w:val="-2"/>
              </w:rPr>
              <w:t>Objectif pour 2018-2019 : Réactions positives (sur la base de la majorité des réponses fournies) de la part des participants aux séminaires, ateliers, conférences et autres manifestations, au sujet de l’organisation, des possibilités de contact et de la qualité des renseignements techniques dispensés et des exposés présentés</w:t>
            </w:r>
          </w:p>
        </w:tc>
      </w:tr>
      <w:tr w:rsidR="00D46FC9" w:rsidRPr="00975C02" w:rsidTr="00EC31A2">
        <w:trPr>
          <w:trHeight w:val="20"/>
        </w:trPr>
        <w:tc>
          <w:tcPr>
            <w:tcW w:w="3119" w:type="dxa"/>
            <w:shd w:val="clear" w:color="auto" w:fill="auto"/>
          </w:tcPr>
          <w:p w:rsidR="00D46FC9" w:rsidRPr="00975C02" w:rsidRDefault="00D46FC9" w:rsidP="006756A1">
            <w:pPr>
              <w:tabs>
                <w:tab w:val="left" w:pos="851"/>
              </w:tabs>
              <w:spacing w:before="40" w:after="120"/>
              <w:ind w:right="113"/>
              <w:rPr>
                <w:b/>
              </w:rPr>
            </w:pPr>
            <w:r w:rsidRPr="00975C02">
              <w:rPr>
                <w:b/>
              </w:rPr>
              <w:t>3. RE c)</w:t>
            </w:r>
            <w:r>
              <w:rPr>
                <w:b/>
              </w:rPr>
              <w:tab/>
            </w:r>
            <w:r w:rsidRPr="00975C02">
              <w:rPr>
                <w:b/>
              </w:rPr>
              <w:t>Renforcement de la capacité des États membres de la CEE, en particulier des pays en développement sans littoral, en ce qui concerne le développement des infrastructures destinées au transport paneuropéen et transcontinental et la mise en place de mesures destinées à faciliter les transports</w:t>
            </w:r>
          </w:p>
        </w:tc>
        <w:tc>
          <w:tcPr>
            <w:tcW w:w="1984" w:type="dxa"/>
            <w:shd w:val="clear" w:color="auto" w:fill="auto"/>
          </w:tcPr>
          <w:p w:rsidR="00D46FC9" w:rsidRPr="00975C02" w:rsidRDefault="00D46FC9" w:rsidP="00975C02">
            <w:pPr>
              <w:spacing w:before="40" w:after="120"/>
              <w:ind w:right="113"/>
            </w:pPr>
          </w:p>
        </w:tc>
        <w:tc>
          <w:tcPr>
            <w:tcW w:w="4534" w:type="dxa"/>
            <w:shd w:val="clear" w:color="auto" w:fill="auto"/>
          </w:tcPr>
          <w:p w:rsidR="00D46FC9" w:rsidRPr="00975C02" w:rsidRDefault="00D46FC9" w:rsidP="00E37EC6">
            <w:pPr>
              <w:spacing w:before="40" w:after="120"/>
            </w:pPr>
          </w:p>
        </w:tc>
      </w:tr>
      <w:tr w:rsidR="00EA7B3A" w:rsidRPr="00975C02" w:rsidTr="00D46FC9">
        <w:trPr>
          <w:cantSplit/>
          <w:trHeight w:val="20"/>
        </w:trPr>
        <w:tc>
          <w:tcPr>
            <w:tcW w:w="3119" w:type="dxa"/>
            <w:shd w:val="clear" w:color="auto" w:fill="auto"/>
          </w:tcPr>
          <w:p w:rsidR="00EA7B3A" w:rsidRPr="00975C02" w:rsidRDefault="00EA7B3A" w:rsidP="006756A1">
            <w:pPr>
              <w:tabs>
                <w:tab w:val="left" w:pos="851"/>
              </w:tabs>
              <w:spacing w:before="40" w:after="120"/>
              <w:ind w:right="113"/>
              <w:rPr>
                <w:b/>
              </w:rPr>
            </w:pPr>
            <w:r w:rsidRPr="00975C02">
              <w:lastRenderedPageBreak/>
              <w:t>IS c) i)</w:t>
            </w:r>
            <w:r w:rsidR="006E4D1A">
              <w:tab/>
            </w:r>
            <w:r w:rsidRPr="00975C02">
              <w:t xml:space="preserve">Augmentation du nombre de Parties contractantes aux quatre instruments principaux relatifs aux infrastructures de transport </w:t>
            </w: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E37EC6">
            <w:pPr>
              <w:spacing w:before="40" w:after="120"/>
            </w:pPr>
          </w:p>
        </w:tc>
      </w:tr>
      <w:tr w:rsidR="00B53B73" w:rsidRPr="00975C02" w:rsidTr="00EC31A2">
        <w:trPr>
          <w:trHeight w:val="20"/>
        </w:trPr>
        <w:tc>
          <w:tcPr>
            <w:tcW w:w="3119" w:type="dxa"/>
            <w:shd w:val="clear" w:color="auto" w:fill="auto"/>
          </w:tcPr>
          <w:p w:rsidR="00B53B73" w:rsidRPr="00975C02" w:rsidRDefault="00B53B73" w:rsidP="00D66016">
            <w:pPr>
              <w:spacing w:before="40" w:after="120"/>
              <w:ind w:right="113"/>
            </w:pPr>
            <w:r w:rsidRPr="00203D7B">
              <w:rPr>
                <w:i/>
              </w:rPr>
              <w:t>Mesure des résultats</w:t>
            </w:r>
            <w:r w:rsidRPr="00975C02">
              <w:t xml:space="preserve"> </w:t>
            </w:r>
            <w:r w:rsidRPr="00975C02">
              <w:br/>
              <w:t xml:space="preserve">Référence 2017 : 116 États parties </w:t>
            </w:r>
          </w:p>
        </w:tc>
        <w:tc>
          <w:tcPr>
            <w:tcW w:w="1984" w:type="dxa"/>
            <w:shd w:val="clear" w:color="auto" w:fill="auto"/>
          </w:tcPr>
          <w:p w:rsidR="00B53B73" w:rsidRPr="00975C02" w:rsidRDefault="00B53B73" w:rsidP="00975C02">
            <w:pPr>
              <w:spacing w:before="40" w:after="120"/>
              <w:ind w:right="113"/>
            </w:pPr>
          </w:p>
        </w:tc>
        <w:tc>
          <w:tcPr>
            <w:tcW w:w="4534" w:type="dxa"/>
            <w:shd w:val="clear" w:color="auto" w:fill="auto"/>
          </w:tcPr>
          <w:p w:rsidR="00B53B73" w:rsidRPr="00975C02" w:rsidRDefault="00B53B73" w:rsidP="00E37EC6">
            <w:pPr>
              <w:spacing w:before="40" w:after="120"/>
            </w:pPr>
          </w:p>
        </w:tc>
      </w:tr>
      <w:tr w:rsidR="00D66016" w:rsidRPr="00975C02" w:rsidTr="00EC31A2">
        <w:trPr>
          <w:trHeight w:val="20"/>
        </w:trPr>
        <w:tc>
          <w:tcPr>
            <w:tcW w:w="3119" w:type="dxa"/>
            <w:shd w:val="clear" w:color="auto" w:fill="auto"/>
          </w:tcPr>
          <w:p w:rsidR="00D66016" w:rsidRPr="00203D7B" w:rsidRDefault="00D66016" w:rsidP="00E37EC6">
            <w:pPr>
              <w:spacing w:before="40" w:after="120"/>
              <w:ind w:right="113"/>
              <w:rPr>
                <w:i/>
              </w:rPr>
            </w:pPr>
            <w:r w:rsidRPr="00975C02">
              <w:t>Objectif pour 2018-2019 : 117 États parties</w:t>
            </w:r>
          </w:p>
        </w:tc>
        <w:tc>
          <w:tcPr>
            <w:tcW w:w="1984" w:type="dxa"/>
            <w:shd w:val="clear" w:color="auto" w:fill="auto"/>
          </w:tcPr>
          <w:p w:rsidR="00D66016" w:rsidRPr="00975C02" w:rsidRDefault="00D66016" w:rsidP="00975C02">
            <w:pPr>
              <w:spacing w:before="40" w:after="120"/>
              <w:ind w:right="113"/>
            </w:pPr>
          </w:p>
        </w:tc>
        <w:tc>
          <w:tcPr>
            <w:tcW w:w="4534" w:type="dxa"/>
            <w:shd w:val="clear" w:color="auto" w:fill="auto"/>
          </w:tcPr>
          <w:p w:rsidR="00D66016" w:rsidRPr="00975C02" w:rsidRDefault="00D66016" w:rsidP="00E37EC6">
            <w:pPr>
              <w:spacing w:before="40" w:after="120"/>
            </w:pPr>
          </w:p>
        </w:tc>
      </w:tr>
      <w:tr w:rsidR="00EA7B3A" w:rsidRPr="00975C02" w:rsidTr="00EC31A2">
        <w:trPr>
          <w:trHeight w:val="20"/>
        </w:trPr>
        <w:tc>
          <w:tcPr>
            <w:tcW w:w="3119" w:type="dxa"/>
            <w:shd w:val="clear" w:color="auto" w:fill="auto"/>
          </w:tcPr>
          <w:p w:rsidR="00EA7B3A" w:rsidRPr="00975C02" w:rsidRDefault="00EA7B3A" w:rsidP="006756A1">
            <w:pPr>
              <w:tabs>
                <w:tab w:val="left" w:pos="851"/>
              </w:tabs>
              <w:spacing w:before="40" w:after="120"/>
              <w:ind w:right="113"/>
              <w:rPr>
                <w:b/>
              </w:rPr>
            </w:pPr>
            <w:r w:rsidRPr="00975C02">
              <w:t>IS c) ii)</w:t>
            </w:r>
            <w:r w:rsidR="006E4D1A">
              <w:tab/>
            </w:r>
            <w:r w:rsidRPr="00975C02">
              <w:t xml:space="preserve">Accroissement du nombre d’États membres utilisant le cadre commun de la CEE pour le développement des infrastructures de transport </w:t>
            </w:r>
            <w:proofErr w:type="spellStart"/>
            <w:r w:rsidRPr="00975C02">
              <w:t>sous-régionales</w:t>
            </w:r>
            <w:proofErr w:type="spellEnd"/>
            <w:r w:rsidRPr="00975C02">
              <w:t xml:space="preserve"> (projets de liaisons de transport Europe-Asie, d’autoroute transeuropéenne et de chemin de fer transeuropéen)</w:t>
            </w: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E37EC6">
            <w:pPr>
              <w:spacing w:before="40" w:after="120"/>
            </w:pPr>
          </w:p>
        </w:tc>
      </w:tr>
      <w:tr w:rsidR="00B53B73" w:rsidRPr="00975C02" w:rsidTr="00EC31A2">
        <w:trPr>
          <w:trHeight w:val="20"/>
        </w:trPr>
        <w:tc>
          <w:tcPr>
            <w:tcW w:w="3119" w:type="dxa"/>
            <w:shd w:val="clear" w:color="auto" w:fill="auto"/>
          </w:tcPr>
          <w:p w:rsidR="00B53B73" w:rsidRPr="00975C02" w:rsidRDefault="00B53B73" w:rsidP="00E37EC6">
            <w:pPr>
              <w:spacing w:before="40" w:after="120"/>
              <w:ind w:right="113"/>
            </w:pPr>
            <w:r w:rsidRPr="00203D7B">
              <w:rPr>
                <w:i/>
              </w:rPr>
              <w:t>Mesure des résultats</w:t>
            </w:r>
            <w:r w:rsidRPr="00975C02">
              <w:t xml:space="preserve"> </w:t>
            </w:r>
            <w:r w:rsidRPr="00975C02">
              <w:br/>
              <w:t>Objectif pour 2018-2019 : 58 pays</w:t>
            </w:r>
          </w:p>
        </w:tc>
        <w:tc>
          <w:tcPr>
            <w:tcW w:w="1984" w:type="dxa"/>
            <w:shd w:val="clear" w:color="auto" w:fill="auto"/>
          </w:tcPr>
          <w:p w:rsidR="00B53B73" w:rsidRPr="00975C02" w:rsidRDefault="00B53B73" w:rsidP="00975C02">
            <w:pPr>
              <w:spacing w:before="40" w:after="120"/>
              <w:ind w:right="113"/>
            </w:pPr>
          </w:p>
        </w:tc>
        <w:tc>
          <w:tcPr>
            <w:tcW w:w="4534" w:type="dxa"/>
            <w:shd w:val="clear" w:color="auto" w:fill="auto"/>
          </w:tcPr>
          <w:p w:rsidR="00B53B73" w:rsidRPr="00975C02" w:rsidRDefault="00B53B73" w:rsidP="00E37EC6">
            <w:pPr>
              <w:spacing w:before="40" w:after="120"/>
            </w:pPr>
          </w:p>
        </w:tc>
      </w:tr>
      <w:tr w:rsidR="00485B2B" w:rsidRPr="00975C02" w:rsidTr="00EC31A2">
        <w:trPr>
          <w:trHeight w:val="20"/>
        </w:trPr>
        <w:tc>
          <w:tcPr>
            <w:tcW w:w="3119" w:type="dxa"/>
            <w:vMerge w:val="restart"/>
            <w:shd w:val="clear" w:color="auto" w:fill="auto"/>
          </w:tcPr>
          <w:p w:rsidR="00485B2B" w:rsidRPr="00975C02" w:rsidRDefault="00485B2B" w:rsidP="00E37EC6">
            <w:pPr>
              <w:spacing w:before="40" w:after="120"/>
              <w:ind w:right="113"/>
              <w:rPr>
                <w:b/>
              </w:rPr>
            </w:pPr>
          </w:p>
        </w:tc>
        <w:tc>
          <w:tcPr>
            <w:tcW w:w="1984" w:type="dxa"/>
            <w:vMerge w:val="restart"/>
            <w:shd w:val="clear" w:color="auto" w:fill="auto"/>
          </w:tcPr>
          <w:p w:rsidR="00485B2B" w:rsidRPr="00975C02" w:rsidRDefault="00485B2B" w:rsidP="0041050D">
            <w:pPr>
              <w:tabs>
                <w:tab w:val="left" w:pos="454"/>
              </w:tabs>
              <w:spacing w:before="40" w:after="120"/>
              <w:ind w:left="454" w:right="113" w:hanging="454"/>
            </w:pPr>
            <w:r w:rsidRPr="00975C02">
              <w:t>4 b)</w:t>
            </w:r>
            <w:r w:rsidRPr="00975C02">
              <w:tab/>
              <w:t>Transport ferroviaire</w:t>
            </w:r>
            <w:r w:rsidR="00771E52">
              <w:t>,</w:t>
            </w:r>
            <w:r w:rsidRPr="00975C02">
              <w:t xml:space="preserve"> et</w:t>
            </w:r>
          </w:p>
          <w:p w:rsidR="00485B2B" w:rsidRPr="00975C02" w:rsidRDefault="00485B2B" w:rsidP="0041050D">
            <w:pPr>
              <w:tabs>
                <w:tab w:val="left" w:pos="454"/>
              </w:tabs>
              <w:spacing w:before="40" w:after="120"/>
              <w:ind w:left="454" w:right="113" w:hanging="454"/>
            </w:pPr>
            <w:r w:rsidRPr="00975C02">
              <w:t>14 c)</w:t>
            </w:r>
            <w:r>
              <w:tab/>
            </w:r>
            <w:r w:rsidRPr="00975C02">
              <w:t>Transport routier (projets TEM et TER)</w:t>
            </w:r>
          </w:p>
        </w:tc>
        <w:tc>
          <w:tcPr>
            <w:tcW w:w="4534" w:type="dxa"/>
            <w:shd w:val="clear" w:color="auto" w:fill="auto"/>
          </w:tcPr>
          <w:p w:rsidR="00485B2B" w:rsidRPr="00975C02" w:rsidRDefault="00485B2B" w:rsidP="000B3701">
            <w:pPr>
              <w:tabs>
                <w:tab w:val="left" w:pos="964"/>
              </w:tabs>
              <w:spacing w:before="40" w:after="120"/>
            </w:pPr>
            <w:r w:rsidRPr="00975C02">
              <w:t xml:space="preserve">RE 4 b/14 </w:t>
            </w:r>
            <w:r>
              <w:t>c</w:t>
            </w:r>
            <w:r w:rsidRPr="00975C02">
              <w:t>)</w:t>
            </w:r>
            <w:r w:rsidR="00810F9D">
              <w:t xml:space="preserve"> </w:t>
            </w:r>
            <w:r w:rsidRPr="00975C02">
              <w:t>Accroissement des capacités des pays membres de la CEE participant aux projets TEM et TER</w:t>
            </w:r>
          </w:p>
          <w:p w:rsidR="00485B2B" w:rsidRPr="00975C02" w:rsidRDefault="00485B2B" w:rsidP="00810F9D">
            <w:pPr>
              <w:tabs>
                <w:tab w:val="left" w:pos="964"/>
              </w:tabs>
              <w:spacing w:before="40" w:after="120"/>
            </w:pPr>
            <w:r w:rsidRPr="00975C02">
              <w:t>IS</w:t>
            </w:r>
            <w:r w:rsidR="00810F9D">
              <w:t xml:space="preserve">. </w:t>
            </w:r>
            <w:r w:rsidRPr="00975C02">
              <w:t>Nombre de pays membres de la CEE participant aux projets TEM et TER</w:t>
            </w:r>
          </w:p>
        </w:tc>
      </w:tr>
      <w:tr w:rsidR="00485B2B" w:rsidRPr="00975C02" w:rsidTr="00EC31A2">
        <w:trPr>
          <w:trHeight w:val="20"/>
        </w:trPr>
        <w:tc>
          <w:tcPr>
            <w:tcW w:w="3119" w:type="dxa"/>
            <w:vMerge/>
            <w:shd w:val="clear" w:color="auto" w:fill="auto"/>
          </w:tcPr>
          <w:p w:rsidR="00485B2B" w:rsidRPr="00975C02" w:rsidRDefault="00485B2B" w:rsidP="00E37EC6">
            <w:pPr>
              <w:spacing w:before="40" w:after="120"/>
              <w:ind w:right="113"/>
              <w:rPr>
                <w:b/>
              </w:rPr>
            </w:pPr>
          </w:p>
        </w:tc>
        <w:tc>
          <w:tcPr>
            <w:tcW w:w="1984" w:type="dxa"/>
            <w:vMerge/>
            <w:shd w:val="clear" w:color="auto" w:fill="auto"/>
          </w:tcPr>
          <w:p w:rsidR="00485B2B" w:rsidRPr="00975C02" w:rsidRDefault="00485B2B" w:rsidP="00975C02">
            <w:pPr>
              <w:spacing w:before="40" w:after="120"/>
              <w:ind w:right="113"/>
            </w:pPr>
          </w:p>
        </w:tc>
        <w:tc>
          <w:tcPr>
            <w:tcW w:w="4534" w:type="dxa"/>
            <w:shd w:val="clear" w:color="auto" w:fill="auto"/>
          </w:tcPr>
          <w:p w:rsidR="00485B2B" w:rsidRPr="00975C02" w:rsidRDefault="00485B2B" w:rsidP="00D66016">
            <w:pPr>
              <w:tabs>
                <w:tab w:val="left" w:pos="964"/>
              </w:tabs>
              <w:spacing w:before="40" w:after="120"/>
            </w:pPr>
            <w:r w:rsidRPr="00203D7B">
              <w:rPr>
                <w:i/>
              </w:rPr>
              <w:t>Mesure des résultats</w:t>
            </w:r>
            <w:r w:rsidRPr="00975C02">
              <w:t> :</w:t>
            </w:r>
            <w:r w:rsidRPr="00975C02">
              <w:br/>
              <w:t xml:space="preserve">Référence 2016-2017 : 11 pays (TEM) + 14 pays (TER) </w:t>
            </w:r>
          </w:p>
        </w:tc>
      </w:tr>
      <w:tr w:rsidR="00D66016" w:rsidRPr="00975C02" w:rsidTr="00EC31A2">
        <w:trPr>
          <w:trHeight w:val="20"/>
        </w:trPr>
        <w:tc>
          <w:tcPr>
            <w:tcW w:w="3119" w:type="dxa"/>
            <w:shd w:val="clear" w:color="auto" w:fill="auto"/>
          </w:tcPr>
          <w:p w:rsidR="00D66016" w:rsidRPr="00975C02" w:rsidRDefault="00D66016" w:rsidP="00E37EC6">
            <w:pPr>
              <w:spacing w:before="40" w:after="120"/>
              <w:ind w:right="113"/>
              <w:rPr>
                <w:b/>
              </w:rPr>
            </w:pPr>
          </w:p>
        </w:tc>
        <w:tc>
          <w:tcPr>
            <w:tcW w:w="1984" w:type="dxa"/>
            <w:shd w:val="clear" w:color="auto" w:fill="auto"/>
          </w:tcPr>
          <w:p w:rsidR="00D66016" w:rsidRPr="00975C02" w:rsidRDefault="00D66016" w:rsidP="00975C02">
            <w:pPr>
              <w:spacing w:before="40" w:after="120"/>
              <w:ind w:right="113"/>
            </w:pPr>
          </w:p>
        </w:tc>
        <w:tc>
          <w:tcPr>
            <w:tcW w:w="4534" w:type="dxa"/>
            <w:shd w:val="clear" w:color="auto" w:fill="auto"/>
          </w:tcPr>
          <w:p w:rsidR="00D66016" w:rsidRPr="00203D7B" w:rsidRDefault="00D66016" w:rsidP="000B3701">
            <w:pPr>
              <w:tabs>
                <w:tab w:val="left" w:pos="964"/>
              </w:tabs>
              <w:spacing w:before="40" w:after="120"/>
              <w:rPr>
                <w:i/>
              </w:rPr>
            </w:pPr>
            <w:r w:rsidRPr="00975C02">
              <w:t>Objectif pour 2018-2019 : 12 pays (TEM) + 14 pays (TER) pays</w:t>
            </w:r>
          </w:p>
        </w:tc>
      </w:tr>
      <w:tr w:rsidR="00D66016" w:rsidRPr="00975C02" w:rsidTr="00EC31A2">
        <w:trPr>
          <w:trHeight w:val="20"/>
        </w:trPr>
        <w:tc>
          <w:tcPr>
            <w:tcW w:w="3119" w:type="dxa"/>
            <w:vMerge w:val="restart"/>
            <w:shd w:val="clear" w:color="auto" w:fill="auto"/>
          </w:tcPr>
          <w:p w:rsidR="00D66016" w:rsidRPr="00975C02" w:rsidRDefault="00D66016" w:rsidP="006756A1">
            <w:pPr>
              <w:tabs>
                <w:tab w:val="left" w:pos="851"/>
              </w:tabs>
              <w:spacing w:before="40" w:after="120"/>
              <w:ind w:right="113"/>
              <w:rPr>
                <w:b/>
              </w:rPr>
            </w:pPr>
            <w:r w:rsidRPr="00975C02">
              <w:rPr>
                <w:b/>
              </w:rPr>
              <w:t>4. RE d)</w:t>
            </w:r>
            <w:r>
              <w:rPr>
                <w:b/>
              </w:rPr>
              <w:tab/>
            </w:r>
            <w:r w:rsidRPr="00975C02">
              <w:rPr>
                <w:b/>
              </w:rPr>
              <w:t xml:space="preserve">Renforcement de la capacité d’appliquer les instruments juridiques, normes et règlements des Nations Unies en matière de transport, en particulier dans les pays d’Europe orientale et d’Europe du Sud-Est et des pays du Caucase et d’Asie centrale </w:t>
            </w:r>
          </w:p>
        </w:tc>
        <w:tc>
          <w:tcPr>
            <w:tcW w:w="1984" w:type="dxa"/>
            <w:vMerge w:val="restart"/>
            <w:shd w:val="clear" w:color="auto" w:fill="auto"/>
          </w:tcPr>
          <w:p w:rsidR="00D66016" w:rsidRPr="00975C02" w:rsidRDefault="00D66016" w:rsidP="00975C02">
            <w:pPr>
              <w:spacing w:before="40" w:after="120"/>
              <w:ind w:right="113"/>
            </w:pPr>
            <w:r w:rsidRPr="00975C02">
              <w:t xml:space="preserve">Tous les groupes </w:t>
            </w:r>
          </w:p>
        </w:tc>
        <w:tc>
          <w:tcPr>
            <w:tcW w:w="4534" w:type="dxa"/>
            <w:shd w:val="clear" w:color="auto" w:fill="auto"/>
          </w:tcPr>
          <w:p w:rsidR="00D66016" w:rsidRPr="00975C02" w:rsidRDefault="00D66016" w:rsidP="00810F9D">
            <w:pPr>
              <w:tabs>
                <w:tab w:val="left" w:pos="964"/>
              </w:tabs>
              <w:spacing w:before="40" w:after="120"/>
            </w:pPr>
            <w:r w:rsidRPr="00975C02">
              <w:t>RE d)</w:t>
            </w:r>
            <w:r w:rsidR="00810F9D">
              <w:t xml:space="preserve"> </w:t>
            </w:r>
            <w:r w:rsidRPr="00975C02">
              <w:t>Accroissement des effets des activités de renforcement des capacités en matière de transport menées par la CEE</w:t>
            </w:r>
          </w:p>
        </w:tc>
      </w:tr>
      <w:tr w:rsidR="00D66016" w:rsidRPr="00975C02" w:rsidTr="00EC31A2">
        <w:trPr>
          <w:trHeight w:val="20"/>
        </w:trPr>
        <w:tc>
          <w:tcPr>
            <w:tcW w:w="3119" w:type="dxa"/>
            <w:vMerge/>
            <w:shd w:val="clear" w:color="auto" w:fill="auto"/>
          </w:tcPr>
          <w:p w:rsidR="00D66016" w:rsidRPr="00975C02" w:rsidRDefault="00D66016" w:rsidP="006E4D1A">
            <w:pPr>
              <w:spacing w:before="40" w:after="120"/>
              <w:ind w:right="113"/>
              <w:rPr>
                <w:b/>
              </w:rPr>
            </w:pPr>
          </w:p>
        </w:tc>
        <w:tc>
          <w:tcPr>
            <w:tcW w:w="1984" w:type="dxa"/>
            <w:vMerge/>
            <w:shd w:val="clear" w:color="auto" w:fill="auto"/>
          </w:tcPr>
          <w:p w:rsidR="00D66016" w:rsidRPr="00975C02" w:rsidRDefault="00D66016" w:rsidP="00975C02">
            <w:pPr>
              <w:spacing w:before="40" w:after="120"/>
              <w:ind w:right="113"/>
            </w:pPr>
          </w:p>
        </w:tc>
        <w:tc>
          <w:tcPr>
            <w:tcW w:w="4534" w:type="dxa"/>
            <w:shd w:val="clear" w:color="auto" w:fill="auto"/>
          </w:tcPr>
          <w:p w:rsidR="00D66016" w:rsidRPr="00975C02" w:rsidRDefault="00D66016" w:rsidP="00810F9D">
            <w:pPr>
              <w:tabs>
                <w:tab w:val="left" w:pos="964"/>
              </w:tabs>
              <w:spacing w:before="40" w:after="120"/>
            </w:pPr>
            <w:r w:rsidRPr="00975C02">
              <w:t>IS d)</w:t>
            </w:r>
            <w:r w:rsidR="00810F9D">
              <w:t xml:space="preserve"> </w:t>
            </w:r>
            <w:r w:rsidRPr="00975C02">
              <w:t>Taux de satisfac</w:t>
            </w:r>
            <w:r w:rsidR="00485B2B">
              <w:t>tion (activités « utiles » ou « très utiles </w:t>
            </w:r>
            <w:r w:rsidRPr="00975C02">
              <w:t>») pour l’ensemble des participants aux activités de renforcement des capacités</w:t>
            </w:r>
          </w:p>
        </w:tc>
      </w:tr>
      <w:tr w:rsidR="00D66016" w:rsidRPr="00975C02" w:rsidTr="00EC31A2">
        <w:trPr>
          <w:trHeight w:val="400"/>
        </w:trPr>
        <w:tc>
          <w:tcPr>
            <w:tcW w:w="3119" w:type="dxa"/>
            <w:vMerge/>
            <w:tcBorders>
              <w:bottom w:val="nil"/>
            </w:tcBorders>
            <w:shd w:val="clear" w:color="auto" w:fill="auto"/>
          </w:tcPr>
          <w:p w:rsidR="00D66016" w:rsidRPr="00975C02" w:rsidRDefault="00D66016" w:rsidP="006E4D1A">
            <w:pPr>
              <w:spacing w:before="40" w:after="120"/>
              <w:ind w:right="113"/>
              <w:rPr>
                <w:b/>
              </w:rPr>
            </w:pPr>
          </w:p>
        </w:tc>
        <w:tc>
          <w:tcPr>
            <w:tcW w:w="1984" w:type="dxa"/>
            <w:vMerge/>
            <w:tcBorders>
              <w:bottom w:val="nil"/>
            </w:tcBorders>
            <w:shd w:val="clear" w:color="auto" w:fill="auto"/>
          </w:tcPr>
          <w:p w:rsidR="00D66016" w:rsidRPr="00975C02" w:rsidRDefault="00D66016" w:rsidP="00975C02">
            <w:pPr>
              <w:spacing w:before="40" w:after="120"/>
              <w:ind w:right="113"/>
            </w:pPr>
          </w:p>
        </w:tc>
        <w:tc>
          <w:tcPr>
            <w:tcW w:w="4534" w:type="dxa"/>
            <w:vMerge w:val="restart"/>
            <w:tcBorders>
              <w:bottom w:val="nil"/>
            </w:tcBorders>
            <w:shd w:val="clear" w:color="auto" w:fill="auto"/>
          </w:tcPr>
          <w:p w:rsidR="00D66016" w:rsidRPr="00975C02" w:rsidRDefault="00D66016" w:rsidP="00D66016">
            <w:pPr>
              <w:tabs>
                <w:tab w:val="left" w:pos="964"/>
              </w:tabs>
              <w:spacing w:before="40" w:after="120"/>
            </w:pPr>
            <w:r w:rsidRPr="00203D7B">
              <w:rPr>
                <w:i/>
              </w:rPr>
              <w:t>Mesure des résultats</w:t>
            </w:r>
            <w:r w:rsidRPr="00975C02">
              <w:t> :</w:t>
            </w:r>
            <w:r w:rsidRPr="00975C02">
              <w:br/>
              <w:t>Référence 2016-2017 : 80</w:t>
            </w:r>
            <w:r w:rsidR="00C85CD7">
              <w:t> %</w:t>
            </w:r>
          </w:p>
          <w:p w:rsidR="00D66016" w:rsidRPr="00975C02" w:rsidRDefault="00D66016" w:rsidP="00AE084B">
            <w:pPr>
              <w:tabs>
                <w:tab w:val="left" w:pos="964"/>
              </w:tabs>
              <w:spacing w:before="40" w:after="120"/>
            </w:pPr>
            <w:r w:rsidRPr="00975C02">
              <w:t>Objectif pour 2018-2019 : sans objet</w:t>
            </w:r>
          </w:p>
        </w:tc>
      </w:tr>
      <w:tr w:rsidR="00D66016" w:rsidRPr="00975C02" w:rsidTr="00EC31A2">
        <w:trPr>
          <w:trHeight w:val="20"/>
        </w:trPr>
        <w:tc>
          <w:tcPr>
            <w:tcW w:w="3119" w:type="dxa"/>
            <w:shd w:val="clear" w:color="auto" w:fill="auto"/>
          </w:tcPr>
          <w:p w:rsidR="00D66016" w:rsidRPr="00975C02" w:rsidRDefault="00D66016" w:rsidP="006756A1">
            <w:pPr>
              <w:tabs>
                <w:tab w:val="left" w:pos="851"/>
              </w:tabs>
              <w:spacing w:before="40" w:after="120"/>
              <w:ind w:right="113"/>
              <w:rPr>
                <w:b/>
              </w:rPr>
            </w:pPr>
            <w:r w:rsidRPr="00975C02">
              <w:t>IS d) i)</w:t>
            </w:r>
            <w:r>
              <w:tab/>
            </w:r>
            <w:r w:rsidRPr="00975C02">
              <w:t xml:space="preserve">Nombre de pays de l’Europe orientale et de l’Europe du Sud-Est, du Caucase et de l’Asie centrale qui indiquent avoir adopté des mesures pour appliquer les instruments juridiques, normes et règlements de l’ONU relatifs aux transports administrés par la CEE </w:t>
            </w:r>
          </w:p>
        </w:tc>
        <w:tc>
          <w:tcPr>
            <w:tcW w:w="1984" w:type="dxa"/>
            <w:shd w:val="clear" w:color="auto" w:fill="auto"/>
          </w:tcPr>
          <w:p w:rsidR="00D66016" w:rsidRPr="00975C02" w:rsidRDefault="00D66016" w:rsidP="00975C02">
            <w:pPr>
              <w:spacing w:before="40" w:after="120"/>
              <w:ind w:right="113"/>
            </w:pPr>
          </w:p>
        </w:tc>
        <w:tc>
          <w:tcPr>
            <w:tcW w:w="4534" w:type="dxa"/>
            <w:vMerge/>
            <w:shd w:val="clear" w:color="auto" w:fill="auto"/>
          </w:tcPr>
          <w:p w:rsidR="00D66016" w:rsidRPr="00975C02" w:rsidRDefault="00D66016" w:rsidP="00E37EC6">
            <w:pPr>
              <w:spacing w:before="40" w:after="120"/>
            </w:pPr>
          </w:p>
        </w:tc>
      </w:tr>
      <w:tr w:rsidR="00A40A9B" w:rsidRPr="00975C02" w:rsidTr="00EC31A2">
        <w:trPr>
          <w:trHeight w:val="20"/>
        </w:trPr>
        <w:tc>
          <w:tcPr>
            <w:tcW w:w="3119" w:type="dxa"/>
            <w:shd w:val="clear" w:color="auto" w:fill="auto"/>
          </w:tcPr>
          <w:p w:rsidR="00A40A9B" w:rsidRPr="00975C02" w:rsidRDefault="00A40A9B" w:rsidP="00E37EC6">
            <w:pPr>
              <w:spacing w:before="40" w:after="120"/>
              <w:ind w:right="113"/>
            </w:pPr>
            <w:r w:rsidRPr="00203D7B">
              <w:rPr>
                <w:i/>
              </w:rPr>
              <w:t>Mesure des résultats</w:t>
            </w:r>
            <w:r w:rsidRPr="00975C02">
              <w:t xml:space="preserve"> </w:t>
            </w:r>
            <w:r w:rsidRPr="00975C02">
              <w:br/>
              <w:t>Objectif pour 2018-2019 : 10 Pays</w:t>
            </w:r>
          </w:p>
        </w:tc>
        <w:tc>
          <w:tcPr>
            <w:tcW w:w="1984" w:type="dxa"/>
            <w:shd w:val="clear" w:color="auto" w:fill="auto"/>
          </w:tcPr>
          <w:p w:rsidR="00A40A9B" w:rsidRPr="00975C02" w:rsidRDefault="00A40A9B" w:rsidP="00975C02">
            <w:pPr>
              <w:spacing w:before="40" w:after="120"/>
              <w:ind w:right="113"/>
            </w:pPr>
          </w:p>
        </w:tc>
        <w:tc>
          <w:tcPr>
            <w:tcW w:w="4534" w:type="dxa"/>
            <w:shd w:val="clear" w:color="auto" w:fill="auto"/>
          </w:tcPr>
          <w:p w:rsidR="00A40A9B" w:rsidRPr="00975C02" w:rsidRDefault="00A40A9B" w:rsidP="00E37EC6">
            <w:pPr>
              <w:spacing w:before="40" w:after="120"/>
            </w:pPr>
          </w:p>
        </w:tc>
      </w:tr>
      <w:tr w:rsidR="00EA7B3A" w:rsidRPr="00975C02" w:rsidTr="00485B2B">
        <w:trPr>
          <w:cantSplit/>
          <w:trHeight w:val="20"/>
        </w:trPr>
        <w:tc>
          <w:tcPr>
            <w:tcW w:w="3119" w:type="dxa"/>
            <w:shd w:val="clear" w:color="auto" w:fill="auto"/>
          </w:tcPr>
          <w:p w:rsidR="00EA7B3A" w:rsidRPr="00975C02" w:rsidRDefault="00EA7B3A" w:rsidP="006756A1">
            <w:pPr>
              <w:tabs>
                <w:tab w:val="left" w:pos="851"/>
              </w:tabs>
              <w:spacing w:before="40" w:after="120"/>
              <w:ind w:right="113"/>
            </w:pPr>
            <w:r w:rsidRPr="00975C02">
              <w:lastRenderedPageBreak/>
              <w:t>IS d) ii)</w:t>
            </w:r>
            <w:r w:rsidR="006E4D1A">
              <w:tab/>
            </w:r>
            <w:r w:rsidRPr="00975C02">
              <w:t>Accroissement du nombre d’États membres de la CEE ayant défini des objectifs de renforcement de la sécurité routière</w:t>
            </w:r>
          </w:p>
        </w:tc>
        <w:tc>
          <w:tcPr>
            <w:tcW w:w="1984" w:type="dxa"/>
            <w:shd w:val="clear" w:color="auto" w:fill="auto"/>
          </w:tcPr>
          <w:p w:rsidR="00EA7B3A" w:rsidRPr="00975C02" w:rsidRDefault="00EA7B3A" w:rsidP="00975C02">
            <w:pPr>
              <w:spacing w:before="40" w:after="120"/>
              <w:ind w:right="113"/>
            </w:pPr>
          </w:p>
        </w:tc>
        <w:tc>
          <w:tcPr>
            <w:tcW w:w="4534" w:type="dxa"/>
            <w:shd w:val="clear" w:color="auto" w:fill="auto"/>
          </w:tcPr>
          <w:p w:rsidR="00EA7B3A" w:rsidRPr="00975C02" w:rsidRDefault="00EA7B3A" w:rsidP="00E37EC6">
            <w:pPr>
              <w:spacing w:before="40" w:after="120"/>
            </w:pPr>
          </w:p>
        </w:tc>
      </w:tr>
      <w:tr w:rsidR="00A40A9B" w:rsidRPr="00975C02" w:rsidTr="00EC31A2">
        <w:trPr>
          <w:trHeight w:val="20"/>
        </w:trPr>
        <w:tc>
          <w:tcPr>
            <w:tcW w:w="3119" w:type="dxa"/>
            <w:shd w:val="clear" w:color="auto" w:fill="auto"/>
          </w:tcPr>
          <w:p w:rsidR="00A40A9B" w:rsidRPr="00975C02" w:rsidRDefault="00A40A9B" w:rsidP="003B5572">
            <w:pPr>
              <w:spacing w:before="40" w:after="120"/>
              <w:ind w:right="113"/>
            </w:pPr>
            <w:r w:rsidRPr="00203D7B">
              <w:rPr>
                <w:i/>
              </w:rPr>
              <w:t>Mesure des résultats</w:t>
            </w:r>
            <w:r w:rsidRPr="00975C02">
              <w:t xml:space="preserve"> </w:t>
            </w:r>
            <w:r w:rsidRPr="00975C02">
              <w:br/>
              <w:t>Référence 2017 : 40 pays</w:t>
            </w:r>
          </w:p>
        </w:tc>
        <w:tc>
          <w:tcPr>
            <w:tcW w:w="1984" w:type="dxa"/>
            <w:shd w:val="clear" w:color="auto" w:fill="auto"/>
          </w:tcPr>
          <w:p w:rsidR="00A40A9B" w:rsidRPr="00975C02" w:rsidRDefault="00A40A9B" w:rsidP="00975C02">
            <w:pPr>
              <w:spacing w:before="40" w:after="120"/>
              <w:ind w:right="113"/>
            </w:pPr>
          </w:p>
        </w:tc>
        <w:tc>
          <w:tcPr>
            <w:tcW w:w="4534" w:type="dxa"/>
            <w:shd w:val="clear" w:color="auto" w:fill="auto"/>
          </w:tcPr>
          <w:p w:rsidR="00A40A9B" w:rsidRPr="00975C02" w:rsidRDefault="00A40A9B" w:rsidP="00E37EC6">
            <w:pPr>
              <w:spacing w:before="40" w:after="120"/>
            </w:pPr>
          </w:p>
        </w:tc>
      </w:tr>
      <w:tr w:rsidR="00D66016" w:rsidRPr="00975C02" w:rsidTr="00EC31A2">
        <w:trPr>
          <w:trHeight w:val="20"/>
        </w:trPr>
        <w:tc>
          <w:tcPr>
            <w:tcW w:w="3119" w:type="dxa"/>
            <w:tcBorders>
              <w:bottom w:val="single" w:sz="12" w:space="0" w:color="auto"/>
            </w:tcBorders>
            <w:shd w:val="clear" w:color="auto" w:fill="auto"/>
          </w:tcPr>
          <w:p w:rsidR="00D66016" w:rsidRPr="00203D7B" w:rsidRDefault="003B5572" w:rsidP="00E37EC6">
            <w:pPr>
              <w:spacing w:before="40" w:after="120"/>
              <w:ind w:right="113"/>
              <w:rPr>
                <w:i/>
              </w:rPr>
            </w:pPr>
            <w:r w:rsidRPr="00975C02">
              <w:t>Objectif pour 2018-2019 : 43 pays</w:t>
            </w:r>
          </w:p>
        </w:tc>
        <w:tc>
          <w:tcPr>
            <w:tcW w:w="1984" w:type="dxa"/>
            <w:tcBorders>
              <w:bottom w:val="single" w:sz="12" w:space="0" w:color="auto"/>
            </w:tcBorders>
            <w:shd w:val="clear" w:color="auto" w:fill="auto"/>
          </w:tcPr>
          <w:p w:rsidR="00D66016" w:rsidRPr="00975C02" w:rsidRDefault="00D66016" w:rsidP="00975C02">
            <w:pPr>
              <w:spacing w:before="40" w:after="120"/>
              <w:ind w:right="113"/>
            </w:pPr>
          </w:p>
        </w:tc>
        <w:tc>
          <w:tcPr>
            <w:tcW w:w="4534" w:type="dxa"/>
            <w:tcBorders>
              <w:bottom w:val="single" w:sz="12" w:space="0" w:color="auto"/>
            </w:tcBorders>
            <w:shd w:val="clear" w:color="auto" w:fill="auto"/>
          </w:tcPr>
          <w:p w:rsidR="00D66016" w:rsidRPr="00975C02" w:rsidRDefault="00D66016" w:rsidP="00E37EC6">
            <w:pPr>
              <w:spacing w:before="40" w:after="120"/>
            </w:pPr>
          </w:p>
        </w:tc>
      </w:tr>
    </w:tbl>
    <w:p w:rsidR="00975C02" w:rsidRPr="00975C02" w:rsidRDefault="00EA7B3A">
      <w:pPr>
        <w:pStyle w:val="SingleTxtG"/>
        <w:spacing w:before="240" w:after="0"/>
        <w:jc w:val="center"/>
        <w:rPr>
          <w:u w:val="single"/>
        </w:rPr>
      </w:pPr>
      <w:r w:rsidRPr="00975C02">
        <w:rPr>
          <w:u w:val="single"/>
        </w:rPr>
        <w:tab/>
      </w:r>
      <w:r w:rsidRPr="00975C02">
        <w:rPr>
          <w:u w:val="single"/>
        </w:rPr>
        <w:tab/>
      </w:r>
      <w:r w:rsidRPr="00975C02">
        <w:rPr>
          <w:u w:val="single"/>
        </w:rPr>
        <w:tab/>
      </w:r>
    </w:p>
    <w:sectPr w:rsidR="00975C02" w:rsidRPr="00975C02" w:rsidSect="00E8364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85" w:rsidRDefault="00733585" w:rsidP="00F95C08">
      <w:pPr>
        <w:spacing w:line="240" w:lineRule="auto"/>
      </w:pPr>
    </w:p>
  </w:endnote>
  <w:endnote w:type="continuationSeparator" w:id="0">
    <w:p w:rsidR="00733585" w:rsidRPr="00AC3823" w:rsidRDefault="00733585" w:rsidP="00AC3823">
      <w:pPr>
        <w:pStyle w:val="Footer"/>
      </w:pPr>
    </w:p>
  </w:endnote>
  <w:endnote w:type="continuationNotice" w:id="1">
    <w:p w:rsidR="00733585" w:rsidRDefault="007335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85" w:rsidRPr="00E83641" w:rsidRDefault="00733585" w:rsidP="00E83641">
    <w:pPr>
      <w:pStyle w:val="Footer"/>
      <w:tabs>
        <w:tab w:val="right" w:pos="9638"/>
      </w:tabs>
    </w:pPr>
    <w:r w:rsidRPr="00E83641">
      <w:rPr>
        <w:b/>
        <w:sz w:val="18"/>
      </w:rPr>
      <w:fldChar w:fldCharType="begin"/>
    </w:r>
    <w:r w:rsidRPr="00E83641">
      <w:rPr>
        <w:b/>
        <w:sz w:val="18"/>
      </w:rPr>
      <w:instrText xml:space="preserve"> PAGE  \* MERGEFORMAT </w:instrText>
    </w:r>
    <w:r w:rsidRPr="00E83641">
      <w:rPr>
        <w:b/>
        <w:sz w:val="18"/>
      </w:rPr>
      <w:fldChar w:fldCharType="separate"/>
    </w:r>
    <w:r w:rsidR="003F2F35">
      <w:rPr>
        <w:b/>
        <w:noProof/>
        <w:sz w:val="18"/>
      </w:rPr>
      <w:t>16</w:t>
    </w:r>
    <w:r w:rsidRPr="00E83641">
      <w:rPr>
        <w:b/>
        <w:sz w:val="18"/>
      </w:rPr>
      <w:fldChar w:fldCharType="end"/>
    </w:r>
    <w:r>
      <w:rPr>
        <w:b/>
        <w:sz w:val="18"/>
      </w:rPr>
      <w:tab/>
    </w:r>
    <w:r>
      <w:t>GE.17-22337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85" w:rsidRPr="00E83641" w:rsidRDefault="00733585" w:rsidP="00E83641">
    <w:pPr>
      <w:pStyle w:val="Footer"/>
      <w:tabs>
        <w:tab w:val="right" w:pos="9638"/>
      </w:tabs>
      <w:rPr>
        <w:b/>
        <w:sz w:val="18"/>
      </w:rPr>
    </w:pPr>
    <w:r>
      <w:t>GE.17-22337</w:t>
    </w:r>
    <w:r>
      <w:tab/>
    </w:r>
    <w:r w:rsidRPr="00E83641">
      <w:rPr>
        <w:b/>
        <w:sz w:val="18"/>
      </w:rPr>
      <w:fldChar w:fldCharType="begin"/>
    </w:r>
    <w:r w:rsidRPr="00E83641">
      <w:rPr>
        <w:b/>
        <w:sz w:val="18"/>
      </w:rPr>
      <w:instrText xml:space="preserve"> PAGE  \* MERGEFORMAT </w:instrText>
    </w:r>
    <w:r w:rsidRPr="00E83641">
      <w:rPr>
        <w:b/>
        <w:sz w:val="18"/>
      </w:rPr>
      <w:fldChar w:fldCharType="separate"/>
    </w:r>
    <w:r w:rsidR="003F2F35">
      <w:rPr>
        <w:b/>
        <w:noProof/>
        <w:sz w:val="18"/>
      </w:rPr>
      <w:t>15</w:t>
    </w:r>
    <w:r w:rsidRPr="00E836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85" w:rsidRPr="00E83641" w:rsidRDefault="00733585" w:rsidP="00E83641">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17-22337  (F)    201217    211217</w:t>
    </w:r>
    <w:r>
      <w:rPr>
        <w:sz w:val="20"/>
      </w:rPr>
      <w:br/>
    </w:r>
    <w:r w:rsidRPr="00E83641">
      <w:rPr>
        <w:rFonts w:ascii="C39T30Lfz" w:hAnsi="C39T30Lfz"/>
        <w:sz w:val="56"/>
      </w:rPr>
      <w:t></w:t>
    </w:r>
    <w:r w:rsidRPr="00E83641">
      <w:rPr>
        <w:rFonts w:ascii="C39T30Lfz" w:hAnsi="C39T30Lfz"/>
        <w:sz w:val="56"/>
      </w:rPr>
      <w:t></w:t>
    </w:r>
    <w:r w:rsidRPr="00E83641">
      <w:rPr>
        <w:rFonts w:ascii="C39T30Lfz" w:hAnsi="C39T30Lfz"/>
        <w:sz w:val="56"/>
      </w:rPr>
      <w:t></w:t>
    </w:r>
    <w:r w:rsidRPr="00E83641">
      <w:rPr>
        <w:rFonts w:ascii="C39T30Lfz" w:hAnsi="C39T30Lfz"/>
        <w:sz w:val="56"/>
      </w:rPr>
      <w:t></w:t>
    </w:r>
    <w:r w:rsidRPr="00E83641">
      <w:rPr>
        <w:rFonts w:ascii="C39T30Lfz" w:hAnsi="C39T30Lfz"/>
        <w:sz w:val="56"/>
      </w:rPr>
      <w:t></w:t>
    </w:r>
    <w:r w:rsidRPr="00E83641">
      <w:rPr>
        <w:rFonts w:ascii="C39T30Lfz" w:hAnsi="C39T30Lfz"/>
        <w:sz w:val="56"/>
      </w:rPr>
      <w:t></w:t>
    </w:r>
    <w:r w:rsidRPr="00E83641">
      <w:rPr>
        <w:rFonts w:ascii="C39T30Lfz" w:hAnsi="C39T30Lfz"/>
        <w:sz w:val="56"/>
      </w:rPr>
      <w:t></w:t>
    </w:r>
    <w:r w:rsidRPr="00E83641">
      <w:rPr>
        <w:rFonts w:ascii="C39T30Lfz" w:hAnsi="C39T30Lfz"/>
        <w:sz w:val="56"/>
      </w:rPr>
      <w:t></w:t>
    </w:r>
    <w:r w:rsidRPr="00E83641">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85" w:rsidRPr="00AC3823" w:rsidRDefault="00733585" w:rsidP="00AC3823">
      <w:pPr>
        <w:pStyle w:val="Footer"/>
        <w:tabs>
          <w:tab w:val="right" w:pos="2155"/>
        </w:tabs>
        <w:spacing w:after="80" w:line="240" w:lineRule="atLeast"/>
        <w:ind w:left="680"/>
        <w:rPr>
          <w:u w:val="single"/>
        </w:rPr>
      </w:pPr>
      <w:r>
        <w:rPr>
          <w:u w:val="single"/>
        </w:rPr>
        <w:tab/>
      </w:r>
    </w:p>
  </w:footnote>
  <w:footnote w:type="continuationSeparator" w:id="0">
    <w:p w:rsidR="00733585" w:rsidRPr="00AC3823" w:rsidRDefault="00733585" w:rsidP="00AC3823">
      <w:pPr>
        <w:pStyle w:val="Footer"/>
        <w:tabs>
          <w:tab w:val="right" w:pos="2155"/>
        </w:tabs>
        <w:spacing w:after="80" w:line="240" w:lineRule="atLeast"/>
        <w:ind w:left="680"/>
        <w:rPr>
          <w:u w:val="single"/>
        </w:rPr>
      </w:pPr>
      <w:r>
        <w:rPr>
          <w:u w:val="single"/>
        </w:rPr>
        <w:tab/>
      </w:r>
    </w:p>
  </w:footnote>
  <w:footnote w:type="continuationNotice" w:id="1">
    <w:p w:rsidR="00733585" w:rsidRPr="00AC3823" w:rsidRDefault="00733585">
      <w:pPr>
        <w:spacing w:line="240" w:lineRule="auto"/>
        <w:rPr>
          <w:sz w:val="2"/>
          <w:szCs w:val="2"/>
        </w:rPr>
      </w:pPr>
    </w:p>
  </w:footnote>
  <w:footnote w:id="2">
    <w:p w:rsidR="00733585" w:rsidRPr="00830E01" w:rsidRDefault="00733585" w:rsidP="0005028A">
      <w:pPr>
        <w:pStyle w:val="FootnoteText"/>
      </w:pPr>
      <w:r>
        <w:tab/>
      </w:r>
      <w:r w:rsidRPr="0072602F">
        <w:rPr>
          <w:rStyle w:val="FootnoteReference"/>
        </w:rPr>
        <w:footnoteRef/>
      </w:r>
      <w:r w:rsidRPr="00830E01">
        <w:tab/>
        <w:t>Ces chiffres se rapportent à 2016 et au début de 2017 (jusqu’à début mars uniquement</w:t>
      </w:r>
      <w:r>
        <w:t>)</w:t>
      </w:r>
      <w:r w:rsidRPr="00830E0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85" w:rsidRPr="00E83641" w:rsidRDefault="003F2F35">
    <w:pPr>
      <w:pStyle w:val="Header"/>
    </w:pPr>
    <w:r>
      <w:fldChar w:fldCharType="begin"/>
    </w:r>
    <w:r>
      <w:instrText xml:space="preserve"> TITLE  \* MERGEFORMAT </w:instrText>
    </w:r>
    <w:r>
      <w:fldChar w:fldCharType="separate"/>
    </w:r>
    <w:r w:rsidR="00733585">
      <w:t>ECE/TRANS/2018/22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85" w:rsidRPr="00E83641" w:rsidRDefault="003F2F35" w:rsidP="00E83641">
    <w:pPr>
      <w:pStyle w:val="Header"/>
      <w:jc w:val="right"/>
    </w:pPr>
    <w:r>
      <w:fldChar w:fldCharType="begin"/>
    </w:r>
    <w:r>
      <w:instrText xml:space="preserve"> TITLE  \* MERGEFORMAT </w:instrText>
    </w:r>
    <w:r>
      <w:fldChar w:fldCharType="separate"/>
    </w:r>
    <w:r w:rsidR="00733585">
      <w:t>ECE/TRANS/2018/22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B425EF5"/>
    <w:multiLevelType w:val="hybridMultilevel"/>
    <w:tmpl w:val="7A0E07DC"/>
    <w:lvl w:ilvl="0" w:tplc="6E9AA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757C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3F52D2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E8676D3"/>
    <w:multiLevelType w:val="hybridMultilevel"/>
    <w:tmpl w:val="B0A6664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8CA6C3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3"/>
  </w:num>
  <w:num w:numId="16">
    <w:abstractNumId w:val="11"/>
  </w:num>
  <w:num w:numId="17">
    <w:abstractNumId w:val="24"/>
  </w:num>
  <w:num w:numId="18">
    <w:abstractNumId w:val="22"/>
  </w:num>
  <w:num w:numId="19">
    <w:abstractNumId w:val="17"/>
  </w:num>
  <w:num w:numId="20">
    <w:abstractNumId w:val="29"/>
  </w:num>
  <w:num w:numId="21">
    <w:abstractNumId w:val="20"/>
  </w:num>
  <w:num w:numId="22">
    <w:abstractNumId w:val="16"/>
  </w:num>
  <w:num w:numId="23">
    <w:abstractNumId w:val="10"/>
  </w:num>
  <w:num w:numId="24">
    <w:abstractNumId w:val="14"/>
  </w:num>
  <w:num w:numId="25">
    <w:abstractNumId w:val="21"/>
  </w:num>
  <w:num w:numId="26">
    <w:abstractNumId w:val="15"/>
  </w:num>
  <w:num w:numId="27">
    <w:abstractNumId w:val="25"/>
  </w:num>
  <w:num w:numId="28">
    <w:abstractNumId w:val="28"/>
  </w:num>
  <w:num w:numId="29">
    <w:abstractNumId w:val="18"/>
  </w:num>
  <w:num w:numId="30">
    <w:abstractNumId w:val="13"/>
  </w:num>
  <w:num w:numId="31">
    <w:abstractNumId w:val="27"/>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E6"/>
    <w:rsid w:val="00017F94"/>
    <w:rsid w:val="00023842"/>
    <w:rsid w:val="000301A9"/>
    <w:rsid w:val="000334F9"/>
    <w:rsid w:val="00045FEB"/>
    <w:rsid w:val="0005028A"/>
    <w:rsid w:val="0007796D"/>
    <w:rsid w:val="00081151"/>
    <w:rsid w:val="000A62DC"/>
    <w:rsid w:val="000B23FE"/>
    <w:rsid w:val="000B3701"/>
    <w:rsid w:val="000B7790"/>
    <w:rsid w:val="000C3EDC"/>
    <w:rsid w:val="00111F2F"/>
    <w:rsid w:val="00127457"/>
    <w:rsid w:val="0014365E"/>
    <w:rsid w:val="00143C66"/>
    <w:rsid w:val="00176178"/>
    <w:rsid w:val="001A416A"/>
    <w:rsid w:val="001C3AA2"/>
    <w:rsid w:val="001F525A"/>
    <w:rsid w:val="00203D7B"/>
    <w:rsid w:val="002114B5"/>
    <w:rsid w:val="00223272"/>
    <w:rsid w:val="00227B1E"/>
    <w:rsid w:val="0024779E"/>
    <w:rsid w:val="00257168"/>
    <w:rsid w:val="00261F16"/>
    <w:rsid w:val="002744B8"/>
    <w:rsid w:val="002832AC"/>
    <w:rsid w:val="00294A6F"/>
    <w:rsid w:val="002D7C93"/>
    <w:rsid w:val="002E013D"/>
    <w:rsid w:val="00305801"/>
    <w:rsid w:val="00307F19"/>
    <w:rsid w:val="00315772"/>
    <w:rsid w:val="003447EE"/>
    <w:rsid w:val="003557E8"/>
    <w:rsid w:val="00375267"/>
    <w:rsid w:val="00377876"/>
    <w:rsid w:val="003916DE"/>
    <w:rsid w:val="003B4AC2"/>
    <w:rsid w:val="003B5572"/>
    <w:rsid w:val="003D190F"/>
    <w:rsid w:val="003F2F35"/>
    <w:rsid w:val="0041050D"/>
    <w:rsid w:val="00435632"/>
    <w:rsid w:val="00441C3B"/>
    <w:rsid w:val="00446FE5"/>
    <w:rsid w:val="00452396"/>
    <w:rsid w:val="0046766A"/>
    <w:rsid w:val="004837D8"/>
    <w:rsid w:val="00485B2B"/>
    <w:rsid w:val="004966A4"/>
    <w:rsid w:val="004E468C"/>
    <w:rsid w:val="004F2919"/>
    <w:rsid w:val="005505B7"/>
    <w:rsid w:val="00573BE5"/>
    <w:rsid w:val="00586ED3"/>
    <w:rsid w:val="00596AA9"/>
    <w:rsid w:val="00626E74"/>
    <w:rsid w:val="006542AD"/>
    <w:rsid w:val="006756A1"/>
    <w:rsid w:val="00683A53"/>
    <w:rsid w:val="00697915"/>
    <w:rsid w:val="006A555C"/>
    <w:rsid w:val="006D4CD6"/>
    <w:rsid w:val="006E4D1A"/>
    <w:rsid w:val="0071601D"/>
    <w:rsid w:val="007277E9"/>
    <w:rsid w:val="00730019"/>
    <w:rsid w:val="00733585"/>
    <w:rsid w:val="00756216"/>
    <w:rsid w:val="007600A3"/>
    <w:rsid w:val="00771E52"/>
    <w:rsid w:val="007768C9"/>
    <w:rsid w:val="007A62E6"/>
    <w:rsid w:val="007B116C"/>
    <w:rsid w:val="007E48F3"/>
    <w:rsid w:val="007F20FA"/>
    <w:rsid w:val="0080684C"/>
    <w:rsid w:val="00810F9D"/>
    <w:rsid w:val="008355FD"/>
    <w:rsid w:val="00871C75"/>
    <w:rsid w:val="00871D54"/>
    <w:rsid w:val="008776DC"/>
    <w:rsid w:val="00882FD1"/>
    <w:rsid w:val="008A5D42"/>
    <w:rsid w:val="008B1007"/>
    <w:rsid w:val="008E3C67"/>
    <w:rsid w:val="008E5AA4"/>
    <w:rsid w:val="008F3CEE"/>
    <w:rsid w:val="009079B8"/>
    <w:rsid w:val="009233BC"/>
    <w:rsid w:val="009446C0"/>
    <w:rsid w:val="009705C8"/>
    <w:rsid w:val="00975C02"/>
    <w:rsid w:val="009C1CF4"/>
    <w:rsid w:val="009F6B74"/>
    <w:rsid w:val="00A23BD2"/>
    <w:rsid w:val="00A2420F"/>
    <w:rsid w:val="00A30353"/>
    <w:rsid w:val="00A40A9B"/>
    <w:rsid w:val="00A86A67"/>
    <w:rsid w:val="00AC3823"/>
    <w:rsid w:val="00AE084B"/>
    <w:rsid w:val="00AE323C"/>
    <w:rsid w:val="00AF0CB5"/>
    <w:rsid w:val="00B00181"/>
    <w:rsid w:val="00B003DE"/>
    <w:rsid w:val="00B00B0D"/>
    <w:rsid w:val="00B01591"/>
    <w:rsid w:val="00B01743"/>
    <w:rsid w:val="00B168D1"/>
    <w:rsid w:val="00B16FC7"/>
    <w:rsid w:val="00B24CDF"/>
    <w:rsid w:val="00B53B73"/>
    <w:rsid w:val="00B7013C"/>
    <w:rsid w:val="00B71FC7"/>
    <w:rsid w:val="00B765F7"/>
    <w:rsid w:val="00BA0CA9"/>
    <w:rsid w:val="00BA31F3"/>
    <w:rsid w:val="00BE7A0D"/>
    <w:rsid w:val="00C02897"/>
    <w:rsid w:val="00C046C8"/>
    <w:rsid w:val="00C23CD4"/>
    <w:rsid w:val="00C246F2"/>
    <w:rsid w:val="00C47FE6"/>
    <w:rsid w:val="00C51FBC"/>
    <w:rsid w:val="00C85CD7"/>
    <w:rsid w:val="00C97039"/>
    <w:rsid w:val="00CD782B"/>
    <w:rsid w:val="00D004B0"/>
    <w:rsid w:val="00D0385C"/>
    <w:rsid w:val="00D30CD3"/>
    <w:rsid w:val="00D3439C"/>
    <w:rsid w:val="00D46FC9"/>
    <w:rsid w:val="00D66016"/>
    <w:rsid w:val="00D9706D"/>
    <w:rsid w:val="00DB1831"/>
    <w:rsid w:val="00DD3BFD"/>
    <w:rsid w:val="00DF6678"/>
    <w:rsid w:val="00E01314"/>
    <w:rsid w:val="00E0299A"/>
    <w:rsid w:val="00E37EC6"/>
    <w:rsid w:val="00E51769"/>
    <w:rsid w:val="00E640DF"/>
    <w:rsid w:val="00E67F6A"/>
    <w:rsid w:val="00E81CA5"/>
    <w:rsid w:val="00E83641"/>
    <w:rsid w:val="00E85C74"/>
    <w:rsid w:val="00E86AA2"/>
    <w:rsid w:val="00EA6547"/>
    <w:rsid w:val="00EA7B3A"/>
    <w:rsid w:val="00EC31A2"/>
    <w:rsid w:val="00ED73B8"/>
    <w:rsid w:val="00EE3734"/>
    <w:rsid w:val="00EF2E22"/>
    <w:rsid w:val="00F35BAF"/>
    <w:rsid w:val="00F37F75"/>
    <w:rsid w:val="00F626D8"/>
    <w:rsid w:val="00F660DF"/>
    <w:rsid w:val="00F7183C"/>
    <w:rsid w:val="00F8382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75C02"/>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75C0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4477</Words>
  <Characters>25522</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ECE/TRANS/2018/22</vt:lpstr>
      <vt:lpstr>ECE/TRANS/2018/22</vt:lpstr>
    </vt:vector>
  </TitlesOfParts>
  <Company>DCM</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ECE/TRANS/2018/22</dc:title>
  <dc:creator>Nicolas MORIN</dc:creator>
  <cp:lastModifiedBy>Jeyhun Shahverdili</cp:lastModifiedBy>
  <cp:revision>2</cp:revision>
  <cp:lastPrinted>2014-05-14T10:59:00Z</cp:lastPrinted>
  <dcterms:created xsi:type="dcterms:W3CDTF">2018-01-09T12:36:00Z</dcterms:created>
  <dcterms:modified xsi:type="dcterms:W3CDTF">2018-01-09T12:36:00Z</dcterms:modified>
</cp:coreProperties>
</file>