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E0E11">
            <w:pPr>
              <w:pStyle w:val="SMGR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E0E11" w:rsidP="00FE0E11">
            <w:pPr>
              <w:jc w:val="right"/>
            </w:pPr>
            <w:r w:rsidRPr="00FE0E11">
              <w:rPr>
                <w:sz w:val="40"/>
              </w:rPr>
              <w:t>ECE</w:t>
            </w:r>
            <w:r>
              <w:t>/TRANS/2018/1</w:t>
            </w:r>
          </w:p>
        </w:tc>
      </w:tr>
      <w:tr w:rsidR="002D5AAC" w:rsidRPr="0017762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E0E1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E0E11" w:rsidRDefault="00FE0E11" w:rsidP="00FE0E1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December 2017</w:t>
            </w:r>
          </w:p>
          <w:p w:rsidR="00FE0E11" w:rsidRDefault="00FE0E11" w:rsidP="00FE0E1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E0E11" w:rsidRPr="008D53B6" w:rsidRDefault="00FE0E11" w:rsidP="00FE0E1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FE0E11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E0E11" w:rsidRPr="00FE0E11" w:rsidRDefault="00FE0E11" w:rsidP="00FE0E11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FE0E11">
        <w:rPr>
          <w:sz w:val="28"/>
          <w:szCs w:val="28"/>
        </w:rPr>
        <w:t>Комитет по внутреннему транспорту</w:t>
      </w:r>
    </w:p>
    <w:p w:rsidR="00FE0E11" w:rsidRPr="00FE0E11" w:rsidRDefault="00FE0E11" w:rsidP="00FE0E11">
      <w:pPr>
        <w:pStyle w:val="SingleTxtGR"/>
        <w:spacing w:after="0"/>
        <w:ind w:left="0"/>
        <w:jc w:val="left"/>
        <w:rPr>
          <w:b/>
          <w:bCs/>
        </w:rPr>
      </w:pPr>
      <w:r w:rsidRPr="00FE0E11">
        <w:rPr>
          <w:b/>
          <w:bCs/>
        </w:rPr>
        <w:t>Восьмидесятая сессия</w:t>
      </w:r>
    </w:p>
    <w:p w:rsidR="00FE0E11" w:rsidRPr="00FE0E11" w:rsidRDefault="00FE0E11" w:rsidP="00FE0E11">
      <w:pPr>
        <w:pStyle w:val="SingleTxtGR"/>
        <w:spacing w:after="0"/>
        <w:ind w:left="0"/>
        <w:jc w:val="left"/>
      </w:pPr>
      <w:r w:rsidRPr="00FE0E11">
        <w:t>Женева, 20–23 февраля 2018 года</w:t>
      </w:r>
    </w:p>
    <w:p w:rsidR="00FE0E11" w:rsidRPr="00FE0E11" w:rsidRDefault="00FE0E11" w:rsidP="00FE0E11">
      <w:pPr>
        <w:pStyle w:val="SingleTxtGR"/>
        <w:spacing w:after="0"/>
        <w:ind w:left="0"/>
        <w:jc w:val="left"/>
      </w:pPr>
      <w:r w:rsidRPr="00FE0E11">
        <w:t>Пункт 2 предварительной повестки дня</w:t>
      </w:r>
    </w:p>
    <w:p w:rsidR="00FE0E11" w:rsidRPr="00FE0E11" w:rsidRDefault="00FE0E11" w:rsidP="00FE0E11">
      <w:pPr>
        <w:pStyle w:val="SingleTxtGR"/>
        <w:spacing w:after="0"/>
        <w:ind w:left="0"/>
        <w:jc w:val="left"/>
        <w:rPr>
          <w:b/>
          <w:bCs/>
        </w:rPr>
      </w:pPr>
      <w:r w:rsidRPr="00FE0E11">
        <w:rPr>
          <w:b/>
          <w:bCs/>
        </w:rPr>
        <w:t xml:space="preserve">Интермодальный подход: ключ к устойчивому </w:t>
      </w:r>
      <w:r w:rsidR="00746432" w:rsidRPr="00746432">
        <w:rPr>
          <w:b/>
          <w:bCs/>
        </w:rPr>
        <w:br/>
      </w:r>
      <w:r w:rsidRPr="00FE0E11">
        <w:rPr>
          <w:b/>
          <w:bCs/>
        </w:rPr>
        <w:t>транспорту и мобильности</w:t>
      </w:r>
    </w:p>
    <w:p w:rsidR="00FE0E11" w:rsidRPr="00FE0E11" w:rsidRDefault="00FE0E11" w:rsidP="00FE0E11">
      <w:pPr>
        <w:pStyle w:val="HChGR"/>
      </w:pPr>
      <w:r w:rsidRPr="00FE0E11">
        <w:tab/>
      </w:r>
      <w:r w:rsidRPr="00FE0E11">
        <w:tab/>
        <w:t>Концептуальная записка и проект программы для</w:t>
      </w:r>
      <w:r>
        <w:rPr>
          <w:lang w:val="en-US"/>
        </w:rPr>
        <w:t> </w:t>
      </w:r>
      <w:r w:rsidRPr="00FE0E11">
        <w:t>сегмента, посвященного вопросам политики</w:t>
      </w:r>
    </w:p>
    <w:p w:rsidR="00FE0E11" w:rsidRPr="00FE0E11" w:rsidRDefault="00FE0E11" w:rsidP="00FE0E11">
      <w:pPr>
        <w:pStyle w:val="HChGR"/>
      </w:pPr>
      <w:r w:rsidRPr="00FE0E11">
        <w:tab/>
      </w:r>
      <w:r w:rsidRPr="00FE0E11">
        <w:tab/>
        <w:t>«Интермодальный подход: ключ к устойчивому транспорту и мобильности»</w:t>
      </w:r>
    </w:p>
    <w:p w:rsidR="00FE0E11" w:rsidRDefault="00FE0E11" w:rsidP="00FE0E11">
      <w:pPr>
        <w:pStyle w:val="H1GR"/>
        <w:rPr>
          <w:lang w:val="en-US"/>
        </w:rPr>
      </w:pPr>
      <w:r w:rsidRPr="00FE0E11">
        <w:tab/>
      </w:r>
      <w:r w:rsidRPr="00FE0E11">
        <w:tab/>
        <w:t>Записка секретариата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FE0E11" w:rsidRPr="00FE0E11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FE0E11" w:rsidRPr="00FE0E11" w:rsidRDefault="00FE0E11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FE0E11">
              <w:rPr>
                <w:rFonts w:cs="Times New Roman"/>
              </w:rPr>
              <w:tab/>
            </w:r>
            <w:r w:rsidRPr="00FE0E11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FE0E11" w:rsidRPr="00FE0E11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FE0E11" w:rsidRPr="00FE0E11" w:rsidRDefault="00FE0E11" w:rsidP="00B5429B">
            <w:pPr>
              <w:pStyle w:val="SingleTxtGR"/>
            </w:pPr>
            <w:r w:rsidRPr="00177624">
              <w:tab/>
            </w:r>
            <w:r w:rsidRPr="00FE0E11">
              <w:t>На своем совещании в июне 2017 года Бюро постановило, что сегмент по вопросам политики в ходе первого дня восьмидесятой сессии Комитета должен быть посвящен теме «Интермодальный подход: ключ к устойчивой мобильн</w:t>
            </w:r>
            <w:r w:rsidRPr="00FE0E11">
              <w:t>о</w:t>
            </w:r>
            <w:r w:rsidRPr="00FE0E11">
              <w:t>сти». В настоящем документе излагаются основные цели и идеи, которые нео</w:t>
            </w:r>
            <w:r w:rsidRPr="00FE0E11">
              <w:t>б</w:t>
            </w:r>
            <w:r w:rsidRPr="00FE0E11">
              <w:t>ходимо реализовать в ходе сегмента,</w:t>
            </w:r>
            <w:r w:rsidRPr="00FE0E11">
              <w:rPr>
                <w:bCs/>
              </w:rPr>
              <w:t xml:space="preserve"> посвященного вопросам политики</w:t>
            </w:r>
            <w:r w:rsidRPr="00FE0E11">
              <w:t>, в этом году и/или осведомленность о которых он призван повысить путем обсуждения данной горизонтальной темы.</w:t>
            </w:r>
          </w:p>
        </w:tc>
      </w:tr>
      <w:tr w:rsidR="00FE0E11" w:rsidRPr="00FE0E11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FE0E11" w:rsidRPr="00FE0E11" w:rsidRDefault="00FE0E11" w:rsidP="00850215">
            <w:pPr>
              <w:rPr>
                <w:rFonts w:cs="Times New Roman"/>
              </w:rPr>
            </w:pPr>
          </w:p>
        </w:tc>
      </w:tr>
    </w:tbl>
    <w:p w:rsidR="00FE0E11" w:rsidRPr="00FE0E11" w:rsidRDefault="00FE0E11" w:rsidP="00AF1B98">
      <w:pPr>
        <w:pStyle w:val="HChGR"/>
      </w:pPr>
      <w:r w:rsidRPr="00FE0E11">
        <w:tab/>
        <w:t>I.</w:t>
      </w:r>
      <w:r w:rsidRPr="00FE0E11">
        <w:tab/>
        <w:t xml:space="preserve">Контекст осуществления политики: интермодальный подход приводит к устойчивости </w:t>
      </w:r>
    </w:p>
    <w:p w:rsidR="00FE0E11" w:rsidRPr="00FE0E11" w:rsidRDefault="00FE0E11" w:rsidP="00FE0E11">
      <w:pPr>
        <w:pStyle w:val="SingleTxtGR"/>
      </w:pPr>
      <w:r w:rsidRPr="00FE0E11">
        <w:t>1.</w:t>
      </w:r>
      <w:r w:rsidRPr="00FE0E11">
        <w:tab/>
        <w:t>После принятия в 2015 году целей в области устойчивого развития ме</w:t>
      </w:r>
      <w:r w:rsidRPr="00FE0E11">
        <w:t>ж</w:t>
      </w:r>
      <w:r w:rsidRPr="00FE0E11">
        <w:t>дународное сообщество стало уделять больше внимания вопросу о роли усто</w:t>
      </w:r>
      <w:r w:rsidRPr="00FE0E11">
        <w:t>й</w:t>
      </w:r>
      <w:r w:rsidRPr="00FE0E11">
        <w:t>чивого транспорта и мобильности в том, чтобы помочь человечеству вновь встать на добродетельный путь устойчивого развития и достичь целей в обл</w:t>
      </w:r>
      <w:r w:rsidRPr="00FE0E11">
        <w:t>а</w:t>
      </w:r>
      <w:r w:rsidRPr="00FE0E11">
        <w:t xml:space="preserve">сти устойчивого развития. В мире растет понимание того, что интермодальные перевозки являются одним из основных элементов устойчивого грузового транспорта и устойчивой городской мобильности. </w:t>
      </w:r>
    </w:p>
    <w:p w:rsidR="00FE0E11" w:rsidRPr="00FE0E11" w:rsidRDefault="00FE0E11" w:rsidP="00AF1B98">
      <w:pPr>
        <w:pStyle w:val="SingleTxtGR"/>
        <w:pageBreakBefore/>
      </w:pPr>
      <w:r w:rsidRPr="00FE0E11">
        <w:lastRenderedPageBreak/>
        <w:t>2.</w:t>
      </w:r>
      <w:r w:rsidRPr="00FE0E11">
        <w:tab/>
      </w:r>
      <w:proofErr w:type="gramStart"/>
      <w:r w:rsidRPr="00FE0E11">
        <w:t>Кроме того, резолюция министров «Вступление в новую эру устойчивого внутреннего транспорта и мобильности», которая была подписана 21 февраля 2017 года по случаю семидесятой годовщины Комитета по внутреннему тран</w:t>
      </w:r>
      <w:r w:rsidRPr="00FE0E11">
        <w:t>с</w:t>
      </w:r>
      <w:r w:rsidRPr="00FE0E11">
        <w:t xml:space="preserve">порту, настоятельно </w:t>
      </w:r>
      <w:r w:rsidRPr="00177624">
        <w:rPr>
          <w:i/>
        </w:rPr>
        <w:t>призвала</w:t>
      </w:r>
      <w:r w:rsidRPr="00FE0E11">
        <w:t xml:space="preserve"> «государства </w:t>
      </w:r>
      <w:r w:rsidR="00FD795B" w:rsidRPr="000B2D16">
        <w:t>–</w:t>
      </w:r>
      <w:r w:rsidRPr="00FE0E11">
        <w:t xml:space="preserve"> члены Организации Объедине</w:t>
      </w:r>
      <w:r w:rsidRPr="00FE0E11">
        <w:t>н</w:t>
      </w:r>
      <w:r w:rsidRPr="00FE0E11">
        <w:t xml:space="preserve">ных Наций к дальнейшему совершенствованию интермодальных транспортных услуг и эффективной интеграции различных видов транспорта для достижения целей в области устойчивого развития (ЦУР)». </w:t>
      </w:r>
      <w:proofErr w:type="gramEnd"/>
    </w:p>
    <w:p w:rsidR="00FE0E11" w:rsidRPr="00FE0E11" w:rsidRDefault="00FE0E11" w:rsidP="00FE0E11">
      <w:pPr>
        <w:pStyle w:val="SingleTxtGR"/>
      </w:pPr>
      <w:r w:rsidRPr="00FE0E11">
        <w:t>3.</w:t>
      </w:r>
      <w:r w:rsidRPr="00FE0E11">
        <w:tab/>
        <w:t xml:space="preserve">Выбрав данную тему для сегмента, </w:t>
      </w:r>
      <w:r w:rsidRPr="00FE0E11">
        <w:rPr>
          <w:bCs/>
        </w:rPr>
        <w:t>посвященного вопросам политики</w:t>
      </w:r>
      <w:r w:rsidRPr="00FE0E11">
        <w:t>, КВТ содействует реализации намеченных целей в области устойчивого разв</w:t>
      </w:r>
      <w:r w:rsidRPr="00FE0E11">
        <w:t>и</w:t>
      </w:r>
      <w:r w:rsidRPr="00FE0E11">
        <w:t>тия на период до 2030 года путем анализа:</w:t>
      </w:r>
    </w:p>
    <w:p w:rsidR="00FE0E11" w:rsidRPr="00FE0E11" w:rsidRDefault="00FE0E11" w:rsidP="00FE0E11">
      <w:pPr>
        <w:pStyle w:val="SingleTxtGR"/>
      </w:pPr>
      <w:r w:rsidRPr="00FE0E11">
        <w:tab/>
        <w:t>a)</w:t>
      </w:r>
      <w:r w:rsidRPr="00FE0E11">
        <w:tab/>
        <w:t>основных направлений политики и стратегий, которые позволяют добиться устойчивой городской мобильности и устойчивого общественного транспорта, в частности велосипедного и пешеходного движения;</w:t>
      </w:r>
    </w:p>
    <w:p w:rsidR="00FE0E11" w:rsidRPr="00FE0E11" w:rsidRDefault="00FE0E11" w:rsidP="00FE0E11">
      <w:pPr>
        <w:pStyle w:val="SingleTxtGR"/>
      </w:pPr>
      <w:r w:rsidRPr="00FE0E11">
        <w:tab/>
        <w:t>b)</w:t>
      </w:r>
      <w:r w:rsidRPr="00FE0E11">
        <w:tab/>
        <w:t>ключевых факторов и мер, направленных на стимулирование и</w:t>
      </w:r>
      <w:r w:rsidRPr="00FE0E11">
        <w:t>н</w:t>
      </w:r>
      <w:r w:rsidRPr="00FE0E11">
        <w:t>термодальных перевозок грузов, включая упрощение процедур пересечения границ, повышение конкурентоспособности железных дорог и развитие с</w:t>
      </w:r>
      <w:r w:rsidRPr="00FE0E11">
        <w:t>о</w:t>
      </w:r>
      <w:r w:rsidRPr="00FE0E11">
        <w:t xml:space="preserve">трудничества между различными заинтересованными сторонами; </w:t>
      </w:r>
    </w:p>
    <w:p w:rsidR="00FE0E11" w:rsidRPr="00FE0E11" w:rsidRDefault="00FE0E11" w:rsidP="00FE0E11">
      <w:pPr>
        <w:pStyle w:val="SingleTxtGR"/>
      </w:pPr>
      <w:r w:rsidRPr="00FE0E11">
        <w:tab/>
        <w:t>c)</w:t>
      </w:r>
      <w:r w:rsidRPr="00FE0E11">
        <w:tab/>
        <w:t xml:space="preserve">вопроса о том, каким образом интермодальный подход приводит к экономической, экологической и социальной устойчивости. </w:t>
      </w:r>
    </w:p>
    <w:p w:rsidR="00FE0E11" w:rsidRPr="00FE0E11" w:rsidRDefault="00FE0E11" w:rsidP="00AF1B98">
      <w:pPr>
        <w:pStyle w:val="HChGR"/>
      </w:pPr>
      <w:r w:rsidRPr="00FE0E11">
        <w:tab/>
        <w:t>II.</w:t>
      </w:r>
      <w:r w:rsidRPr="00FE0E11">
        <w:tab/>
        <w:t xml:space="preserve">Интермодальные грузовые перевозки и мобильность пассажиров: некоторые проблемы и возможности </w:t>
      </w:r>
    </w:p>
    <w:p w:rsidR="00FE0E11" w:rsidRPr="00FE0E11" w:rsidRDefault="00FE0E11" w:rsidP="00FE0E11">
      <w:pPr>
        <w:pStyle w:val="SingleTxtGR"/>
      </w:pPr>
      <w:r w:rsidRPr="00FE0E11">
        <w:t>4.</w:t>
      </w:r>
      <w:r w:rsidRPr="00FE0E11">
        <w:tab/>
        <w:t>Для реализации целей и задач международного сообщества в течение п</w:t>
      </w:r>
      <w:r w:rsidRPr="00FE0E11">
        <w:t>е</w:t>
      </w:r>
      <w:r w:rsidRPr="00FE0E11">
        <w:t>риода до 2030 года потребуется осуществление политики и мер, направленных на стимулирование эффективного, чистого, безопасного и доступного внутре</w:t>
      </w:r>
      <w:r w:rsidRPr="00FE0E11">
        <w:t>н</w:t>
      </w:r>
      <w:r w:rsidRPr="00FE0E11">
        <w:t>него транспорта. Органичное сочетание различных видов транспорта для пер</w:t>
      </w:r>
      <w:r w:rsidRPr="00FE0E11">
        <w:t>е</w:t>
      </w:r>
      <w:r w:rsidRPr="00FE0E11">
        <w:t>возки пассажиров и грузов делает транспорт более безопасным, более эффе</w:t>
      </w:r>
      <w:r w:rsidRPr="00FE0E11">
        <w:t>к</w:t>
      </w:r>
      <w:r w:rsidRPr="00FE0E11">
        <w:t>тивным и зачастую более быстрым и менее дорогостоящим.</w:t>
      </w:r>
    </w:p>
    <w:p w:rsidR="00FE0E11" w:rsidRPr="00FE0E11" w:rsidRDefault="00FE0E11" w:rsidP="00FE0E11">
      <w:pPr>
        <w:pStyle w:val="SingleTxtGR"/>
      </w:pPr>
      <w:r w:rsidRPr="00FE0E11">
        <w:t>5.</w:t>
      </w:r>
      <w:r w:rsidRPr="00FE0E11">
        <w:tab/>
        <w:t>Для грузовых перевозок на дальние расстояния это предполагает опт</w:t>
      </w:r>
      <w:r w:rsidRPr="00FE0E11">
        <w:t>и</w:t>
      </w:r>
      <w:r w:rsidRPr="00FE0E11">
        <w:t>мальное сочетание дороги (для первой и последней мили перевозки) и желе</w:t>
      </w:r>
      <w:r w:rsidRPr="00FE0E11">
        <w:t>з</w:t>
      </w:r>
      <w:r w:rsidRPr="00FE0E11">
        <w:t>ных дорог/внутренних водных путей на промежуточном этапе. Данная конце</w:t>
      </w:r>
      <w:r w:rsidRPr="00FE0E11">
        <w:t>п</w:t>
      </w:r>
      <w:r w:rsidRPr="00FE0E11">
        <w:t>ция предусматривает, что железные дороги/внутренние водные пути будут и</w:t>
      </w:r>
      <w:r w:rsidRPr="00FE0E11">
        <w:t>с</w:t>
      </w:r>
      <w:r w:rsidRPr="00FE0E11">
        <w:t>пользоваться в качестве основного вида транспорта с автомобильным транспо</w:t>
      </w:r>
      <w:r w:rsidRPr="00FE0E11">
        <w:t>р</w:t>
      </w:r>
      <w:r w:rsidRPr="00FE0E11">
        <w:t xml:space="preserve">том в качестве посредника (городская логистика </w:t>
      </w:r>
      <w:r w:rsidR="000B2D16" w:rsidRPr="009562B2">
        <w:t>–</w:t>
      </w:r>
      <w:r w:rsidRPr="00FE0E11">
        <w:t xml:space="preserve"> развозные электрофургоны </w:t>
      </w:r>
      <w:r w:rsidR="000B2D16" w:rsidRPr="009562B2">
        <w:t>–</w:t>
      </w:r>
      <w:r w:rsidRPr="00FE0E11">
        <w:t xml:space="preserve"> грузовые трамваи); одновременно с этим высвободится пропускная спосо</w:t>
      </w:r>
      <w:r w:rsidRPr="00FE0E11">
        <w:t>б</w:t>
      </w:r>
      <w:r w:rsidRPr="00FE0E11">
        <w:t>ность дорог и будет решена проблема заторов на дорогах с целью улучшения повседневной жизни в городах, которые станут более чисты</w:t>
      </w:r>
      <w:r w:rsidR="009562B2">
        <w:t>ми</w:t>
      </w:r>
      <w:r w:rsidRPr="00FE0E11">
        <w:t xml:space="preserve"> и экологически благоприятными. </w:t>
      </w:r>
    </w:p>
    <w:p w:rsidR="00FE0E11" w:rsidRPr="00FE0E11" w:rsidRDefault="00FE0E11" w:rsidP="00FE0E11">
      <w:pPr>
        <w:pStyle w:val="SingleTxtGR"/>
      </w:pPr>
      <w:r w:rsidRPr="00FE0E11">
        <w:t>6.</w:t>
      </w:r>
      <w:r w:rsidRPr="00FE0E11">
        <w:tab/>
        <w:t>В отношении мобильности пассажиров задача состоит в развитии усто</w:t>
      </w:r>
      <w:r w:rsidRPr="00FE0E11">
        <w:t>й</w:t>
      </w:r>
      <w:r w:rsidRPr="00FE0E11">
        <w:t>чивой городской мобильности и устойчивого общественного транспорта, вкл</w:t>
      </w:r>
      <w:r w:rsidRPr="00FE0E11">
        <w:t>ю</w:t>
      </w:r>
      <w:r w:rsidRPr="00FE0E11">
        <w:t>чая велосипедное и пешеходное движение, а также комплексные услуги, обле</w:t>
      </w:r>
      <w:r w:rsidRPr="00FE0E11">
        <w:t>г</w:t>
      </w:r>
      <w:r w:rsidRPr="00FE0E11">
        <w:t>чающие и стимулирующие использование этих видов транспорта пассажирами. С учетом того что к 2030 году шесть из десяти человек будут жить в городах, необходимо определить стратегии и политику, направленные на стимулиров</w:t>
      </w:r>
      <w:r w:rsidRPr="00FE0E11">
        <w:t>а</w:t>
      </w:r>
      <w:r w:rsidRPr="00FE0E11">
        <w:t>ние устойчивой городской мобильности и устойчивого общественного тран</w:t>
      </w:r>
      <w:r w:rsidRPr="00FE0E11">
        <w:t>с</w:t>
      </w:r>
      <w:r w:rsidRPr="00FE0E11">
        <w:t>порта. Одним из ключевых элементов необходимого сочетания мер политики является отход от использования индивидуального автотранспорта в целях снижения загрязнения, перегруженности дорог и рисков с точки зрения бе</w:t>
      </w:r>
      <w:r w:rsidRPr="00FE0E11">
        <w:t>з</w:t>
      </w:r>
      <w:r w:rsidRPr="00FE0E11">
        <w:t>опасности. Мобильность как услуга может, при определенных условиях, стать ключом к достижению этой цели.</w:t>
      </w:r>
    </w:p>
    <w:p w:rsidR="00FE0E11" w:rsidRPr="00FE0E11" w:rsidRDefault="00FE0E11" w:rsidP="00FE0E11">
      <w:pPr>
        <w:pStyle w:val="SingleTxtGR"/>
        <w:rPr>
          <w:bCs/>
        </w:rPr>
      </w:pPr>
      <w:r w:rsidRPr="00FE0E11">
        <w:t>7.</w:t>
      </w:r>
      <w:r w:rsidRPr="00FE0E11">
        <w:tab/>
        <w:t>Интеллектуальные транспортные системы могут быть еще одним посре</w:t>
      </w:r>
      <w:r w:rsidRPr="00FE0E11">
        <w:t>д</w:t>
      </w:r>
      <w:r w:rsidRPr="00FE0E11">
        <w:t>ником, содействующим развитию интермодальных грузовых перевозок и м</w:t>
      </w:r>
      <w:r w:rsidRPr="00FE0E11">
        <w:t>о</w:t>
      </w:r>
      <w:r w:rsidRPr="00FE0E11">
        <w:t xml:space="preserve">бильности пассажиров. Соединение инфраструктуры, транспортных средств и пользователей позволяет оптимизировать потоки информации и управление </w:t>
      </w:r>
      <w:r w:rsidRPr="00FE0E11">
        <w:lastRenderedPageBreak/>
        <w:t>движением и мобильностью. Технические инновации могли бы укрепить вза</w:t>
      </w:r>
      <w:r w:rsidRPr="00FE0E11">
        <w:t>и</w:t>
      </w:r>
      <w:r w:rsidRPr="00FE0E11">
        <w:t>мосвязанность и тем самым облегчить интермодальные перевозки путем улу</w:t>
      </w:r>
      <w:r w:rsidRPr="00FE0E11">
        <w:t>ч</w:t>
      </w:r>
      <w:r w:rsidRPr="00FE0E11">
        <w:t xml:space="preserve">шения их воздействия на окружающую среду. </w:t>
      </w:r>
    </w:p>
    <w:p w:rsidR="00FE0E11" w:rsidRPr="00FE0E11" w:rsidRDefault="00FE0E11" w:rsidP="00FE0E11">
      <w:pPr>
        <w:pStyle w:val="SingleTxtGR"/>
      </w:pPr>
      <w:r w:rsidRPr="00FE0E11">
        <w:t>8.</w:t>
      </w:r>
      <w:r w:rsidRPr="00FE0E11">
        <w:tab/>
        <w:t>Учитывая эти соображения, в ходе сегмента высокого уровня,</w:t>
      </w:r>
      <w:r w:rsidRPr="00FE0E11">
        <w:rPr>
          <w:bCs/>
        </w:rPr>
        <w:t xml:space="preserve"> посвяще</w:t>
      </w:r>
      <w:r w:rsidRPr="00FE0E11">
        <w:rPr>
          <w:bCs/>
        </w:rPr>
        <w:t>н</w:t>
      </w:r>
      <w:r w:rsidRPr="00FE0E11">
        <w:rPr>
          <w:bCs/>
        </w:rPr>
        <w:t>ного вопросам политики,</w:t>
      </w:r>
      <w:r w:rsidRPr="00FE0E11">
        <w:t xml:space="preserve"> будет применен целостный подход к интермодальным грузовым перевозкам и мобильности пассажиров в интересах достижения ц</w:t>
      </w:r>
      <w:r w:rsidRPr="00FE0E11">
        <w:t>е</w:t>
      </w:r>
      <w:r w:rsidRPr="00FE0E11">
        <w:t>лей в области устойчивого развития, в частности целей 3, 8, 9, 11 и 13. Особое внимание будет уделено вопросам управления; необходимости улучшения, например, сотрудничества между железнодорожными предприятиями в целях создания комплексных услуг по перевозке на дальние расстояния; необходим</w:t>
      </w:r>
      <w:r w:rsidRPr="00FE0E11">
        <w:t>о</w:t>
      </w:r>
      <w:r w:rsidRPr="00FE0E11">
        <w:t xml:space="preserve">сти для городов принять и разработать комплексные системы общественного транспорта, которые обеспечат физическую и материальную доступность для всех их жителей. </w:t>
      </w:r>
    </w:p>
    <w:p w:rsidR="00FE0E11" w:rsidRPr="00FE0E11" w:rsidRDefault="00FE0E11" w:rsidP="00FE0E11">
      <w:pPr>
        <w:pStyle w:val="SingleTxtGR"/>
      </w:pPr>
      <w:r w:rsidRPr="00FE0E11">
        <w:t>9.</w:t>
      </w:r>
      <w:r w:rsidRPr="00FE0E11">
        <w:tab/>
        <w:t xml:space="preserve">Нижеследующие вопросы могут служить ориентиром для дискуссии: </w:t>
      </w:r>
    </w:p>
    <w:p w:rsidR="00FE0E11" w:rsidRPr="00FE0E11" w:rsidRDefault="00FE0E11" w:rsidP="00FE0E11">
      <w:pPr>
        <w:pStyle w:val="SingleTxtGR"/>
      </w:pPr>
      <w:r w:rsidRPr="00FE0E11">
        <w:tab/>
        <w:t>a)</w:t>
      </w:r>
      <w:r w:rsidRPr="00FE0E11">
        <w:tab/>
        <w:t>Интермодальные грузовые перевозки:</w:t>
      </w:r>
    </w:p>
    <w:p w:rsidR="00FE0E11" w:rsidRPr="00FE0E11" w:rsidRDefault="00FE0E11" w:rsidP="00360506">
      <w:pPr>
        <w:pStyle w:val="Bullet1GR"/>
      </w:pPr>
      <w:r w:rsidRPr="00FE0E11">
        <w:t>Какие действия/стратегии/инициативы необходимы для того, чтобы п</w:t>
      </w:r>
      <w:r w:rsidRPr="00FE0E11">
        <w:t>о</w:t>
      </w:r>
      <w:r w:rsidRPr="00FE0E11">
        <w:t xml:space="preserve">высить конкурентоспособность железных дорог? </w:t>
      </w:r>
    </w:p>
    <w:p w:rsidR="00FE0E11" w:rsidRPr="00FE0E11" w:rsidRDefault="00FE0E11" w:rsidP="00360506">
      <w:pPr>
        <w:pStyle w:val="Bullet1GR"/>
      </w:pPr>
      <w:r w:rsidRPr="00FE0E11">
        <w:t xml:space="preserve">Как мы можем расширить сотрудничество между железнодорожными предприятиями при планировании, осуществлении и стимулировании международных железнодорожных перевозок? </w:t>
      </w:r>
    </w:p>
    <w:p w:rsidR="00FE0E11" w:rsidRPr="00FE0E11" w:rsidRDefault="00FE0E11" w:rsidP="00360506">
      <w:pPr>
        <w:pStyle w:val="Bullet1GR"/>
      </w:pPr>
      <w:r w:rsidRPr="00FE0E11">
        <w:t>Каким образом железные дороги могут обслуживать и обеспечивать д</w:t>
      </w:r>
      <w:r w:rsidRPr="00FE0E11">
        <w:t>о</w:t>
      </w:r>
      <w:r w:rsidRPr="00FE0E11">
        <w:t>ставку грузов «от двери до двери», используя возможности автомобил</w:t>
      </w:r>
      <w:r w:rsidRPr="00FE0E11">
        <w:t>ь</w:t>
      </w:r>
      <w:r w:rsidRPr="00FE0E11">
        <w:t>ного и внутреннего водного транспорта в плане эффективности и прои</w:t>
      </w:r>
      <w:r w:rsidRPr="00FE0E11">
        <w:t>з</w:t>
      </w:r>
      <w:r w:rsidRPr="00FE0E11">
        <w:t xml:space="preserve">водительности? </w:t>
      </w:r>
    </w:p>
    <w:p w:rsidR="00FE0E11" w:rsidRPr="00FE0E11" w:rsidRDefault="00FE0E11" w:rsidP="00360506">
      <w:pPr>
        <w:pStyle w:val="Bullet1GR"/>
      </w:pPr>
      <w:r w:rsidRPr="00FE0E11">
        <w:t>Каким образом различные региональные организации с упором на тран</w:t>
      </w:r>
      <w:r w:rsidRPr="00FE0E11">
        <w:t>с</w:t>
      </w:r>
      <w:r w:rsidRPr="00FE0E11">
        <w:t xml:space="preserve">порт, особенно в Европе и Азии, могут укрепить свое сотрудничество и обеспечить развитие интермодальных перевозок? </w:t>
      </w:r>
    </w:p>
    <w:p w:rsidR="00FE0E11" w:rsidRPr="00FE0E11" w:rsidRDefault="00FE0E11" w:rsidP="00360506">
      <w:pPr>
        <w:pStyle w:val="Bullet1GR"/>
      </w:pPr>
      <w:r w:rsidRPr="00FE0E11">
        <w:t>Каким образом мы можем более эффективно контролировать и оценивать применение различных правовых режимов, таких как приложение 9 к Конвенции о согласовании, которые приводят к повышению конкурент</w:t>
      </w:r>
      <w:r w:rsidRPr="00FE0E11">
        <w:t>о</w:t>
      </w:r>
      <w:r w:rsidRPr="00FE0E11">
        <w:t>способности железных дорог и, таким образом, эффективности интерм</w:t>
      </w:r>
      <w:r w:rsidRPr="00FE0E11">
        <w:t>о</w:t>
      </w:r>
      <w:r w:rsidRPr="00FE0E11">
        <w:t xml:space="preserve">дальных перевозок? </w:t>
      </w:r>
    </w:p>
    <w:p w:rsidR="00FE0E11" w:rsidRPr="00FE0E11" w:rsidRDefault="00FE0E11" w:rsidP="00360506">
      <w:pPr>
        <w:pStyle w:val="Bullet1GR"/>
      </w:pPr>
      <w:r w:rsidRPr="00FE0E11">
        <w:t xml:space="preserve">Могла бы компьютеризация транспортных документов дополнительно содействовать развитию интермодальных перевозок? </w:t>
      </w:r>
    </w:p>
    <w:p w:rsidR="00FE0E11" w:rsidRPr="00FE0E11" w:rsidRDefault="00FE0E11" w:rsidP="00360506">
      <w:pPr>
        <w:pStyle w:val="Bullet1GR"/>
      </w:pPr>
      <w:r w:rsidRPr="00FE0E11">
        <w:t>Могла бы разработка руководящих принципов, касающихся подготовки национальных планов развития грузовых перевозок и логистики или принятия решений о том, как и где строить и эксплуатировать интерм</w:t>
      </w:r>
      <w:r w:rsidRPr="00FE0E11">
        <w:t>о</w:t>
      </w:r>
      <w:r w:rsidRPr="00FE0E11">
        <w:t>дальные терминалы/грузовые центры/логистические центры, способств</w:t>
      </w:r>
      <w:r w:rsidRPr="00FE0E11">
        <w:t>о</w:t>
      </w:r>
      <w:r w:rsidRPr="00FE0E11">
        <w:t xml:space="preserve">вать дальнейшей активизации усилий правительств по стимулированию грузовых интермодальных перевозок? </w:t>
      </w:r>
    </w:p>
    <w:p w:rsidR="00FE0E11" w:rsidRPr="00FE0E11" w:rsidRDefault="00FE0E11" w:rsidP="00360506">
      <w:pPr>
        <w:pStyle w:val="Bullet1GR"/>
      </w:pPr>
      <w:r w:rsidRPr="00FE0E11">
        <w:t>Следует ли нам рассматривать городскую логистику как часть сети общ</w:t>
      </w:r>
      <w:r w:rsidRPr="00FE0E11">
        <w:t>е</w:t>
      </w:r>
      <w:r w:rsidRPr="00FE0E11">
        <w:t>ственного транспорта (грузовые трамваи) и параллельно проектировать и строить грузовые станции, стимулировать использование развозных эле</w:t>
      </w:r>
      <w:r w:rsidRPr="00FE0E11">
        <w:t>к</w:t>
      </w:r>
      <w:r w:rsidRPr="00FE0E11">
        <w:t xml:space="preserve">трофургонов и т.д.? </w:t>
      </w:r>
    </w:p>
    <w:p w:rsidR="00FE0E11" w:rsidRPr="00FE0E11" w:rsidRDefault="00FE0E11" w:rsidP="00FE0E11">
      <w:pPr>
        <w:pStyle w:val="SingleTxtGR"/>
      </w:pPr>
      <w:r w:rsidRPr="00FE0E11">
        <w:tab/>
        <w:t>b)</w:t>
      </w:r>
      <w:r w:rsidRPr="00FE0E11">
        <w:tab/>
        <w:t xml:space="preserve">Интермодальная мобильность пассажиров: </w:t>
      </w:r>
    </w:p>
    <w:p w:rsidR="00FE0E11" w:rsidRPr="00FE0E11" w:rsidRDefault="00FE0E11" w:rsidP="00360506">
      <w:pPr>
        <w:pStyle w:val="Bullet1GR"/>
      </w:pPr>
      <w:r w:rsidRPr="00FE0E11">
        <w:t xml:space="preserve">Следует ли нам рассматривать </w:t>
      </w:r>
      <w:r w:rsidR="008F06C0">
        <w:t>–</w:t>
      </w:r>
      <w:r w:rsidRPr="00FE0E11">
        <w:t xml:space="preserve"> и проектировать </w:t>
      </w:r>
      <w:r w:rsidR="008F06C0">
        <w:t>–</w:t>
      </w:r>
      <w:r w:rsidRPr="00FE0E11">
        <w:t xml:space="preserve"> городские сети общ</w:t>
      </w:r>
      <w:r w:rsidRPr="00FE0E11">
        <w:t>е</w:t>
      </w:r>
      <w:r w:rsidRPr="00FE0E11">
        <w:t>ственного транспорта в качестве составной части национальных тран</w:t>
      </w:r>
      <w:r w:rsidRPr="00FE0E11">
        <w:t>с</w:t>
      </w:r>
      <w:r w:rsidRPr="00FE0E11">
        <w:t xml:space="preserve">портных сетей? </w:t>
      </w:r>
    </w:p>
    <w:p w:rsidR="00FE0E11" w:rsidRPr="00FE0E11" w:rsidRDefault="00FE0E11" w:rsidP="00360506">
      <w:pPr>
        <w:pStyle w:val="Bullet1GR"/>
      </w:pPr>
      <w:r w:rsidRPr="00FE0E11">
        <w:t xml:space="preserve">Считается ли сетью устойчивого общественного транспорта и городской мобильности сеть, обеспечивающая решение проблемы мобильности для граждан через пять минут ходьбы? </w:t>
      </w:r>
    </w:p>
    <w:p w:rsidR="00FE0E11" w:rsidRPr="00FE0E11" w:rsidRDefault="00FE0E11" w:rsidP="00360506">
      <w:pPr>
        <w:pStyle w:val="Bullet1GR"/>
      </w:pPr>
      <w:r w:rsidRPr="00FE0E11">
        <w:lastRenderedPageBreak/>
        <w:t>Следует/можно ли рассматривать мобильность как услугу, такую как совместное использование автомобилей и велосипедов, в рамках разр</w:t>
      </w:r>
      <w:r w:rsidRPr="00FE0E11">
        <w:t>а</w:t>
      </w:r>
      <w:r w:rsidRPr="00FE0E11">
        <w:t xml:space="preserve">ботки и развития общественного транспорта? </w:t>
      </w:r>
    </w:p>
    <w:p w:rsidR="00FE0E11" w:rsidRPr="00FE0E11" w:rsidRDefault="00FE0E11" w:rsidP="00360506">
      <w:pPr>
        <w:pStyle w:val="Bullet1GR"/>
      </w:pPr>
      <w:r w:rsidRPr="00FE0E11">
        <w:t>Следует ли городам вместо строительства новых мест для стоянки расх</w:t>
      </w:r>
      <w:r w:rsidRPr="00FE0E11">
        <w:t>о</w:t>
      </w:r>
      <w:r w:rsidRPr="00FE0E11">
        <w:t xml:space="preserve">довать выделенные для этого бюджетные средства на стимулирование пешеходного и велосипедного движения и совместного использования автомобилей? </w:t>
      </w:r>
    </w:p>
    <w:p w:rsidR="00FE0E11" w:rsidRPr="00FE0E11" w:rsidRDefault="00FE0E11" w:rsidP="00360506">
      <w:pPr>
        <w:pStyle w:val="Bullet1GR"/>
      </w:pPr>
      <w:r w:rsidRPr="00FE0E11">
        <w:t>Следует ли устойчивому общественному транспорту предлагать или п</w:t>
      </w:r>
      <w:r w:rsidRPr="00FE0E11">
        <w:t>о</w:t>
      </w:r>
      <w:r w:rsidRPr="00FE0E11">
        <w:t xml:space="preserve">ощрять билеты «от двери до двери» (дом </w:t>
      </w:r>
      <w:r w:rsidR="008F06C0">
        <w:t>–</w:t>
      </w:r>
      <w:r w:rsidRPr="00FE0E11">
        <w:t xml:space="preserve"> совместное использование а</w:t>
      </w:r>
      <w:r w:rsidRPr="00FE0E11">
        <w:t>в</w:t>
      </w:r>
      <w:r w:rsidRPr="00FE0E11">
        <w:t xml:space="preserve">томобиля </w:t>
      </w:r>
      <w:r w:rsidR="008F06C0">
        <w:t>–</w:t>
      </w:r>
      <w:r w:rsidRPr="00FE0E11">
        <w:t xml:space="preserve"> автобус </w:t>
      </w:r>
      <w:r w:rsidR="008F06C0">
        <w:t>–</w:t>
      </w:r>
      <w:r w:rsidRPr="00FE0E11">
        <w:t xml:space="preserve"> трамвай </w:t>
      </w:r>
      <w:r w:rsidR="008F06C0">
        <w:t>–</w:t>
      </w:r>
      <w:r w:rsidRPr="00FE0E11">
        <w:t xml:space="preserve"> велосипед на прокат </w:t>
      </w:r>
      <w:r w:rsidR="008F06C0">
        <w:t>–</w:t>
      </w:r>
      <w:r w:rsidRPr="00FE0E11">
        <w:t xml:space="preserve"> место работы)? </w:t>
      </w:r>
    </w:p>
    <w:p w:rsidR="00FE0E11" w:rsidRPr="00FE0E11" w:rsidRDefault="00FE0E11" w:rsidP="00360506">
      <w:pPr>
        <w:pStyle w:val="Bullet1GR"/>
      </w:pPr>
      <w:r w:rsidRPr="00FE0E11">
        <w:t>Какую роль в содействии устойчивой городской мобильности и устойч</w:t>
      </w:r>
      <w:r w:rsidRPr="00FE0E11">
        <w:t>и</w:t>
      </w:r>
      <w:r w:rsidRPr="00FE0E11">
        <w:t>вому общественному транспорту призваны играть технологии (электро</w:t>
      </w:r>
      <w:r w:rsidRPr="00FE0E11">
        <w:t>н</w:t>
      </w:r>
      <w:r w:rsidRPr="00FE0E11">
        <w:t xml:space="preserve">ные билеты) и интеллектуальные транспортные системы? </w:t>
      </w:r>
    </w:p>
    <w:p w:rsidR="00FE0E11" w:rsidRPr="00FE0E11" w:rsidRDefault="00FE0E11" w:rsidP="00360506">
      <w:pPr>
        <w:pStyle w:val="Bullet1GR"/>
      </w:pPr>
      <w:r w:rsidRPr="00FE0E11">
        <w:t xml:space="preserve">Идет ли речь о культуре или о предложении услуг? </w:t>
      </w:r>
    </w:p>
    <w:p w:rsidR="00FE0E11" w:rsidRPr="00FE0E11" w:rsidRDefault="00FE0E11" w:rsidP="00AF1B98">
      <w:pPr>
        <w:pStyle w:val="HChGR"/>
      </w:pPr>
      <w:r w:rsidRPr="00FE0E11">
        <w:tab/>
        <w:t>III.</w:t>
      </w:r>
      <w:r w:rsidRPr="00FE0E11">
        <w:tab/>
        <w:t>Роль Комитета по внутреннему транспорту ЕЭК ООН в деле стимулирования интермодальных перевозок и</w:t>
      </w:r>
      <w:r w:rsidR="00AF1B98">
        <w:rPr>
          <w:lang w:val="en-US"/>
        </w:rPr>
        <w:t> </w:t>
      </w:r>
      <w:r w:rsidRPr="00FE0E11">
        <w:t>мобильности</w:t>
      </w:r>
    </w:p>
    <w:p w:rsidR="00FE0E11" w:rsidRPr="00FE0E11" w:rsidRDefault="00FE0E11" w:rsidP="00FE0E11">
      <w:pPr>
        <w:pStyle w:val="SingleTxtGR"/>
      </w:pPr>
      <w:r w:rsidRPr="00FE0E11">
        <w:t>10.</w:t>
      </w:r>
      <w:r w:rsidRPr="00FE0E11">
        <w:tab/>
        <w:t>Вопрос об интермодальном подходе к перевозкам как грузов, так и па</w:t>
      </w:r>
      <w:r w:rsidRPr="00FE0E11">
        <w:t>с</w:t>
      </w:r>
      <w:r w:rsidRPr="00FE0E11">
        <w:t xml:space="preserve">сажиров рассматривается несколькими рабочими группами с различных точек зрения: </w:t>
      </w:r>
    </w:p>
    <w:p w:rsidR="00FE0E11" w:rsidRPr="00FE0E11" w:rsidRDefault="00FE0E11" w:rsidP="00360506">
      <w:pPr>
        <w:pStyle w:val="Bullet1GR"/>
      </w:pPr>
      <w:r w:rsidRPr="00FE0E11">
        <w:t>Рабочая группа по интермодальным перевозкам и логистике проводит р</w:t>
      </w:r>
      <w:r w:rsidRPr="00FE0E11">
        <w:t>а</w:t>
      </w:r>
      <w:r w:rsidRPr="00FE0E11">
        <w:t>боту по стимулированию и облегчению интермодальных грузовых пер</w:t>
      </w:r>
      <w:r w:rsidRPr="00FE0E11">
        <w:t>е</w:t>
      </w:r>
      <w:r w:rsidRPr="00FE0E11">
        <w:t>возок путем управления Европейским соглашением о важнейших линиях международных комбинированных перевозок и соответствующих объе</w:t>
      </w:r>
      <w:r w:rsidRPr="00FE0E11">
        <w:t>к</w:t>
      </w:r>
      <w:r w:rsidRPr="00FE0E11">
        <w:t>тах, а также по другим соответствующим вопросам, таким как  наци</w:t>
      </w:r>
      <w:r w:rsidRPr="00FE0E11">
        <w:t>о</w:t>
      </w:r>
      <w:r w:rsidRPr="00FE0E11">
        <w:t xml:space="preserve">нальные генеральные планы в области грузовых перевозок и логистики, интермодальные транспортные терминалы и т.д.; </w:t>
      </w:r>
    </w:p>
    <w:p w:rsidR="00FE0E11" w:rsidRPr="00FE0E11" w:rsidRDefault="00FE0E11" w:rsidP="00360506">
      <w:pPr>
        <w:pStyle w:val="Bullet1GR"/>
      </w:pPr>
      <w:r w:rsidRPr="00FE0E11">
        <w:t>Рабочая группа по тенденциям и экономике транспорта, являясь аналит</w:t>
      </w:r>
      <w:r w:rsidRPr="00FE0E11">
        <w:t>и</w:t>
      </w:r>
      <w:r w:rsidRPr="00FE0E11">
        <w:t>ческим центром Комитета, в прошлом рассматривала (рабочие совещ</w:t>
      </w:r>
      <w:r w:rsidRPr="00FE0E11">
        <w:t>а</w:t>
      </w:r>
      <w:r w:rsidRPr="00FE0E11">
        <w:t>ния, исследования и публикации) тему  устойчивой городской мобильн</w:t>
      </w:r>
      <w:r w:rsidRPr="00FE0E11">
        <w:t>о</w:t>
      </w:r>
      <w:r w:rsidRPr="00FE0E11">
        <w:t>сти и общественного транспорта, а также важную роль, которую играет интермодальный подход при разработке и внедрении таких систем;</w:t>
      </w:r>
    </w:p>
    <w:p w:rsidR="00FE0E11" w:rsidRPr="00FE0E11" w:rsidRDefault="00FE0E11" w:rsidP="00360506">
      <w:pPr>
        <w:pStyle w:val="Bullet1GR"/>
      </w:pPr>
      <w:r w:rsidRPr="00FE0E11">
        <w:t>другие рабочие группы, такие как Рабочая группа по автомобильному транспорту, Рабочая группа по железнодорожному транспорту и Рабочая группа по внутреннему водному транспорту, поощряют важную роль каждого вида транспорта в интермодальной транспортной цепи;</w:t>
      </w:r>
    </w:p>
    <w:p w:rsidR="00FE0E11" w:rsidRPr="00FE0E11" w:rsidRDefault="00FE0E11" w:rsidP="00360506">
      <w:pPr>
        <w:pStyle w:val="Bullet1GR"/>
      </w:pPr>
      <w:r w:rsidRPr="00FE0E11">
        <w:t>более специализированные рабочие группы, а именно Рабочая группа по перевозкам опасных грузов и Рабочая группа по таможенным вопросам, связанным с транспортом, занимаются вопросами интермодальности, с</w:t>
      </w:r>
      <w:r w:rsidRPr="00FE0E11">
        <w:t>о</w:t>
      </w:r>
      <w:r w:rsidRPr="00FE0E11">
        <w:t xml:space="preserve">действуя развитию интермодальных грузовых перевозок при решении проблем, связанных с опасными грузами и пересечением границ. </w:t>
      </w:r>
    </w:p>
    <w:p w:rsidR="00FE0E11" w:rsidRPr="00FE0E11" w:rsidRDefault="00FE0E11" w:rsidP="00FE0E11">
      <w:pPr>
        <w:pStyle w:val="SingleTxtGR"/>
      </w:pPr>
      <w:r w:rsidRPr="00FE0E11">
        <w:t>11.</w:t>
      </w:r>
      <w:r w:rsidRPr="00FE0E11">
        <w:tab/>
        <w:t xml:space="preserve">Общеевропейская программа по транспорту, окружающей среде и охране здоровья (ОПТОСОЗ) </w:t>
      </w:r>
      <w:r w:rsidR="00E47BE0">
        <w:t>–</w:t>
      </w:r>
      <w:r w:rsidRPr="00FE0E11">
        <w:t xml:space="preserve"> трехстороннее партнерство, в рамках которого Отдел устойчивого транспорта обеспечивает транспортный компонент, активно соде</w:t>
      </w:r>
      <w:r w:rsidRPr="00FE0E11">
        <w:t>й</w:t>
      </w:r>
      <w:r w:rsidRPr="00FE0E11">
        <w:t>ствует обеспечению устойчивой городской мобильности и устойчивого общ</w:t>
      </w:r>
      <w:r w:rsidRPr="00FE0E11">
        <w:t>е</w:t>
      </w:r>
      <w:r w:rsidRPr="00FE0E11">
        <w:t>ственного транспорта, в том числе велосипедного и пешеходного движения.</w:t>
      </w:r>
    </w:p>
    <w:p w:rsidR="00FE0E11" w:rsidRPr="00FE0E11" w:rsidRDefault="00FE0E11" w:rsidP="00FE0E11">
      <w:pPr>
        <w:pStyle w:val="SingleTxtGR"/>
      </w:pPr>
      <w:r w:rsidRPr="00FE0E11">
        <w:t>12.</w:t>
      </w:r>
      <w:r w:rsidRPr="00FE0E11">
        <w:tab/>
        <w:t>Устойчивая мобильность и устойчивый транспорт являются одним из главных аспектов работы Комитета по внутреннему транспорту, которая вс</w:t>
      </w:r>
      <w:r w:rsidRPr="00FE0E11">
        <w:t>е</w:t>
      </w:r>
      <w:r w:rsidRPr="00FE0E11">
        <w:t>объемлющим образом охватывает все виды внутреннего транспорта и обесп</w:t>
      </w:r>
      <w:r w:rsidRPr="00FE0E11">
        <w:t>е</w:t>
      </w:r>
      <w:r w:rsidRPr="00FE0E11">
        <w:t>чивает высокий уровень эффективности, безопасности и экологичности межд</w:t>
      </w:r>
      <w:r w:rsidRPr="00FE0E11">
        <w:t>у</w:t>
      </w:r>
      <w:r w:rsidRPr="00FE0E11">
        <w:t>народных перевозок автомобильным и железнодорожным транспортом, перев</w:t>
      </w:r>
      <w:r w:rsidRPr="00FE0E11">
        <w:t>о</w:t>
      </w:r>
      <w:r w:rsidRPr="00FE0E11">
        <w:lastRenderedPageBreak/>
        <w:t>зок по внутренним водным путям и интермодальных перевозок. Интермодал</w:t>
      </w:r>
      <w:r w:rsidRPr="00FE0E11">
        <w:t>ь</w:t>
      </w:r>
      <w:r w:rsidRPr="00FE0E11">
        <w:t>ный подход открывает возможности для развития в будущем устойчивых транспортных систем и мобильности на международном, региональном и мес</w:t>
      </w:r>
      <w:r w:rsidRPr="00FE0E11">
        <w:t>т</w:t>
      </w:r>
      <w:r w:rsidRPr="00FE0E11">
        <w:t>ном/городском уровнях и тем самым содействует достижению намеченных ц</w:t>
      </w:r>
      <w:r w:rsidRPr="00FE0E11">
        <w:t>е</w:t>
      </w:r>
      <w:r w:rsidRPr="00FE0E11">
        <w:t>лей в области устойчивого развития. Исходя из вышесказанного, «Интерм</w:t>
      </w:r>
      <w:r w:rsidRPr="00FE0E11">
        <w:t>о</w:t>
      </w:r>
      <w:r w:rsidRPr="00FE0E11">
        <w:t>дальный подход: ключ к устойчивому транспорту и мобильности» является очень важной и своевременной темой, которая будет рассматриваться на основе комплексного подхода.</w:t>
      </w:r>
    </w:p>
    <w:p w:rsidR="00FE0E11" w:rsidRPr="00177624" w:rsidRDefault="00FE0E11" w:rsidP="00AF1B98">
      <w:pPr>
        <w:pStyle w:val="HChGR"/>
        <w:keepNext w:val="0"/>
        <w:keepLines w:val="0"/>
      </w:pPr>
      <w:r w:rsidRPr="00FE0E11">
        <w:br w:type="page"/>
      </w:r>
      <w:r w:rsidRPr="00FE0E11">
        <w:lastRenderedPageBreak/>
        <w:tab/>
        <w:t>IV.</w:t>
      </w:r>
      <w:r w:rsidRPr="00FE0E11">
        <w:tab/>
        <w:t>Проект программы: сегмент, посвященный вопросам политики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0"/>
      </w:tblGrid>
      <w:tr w:rsidR="00DC2D52" w:rsidRPr="00FE0E11" w:rsidTr="00D65B8E">
        <w:trPr>
          <w:tblHeader/>
        </w:trPr>
        <w:tc>
          <w:tcPr>
            <w:tcW w:w="7370" w:type="dxa"/>
            <w:shd w:val="clear" w:color="auto" w:fill="auto"/>
            <w:vAlign w:val="bottom"/>
          </w:tcPr>
          <w:p w:rsidR="00DC2D52" w:rsidRPr="00FE0E11" w:rsidRDefault="00DC2D52" w:rsidP="000F40DE">
            <w:pPr>
              <w:pStyle w:val="SingleTxtGR"/>
              <w:spacing w:before="40" w:after="40"/>
              <w:ind w:left="142"/>
              <w:jc w:val="left"/>
              <w:rPr>
                <w:b/>
              </w:rPr>
            </w:pPr>
            <w:r w:rsidRPr="00FE0E11">
              <w:rPr>
                <w:b/>
                <w:bCs/>
              </w:rPr>
              <w:t>«</w:t>
            </w:r>
            <w:proofErr w:type="spellStart"/>
            <w:r w:rsidRPr="00FE0E11">
              <w:rPr>
                <w:b/>
                <w:bCs/>
              </w:rPr>
              <w:t>Интермодальный</w:t>
            </w:r>
            <w:proofErr w:type="spellEnd"/>
            <w:r w:rsidRPr="00FE0E11">
              <w:rPr>
                <w:b/>
                <w:bCs/>
              </w:rPr>
              <w:t xml:space="preserve"> подход: ключ к устойчивому транспорту и</w:t>
            </w:r>
            <w:r w:rsidR="004357DD">
              <w:rPr>
                <w:b/>
                <w:bCs/>
                <w:lang w:val="en-US"/>
              </w:rPr>
              <w:t> </w:t>
            </w:r>
            <w:r w:rsidRPr="00FE0E11">
              <w:rPr>
                <w:b/>
                <w:bCs/>
              </w:rPr>
              <w:t>мобильности»</w:t>
            </w:r>
            <w:r w:rsidRPr="00FE0E11">
              <w:t xml:space="preserve"> </w:t>
            </w:r>
          </w:p>
          <w:p w:rsidR="00DC2D52" w:rsidRPr="00FE0E11" w:rsidRDefault="00DC2D52" w:rsidP="000F40DE">
            <w:pPr>
              <w:pStyle w:val="SingleTxtGR"/>
              <w:spacing w:before="40" w:after="40"/>
              <w:ind w:left="142"/>
              <w:jc w:val="left"/>
              <w:rPr>
                <w:b/>
              </w:rPr>
            </w:pPr>
            <w:r w:rsidRPr="00FE0E11">
              <w:rPr>
                <w:b/>
                <w:bCs/>
              </w:rPr>
              <w:t>20 февраля 2018 года</w:t>
            </w:r>
          </w:p>
          <w:p w:rsidR="00DC2D52" w:rsidRPr="00FE0E11" w:rsidRDefault="00DC2D52" w:rsidP="000F40DE">
            <w:pPr>
              <w:pStyle w:val="SingleTxtGR"/>
              <w:spacing w:before="40" w:after="40"/>
              <w:ind w:left="142"/>
              <w:jc w:val="left"/>
              <w:rPr>
                <w:b/>
              </w:rPr>
            </w:pPr>
            <w:r w:rsidRPr="00FE0E11">
              <w:rPr>
                <w:b/>
                <w:bCs/>
              </w:rPr>
              <w:t>11 ч. 00 м. − 18 ч. 00 м.</w:t>
            </w:r>
            <w:r w:rsidRPr="00FE0E11">
              <w:t xml:space="preserve"> </w:t>
            </w:r>
          </w:p>
          <w:p w:rsidR="00DC2D52" w:rsidRPr="00FE0E11" w:rsidRDefault="00DC2D52" w:rsidP="000F40DE">
            <w:pPr>
              <w:pStyle w:val="SingleTxtGR"/>
              <w:spacing w:before="40" w:after="40"/>
              <w:ind w:left="142"/>
              <w:jc w:val="left"/>
              <w:rPr>
                <w:b/>
              </w:rPr>
            </w:pPr>
            <w:r w:rsidRPr="00FE0E11">
              <w:rPr>
                <w:b/>
                <w:bCs/>
              </w:rPr>
              <w:t>Зал заседаний XII</w:t>
            </w:r>
          </w:p>
          <w:p w:rsidR="00DC2D52" w:rsidRPr="00FE0E11" w:rsidRDefault="00DC2D52" w:rsidP="000F40DE">
            <w:pPr>
              <w:pStyle w:val="SingleTxtGR"/>
              <w:spacing w:before="40"/>
              <w:ind w:left="142"/>
              <w:jc w:val="left"/>
              <w:rPr>
                <w:b/>
                <w:bCs/>
              </w:rPr>
            </w:pPr>
            <w:r w:rsidRPr="00FE0E11">
              <w:rPr>
                <w:b/>
                <w:bCs/>
              </w:rPr>
              <w:t>Дворец Наций, Женева</w:t>
            </w:r>
          </w:p>
        </w:tc>
      </w:tr>
      <w:tr w:rsidR="00DC2D52" w:rsidRPr="00FE0E11" w:rsidTr="00D65B8E">
        <w:trPr>
          <w:tblHeader/>
        </w:trPr>
        <w:tc>
          <w:tcPr>
            <w:tcW w:w="7370" w:type="dxa"/>
            <w:shd w:val="clear" w:color="auto" w:fill="auto"/>
            <w:vAlign w:val="bottom"/>
          </w:tcPr>
          <w:p w:rsidR="00DC2D52" w:rsidRPr="00FE0E11" w:rsidRDefault="00DC2D52" w:rsidP="00740A50">
            <w:pPr>
              <w:pStyle w:val="SingleTxtGR"/>
              <w:tabs>
                <w:tab w:val="clear" w:pos="2268"/>
                <w:tab w:val="left" w:pos="2371"/>
              </w:tabs>
              <w:ind w:left="142" w:right="49"/>
              <w:jc w:val="left"/>
              <w:rPr>
                <w:i/>
              </w:rPr>
            </w:pPr>
            <w:r w:rsidRPr="00FE0E11">
              <w:t>11 ч.</w:t>
            </w:r>
            <w:r w:rsidR="00740A50" w:rsidRPr="00740A50">
              <w:t xml:space="preserve"> </w:t>
            </w:r>
            <w:r w:rsidRPr="00FE0E11">
              <w:t>00 м.</w:t>
            </w:r>
            <w:r w:rsidR="00740A50">
              <w:t xml:space="preserve"> </w:t>
            </w:r>
            <w:r w:rsidRPr="00FE0E11">
              <w:t>–</w:t>
            </w:r>
            <w:r w:rsidR="00740A50">
              <w:t xml:space="preserve"> </w:t>
            </w:r>
            <w:r w:rsidRPr="00FE0E11">
              <w:t>11 ч. 20 м.</w:t>
            </w:r>
            <w:r w:rsidRPr="00FE0E11">
              <w:tab/>
            </w:r>
            <w:r w:rsidRPr="00FE0E11">
              <w:rPr>
                <w:i/>
                <w:iCs/>
              </w:rPr>
              <w:t>Открытие и приветственное слово</w:t>
            </w:r>
          </w:p>
          <w:p w:rsidR="00DC2D52" w:rsidRPr="00FE0E11" w:rsidRDefault="00DC2D52" w:rsidP="00740A50">
            <w:pPr>
              <w:pStyle w:val="SingleTxtGR"/>
              <w:tabs>
                <w:tab w:val="clear" w:pos="2268"/>
                <w:tab w:val="left" w:pos="2385"/>
              </w:tabs>
              <w:ind w:left="2385" w:right="49" w:hanging="2243"/>
              <w:jc w:val="left"/>
              <w:rPr>
                <w:b/>
                <w:bCs/>
              </w:rPr>
            </w:pPr>
            <w:r w:rsidRPr="00FE0E11">
              <w:t>11 ч. 20 м.</w:t>
            </w:r>
            <w:r w:rsidR="00740A50">
              <w:t xml:space="preserve"> </w:t>
            </w:r>
            <w:r w:rsidRPr="00FE0E11">
              <w:t>–</w:t>
            </w:r>
            <w:r w:rsidR="00740A50">
              <w:t xml:space="preserve"> </w:t>
            </w:r>
            <w:r w:rsidRPr="00FE0E11">
              <w:t>13 ч. 00 м.</w:t>
            </w:r>
            <w:r w:rsidRPr="00FE0E11">
              <w:tab/>
            </w:r>
            <w:r w:rsidRPr="00FE0E11">
              <w:rPr>
                <w:i/>
                <w:iCs/>
              </w:rPr>
              <w:t xml:space="preserve">Заседание I: </w:t>
            </w:r>
            <w:proofErr w:type="spellStart"/>
            <w:r w:rsidRPr="00FE0E11">
              <w:rPr>
                <w:i/>
                <w:iCs/>
              </w:rPr>
              <w:t>Интермодальный</w:t>
            </w:r>
            <w:proofErr w:type="spellEnd"/>
            <w:r w:rsidRPr="00FE0E11">
              <w:rPr>
                <w:i/>
                <w:iCs/>
              </w:rPr>
              <w:t xml:space="preserve"> подход приводит к</w:t>
            </w:r>
            <w:r w:rsidR="000F40DE">
              <w:rPr>
                <w:i/>
                <w:iCs/>
                <w:lang w:val="en-US"/>
              </w:rPr>
              <w:t> </w:t>
            </w:r>
            <w:r w:rsidRPr="00FE0E11">
              <w:rPr>
                <w:i/>
                <w:iCs/>
              </w:rPr>
              <w:t>устойчивости</w:t>
            </w:r>
          </w:p>
        </w:tc>
      </w:tr>
      <w:tr w:rsidR="00DC2D52" w:rsidRPr="00FE0E11" w:rsidTr="00D65B8E">
        <w:trPr>
          <w:tblHeader/>
        </w:trPr>
        <w:tc>
          <w:tcPr>
            <w:tcW w:w="7370" w:type="dxa"/>
            <w:shd w:val="clear" w:color="auto" w:fill="auto"/>
            <w:vAlign w:val="bottom"/>
          </w:tcPr>
          <w:p w:rsidR="00DC2D52" w:rsidRPr="00FE0E11" w:rsidRDefault="00763955" w:rsidP="005F6682">
            <w:pPr>
              <w:pStyle w:val="SingleTxtGR"/>
              <w:tabs>
                <w:tab w:val="clear" w:pos="2268"/>
                <w:tab w:val="left" w:pos="2385"/>
              </w:tabs>
              <w:ind w:left="2387" w:right="142" w:hanging="2245"/>
              <w:rPr>
                <w:b/>
                <w:bCs/>
              </w:rPr>
            </w:pPr>
            <w:r w:rsidRPr="004357DD">
              <w:tab/>
            </w:r>
            <w:r w:rsidRPr="004357DD">
              <w:tab/>
            </w:r>
            <w:r w:rsidR="00DC2D52" w:rsidRPr="00FE0E11">
              <w:t>На этом заседании будет обсуждена роль целостного подхода к устойчивому транспорту и мобильности, охватывающего различные виды транспорта, при достижении целей в области устойчивого развития. Особое внимание будет уделено вопросам управл</w:t>
            </w:r>
            <w:r w:rsidR="00DC2D52" w:rsidRPr="00FE0E11">
              <w:t>е</w:t>
            </w:r>
            <w:r w:rsidR="00DC2D52" w:rsidRPr="00FE0E11">
              <w:t>ния, необходимости международной координации и</w:t>
            </w:r>
            <w:r w:rsidR="00CA17F5">
              <w:rPr>
                <w:lang w:val="en-US"/>
              </w:rPr>
              <w:t> </w:t>
            </w:r>
            <w:r w:rsidR="00DC2D52" w:rsidRPr="00FE0E11">
              <w:t>гармонизации и выявлению очевидных преим</w:t>
            </w:r>
            <w:r w:rsidR="00DC2D52" w:rsidRPr="00FE0E11">
              <w:t>у</w:t>
            </w:r>
            <w:r w:rsidR="00DC2D52" w:rsidRPr="00FE0E11">
              <w:t>ществ интермодального подхода по сравнению с подходами и инициативами, ориентированными на один вид транспорта. Делегатам от правительств будет предоставлена возможность обменяться оп</w:t>
            </w:r>
            <w:r w:rsidR="00DC2D52" w:rsidRPr="00FE0E11">
              <w:t>ы</w:t>
            </w:r>
            <w:r w:rsidR="00DC2D52" w:rsidRPr="00FE0E11">
              <w:t>том и</w:t>
            </w:r>
            <w:r w:rsidR="00CA17F5">
              <w:rPr>
                <w:lang w:val="en-US"/>
              </w:rPr>
              <w:t> </w:t>
            </w:r>
            <w:r w:rsidR="00DC2D52" w:rsidRPr="00FE0E11">
              <w:t>представить информацию о своих планах по</w:t>
            </w:r>
            <w:r w:rsidR="00CA17F5">
              <w:rPr>
                <w:lang w:val="en-US"/>
              </w:rPr>
              <w:t> </w:t>
            </w:r>
            <w:r w:rsidR="00DC2D52" w:rsidRPr="00FE0E11">
              <w:t>достижению соответствующих целей в области устойчивого развития, в частности целей 8, 9 и 11.</w:t>
            </w:r>
          </w:p>
        </w:tc>
      </w:tr>
      <w:tr w:rsidR="00DC2D52" w:rsidRPr="00FE0E11" w:rsidTr="00CA17F5">
        <w:trPr>
          <w:tblHeader/>
        </w:trPr>
        <w:tc>
          <w:tcPr>
            <w:tcW w:w="7370" w:type="dxa"/>
            <w:tcBorders>
              <w:bottom w:val="nil"/>
            </w:tcBorders>
            <w:shd w:val="clear" w:color="auto" w:fill="auto"/>
            <w:vAlign w:val="bottom"/>
          </w:tcPr>
          <w:p w:rsidR="00DC2D52" w:rsidRPr="00FE0E11" w:rsidRDefault="00DC2D52" w:rsidP="00740A50">
            <w:pPr>
              <w:pStyle w:val="SingleTxtGR"/>
              <w:tabs>
                <w:tab w:val="clear" w:pos="2268"/>
                <w:tab w:val="left" w:pos="2385"/>
              </w:tabs>
              <w:ind w:left="142" w:right="49"/>
              <w:jc w:val="left"/>
              <w:rPr>
                <w:i/>
              </w:rPr>
            </w:pPr>
            <w:r w:rsidRPr="00FE0E11">
              <w:t>13 ч. 00</w:t>
            </w:r>
            <w:r w:rsidR="00740A50">
              <w:t xml:space="preserve"> м. </w:t>
            </w:r>
            <w:r w:rsidRPr="00FE0E11">
              <w:t>–</w:t>
            </w:r>
            <w:r w:rsidR="00740A50">
              <w:t xml:space="preserve"> </w:t>
            </w:r>
            <w:r w:rsidRPr="00FE0E11">
              <w:t>15 ч. 00 м.</w:t>
            </w:r>
            <w:r w:rsidRPr="00FE0E11">
              <w:tab/>
            </w:r>
            <w:r w:rsidRPr="00FE0E11">
              <w:rPr>
                <w:i/>
                <w:iCs/>
              </w:rPr>
              <w:t>Перерыв</w:t>
            </w:r>
          </w:p>
          <w:p w:rsidR="00DC2D52" w:rsidRPr="00FE0E11" w:rsidRDefault="00DC2D52" w:rsidP="00740A50">
            <w:pPr>
              <w:pStyle w:val="SingleTxtGR"/>
              <w:tabs>
                <w:tab w:val="clear" w:pos="2268"/>
                <w:tab w:val="left" w:pos="2385"/>
              </w:tabs>
              <w:ind w:left="142" w:right="49"/>
              <w:jc w:val="left"/>
              <w:rPr>
                <w:b/>
                <w:bCs/>
              </w:rPr>
            </w:pPr>
            <w:r w:rsidRPr="00FE0E11">
              <w:t>15 ч. 00</w:t>
            </w:r>
            <w:r w:rsidR="00740A50">
              <w:t xml:space="preserve"> м. </w:t>
            </w:r>
            <w:r w:rsidRPr="00FE0E11">
              <w:t>–</w:t>
            </w:r>
            <w:r w:rsidR="00740A50">
              <w:t xml:space="preserve"> </w:t>
            </w:r>
            <w:r w:rsidRPr="00FE0E11">
              <w:t>16 ч. 10 м.</w:t>
            </w:r>
            <w:r w:rsidRPr="00DC2D52">
              <w:tab/>
            </w:r>
            <w:r w:rsidRPr="00DC2D52">
              <w:rPr>
                <w:i/>
              </w:rPr>
              <w:t>Заседание II: Интермодальные грузовые перевозки</w:t>
            </w:r>
          </w:p>
        </w:tc>
      </w:tr>
      <w:tr w:rsidR="00DC2D52" w:rsidRPr="00FE0E11" w:rsidTr="00CA17F5">
        <w:trPr>
          <w:tblHeader/>
        </w:trPr>
        <w:tc>
          <w:tcPr>
            <w:tcW w:w="7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2D52" w:rsidRPr="00FE0E11" w:rsidRDefault="00763955" w:rsidP="005F6682">
            <w:pPr>
              <w:pStyle w:val="SingleTxtGR"/>
              <w:tabs>
                <w:tab w:val="clear" w:pos="2268"/>
                <w:tab w:val="left" w:pos="2385"/>
              </w:tabs>
              <w:ind w:left="2387" w:right="142" w:hanging="2245"/>
              <w:rPr>
                <w:b/>
                <w:bCs/>
              </w:rPr>
            </w:pPr>
            <w:r w:rsidRPr="00177624">
              <w:tab/>
            </w:r>
            <w:r w:rsidRPr="00177624">
              <w:tab/>
            </w:r>
            <w:r w:rsidR="00DC2D52" w:rsidRPr="00FE0E11">
              <w:t>Это заседание будет посвящено инновационным решениям, направленным на облегчение торговли и</w:t>
            </w:r>
            <w:r w:rsidR="00CA17F5">
              <w:rPr>
                <w:lang w:val="en-US"/>
              </w:rPr>
              <w:t> </w:t>
            </w:r>
            <w:r w:rsidR="00DC2D52" w:rsidRPr="00FE0E11">
              <w:t>оптимизацию автомобильных перевозок в рамках системы внутреннего транспорта и логистических операций, охватывающих различные виды тран</w:t>
            </w:r>
            <w:r w:rsidR="00DC2D52" w:rsidRPr="00FE0E11">
              <w:t>с</w:t>
            </w:r>
            <w:r w:rsidR="00DC2D52" w:rsidRPr="00FE0E11">
              <w:t>порта, на международном и городском уровнях. Д</w:t>
            </w:r>
            <w:r w:rsidR="00DC2D52" w:rsidRPr="00FE0E11">
              <w:t>е</w:t>
            </w:r>
            <w:r w:rsidR="00DC2D52" w:rsidRPr="00FE0E11">
              <w:t>легатам от</w:t>
            </w:r>
            <w:r w:rsidR="00CA17F5">
              <w:rPr>
                <w:lang w:val="en-US"/>
              </w:rPr>
              <w:t> </w:t>
            </w:r>
            <w:r w:rsidR="00DC2D52" w:rsidRPr="00FE0E11">
              <w:t>правительств будет предоставлена во</w:t>
            </w:r>
            <w:r w:rsidR="00DC2D52" w:rsidRPr="00FE0E11">
              <w:t>з</w:t>
            </w:r>
            <w:r w:rsidR="00DC2D52" w:rsidRPr="00FE0E11">
              <w:t>можность обменяться опытом.</w:t>
            </w:r>
          </w:p>
        </w:tc>
      </w:tr>
      <w:tr w:rsidR="00DC2D52" w:rsidRPr="00FE0E11" w:rsidTr="00CA17F5">
        <w:trPr>
          <w:tblHeader/>
        </w:trPr>
        <w:tc>
          <w:tcPr>
            <w:tcW w:w="7370" w:type="dxa"/>
            <w:tcBorders>
              <w:top w:val="nil"/>
            </w:tcBorders>
            <w:shd w:val="clear" w:color="auto" w:fill="auto"/>
            <w:vAlign w:val="bottom"/>
          </w:tcPr>
          <w:p w:rsidR="00DC2D52" w:rsidRPr="00FE0E11" w:rsidRDefault="00DC2D52" w:rsidP="00740A50">
            <w:pPr>
              <w:pStyle w:val="SingleTxtGR"/>
              <w:tabs>
                <w:tab w:val="clear" w:pos="2268"/>
                <w:tab w:val="left" w:pos="2385"/>
              </w:tabs>
              <w:ind w:left="142"/>
              <w:jc w:val="left"/>
              <w:rPr>
                <w:i/>
              </w:rPr>
            </w:pPr>
            <w:r w:rsidRPr="00FE0E11">
              <w:t>16 ч. 10 м.</w:t>
            </w:r>
            <w:r w:rsidR="00740A50">
              <w:t xml:space="preserve"> </w:t>
            </w:r>
            <w:r w:rsidRPr="00FE0E11">
              <w:t>–</w:t>
            </w:r>
            <w:r w:rsidR="00740A50">
              <w:t xml:space="preserve"> 16 ч. 40 м.</w:t>
            </w:r>
            <w:r w:rsidRPr="00FE0E11">
              <w:tab/>
            </w:r>
            <w:r w:rsidRPr="00FE0E11">
              <w:rPr>
                <w:i/>
              </w:rPr>
              <w:t>Перерыв</w:t>
            </w:r>
          </w:p>
          <w:p w:rsidR="00DC2D52" w:rsidRPr="00FE0E11" w:rsidRDefault="00DC2D52" w:rsidP="00740A50">
            <w:pPr>
              <w:pStyle w:val="SingleTxtGR"/>
              <w:tabs>
                <w:tab w:val="clear" w:pos="2268"/>
                <w:tab w:val="left" w:pos="2385"/>
              </w:tabs>
              <w:ind w:left="2385" w:right="49" w:hanging="2243"/>
              <w:jc w:val="left"/>
              <w:rPr>
                <w:b/>
                <w:bCs/>
              </w:rPr>
            </w:pPr>
            <w:r w:rsidRPr="00FE0E11">
              <w:t>16 ч. 40 м.</w:t>
            </w:r>
            <w:r w:rsidR="00740A50">
              <w:t xml:space="preserve"> </w:t>
            </w:r>
            <w:r w:rsidRPr="00FE0E11">
              <w:t>–</w:t>
            </w:r>
            <w:r w:rsidR="00740A50">
              <w:t xml:space="preserve"> </w:t>
            </w:r>
            <w:r w:rsidRPr="00FE0E11">
              <w:t>17 ч. 50 м.</w:t>
            </w:r>
            <w:r w:rsidRPr="00FE0E11">
              <w:tab/>
            </w:r>
            <w:r w:rsidRPr="004357DD">
              <w:rPr>
                <w:i/>
              </w:rPr>
              <w:t>Заседание</w:t>
            </w:r>
            <w:r w:rsidRPr="00FE0E11">
              <w:rPr>
                <w:i/>
                <w:iCs/>
              </w:rPr>
              <w:t xml:space="preserve"> III: </w:t>
            </w:r>
            <w:proofErr w:type="spellStart"/>
            <w:r w:rsidRPr="00FE0E11">
              <w:rPr>
                <w:i/>
                <w:iCs/>
              </w:rPr>
              <w:t>Интермодальная</w:t>
            </w:r>
            <w:proofErr w:type="spellEnd"/>
            <w:r w:rsidRPr="00FE0E11">
              <w:rPr>
                <w:i/>
                <w:iCs/>
              </w:rPr>
              <w:t xml:space="preserve"> мобильность </w:t>
            </w:r>
            <w:r w:rsidR="002503B7" w:rsidRPr="002503B7">
              <w:rPr>
                <w:i/>
                <w:iCs/>
              </w:rPr>
              <w:br/>
            </w:r>
            <w:r w:rsidRPr="00FE0E11">
              <w:rPr>
                <w:i/>
                <w:iCs/>
              </w:rPr>
              <w:t>пассажиров</w:t>
            </w:r>
          </w:p>
        </w:tc>
      </w:tr>
      <w:tr w:rsidR="00DC2D52" w:rsidRPr="00FE0E11" w:rsidTr="00D65B8E">
        <w:trPr>
          <w:tblHeader/>
        </w:trPr>
        <w:tc>
          <w:tcPr>
            <w:tcW w:w="7370" w:type="dxa"/>
            <w:shd w:val="clear" w:color="auto" w:fill="auto"/>
            <w:vAlign w:val="bottom"/>
          </w:tcPr>
          <w:p w:rsidR="00DC2D52" w:rsidRPr="00FE0E11" w:rsidRDefault="00DC2D52" w:rsidP="005F6682">
            <w:pPr>
              <w:pStyle w:val="SingleTxtGR"/>
              <w:tabs>
                <w:tab w:val="clear" w:pos="2268"/>
                <w:tab w:val="left" w:pos="2399"/>
              </w:tabs>
              <w:ind w:left="2399" w:right="142" w:hanging="2257"/>
              <w:rPr>
                <w:b/>
                <w:bCs/>
              </w:rPr>
            </w:pPr>
            <w:r w:rsidRPr="002503B7">
              <w:tab/>
            </w:r>
            <w:r w:rsidRPr="002503B7">
              <w:tab/>
            </w:r>
            <w:r w:rsidRPr="00FE0E11">
              <w:t>Это заседание будет посвящено интеллектуальным решениям для различных видов транспорта в сфере управления мобильностью пассажиров в условиях растущей плотности населения в городах, включая общественный транспорт и индивидуальную м</w:t>
            </w:r>
            <w:r w:rsidRPr="00FE0E11">
              <w:t>о</w:t>
            </w:r>
            <w:r w:rsidRPr="00FE0E11">
              <w:t>бильность на базе интеллектуальных технологий. Делегатам от правительств будет предоставлена возможность обменяться опытом.</w:t>
            </w:r>
          </w:p>
        </w:tc>
      </w:tr>
      <w:tr w:rsidR="00DC2D52" w:rsidRPr="00FE0E11" w:rsidTr="00D65B8E">
        <w:trPr>
          <w:tblHeader/>
        </w:trPr>
        <w:tc>
          <w:tcPr>
            <w:tcW w:w="7370" w:type="dxa"/>
            <w:shd w:val="clear" w:color="auto" w:fill="auto"/>
            <w:vAlign w:val="bottom"/>
          </w:tcPr>
          <w:p w:rsidR="00DC2D52" w:rsidRPr="00FE0E11" w:rsidRDefault="00DC2D52" w:rsidP="00740A50">
            <w:pPr>
              <w:pStyle w:val="SingleTxtGR"/>
              <w:tabs>
                <w:tab w:val="clear" w:pos="2268"/>
                <w:tab w:val="left" w:pos="2399"/>
              </w:tabs>
              <w:ind w:left="142"/>
              <w:jc w:val="left"/>
              <w:rPr>
                <w:b/>
                <w:bCs/>
              </w:rPr>
            </w:pPr>
            <w:r w:rsidRPr="00FE0E11">
              <w:t>17 ч. 50 м.</w:t>
            </w:r>
            <w:r w:rsidR="00740A50">
              <w:t xml:space="preserve"> </w:t>
            </w:r>
            <w:r w:rsidRPr="00FE0E11">
              <w:t>–</w:t>
            </w:r>
            <w:r w:rsidR="00740A50">
              <w:t xml:space="preserve"> </w:t>
            </w:r>
            <w:r w:rsidRPr="00FE0E11">
              <w:t>18 ч. 00 м.</w:t>
            </w:r>
            <w:r w:rsidRPr="00FE0E11">
              <w:tab/>
            </w:r>
            <w:r w:rsidRPr="000F40DE">
              <w:rPr>
                <w:i/>
              </w:rPr>
              <w:t>Выводы координатора обсуждения</w:t>
            </w:r>
          </w:p>
        </w:tc>
      </w:tr>
    </w:tbl>
    <w:p w:rsidR="00E12C5F" w:rsidRPr="00FE0E11" w:rsidRDefault="00FE0E11" w:rsidP="00FE0E11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FE0E11" w:rsidSect="00FE0E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64" w:rsidRPr="00A312BC" w:rsidRDefault="000D7A64" w:rsidP="00A312BC"/>
  </w:endnote>
  <w:endnote w:type="continuationSeparator" w:id="0">
    <w:p w:rsidR="000D7A64" w:rsidRPr="00A312BC" w:rsidRDefault="000D7A6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11" w:rsidRPr="00FE0E11" w:rsidRDefault="00FE0E11">
    <w:pPr>
      <w:pStyle w:val="Footer"/>
    </w:pPr>
    <w:r w:rsidRPr="00FE0E11">
      <w:rPr>
        <w:b/>
        <w:sz w:val="18"/>
      </w:rPr>
      <w:fldChar w:fldCharType="begin"/>
    </w:r>
    <w:r w:rsidRPr="00FE0E11">
      <w:rPr>
        <w:b/>
        <w:sz w:val="18"/>
      </w:rPr>
      <w:instrText xml:space="preserve"> PAGE  \* MERGEFORMAT </w:instrText>
    </w:r>
    <w:r w:rsidRPr="00FE0E11">
      <w:rPr>
        <w:b/>
        <w:sz w:val="18"/>
      </w:rPr>
      <w:fldChar w:fldCharType="separate"/>
    </w:r>
    <w:r w:rsidR="00AB5358">
      <w:rPr>
        <w:b/>
        <w:noProof/>
        <w:sz w:val="18"/>
      </w:rPr>
      <w:t>6</w:t>
    </w:r>
    <w:r w:rsidRPr="00FE0E11">
      <w:rPr>
        <w:b/>
        <w:sz w:val="18"/>
      </w:rPr>
      <w:fldChar w:fldCharType="end"/>
    </w:r>
    <w:r>
      <w:rPr>
        <w:b/>
        <w:sz w:val="18"/>
      </w:rPr>
      <w:tab/>
    </w:r>
    <w:r>
      <w:t>GE.17-21928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11" w:rsidRPr="00FE0E11" w:rsidRDefault="00FE0E11" w:rsidP="00FE0E11">
    <w:pPr>
      <w:pStyle w:val="Footer"/>
      <w:tabs>
        <w:tab w:val="clear" w:pos="9639"/>
        <w:tab w:val="right" w:pos="9638"/>
      </w:tabs>
      <w:rPr>
        <w:b/>
        <w:sz w:val="18"/>
      </w:rPr>
    </w:pPr>
    <w:r>
      <w:t>GE.17-21928</w:t>
    </w:r>
    <w:r>
      <w:tab/>
    </w:r>
    <w:r w:rsidRPr="00FE0E11">
      <w:rPr>
        <w:b/>
        <w:sz w:val="18"/>
      </w:rPr>
      <w:fldChar w:fldCharType="begin"/>
    </w:r>
    <w:r w:rsidRPr="00FE0E11">
      <w:rPr>
        <w:b/>
        <w:sz w:val="18"/>
      </w:rPr>
      <w:instrText xml:space="preserve"> PAGE  \* MERGEFORMAT </w:instrText>
    </w:r>
    <w:r w:rsidRPr="00FE0E11">
      <w:rPr>
        <w:b/>
        <w:sz w:val="18"/>
      </w:rPr>
      <w:fldChar w:fldCharType="separate"/>
    </w:r>
    <w:r w:rsidR="00AB5358">
      <w:rPr>
        <w:b/>
        <w:noProof/>
        <w:sz w:val="18"/>
      </w:rPr>
      <w:t>5</w:t>
    </w:r>
    <w:r w:rsidRPr="00FE0E1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FE0E11" w:rsidRDefault="00FE0E11" w:rsidP="00FE0E11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342373B" wp14:editId="7E4DB97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17-21928  (R)</w:t>
    </w:r>
    <w:r>
      <w:rPr>
        <w:lang w:val="en-US"/>
      </w:rPr>
      <w:t xml:space="preserve">  040118  040118</w:t>
    </w:r>
    <w:r>
      <w:br/>
    </w:r>
    <w:r w:rsidRPr="00FE0E11">
      <w:rPr>
        <w:rFonts w:ascii="C39T30Lfz" w:hAnsi="C39T30Lfz"/>
        <w:spacing w:val="0"/>
        <w:w w:val="100"/>
        <w:sz w:val="56"/>
      </w:rPr>
      <w:t></w:t>
    </w:r>
    <w:r w:rsidRPr="00FE0E11">
      <w:rPr>
        <w:rFonts w:ascii="C39T30Lfz" w:hAnsi="C39T30Lfz"/>
        <w:spacing w:val="0"/>
        <w:w w:val="100"/>
        <w:sz w:val="56"/>
      </w:rPr>
      <w:t></w:t>
    </w:r>
    <w:r w:rsidRPr="00FE0E11">
      <w:rPr>
        <w:rFonts w:ascii="C39T30Lfz" w:hAnsi="C39T30Lfz"/>
        <w:spacing w:val="0"/>
        <w:w w:val="100"/>
        <w:sz w:val="56"/>
      </w:rPr>
      <w:t></w:t>
    </w:r>
    <w:r w:rsidRPr="00FE0E11">
      <w:rPr>
        <w:rFonts w:ascii="C39T30Lfz" w:hAnsi="C39T30Lfz"/>
        <w:spacing w:val="0"/>
        <w:w w:val="100"/>
        <w:sz w:val="56"/>
      </w:rPr>
      <w:t></w:t>
    </w:r>
    <w:r w:rsidRPr="00FE0E11">
      <w:rPr>
        <w:rFonts w:ascii="C39T30Lfz" w:hAnsi="C39T30Lfz"/>
        <w:spacing w:val="0"/>
        <w:w w:val="100"/>
        <w:sz w:val="56"/>
      </w:rPr>
      <w:t></w:t>
    </w:r>
    <w:r w:rsidRPr="00FE0E11">
      <w:rPr>
        <w:rFonts w:ascii="C39T30Lfz" w:hAnsi="C39T30Lfz"/>
        <w:spacing w:val="0"/>
        <w:w w:val="100"/>
        <w:sz w:val="56"/>
      </w:rPr>
      <w:t></w:t>
    </w:r>
    <w:r w:rsidRPr="00FE0E11">
      <w:rPr>
        <w:rFonts w:ascii="C39T30Lfz" w:hAnsi="C39T30Lfz"/>
        <w:spacing w:val="0"/>
        <w:w w:val="100"/>
        <w:sz w:val="56"/>
      </w:rPr>
      <w:t></w:t>
    </w:r>
    <w:r w:rsidRPr="00FE0E11">
      <w:rPr>
        <w:rFonts w:ascii="C39T30Lfz" w:hAnsi="C39T30Lfz"/>
        <w:spacing w:val="0"/>
        <w:w w:val="100"/>
        <w:sz w:val="56"/>
      </w:rPr>
      <w:t></w:t>
    </w:r>
    <w:r w:rsidRPr="00FE0E11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2018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18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64" w:rsidRPr="001075E9" w:rsidRDefault="000D7A6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D7A64" w:rsidRDefault="000D7A6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11" w:rsidRPr="00FE0E11" w:rsidRDefault="008A626E">
    <w:pPr>
      <w:pStyle w:val="Header"/>
    </w:pPr>
    <w:fldSimple w:instr=" TITLE  \* MERGEFORMAT ">
      <w:r>
        <w:t>ECE/TRANS/2018/1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11" w:rsidRPr="00FE0E11" w:rsidRDefault="008A626E" w:rsidP="00FE0E11">
    <w:pPr>
      <w:pStyle w:val="Header"/>
      <w:jc w:val="right"/>
    </w:pPr>
    <w:fldSimple w:instr=" TITLE  \* MERGEFORMAT ">
      <w:r>
        <w:t>ECE/TRANS/2018/1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11" w:rsidRDefault="00FE0E11" w:rsidP="00FE0E1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64"/>
    <w:rsid w:val="00033EE1"/>
    <w:rsid w:val="00042B72"/>
    <w:rsid w:val="000558BD"/>
    <w:rsid w:val="000B0B57"/>
    <w:rsid w:val="000B2D16"/>
    <w:rsid w:val="000B57E7"/>
    <w:rsid w:val="000B6373"/>
    <w:rsid w:val="000C2EE9"/>
    <w:rsid w:val="000D64AE"/>
    <w:rsid w:val="000D7A64"/>
    <w:rsid w:val="000E4E5B"/>
    <w:rsid w:val="000E6DCB"/>
    <w:rsid w:val="000F09DF"/>
    <w:rsid w:val="000F40DE"/>
    <w:rsid w:val="000F61B2"/>
    <w:rsid w:val="001075E9"/>
    <w:rsid w:val="0014152F"/>
    <w:rsid w:val="00177624"/>
    <w:rsid w:val="00180183"/>
    <w:rsid w:val="0018024D"/>
    <w:rsid w:val="0018649F"/>
    <w:rsid w:val="00196389"/>
    <w:rsid w:val="001B3EF6"/>
    <w:rsid w:val="001C7A89"/>
    <w:rsid w:val="002503B7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0506"/>
    <w:rsid w:val="00381C24"/>
    <w:rsid w:val="00387CD4"/>
    <w:rsid w:val="003958D0"/>
    <w:rsid w:val="003A0D43"/>
    <w:rsid w:val="003A48CE"/>
    <w:rsid w:val="003B00E5"/>
    <w:rsid w:val="003F4E91"/>
    <w:rsid w:val="00407B78"/>
    <w:rsid w:val="00424203"/>
    <w:rsid w:val="004357DD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87147"/>
    <w:rsid w:val="005961C8"/>
    <w:rsid w:val="005966F1"/>
    <w:rsid w:val="005D7914"/>
    <w:rsid w:val="005E2B41"/>
    <w:rsid w:val="005F0B42"/>
    <w:rsid w:val="005F6682"/>
    <w:rsid w:val="006345DB"/>
    <w:rsid w:val="00640F49"/>
    <w:rsid w:val="00644DF0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0A50"/>
    <w:rsid w:val="00746432"/>
    <w:rsid w:val="00757357"/>
    <w:rsid w:val="00763955"/>
    <w:rsid w:val="00765E94"/>
    <w:rsid w:val="00792497"/>
    <w:rsid w:val="00806737"/>
    <w:rsid w:val="00825F8D"/>
    <w:rsid w:val="00834B71"/>
    <w:rsid w:val="0086445C"/>
    <w:rsid w:val="00894693"/>
    <w:rsid w:val="008A08D7"/>
    <w:rsid w:val="008A37C8"/>
    <w:rsid w:val="008A626E"/>
    <w:rsid w:val="008B6909"/>
    <w:rsid w:val="008D53B6"/>
    <w:rsid w:val="008F06C0"/>
    <w:rsid w:val="008F7609"/>
    <w:rsid w:val="00906890"/>
    <w:rsid w:val="00911BE4"/>
    <w:rsid w:val="00951972"/>
    <w:rsid w:val="009562B2"/>
    <w:rsid w:val="009608F3"/>
    <w:rsid w:val="00984E42"/>
    <w:rsid w:val="009A24AC"/>
    <w:rsid w:val="009C6FE6"/>
    <w:rsid w:val="009D5C69"/>
    <w:rsid w:val="009D7E7D"/>
    <w:rsid w:val="00A14DA8"/>
    <w:rsid w:val="00A312BC"/>
    <w:rsid w:val="00A5728A"/>
    <w:rsid w:val="00A603EC"/>
    <w:rsid w:val="00A84021"/>
    <w:rsid w:val="00A84D35"/>
    <w:rsid w:val="00A917B3"/>
    <w:rsid w:val="00AB4B51"/>
    <w:rsid w:val="00AB5358"/>
    <w:rsid w:val="00AF1B98"/>
    <w:rsid w:val="00B031FB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A17F5"/>
    <w:rsid w:val="00CB151C"/>
    <w:rsid w:val="00CE5A1A"/>
    <w:rsid w:val="00CF55F6"/>
    <w:rsid w:val="00D33D63"/>
    <w:rsid w:val="00D5253A"/>
    <w:rsid w:val="00D65B8E"/>
    <w:rsid w:val="00D90028"/>
    <w:rsid w:val="00D90138"/>
    <w:rsid w:val="00DC2D52"/>
    <w:rsid w:val="00DD78D1"/>
    <w:rsid w:val="00DE32CD"/>
    <w:rsid w:val="00DF5767"/>
    <w:rsid w:val="00DF71B9"/>
    <w:rsid w:val="00E12C5F"/>
    <w:rsid w:val="00E47BE0"/>
    <w:rsid w:val="00E73F76"/>
    <w:rsid w:val="00EA2C9F"/>
    <w:rsid w:val="00EA420E"/>
    <w:rsid w:val="00ED0BDA"/>
    <w:rsid w:val="00EE142A"/>
    <w:rsid w:val="00EF1360"/>
    <w:rsid w:val="00EF3220"/>
    <w:rsid w:val="00F0174D"/>
    <w:rsid w:val="00F2523A"/>
    <w:rsid w:val="00F43903"/>
    <w:rsid w:val="00F94155"/>
    <w:rsid w:val="00F9783F"/>
    <w:rsid w:val="00FD2EF7"/>
    <w:rsid w:val="00FD795B"/>
    <w:rsid w:val="00FE0E11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2055</Words>
  <Characters>11718</Characters>
  <Application>Microsoft Office Word</Application>
  <DocSecurity>0</DocSecurity>
  <Lines>97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ECE/TRANS/2018/1</vt:lpstr>
      <vt:lpstr>ECE/TRANS/2018/1</vt:lpstr>
      <vt:lpstr>A/</vt:lpstr>
    </vt:vector>
  </TitlesOfParts>
  <Company>DCM</Company>
  <LinksUpToDate>false</LinksUpToDate>
  <CharactersWithSpaces>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ECE/TRANS/2018/1</dc:title>
  <dc:creator>Ovchinnikova Olga</dc:creator>
  <cp:lastModifiedBy>Jeyhun Shahverdili</cp:lastModifiedBy>
  <cp:revision>2</cp:revision>
  <cp:lastPrinted>2018-01-04T16:06:00Z</cp:lastPrinted>
  <dcterms:created xsi:type="dcterms:W3CDTF">2018-01-09T11:43:00Z</dcterms:created>
  <dcterms:modified xsi:type="dcterms:W3CDTF">2018-01-09T11:43:00Z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