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F831FD">
            <w:pPr>
              <w:pStyle w:val="SingleTxtGR"/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F831FD" w:rsidP="00F831FD">
            <w:pPr>
              <w:jc w:val="right"/>
            </w:pPr>
            <w:r w:rsidRPr="00F831FD">
              <w:rPr>
                <w:sz w:val="40"/>
              </w:rPr>
              <w:t>ECE</w:t>
            </w:r>
            <w:r>
              <w:t>/TRANS/2018/15</w:t>
            </w:r>
          </w:p>
        </w:tc>
      </w:tr>
      <w:tr w:rsidR="002D5AAC" w:rsidRPr="006A73ED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F831FD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F831FD" w:rsidRDefault="00F831FD" w:rsidP="00F831F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12 December 2017</w:t>
            </w:r>
          </w:p>
          <w:p w:rsidR="00F831FD" w:rsidRDefault="00F831FD" w:rsidP="00F831F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F831FD" w:rsidRPr="008D53B6" w:rsidRDefault="00F831FD" w:rsidP="00F831FD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F831FD" w:rsidRPr="00F831FD" w:rsidRDefault="00F831FD" w:rsidP="00F831FD">
      <w:pPr>
        <w:spacing w:before="120"/>
        <w:rPr>
          <w:sz w:val="28"/>
          <w:szCs w:val="28"/>
        </w:rPr>
      </w:pPr>
      <w:r w:rsidRPr="00F831FD">
        <w:rPr>
          <w:sz w:val="28"/>
          <w:szCs w:val="28"/>
        </w:rPr>
        <w:t>Комитет по внутреннему транспорту</w:t>
      </w:r>
    </w:p>
    <w:p w:rsidR="00F831FD" w:rsidRPr="00BE51A4" w:rsidRDefault="00F831FD" w:rsidP="00F831FD">
      <w:pPr>
        <w:spacing w:before="120"/>
        <w:rPr>
          <w:b/>
          <w:bCs/>
        </w:rPr>
      </w:pPr>
      <w:r w:rsidRPr="00BE51A4">
        <w:rPr>
          <w:b/>
        </w:rPr>
        <w:t>Восьмидесятая сессия</w:t>
      </w:r>
    </w:p>
    <w:p w:rsidR="00F831FD" w:rsidRPr="00084BD8" w:rsidRDefault="00F831FD" w:rsidP="00F831FD">
      <w:r>
        <w:t>Женева, 20</w:t>
      </w:r>
      <w:r w:rsidRPr="00084BD8">
        <w:t>–</w:t>
      </w:r>
      <w:r>
        <w:t xml:space="preserve">23 февраля 2018 года </w:t>
      </w:r>
    </w:p>
    <w:p w:rsidR="00F831FD" w:rsidRPr="00084BD8" w:rsidRDefault="00F831FD" w:rsidP="00F831FD">
      <w:pPr>
        <w:rPr>
          <w:b/>
          <w:bCs/>
        </w:rPr>
      </w:pPr>
      <w:r>
        <w:t>Пункт 5 g) предварительной повестки дня</w:t>
      </w:r>
      <w:r>
        <w:rPr>
          <w:b/>
          <w:bCs/>
        </w:rPr>
        <w:t xml:space="preserve"> </w:t>
      </w:r>
    </w:p>
    <w:p w:rsidR="00E12C5F" w:rsidRPr="00F831FD" w:rsidRDefault="00F831FD" w:rsidP="00F831FD">
      <w:pPr>
        <w:rPr>
          <w:b/>
          <w:bCs/>
        </w:rPr>
      </w:pPr>
      <w:r>
        <w:rPr>
          <w:b/>
          <w:bCs/>
        </w:rPr>
        <w:t xml:space="preserve">Стратегические вопросы, связанные </w:t>
      </w:r>
      <w:r w:rsidR="00CE59D8">
        <w:rPr>
          <w:b/>
          <w:bCs/>
        </w:rPr>
        <w:br/>
      </w:r>
      <w:r>
        <w:rPr>
          <w:b/>
          <w:bCs/>
        </w:rPr>
        <w:t xml:space="preserve">с разными видами транспорта и тематическими </w:t>
      </w:r>
      <w:r w:rsidR="00CE59D8">
        <w:rPr>
          <w:b/>
          <w:bCs/>
        </w:rPr>
        <w:br/>
      </w:r>
      <w:r>
        <w:rPr>
          <w:b/>
          <w:bCs/>
        </w:rPr>
        <w:t>направлениями: внутренний водный транспорт</w:t>
      </w:r>
    </w:p>
    <w:p w:rsidR="00F831FD" w:rsidRPr="009114A6" w:rsidRDefault="00F831FD" w:rsidP="00BE51A4">
      <w:pPr>
        <w:pStyle w:val="HChGR"/>
      </w:pPr>
      <w:r>
        <w:tab/>
      </w:r>
      <w:r>
        <w:tab/>
        <w:t xml:space="preserve">Осуществление Европейских правил судоходства </w:t>
      </w:r>
      <w:r w:rsidR="00CE59D8">
        <w:br/>
      </w:r>
      <w:r>
        <w:t>по внутренним водным путям</w:t>
      </w:r>
    </w:p>
    <w:p w:rsidR="00F831FD" w:rsidRDefault="00F831FD" w:rsidP="00BE51A4">
      <w:pPr>
        <w:pStyle w:val="H1GR"/>
        <w:rPr>
          <w:lang w:val="en-US"/>
        </w:rPr>
      </w:pPr>
      <w:r>
        <w:tab/>
      </w:r>
      <w:r>
        <w:tab/>
        <w:t>Записка секретариата</w:t>
      </w:r>
    </w:p>
    <w:tbl>
      <w:tblPr>
        <w:tblStyle w:val="TableGrid"/>
        <w:tblW w:w="0" w:type="auto"/>
        <w:jc w:val="center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9637"/>
      </w:tblGrid>
      <w:tr w:rsidR="00F831FD" w:rsidRPr="00F831FD" w:rsidTr="00850215">
        <w:trPr>
          <w:jc w:val="center"/>
        </w:trPr>
        <w:tc>
          <w:tcPr>
            <w:tcW w:w="9637" w:type="dxa"/>
            <w:tcBorders>
              <w:bottom w:val="nil"/>
            </w:tcBorders>
          </w:tcPr>
          <w:p w:rsidR="00F831FD" w:rsidRPr="00F831FD" w:rsidRDefault="00F831FD" w:rsidP="00850215">
            <w:pPr>
              <w:tabs>
                <w:tab w:val="left" w:pos="255"/>
              </w:tabs>
              <w:spacing w:before="240" w:after="120"/>
              <w:rPr>
                <w:rFonts w:cs="Times New Roman"/>
                <w:sz w:val="24"/>
              </w:rPr>
            </w:pPr>
            <w:r w:rsidRPr="00F831FD">
              <w:rPr>
                <w:rFonts w:cs="Times New Roman"/>
              </w:rPr>
              <w:tab/>
            </w:r>
            <w:r w:rsidRPr="00F831FD">
              <w:rPr>
                <w:rFonts w:cs="Times New Roman"/>
                <w:i/>
                <w:sz w:val="24"/>
              </w:rPr>
              <w:t>Резюме</w:t>
            </w:r>
          </w:p>
        </w:tc>
      </w:tr>
      <w:tr w:rsidR="00F831FD" w:rsidRPr="00F831FD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F831FD" w:rsidRPr="00F831FD" w:rsidRDefault="00F831FD" w:rsidP="00BE51A4">
            <w:pPr>
              <w:pStyle w:val="SingleTxtGR"/>
            </w:pPr>
            <w:r>
              <w:tab/>
              <w:t>Пятое пересмотренное издание Европейских правил судоходства по внутренним водным путям (ЕПСВВП) было принято Рабочей группой по вну</w:t>
            </w:r>
            <w:r>
              <w:t>т</w:t>
            </w:r>
            <w:r>
              <w:t>реннему водному транспорту (SC.3) 14 ноября 2014 года в ходе ее пятьдесят восьмой сессии. Рабочая группа по унификации технических предписаний и правил безопасности на внутренних водных путях на своей сорок восьмой се</w:t>
            </w:r>
            <w:r>
              <w:t>с</w:t>
            </w:r>
            <w:r>
              <w:t>сии в феврале 2016 года приняла решение выпустить публикацию об осущест</w:t>
            </w:r>
            <w:r>
              <w:t>в</w:t>
            </w:r>
            <w:r>
              <w:t>лении ЕПСВВП в целях обеспечения безопасности судоходства. Основные р</w:t>
            </w:r>
            <w:r>
              <w:t>е</w:t>
            </w:r>
            <w:r>
              <w:t xml:space="preserve">зультаты и выводы были представлены SC.3 во время рабочего совещания на тему: </w:t>
            </w:r>
            <w:r w:rsidR="00BE51A4">
              <w:t>«</w:t>
            </w:r>
            <w:r>
              <w:t>Правила внутреннего судоходства: осуществление Европейских правил судоходства по внутренним водным путям</w:t>
            </w:r>
            <w:r w:rsidR="00BE51A4">
              <w:t>»</w:t>
            </w:r>
            <w:r>
              <w:t>, проведенного 4 октября 2017 года на шестьдесят первой сессии SC.3. Полная версия публикации будет выпущена в первой половине 2018 года.</w:t>
            </w:r>
          </w:p>
        </w:tc>
      </w:tr>
      <w:tr w:rsidR="00F831FD" w:rsidRPr="00F831FD" w:rsidTr="00850215">
        <w:trPr>
          <w:jc w:val="center"/>
        </w:trPr>
        <w:tc>
          <w:tcPr>
            <w:tcW w:w="9637" w:type="dxa"/>
            <w:tcBorders>
              <w:top w:val="nil"/>
              <w:bottom w:val="nil"/>
            </w:tcBorders>
            <w:shd w:val="clear" w:color="auto" w:fill="auto"/>
          </w:tcPr>
          <w:p w:rsidR="00F831FD" w:rsidRPr="00F831FD" w:rsidRDefault="00F831FD" w:rsidP="00B5429B">
            <w:pPr>
              <w:pStyle w:val="SingleTxtGR"/>
            </w:pPr>
            <w:r>
              <w:tab/>
              <w:t>Комитет по внутреннему транспорту (КВТ), возможно, пожелает принять к сведению резюме этой публикации.</w:t>
            </w:r>
          </w:p>
        </w:tc>
      </w:tr>
      <w:tr w:rsidR="00F831FD" w:rsidRPr="00F831FD" w:rsidTr="00850215">
        <w:trPr>
          <w:jc w:val="center"/>
        </w:trPr>
        <w:tc>
          <w:tcPr>
            <w:tcW w:w="9637" w:type="dxa"/>
            <w:tcBorders>
              <w:top w:val="nil"/>
            </w:tcBorders>
          </w:tcPr>
          <w:p w:rsidR="00F831FD" w:rsidRPr="00F831FD" w:rsidRDefault="00F831FD" w:rsidP="00850215">
            <w:pPr>
              <w:rPr>
                <w:rFonts w:cs="Times New Roman"/>
              </w:rPr>
            </w:pPr>
          </w:p>
        </w:tc>
      </w:tr>
    </w:tbl>
    <w:p w:rsidR="00F831FD" w:rsidRPr="00F831FD" w:rsidRDefault="00F831FD" w:rsidP="00F831FD">
      <w:pPr>
        <w:pStyle w:val="SingleTxtGR"/>
      </w:pPr>
    </w:p>
    <w:p w:rsidR="00DC7ED4" w:rsidRPr="00DC7ED4" w:rsidRDefault="00DC7ED4" w:rsidP="00DC7ED4">
      <w:pPr>
        <w:pStyle w:val="SingleTxtGR"/>
      </w:pPr>
      <w:r>
        <w:br w:type="page"/>
      </w:r>
      <w:r w:rsidRPr="00DC7ED4">
        <w:lastRenderedPageBreak/>
        <w:t>1.</w:t>
      </w:r>
      <w:r w:rsidRPr="00DC7ED4">
        <w:tab/>
        <w:t>Правила судоходства являются одним из важнейших элементов обеспеч</w:t>
      </w:r>
      <w:r w:rsidRPr="00DC7ED4">
        <w:t>е</w:t>
      </w:r>
      <w:r w:rsidRPr="00DC7ED4">
        <w:t>ния безопасности судоходства на внутренних водных путях. Европейская эк</w:t>
      </w:r>
      <w:r w:rsidRPr="00DC7ED4">
        <w:t>о</w:t>
      </w:r>
      <w:r w:rsidRPr="00DC7ED4">
        <w:t>номическая комиссия Организации Объединенных Наций (ЕЭК) служит общей платформой для согласования правил судоходства по водным путям в Европе в виде Европейских правил судоходства по внутренним водным путям (ЕПСВВП), которые были приняты Рабочей группой по внутреннему водному транспорту. Эти согласованные правила составляют правовую и техническую основу для национальных кодексов внутреннего водного транспорта в госуда</w:t>
      </w:r>
      <w:r w:rsidRPr="00DC7ED4">
        <w:t>р</w:t>
      </w:r>
      <w:r w:rsidRPr="00DC7ED4">
        <w:t>ствах – членах ЕЭК.</w:t>
      </w:r>
    </w:p>
    <w:p w:rsidR="00DC7ED4" w:rsidRPr="00DC7ED4" w:rsidRDefault="00DC7ED4" w:rsidP="00DC7ED4">
      <w:pPr>
        <w:pStyle w:val="SingleTxtGR"/>
      </w:pPr>
      <w:r w:rsidRPr="00DC7ED4">
        <w:t>2.</w:t>
      </w:r>
      <w:r w:rsidRPr="00DC7ED4">
        <w:tab/>
        <w:t>ЕПСВВП были впервые установлены в 1962 году и приняты ЕЭК рез</w:t>
      </w:r>
      <w:r w:rsidRPr="00DC7ED4">
        <w:t>о</w:t>
      </w:r>
      <w:r w:rsidRPr="00DC7ED4">
        <w:t>люцией № 24 от 15 ноября 1985 года. Данный кодекс содержит основные ед</w:t>
      </w:r>
      <w:r w:rsidRPr="00DC7ED4">
        <w:t>и</w:t>
      </w:r>
      <w:r w:rsidRPr="00DC7ED4">
        <w:t>нообразные правила, применимые к судоходству по внутренним водным путям, которые касаются, в частности, знаков и визуальных сигналов на судах, звук</w:t>
      </w:r>
      <w:r w:rsidRPr="00DC7ED4">
        <w:t>о</w:t>
      </w:r>
      <w:r w:rsidRPr="00DC7ED4">
        <w:t xml:space="preserve">вых сигналов и радиотелефонной связи, сигнальных знаков, регулирующих </w:t>
      </w:r>
      <w:r w:rsidR="00CE59D8">
        <w:br/>
      </w:r>
      <w:r w:rsidRPr="00DC7ED4">
        <w:t xml:space="preserve">судоходство по водным путям, правил предупреждения столкновения судов, </w:t>
      </w:r>
      <w:r w:rsidR="00CE59D8">
        <w:br/>
      </w:r>
      <w:r w:rsidRPr="00DC7ED4">
        <w:t>правил швартовки, требований о сигналах и представлении данных, предо</w:t>
      </w:r>
      <w:r w:rsidRPr="00DC7ED4">
        <w:t>т</w:t>
      </w:r>
      <w:r w:rsidRPr="00DC7ED4">
        <w:t>вращения загрязнения вод и удаления отходов. Пятое пересмотренное издание ЕПСВВП (ЕПСВВП 5) представляет собой наиболее согласованный вариант этого документа, который объединяет передовой опыт действующих правил с</w:t>
      </w:r>
      <w:r w:rsidRPr="00DC7ED4">
        <w:t>у</w:t>
      </w:r>
      <w:r w:rsidRPr="00DC7ED4">
        <w:t>доходства речных комиссий и государств – членов ЕЭК.</w:t>
      </w:r>
    </w:p>
    <w:p w:rsidR="00DC7ED4" w:rsidRPr="00DC7ED4" w:rsidRDefault="00DC7ED4" w:rsidP="00DC7ED4">
      <w:pPr>
        <w:pStyle w:val="SingleTxtGR"/>
      </w:pPr>
      <w:r w:rsidRPr="00DC7ED4">
        <w:t>3.</w:t>
      </w:r>
      <w:r w:rsidRPr="00DC7ED4">
        <w:tab/>
        <w:t>Нередко возникают ситуации, когда на одном и том же международном водном пути оказываются судоводители двух судов из разных стран, и их пов</w:t>
      </w:r>
      <w:r w:rsidRPr="00DC7ED4">
        <w:t>е</w:t>
      </w:r>
      <w:r w:rsidRPr="00DC7ED4">
        <w:t>дение обусловлено разными правилами плавания. Такая ситуация порождает значительную неопределенность и является неудовлетворительной с точки зр</w:t>
      </w:r>
      <w:r w:rsidRPr="00DC7ED4">
        <w:t>е</w:t>
      </w:r>
      <w:r w:rsidRPr="00DC7ED4">
        <w:t>ния обеспечения безопасности. Поэтому SC.3 координирует и регулярно обно</w:t>
      </w:r>
      <w:r w:rsidRPr="00DC7ED4">
        <w:t>в</w:t>
      </w:r>
      <w:r w:rsidRPr="00DC7ED4">
        <w:t>ляет документ о ходе осуществления ЕПСВВП (документ о ходе осуществления ЕПСВВП)</w:t>
      </w:r>
      <w:r w:rsidRPr="00E75694">
        <w:rPr>
          <w:sz w:val="18"/>
          <w:szCs w:val="18"/>
          <w:vertAlign w:val="superscript"/>
        </w:rPr>
        <w:footnoteReference w:id="1"/>
      </w:r>
      <w:r w:rsidRPr="00DC7ED4">
        <w:t>.</w:t>
      </w:r>
    </w:p>
    <w:p w:rsidR="00DC7ED4" w:rsidRPr="00DC7ED4" w:rsidRDefault="00DC7ED4" w:rsidP="00DC7ED4">
      <w:pPr>
        <w:pStyle w:val="SingleTxtGR"/>
      </w:pPr>
      <w:r w:rsidRPr="00DC7ED4">
        <w:t>4.</w:t>
      </w:r>
      <w:r w:rsidRPr="00DC7ED4">
        <w:tab/>
        <w:t>Поскольку в настоящее время не существует возможности ни устранить все проблемы, связанные с региональными и национальными расхождениями и дополнительными требованиями, ни согласовать единый общий набор правил судоходства для всех внутренних водных путей в Европе, было бы весьма жел</w:t>
      </w:r>
      <w:r w:rsidRPr="00DC7ED4">
        <w:t>а</w:t>
      </w:r>
      <w:r w:rsidRPr="00DC7ED4">
        <w:t>тельно, чтобы компетентные органы и международные организации ориентир</w:t>
      </w:r>
      <w:r w:rsidRPr="00DC7ED4">
        <w:t>о</w:t>
      </w:r>
      <w:r w:rsidRPr="00DC7ED4">
        <w:t>вались на один базовый набор общих правил, такой как ЕПСВВП.</w:t>
      </w:r>
    </w:p>
    <w:p w:rsidR="00DC7ED4" w:rsidRPr="00DC7ED4" w:rsidRDefault="00DC7ED4" w:rsidP="00DC7ED4">
      <w:pPr>
        <w:pStyle w:val="SingleTxtGR"/>
      </w:pPr>
      <w:r w:rsidRPr="00DC7ED4">
        <w:t>5.</w:t>
      </w:r>
      <w:r w:rsidRPr="00DC7ED4">
        <w:tab/>
        <w:t>Исторической основой или отправной точкой для ЕПСВВП по большей части являются региональные и национальные регулирующие положения, такие как полицейские правила речных комиссий и национальные правила судохо</w:t>
      </w:r>
      <w:r w:rsidRPr="00DC7ED4">
        <w:t>д</w:t>
      </w:r>
      <w:r w:rsidRPr="00DC7ED4">
        <w:t>ства. Вместе с тем некоторые из этих правил содержат положения, которые д</w:t>
      </w:r>
      <w:r w:rsidRPr="00DC7ED4">
        <w:t>о</w:t>
      </w:r>
      <w:r w:rsidRPr="00DC7ED4">
        <w:t>полняют ЕПСВВП или допускают отступления от них, что обусловлено геогр</w:t>
      </w:r>
      <w:r w:rsidRPr="00DC7ED4">
        <w:t>а</w:t>
      </w:r>
      <w:r w:rsidRPr="00DC7ED4">
        <w:t>фическими, навигационными или историческими особенностями водных путей.</w:t>
      </w:r>
    </w:p>
    <w:p w:rsidR="00DC7ED4" w:rsidRPr="00DC7ED4" w:rsidRDefault="00DC7ED4" w:rsidP="00DC7ED4">
      <w:pPr>
        <w:pStyle w:val="SingleTxtGR"/>
      </w:pPr>
      <w:r w:rsidRPr="00DC7ED4">
        <w:t>6.</w:t>
      </w:r>
      <w:r w:rsidRPr="00DC7ED4">
        <w:tab/>
        <w:t>Принятие ЕПСВВП и намерение их применять зависят от правил суд</w:t>
      </w:r>
      <w:r w:rsidRPr="00DC7ED4">
        <w:t>о</w:t>
      </w:r>
      <w:r w:rsidRPr="00DC7ED4">
        <w:t>ходства в бассейнах международных рек, устанавливаемых:</w:t>
      </w:r>
    </w:p>
    <w:p w:rsidR="00DC7ED4" w:rsidRPr="00DC7ED4" w:rsidRDefault="00DC7ED4" w:rsidP="00DC7ED4">
      <w:pPr>
        <w:pStyle w:val="SingleTxtGR"/>
      </w:pPr>
      <w:r w:rsidRPr="00DC7ED4">
        <w:tab/>
        <w:t>a)</w:t>
      </w:r>
      <w:r w:rsidRPr="00DC7ED4">
        <w:tab/>
        <w:t>Центральной комиссией судоходства по Рейну (ЦКСР): на нее во</w:t>
      </w:r>
      <w:r w:rsidRPr="00DC7ED4">
        <w:t>з</w:t>
      </w:r>
      <w:r w:rsidRPr="00DC7ED4">
        <w:t>ложена задача устанавливать правила внутреннего судоходства на Рейне. Пол</w:t>
      </w:r>
      <w:r w:rsidRPr="00DC7ED4">
        <w:t>и</w:t>
      </w:r>
      <w:r w:rsidRPr="00DC7ED4">
        <w:t>цейские правила плавания по Рейну (ПППР) являются обязательными для гос</w:t>
      </w:r>
      <w:r w:rsidRPr="00DC7ED4">
        <w:t>у</w:t>
      </w:r>
      <w:r w:rsidRPr="00DC7ED4">
        <w:t>дарств-членов;</w:t>
      </w:r>
    </w:p>
    <w:p w:rsidR="00DC7ED4" w:rsidRPr="00DC7ED4" w:rsidRDefault="00DC7ED4" w:rsidP="00DC7ED4">
      <w:pPr>
        <w:pStyle w:val="SingleTxtGR"/>
      </w:pPr>
      <w:r w:rsidRPr="00DC7ED4">
        <w:tab/>
        <w:t>b)</w:t>
      </w:r>
      <w:r w:rsidRPr="00DC7ED4">
        <w:tab/>
        <w:t>Дунайской комиссией (ДК): приняла Основные положения о плав</w:t>
      </w:r>
      <w:r w:rsidRPr="00DC7ED4">
        <w:t>а</w:t>
      </w:r>
      <w:r w:rsidRPr="00DC7ED4">
        <w:t>нии по Дунаю (ОППД), которые представляют собой рекомендации, не име</w:t>
      </w:r>
      <w:r w:rsidRPr="00DC7ED4">
        <w:t>ю</w:t>
      </w:r>
      <w:r w:rsidRPr="00DC7ED4">
        <w:t>щие юридически обязательного характера. ДК начнет применять Пятое пер</w:t>
      </w:r>
      <w:r w:rsidRPr="00DC7ED4">
        <w:t>е</w:t>
      </w:r>
      <w:r w:rsidRPr="00DC7ED4">
        <w:t>смотренное издание ЕПСВВП в декабре 2017 года;</w:t>
      </w:r>
    </w:p>
    <w:p w:rsidR="00DC7ED4" w:rsidRPr="00DC7ED4" w:rsidRDefault="00DC7ED4" w:rsidP="00DC7ED4">
      <w:pPr>
        <w:pStyle w:val="SingleTxtGR"/>
      </w:pPr>
      <w:r w:rsidRPr="00DC7ED4">
        <w:tab/>
        <w:t>с)</w:t>
      </w:r>
      <w:r w:rsidRPr="00DC7ED4">
        <w:tab/>
        <w:t>Мозельской комиссией (МК): в силу очевидных географических и политических причин стремится согласовать Полицейские правила плавания по Мозелю с режимом, действующем на Рейне. Общая заинтересованность в га</w:t>
      </w:r>
      <w:r w:rsidRPr="00DC7ED4">
        <w:t>р</w:t>
      </w:r>
      <w:r w:rsidRPr="00DC7ED4">
        <w:lastRenderedPageBreak/>
        <w:t>монизации правил судоходства по внутренним водным путям служит предп</w:t>
      </w:r>
      <w:r w:rsidRPr="00DC7ED4">
        <w:t>о</w:t>
      </w:r>
      <w:r w:rsidRPr="00DC7ED4">
        <w:t>сылкой для участия в будущей работе по обновлению ЕПСВВП;</w:t>
      </w:r>
    </w:p>
    <w:p w:rsidR="00DC7ED4" w:rsidRPr="00DC7ED4" w:rsidRDefault="00DC7ED4" w:rsidP="00DC7ED4">
      <w:pPr>
        <w:pStyle w:val="SingleTxtGR"/>
      </w:pPr>
      <w:r w:rsidRPr="00DC7ED4">
        <w:tab/>
        <w:t>d)</w:t>
      </w:r>
      <w:r w:rsidRPr="00DC7ED4">
        <w:tab/>
        <w:t>Международной комиссией по бассейну реки Сава (МКБРС): в з</w:t>
      </w:r>
      <w:r w:rsidRPr="00DC7ED4">
        <w:t>а</w:t>
      </w:r>
      <w:r w:rsidRPr="00DC7ED4">
        <w:t>конодательном порядке уполномочена вводить Правила судоходства в бассейне реки Сава, имеющие обязательную юридическую силу, и продемонстрировала себя в качестве современного и гибкого механизма. В настоящее время МКБРС является единственной речной комиссией, которая применяет Пятое пересмо</w:t>
      </w:r>
      <w:r w:rsidRPr="00DC7ED4">
        <w:t>т</w:t>
      </w:r>
      <w:r w:rsidRPr="00DC7ED4">
        <w:t>ренное издание ЕПСВВП в полном объеме.</w:t>
      </w:r>
    </w:p>
    <w:p w:rsidR="00DC7ED4" w:rsidRPr="00DC7ED4" w:rsidRDefault="00DC7ED4" w:rsidP="00DC7ED4">
      <w:pPr>
        <w:pStyle w:val="SingleTxtGR"/>
      </w:pPr>
      <w:r w:rsidRPr="00DC7ED4">
        <w:t>7.</w:t>
      </w:r>
      <w:r w:rsidRPr="00DC7ED4">
        <w:tab/>
        <w:t>На рис. 1 и 2 ниже схематично показано применение речными комисси</w:t>
      </w:r>
      <w:r w:rsidRPr="00DC7ED4">
        <w:t>я</w:t>
      </w:r>
      <w:r w:rsidRPr="00DC7ED4">
        <w:t>ми и государствами-членами (отмечены зеленым цветом) четвертого и пятого пересмотренных изданий ЕПСВВП.</w:t>
      </w:r>
    </w:p>
    <w:p w:rsidR="00F831FD" w:rsidRPr="00F831FD" w:rsidRDefault="00DC7ED4" w:rsidP="00D05C52">
      <w:pPr>
        <w:pStyle w:val="SingleTxtGR"/>
        <w:jc w:val="left"/>
      </w:pPr>
      <w:r w:rsidRPr="00DC7ED4">
        <w:t>Рис</w:t>
      </w:r>
      <w:r w:rsidR="00D05C52">
        <w:t>.</w:t>
      </w:r>
      <w:r w:rsidRPr="00DC7ED4">
        <w:t xml:space="preserve"> 1</w:t>
      </w:r>
      <w:r w:rsidR="00D05C52">
        <w:br/>
      </w:r>
      <w:r w:rsidRPr="00DC7ED4">
        <w:rPr>
          <w:b/>
          <w:bCs/>
        </w:rPr>
        <w:t>Применение ЕПСВВП речными комиссиями</w:t>
      </w:r>
    </w:p>
    <w:tbl>
      <w:tblPr>
        <w:tblStyle w:val="TableGrid"/>
        <w:tblW w:w="7370" w:type="dxa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5"/>
        <w:gridCol w:w="3685"/>
      </w:tblGrid>
      <w:tr w:rsidR="00D86BD3" w:rsidRPr="00D86BD3" w:rsidTr="00D86BD3">
        <w:tc>
          <w:tcPr>
            <w:tcW w:w="3685" w:type="dxa"/>
            <w:shd w:val="clear" w:color="auto" w:fill="auto"/>
            <w:vAlign w:val="bottom"/>
          </w:tcPr>
          <w:p w:rsidR="00D86BD3" w:rsidRPr="00D86BD3" w:rsidRDefault="00AD2B6C" w:rsidP="00D86BD3">
            <w:pPr>
              <w:spacing w:before="40" w:after="120"/>
              <w:ind w:right="113"/>
            </w:pPr>
            <w:r w:rsidRPr="00AD2B6C">
              <w:rPr>
                <w:noProof/>
                <w:lang w:val="en-GB" w:eastAsia="en-GB"/>
              </w:rPr>
              <w:drawing>
                <wp:inline distT="0" distB="0" distL="0" distR="0" wp14:anchorId="1DDE6B95" wp14:editId="78D1F822">
                  <wp:extent cx="2266306" cy="1266093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8760" t="15164" r="8709" b="2869"/>
                          <a:stretch/>
                        </pic:blipFill>
                        <pic:spPr bwMode="auto">
                          <a:xfrm>
                            <a:off x="0" y="0"/>
                            <a:ext cx="2267343" cy="1266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bottom"/>
          </w:tcPr>
          <w:p w:rsidR="00D86BD3" w:rsidRPr="00D86BD3" w:rsidRDefault="00054C95" w:rsidP="00D86BD3">
            <w:pPr>
              <w:spacing w:before="40" w:after="120"/>
              <w:ind w:right="113"/>
            </w:pPr>
            <w:r w:rsidRPr="00CA610F">
              <w:rPr>
                <w:noProof/>
                <w:lang w:val="en-GB" w:eastAsia="en-GB"/>
              </w:rPr>
              <w:drawing>
                <wp:inline distT="0" distB="0" distL="0" distR="0" wp14:anchorId="2A293BB8" wp14:editId="0AE4D5FE">
                  <wp:extent cx="2268544" cy="126609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879" t="15390" r="8989" b="3119"/>
                          <a:stretch/>
                        </pic:blipFill>
                        <pic:spPr bwMode="auto">
                          <a:xfrm>
                            <a:off x="0" y="0"/>
                            <a:ext cx="2272709" cy="1268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BD3" w:rsidRPr="00D86BD3" w:rsidTr="00D86BD3">
        <w:tc>
          <w:tcPr>
            <w:tcW w:w="3685" w:type="dxa"/>
            <w:shd w:val="clear" w:color="auto" w:fill="auto"/>
          </w:tcPr>
          <w:p w:rsidR="00D86BD3" w:rsidRPr="00D86BD3" w:rsidRDefault="00493148" w:rsidP="00D05C52">
            <w:pPr>
              <w:tabs>
                <w:tab w:val="left" w:pos="281"/>
              </w:tabs>
              <w:spacing w:before="40" w:after="120"/>
              <w:ind w:right="113"/>
            </w:pPr>
            <w:r w:rsidRPr="00493148">
              <w:t>a)</w:t>
            </w:r>
            <w:r w:rsidRPr="00493148">
              <w:tab/>
              <w:t>Четвертое пересмотренное издание ЕПСВВП</w:t>
            </w:r>
          </w:p>
        </w:tc>
        <w:tc>
          <w:tcPr>
            <w:tcW w:w="3685" w:type="dxa"/>
            <w:shd w:val="clear" w:color="auto" w:fill="auto"/>
          </w:tcPr>
          <w:p w:rsidR="00D86BD3" w:rsidRPr="00D86BD3" w:rsidRDefault="00493148" w:rsidP="00D05C52">
            <w:pPr>
              <w:tabs>
                <w:tab w:val="left" w:pos="319"/>
              </w:tabs>
              <w:spacing w:before="40" w:after="120"/>
              <w:ind w:right="113"/>
            </w:pPr>
            <w:r>
              <w:t>b)</w:t>
            </w:r>
            <w:r>
              <w:tab/>
              <w:t>Пятое пересмотренное издание ЕПСВВП</w:t>
            </w:r>
          </w:p>
        </w:tc>
      </w:tr>
    </w:tbl>
    <w:p w:rsidR="00DC7ED4" w:rsidRPr="00D86BD3" w:rsidRDefault="00D05C52" w:rsidP="007F0AF7">
      <w:pPr>
        <w:pStyle w:val="SingleTxtGR"/>
        <w:spacing w:before="120"/>
        <w:jc w:val="left"/>
      </w:pPr>
      <w:r w:rsidRPr="00D05C52">
        <w:t>Рис. 2</w:t>
      </w:r>
      <w:r>
        <w:br/>
      </w:r>
      <w:r w:rsidRPr="00D05C52">
        <w:rPr>
          <w:b/>
          <w:bCs/>
        </w:rPr>
        <w:t>Применение ЕПСВВП государствами-членами</w:t>
      </w:r>
    </w:p>
    <w:tbl>
      <w:tblPr>
        <w:tblStyle w:val="TableGrid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3827"/>
      </w:tblGrid>
      <w:tr w:rsidR="00EF2517" w:rsidTr="006A73ED">
        <w:tc>
          <w:tcPr>
            <w:tcW w:w="3794" w:type="dxa"/>
          </w:tcPr>
          <w:p w:rsidR="00EF2517" w:rsidRDefault="00EF2517" w:rsidP="00E61053">
            <w:pPr>
              <w:pStyle w:val="SingleTxtG"/>
              <w:spacing w:before="240"/>
              <w:ind w:left="0"/>
              <w:rPr>
                <w:rFonts w:eastAsia="Calibri"/>
              </w:rPr>
            </w:pPr>
            <w:r w:rsidRPr="00E0504B">
              <w:rPr>
                <w:rFonts w:eastAsia="Calibri"/>
                <w:noProof/>
                <w:lang w:eastAsia="en-GB"/>
              </w:rPr>
              <w:drawing>
                <wp:inline distT="0" distB="0" distL="0" distR="0" wp14:anchorId="77F2A5D6" wp14:editId="32D0F78E">
                  <wp:extent cx="2315759" cy="1939787"/>
                  <wp:effectExtent l="0" t="0" r="8890" b="3810"/>
                  <wp:docPr id="10" name="Grafi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1741755-DDC6-4733-966B-44B4A794E3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1741755-DDC6-4733-966B-44B4A794E3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564" cy="194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F2517" w:rsidRDefault="00EF2517" w:rsidP="00E61053">
            <w:pPr>
              <w:pStyle w:val="SingleTxtG"/>
              <w:spacing w:before="240"/>
              <w:ind w:left="0"/>
              <w:rPr>
                <w:rFonts w:eastAsia="Calibri"/>
              </w:rPr>
            </w:pPr>
            <w:r w:rsidRPr="00E0504B">
              <w:rPr>
                <w:rFonts w:eastAsia="Calibri"/>
                <w:noProof/>
                <w:lang w:eastAsia="en-GB"/>
              </w:rPr>
              <w:drawing>
                <wp:inline distT="0" distB="0" distL="0" distR="0" wp14:anchorId="15B5E352" wp14:editId="7DDE875E">
                  <wp:extent cx="2287856" cy="1930710"/>
                  <wp:effectExtent l="0" t="0" r="0" b="0"/>
                  <wp:docPr id="9" name="Grafi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4B35F6-6CD0-4773-919C-C309138BBA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74B35F6-6CD0-4773-919C-C309138BBA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56" cy="1933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517" w:rsidTr="006A73ED">
        <w:tc>
          <w:tcPr>
            <w:tcW w:w="3794" w:type="dxa"/>
          </w:tcPr>
          <w:p w:rsidR="00EF2517" w:rsidRDefault="00EF2517" w:rsidP="003111A9">
            <w:pPr>
              <w:tabs>
                <w:tab w:val="left" w:pos="281"/>
              </w:tabs>
              <w:spacing w:before="40" w:after="120"/>
              <w:ind w:right="34"/>
              <w:rPr>
                <w:rFonts w:eastAsia="Calibri"/>
              </w:rPr>
            </w:pPr>
            <w:r>
              <w:rPr>
                <w:rFonts w:eastAsia="Calibri"/>
              </w:rPr>
              <w:t>a)</w:t>
            </w:r>
            <w:r>
              <w:rPr>
                <w:rFonts w:eastAsia="Calibri"/>
              </w:rPr>
              <w:tab/>
            </w:r>
            <w:r w:rsidR="003111A9">
              <w:t>Четвертое пересмотренное издание ЕПСВВП</w:t>
            </w:r>
          </w:p>
        </w:tc>
        <w:tc>
          <w:tcPr>
            <w:tcW w:w="3827" w:type="dxa"/>
          </w:tcPr>
          <w:p w:rsidR="00EF2517" w:rsidRDefault="00EF2517" w:rsidP="003111A9">
            <w:pPr>
              <w:tabs>
                <w:tab w:val="left" w:pos="281"/>
              </w:tabs>
              <w:spacing w:before="40" w:after="120"/>
              <w:ind w:right="113"/>
              <w:rPr>
                <w:rFonts w:eastAsia="Calibri"/>
              </w:rPr>
            </w:pPr>
            <w:r>
              <w:rPr>
                <w:rFonts w:eastAsia="Calibri"/>
              </w:rPr>
              <w:t>b)</w:t>
            </w:r>
            <w:r>
              <w:rPr>
                <w:rFonts w:eastAsia="Calibri"/>
              </w:rPr>
              <w:tab/>
            </w:r>
            <w:r w:rsidR="003111A9">
              <w:t>Пятое пересмотренное издание ЕПСВВП</w:t>
            </w:r>
          </w:p>
        </w:tc>
      </w:tr>
    </w:tbl>
    <w:p w:rsidR="00DC7ED4" w:rsidRPr="00DC7ED4" w:rsidRDefault="00DC7ED4" w:rsidP="007F0AF7">
      <w:pPr>
        <w:pStyle w:val="SingleTxtGR"/>
        <w:spacing w:before="240"/>
      </w:pPr>
      <w:r w:rsidRPr="00DC7ED4">
        <w:t>8.</w:t>
      </w:r>
      <w:r w:rsidRPr="00DC7ED4">
        <w:tab/>
        <w:t xml:space="preserve">В ходе рабочего совещания на тему: </w:t>
      </w:r>
      <w:r w:rsidR="00BE51A4">
        <w:t>«</w:t>
      </w:r>
      <w:r w:rsidRPr="00DC7ED4">
        <w:t>Правила внутреннего судоходства: осуществление Европейских правил плавания по внутренним водным путям</w:t>
      </w:r>
      <w:r w:rsidR="00BE51A4">
        <w:t>»</w:t>
      </w:r>
      <w:r w:rsidRPr="00DC7ED4">
        <w:t>, состоявшегося на шестьдесят первой сессии SC.3, подчеркивалось, что главной практической ценностью единых правил судоходства по внутренним водным путям является обеспечение согласованных стандартов в области безопасности судоходства. В числе других позитивных моментов можно также отметить ун</w:t>
      </w:r>
      <w:r w:rsidRPr="00DC7ED4">
        <w:t>и</w:t>
      </w:r>
      <w:r w:rsidRPr="00DC7ED4">
        <w:t>фикацию судовой документации и процедур, вклад в национальные и реги</w:t>
      </w:r>
      <w:r w:rsidRPr="00DC7ED4">
        <w:t>о</w:t>
      </w:r>
      <w:r w:rsidRPr="00DC7ED4">
        <w:t>нальные правила, которые позволяют предотвращать происшествия на вну</w:t>
      </w:r>
      <w:r w:rsidRPr="00DC7ED4">
        <w:t>т</w:t>
      </w:r>
      <w:r w:rsidRPr="00DC7ED4">
        <w:t xml:space="preserve">ренних водных путях, и общие стандарты в области обучения и компетенции экипажей. Большинство участников согласились с тем, что в целях придания ЕПСВВП большей эффективности они должны иметь статус международного </w:t>
      </w:r>
      <w:r w:rsidRPr="00DC7ED4">
        <w:lastRenderedPageBreak/>
        <w:t>соглашения. Вместе с тем такое соглашение не должно ограничивать внесение поправок, необходимость которых обусловлена навигационными соображени</w:t>
      </w:r>
      <w:r w:rsidRPr="00DC7ED4">
        <w:t>я</w:t>
      </w:r>
      <w:r w:rsidRPr="00DC7ED4">
        <w:t>ми и соображениями безопасности с учетом конкретных потребностей на том или ином участке реки или в речном бассейне.</w:t>
      </w:r>
    </w:p>
    <w:p w:rsidR="00DC7ED4" w:rsidRPr="00DC7ED4" w:rsidRDefault="00DC7ED4" w:rsidP="00DC7ED4">
      <w:pPr>
        <w:pStyle w:val="SingleTxtGR"/>
      </w:pPr>
      <w:r w:rsidRPr="00DC7ED4">
        <w:t>9.</w:t>
      </w:r>
      <w:r w:rsidRPr="00DC7ED4">
        <w:tab/>
        <w:t>В то же время речные комиссии и администрации государств-членов м</w:t>
      </w:r>
      <w:r w:rsidRPr="00DC7ED4">
        <w:t>о</w:t>
      </w:r>
      <w:r w:rsidRPr="00DC7ED4">
        <w:t>гут счесть, что согласование ЕПСВВП в качестве международного соглашения ограничит возможности делать необходимые отступления от них на уровне о</w:t>
      </w:r>
      <w:r w:rsidRPr="00DC7ED4">
        <w:t>т</w:t>
      </w:r>
      <w:r w:rsidRPr="00DC7ED4">
        <w:t>дельных речных бассейнов на региональном или национальном уровнях. Тем не менее судоводители нуждаются в практичном и удобном источнике информ</w:t>
      </w:r>
      <w:r w:rsidRPr="00DC7ED4">
        <w:t>а</w:t>
      </w:r>
      <w:r w:rsidRPr="00DC7ED4">
        <w:t>ции о правилах, действующих на определенном участке водного пути в Европе.</w:t>
      </w:r>
    </w:p>
    <w:p w:rsidR="00DC7ED4" w:rsidRPr="00DC7ED4" w:rsidRDefault="00DC7ED4" w:rsidP="00DC7ED4">
      <w:pPr>
        <w:pStyle w:val="SingleTxtGR"/>
      </w:pPr>
      <w:r w:rsidRPr="00DC7ED4">
        <w:t>10.</w:t>
      </w:r>
      <w:r w:rsidRPr="00DC7ED4">
        <w:tab/>
        <w:t>С одной стороны, вне зависимости от того, станет ЕПСВВП междунаро</w:t>
      </w:r>
      <w:r w:rsidRPr="00DC7ED4">
        <w:t>д</w:t>
      </w:r>
      <w:r w:rsidRPr="00DC7ED4">
        <w:t>ным соглашением или нет, для обеспечения необходимой транспарентности нужен своего рода депозитарий, который занимался бы ведением документа о ходе осуществления ЕПСВВП, а также отслеживал бы все отступления от ЕПСВВП и дополнительные требования, применяемые в правилах речных ба</w:t>
      </w:r>
      <w:r w:rsidRPr="00DC7ED4">
        <w:t>с</w:t>
      </w:r>
      <w:r w:rsidRPr="00DC7ED4">
        <w:t>сейнов, региональных и национальных правилах. С другой стороны, наци</w:t>
      </w:r>
      <w:r w:rsidRPr="00DC7ED4">
        <w:t>о</w:t>
      </w:r>
      <w:r w:rsidRPr="00DC7ED4">
        <w:t xml:space="preserve">нальные и международные организации должны быть готовы сообщать этому </w:t>
      </w:r>
      <w:r w:rsidR="00BE51A4">
        <w:t>«</w:t>
      </w:r>
      <w:r w:rsidRPr="00DC7ED4">
        <w:t>депозитарию</w:t>
      </w:r>
      <w:r w:rsidR="00BE51A4">
        <w:t>»</w:t>
      </w:r>
      <w:r w:rsidRPr="00DC7ED4">
        <w:t xml:space="preserve"> – в роли которого могла бы выступить ЕЭК – обо всех отклон</w:t>
      </w:r>
      <w:r w:rsidRPr="00DC7ED4">
        <w:t>е</w:t>
      </w:r>
      <w:r w:rsidRPr="00DC7ED4">
        <w:t>ниях, с тем чтобы можно было создать сетевой информационный инструмент для судоводителей.</w:t>
      </w:r>
    </w:p>
    <w:p w:rsidR="00DC7ED4" w:rsidRPr="00DC7ED4" w:rsidRDefault="00DC7ED4" w:rsidP="00DC7ED4">
      <w:pPr>
        <w:pStyle w:val="SingleTxtGR"/>
      </w:pPr>
      <w:r w:rsidRPr="00DC7ED4">
        <w:t>11.</w:t>
      </w:r>
      <w:r w:rsidRPr="00DC7ED4">
        <w:tab/>
        <w:t>Национальным и международным органам следует настоятельно рек</w:t>
      </w:r>
      <w:r w:rsidRPr="00DC7ED4">
        <w:t>о</w:t>
      </w:r>
      <w:r w:rsidRPr="00DC7ED4">
        <w:t>мендовать включить первоначальный текст ЕПСВВП в свои правила и четко указывать все поправки и отступления, которые они сочтут необходимыми, для обеспечения безопасности на своих конкретных водных путях.</w:t>
      </w:r>
    </w:p>
    <w:p w:rsidR="00DC7ED4" w:rsidRPr="00DC7ED4" w:rsidRDefault="00DC7ED4" w:rsidP="00DC7ED4">
      <w:pPr>
        <w:pStyle w:val="SingleTxtGR"/>
      </w:pPr>
      <w:r w:rsidRPr="00DC7ED4">
        <w:t>12.</w:t>
      </w:r>
      <w:r w:rsidRPr="00DC7ED4">
        <w:tab/>
        <w:t>Для того чтобы гарантировать свободный доступ к применимым прав</w:t>
      </w:r>
      <w:r w:rsidRPr="00DC7ED4">
        <w:t>и</w:t>
      </w:r>
      <w:r w:rsidRPr="00DC7ED4">
        <w:t>лам судоходства, следует создать ориентированную на базу данных информац</w:t>
      </w:r>
      <w:r w:rsidRPr="00DC7ED4">
        <w:t>и</w:t>
      </w:r>
      <w:r w:rsidRPr="00DC7ED4">
        <w:t>онную службу для судоводителей, например в рамках речных информационных служб (РИС), которую можно было бы внедрить по всей Европе вдоль всех о</w:t>
      </w:r>
      <w:r w:rsidRPr="00DC7ED4">
        <w:t>с</w:t>
      </w:r>
      <w:r w:rsidRPr="00DC7ED4">
        <w:t>новных водных путей, обеспечив тем самым более высокий уровень безопасн</w:t>
      </w:r>
      <w:r w:rsidRPr="00DC7ED4">
        <w:t>о</w:t>
      </w:r>
      <w:r w:rsidRPr="00DC7ED4">
        <w:t>сти и доступности.</w:t>
      </w:r>
    </w:p>
    <w:p w:rsidR="00DC7ED4" w:rsidRPr="006A73ED" w:rsidRDefault="00DC7ED4" w:rsidP="00DC7ED4">
      <w:pPr>
        <w:pStyle w:val="SingleTxtGR"/>
      </w:pPr>
      <w:r w:rsidRPr="00DC7ED4">
        <w:t>13.</w:t>
      </w:r>
      <w:r w:rsidRPr="00DC7ED4">
        <w:tab/>
        <w:t>ЕПСВВП зарекомендовали себя в качестве важного элемента законод</w:t>
      </w:r>
      <w:r w:rsidRPr="00DC7ED4">
        <w:t>а</w:t>
      </w:r>
      <w:r w:rsidRPr="00DC7ED4">
        <w:t>тельства, что оправдывает все усилия, направленные на поддержание этого д</w:t>
      </w:r>
      <w:r w:rsidRPr="00DC7ED4">
        <w:t>и</w:t>
      </w:r>
      <w:r w:rsidRPr="00DC7ED4">
        <w:t>намично развивающегося документа в условиях максимальной транспарентн</w:t>
      </w:r>
      <w:r w:rsidRPr="00DC7ED4">
        <w:t>о</w:t>
      </w:r>
      <w:r w:rsidRPr="00DC7ED4">
        <w:t>сти. В целях оптимального использования этих правил судоходства госуда</w:t>
      </w:r>
      <w:r w:rsidRPr="00DC7ED4">
        <w:t>р</w:t>
      </w:r>
      <w:r w:rsidRPr="00DC7ED4">
        <w:t>ствам-членам следует подробнее рассмотреть потенциальные выгоды и расх</w:t>
      </w:r>
      <w:r w:rsidRPr="00DC7ED4">
        <w:t>о</w:t>
      </w:r>
      <w:r w:rsidRPr="00DC7ED4">
        <w:t>ды, связанные с преобразованием ЕПСВВП в международное соглашение по аналогии с Венской конвенцией о дорожном движении.</w:t>
      </w:r>
    </w:p>
    <w:p w:rsidR="00DC7ED4" w:rsidRPr="006A73ED" w:rsidRDefault="00DC7ED4" w:rsidP="00DC7ED4">
      <w:pPr>
        <w:pStyle w:val="SingleTxtGR"/>
        <w:spacing w:before="240" w:after="0"/>
        <w:jc w:val="center"/>
        <w:rPr>
          <w:u w:val="single"/>
        </w:rPr>
      </w:pPr>
      <w:r w:rsidRPr="006A73ED">
        <w:rPr>
          <w:u w:val="single"/>
        </w:rPr>
        <w:tab/>
      </w:r>
      <w:r w:rsidRPr="006A73ED">
        <w:rPr>
          <w:u w:val="single"/>
        </w:rPr>
        <w:tab/>
      </w:r>
      <w:r w:rsidRPr="006A73ED">
        <w:rPr>
          <w:u w:val="single"/>
        </w:rPr>
        <w:tab/>
      </w:r>
    </w:p>
    <w:sectPr w:rsidR="00DC7ED4" w:rsidRPr="006A73ED" w:rsidSect="00F831FD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531" w:rsidRPr="00A312BC" w:rsidRDefault="00AD4531" w:rsidP="00A312BC"/>
  </w:endnote>
  <w:endnote w:type="continuationSeparator" w:id="0">
    <w:p w:rsidR="00AD4531" w:rsidRPr="00A312BC" w:rsidRDefault="00AD4531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1FD" w:rsidRPr="00F831FD" w:rsidRDefault="00F831FD">
    <w:pPr>
      <w:pStyle w:val="Footer"/>
    </w:pPr>
    <w:r w:rsidRPr="00F831FD">
      <w:rPr>
        <w:b/>
        <w:sz w:val="18"/>
      </w:rPr>
      <w:fldChar w:fldCharType="begin"/>
    </w:r>
    <w:r w:rsidRPr="00F831FD">
      <w:rPr>
        <w:b/>
        <w:sz w:val="18"/>
      </w:rPr>
      <w:instrText xml:space="preserve"> PAGE  \* MERGEFORMAT </w:instrText>
    </w:r>
    <w:r w:rsidRPr="00F831FD">
      <w:rPr>
        <w:b/>
        <w:sz w:val="18"/>
      </w:rPr>
      <w:fldChar w:fldCharType="separate"/>
    </w:r>
    <w:r w:rsidR="00DA2D45">
      <w:rPr>
        <w:b/>
        <w:noProof/>
        <w:sz w:val="18"/>
      </w:rPr>
      <w:t>4</w:t>
    </w:r>
    <w:r w:rsidRPr="00F831FD">
      <w:rPr>
        <w:b/>
        <w:sz w:val="18"/>
      </w:rPr>
      <w:fldChar w:fldCharType="end"/>
    </w:r>
    <w:r>
      <w:rPr>
        <w:b/>
        <w:sz w:val="18"/>
      </w:rPr>
      <w:tab/>
    </w:r>
    <w:r>
      <w:t>GE.17-22274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1FD" w:rsidRPr="00F831FD" w:rsidRDefault="00F831FD" w:rsidP="00F831FD">
    <w:pPr>
      <w:pStyle w:val="Footer"/>
      <w:tabs>
        <w:tab w:val="clear" w:pos="9639"/>
        <w:tab w:val="right" w:pos="9638"/>
      </w:tabs>
      <w:rPr>
        <w:b/>
        <w:sz w:val="18"/>
      </w:rPr>
    </w:pPr>
    <w:r>
      <w:t>GE.17-22274</w:t>
    </w:r>
    <w:r>
      <w:tab/>
    </w:r>
    <w:r w:rsidRPr="00F831FD">
      <w:rPr>
        <w:b/>
        <w:sz w:val="18"/>
      </w:rPr>
      <w:fldChar w:fldCharType="begin"/>
    </w:r>
    <w:r w:rsidRPr="00F831FD">
      <w:rPr>
        <w:b/>
        <w:sz w:val="18"/>
      </w:rPr>
      <w:instrText xml:space="preserve"> PAGE  \* MERGEFORMAT </w:instrText>
    </w:r>
    <w:r w:rsidRPr="00F831FD">
      <w:rPr>
        <w:b/>
        <w:sz w:val="18"/>
      </w:rPr>
      <w:fldChar w:fldCharType="separate"/>
    </w:r>
    <w:r w:rsidR="00DA2D45">
      <w:rPr>
        <w:b/>
        <w:noProof/>
        <w:sz w:val="18"/>
      </w:rPr>
      <w:t>3</w:t>
    </w:r>
    <w:r w:rsidRPr="00F831FD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B72" w:rsidRPr="00F831FD" w:rsidRDefault="00F831FD" w:rsidP="00F831FD">
    <w:pPr>
      <w:spacing w:before="120" w:line="240" w:lineRule="auto"/>
    </w:pPr>
    <w:r>
      <w:t>GE.</w:t>
    </w:r>
    <w:r w:rsidR="00DF71B9">
      <w:rPr>
        <w:b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02D1059" wp14:editId="3BD91F0B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17-22274  (R)</w:t>
    </w:r>
    <w:r w:rsidR="00E75694">
      <w:t xml:space="preserve">  221217  221217</w:t>
    </w:r>
    <w:r>
      <w:br/>
    </w:r>
    <w:r w:rsidRPr="00F831FD">
      <w:rPr>
        <w:rFonts w:ascii="C39T30Lfz" w:hAnsi="C39T30Lfz"/>
        <w:spacing w:val="0"/>
        <w:w w:val="100"/>
        <w:sz w:val="56"/>
      </w:rPr>
      <w:t></w:t>
    </w:r>
    <w:r w:rsidRPr="00F831FD">
      <w:rPr>
        <w:rFonts w:ascii="C39T30Lfz" w:hAnsi="C39T30Lfz"/>
        <w:spacing w:val="0"/>
        <w:w w:val="100"/>
        <w:sz w:val="56"/>
      </w:rPr>
      <w:t></w:t>
    </w:r>
    <w:r w:rsidRPr="00F831FD">
      <w:rPr>
        <w:rFonts w:ascii="C39T30Lfz" w:hAnsi="C39T30Lfz"/>
        <w:spacing w:val="0"/>
        <w:w w:val="100"/>
        <w:sz w:val="56"/>
      </w:rPr>
      <w:t></w:t>
    </w:r>
    <w:r w:rsidRPr="00F831FD">
      <w:rPr>
        <w:rFonts w:ascii="C39T30Lfz" w:hAnsi="C39T30Lfz"/>
        <w:spacing w:val="0"/>
        <w:w w:val="100"/>
        <w:sz w:val="56"/>
      </w:rPr>
      <w:t></w:t>
    </w:r>
    <w:r w:rsidRPr="00F831FD">
      <w:rPr>
        <w:rFonts w:ascii="C39T30Lfz" w:hAnsi="C39T30Lfz"/>
        <w:spacing w:val="0"/>
        <w:w w:val="100"/>
        <w:sz w:val="56"/>
      </w:rPr>
      <w:t></w:t>
    </w:r>
    <w:r w:rsidRPr="00F831FD">
      <w:rPr>
        <w:rFonts w:ascii="C39T30Lfz" w:hAnsi="C39T30Lfz"/>
        <w:spacing w:val="0"/>
        <w:w w:val="100"/>
        <w:sz w:val="56"/>
      </w:rPr>
      <w:t></w:t>
    </w:r>
    <w:r w:rsidRPr="00F831FD">
      <w:rPr>
        <w:rFonts w:ascii="C39T30Lfz" w:hAnsi="C39T30Lfz"/>
        <w:spacing w:val="0"/>
        <w:w w:val="100"/>
        <w:sz w:val="56"/>
      </w:rPr>
      <w:t></w:t>
    </w:r>
    <w:r w:rsidRPr="00F831FD">
      <w:rPr>
        <w:rFonts w:ascii="C39T30Lfz" w:hAnsi="C39T30Lfz"/>
        <w:spacing w:val="0"/>
        <w:w w:val="100"/>
        <w:sz w:val="56"/>
      </w:rPr>
      <w:t></w:t>
    </w:r>
    <w:r w:rsidRPr="00F831FD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7564" cy="637564"/>
          <wp:effectExtent l="0" t="0" r="0" b="0"/>
          <wp:wrapNone/>
          <wp:docPr id="1" name="Рисунок 1" descr="https://undocs.org/m2/QRCode.ashx?DS=ECE/TRANS/2018/15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2018/15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64" cy="637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531" w:rsidRPr="001075E9" w:rsidRDefault="00AD4531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AD4531" w:rsidRDefault="00AD4531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DC7ED4" w:rsidRPr="009114A6" w:rsidRDefault="00DC7ED4" w:rsidP="00E75694">
      <w:pPr>
        <w:pStyle w:val="FootnoteText"/>
        <w:rPr>
          <w:lang w:val="ru-RU"/>
        </w:rPr>
      </w:pPr>
      <w:r>
        <w:rPr>
          <w:lang w:val="ru-RU"/>
        </w:rPr>
        <w:tab/>
      </w:r>
      <w:r>
        <w:rPr>
          <w:rStyle w:val="FootnoteReference"/>
          <w:lang w:val="ru-RU"/>
        </w:rPr>
        <w:footnoteRef/>
      </w:r>
      <w:r>
        <w:rPr>
          <w:lang w:val="ru-RU"/>
        </w:rPr>
        <w:tab/>
        <w:t xml:space="preserve">Самая последняя версия опубликована в виде документов ECE/TRANS/SC.3/2017/6 </w:t>
      </w:r>
      <w:r w:rsidR="00E75694">
        <w:rPr>
          <w:lang w:val="ru-RU"/>
        </w:rPr>
        <w:br/>
      </w:r>
      <w:r>
        <w:rPr>
          <w:lang w:val="ru-RU"/>
        </w:rPr>
        <w:t>и ECE/TRANS/SC.3/2017/25.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1FD" w:rsidRPr="00F831FD" w:rsidRDefault="00DA2D45">
    <w:pPr>
      <w:pStyle w:val="Header"/>
    </w:pPr>
    <w:r>
      <w:fldChar w:fldCharType="begin"/>
    </w:r>
    <w:r>
      <w:instrText xml:space="preserve"> TITLE  \* MERGEFORMAT </w:instrText>
    </w:r>
    <w:r>
      <w:fldChar w:fldCharType="separate"/>
    </w:r>
    <w:r w:rsidR="005A6F65">
      <w:t>ECE/TRANS/2018/15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31FD" w:rsidRPr="00F831FD" w:rsidRDefault="00DA2D45" w:rsidP="00F831FD">
    <w:pPr>
      <w:pStyle w:val="Header"/>
      <w:jc w:val="right"/>
    </w:pPr>
    <w:r>
      <w:fldChar w:fldCharType="begin"/>
    </w:r>
    <w:r>
      <w:instrText xml:space="preserve"> TITLE  \* MERGEFORMAT </w:instrText>
    </w:r>
    <w:r>
      <w:fldChar w:fldCharType="separate"/>
    </w:r>
    <w:r w:rsidR="005A6F65">
      <w:t>ECE/TRANS/2018/15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531"/>
    <w:rsid w:val="000063AB"/>
    <w:rsid w:val="00033EE1"/>
    <w:rsid w:val="00042B72"/>
    <w:rsid w:val="00054C95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11A9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407B78"/>
    <w:rsid w:val="00424203"/>
    <w:rsid w:val="00452493"/>
    <w:rsid w:val="00453318"/>
    <w:rsid w:val="00454AF2"/>
    <w:rsid w:val="00454E07"/>
    <w:rsid w:val="00472C5C"/>
    <w:rsid w:val="00493148"/>
    <w:rsid w:val="004E05B7"/>
    <w:rsid w:val="00500EC3"/>
    <w:rsid w:val="0050108D"/>
    <w:rsid w:val="00513081"/>
    <w:rsid w:val="00517901"/>
    <w:rsid w:val="00524214"/>
    <w:rsid w:val="00526683"/>
    <w:rsid w:val="005639C1"/>
    <w:rsid w:val="005709E0"/>
    <w:rsid w:val="00572E19"/>
    <w:rsid w:val="005961C8"/>
    <w:rsid w:val="005966F1"/>
    <w:rsid w:val="005A6F65"/>
    <w:rsid w:val="005D7914"/>
    <w:rsid w:val="005E2B41"/>
    <w:rsid w:val="005F0B42"/>
    <w:rsid w:val="006345DB"/>
    <w:rsid w:val="00640F49"/>
    <w:rsid w:val="00680D03"/>
    <w:rsid w:val="00681A10"/>
    <w:rsid w:val="006A1ED8"/>
    <w:rsid w:val="006A73ED"/>
    <w:rsid w:val="006C2031"/>
    <w:rsid w:val="006D461A"/>
    <w:rsid w:val="006F35EE"/>
    <w:rsid w:val="007021FF"/>
    <w:rsid w:val="00712895"/>
    <w:rsid w:val="00734ACB"/>
    <w:rsid w:val="00757357"/>
    <w:rsid w:val="00792497"/>
    <w:rsid w:val="007F0AF7"/>
    <w:rsid w:val="00806737"/>
    <w:rsid w:val="00825F8D"/>
    <w:rsid w:val="00834B71"/>
    <w:rsid w:val="0086445C"/>
    <w:rsid w:val="0088114F"/>
    <w:rsid w:val="00894693"/>
    <w:rsid w:val="008A08D7"/>
    <w:rsid w:val="008A37C8"/>
    <w:rsid w:val="008B6909"/>
    <w:rsid w:val="008D53B6"/>
    <w:rsid w:val="008F7609"/>
    <w:rsid w:val="00906890"/>
    <w:rsid w:val="00911BE4"/>
    <w:rsid w:val="00951972"/>
    <w:rsid w:val="009608F3"/>
    <w:rsid w:val="00984677"/>
    <w:rsid w:val="009A24AC"/>
    <w:rsid w:val="009C6FE6"/>
    <w:rsid w:val="009D7E7D"/>
    <w:rsid w:val="00A14DA8"/>
    <w:rsid w:val="00A312BC"/>
    <w:rsid w:val="00A84021"/>
    <w:rsid w:val="00A84D35"/>
    <w:rsid w:val="00A917B3"/>
    <w:rsid w:val="00AB4B51"/>
    <w:rsid w:val="00AD2B6C"/>
    <w:rsid w:val="00AD4531"/>
    <w:rsid w:val="00B10CC7"/>
    <w:rsid w:val="00B36DF7"/>
    <w:rsid w:val="00B539E7"/>
    <w:rsid w:val="00B62458"/>
    <w:rsid w:val="00BC18B2"/>
    <w:rsid w:val="00BD33EE"/>
    <w:rsid w:val="00BE1CC7"/>
    <w:rsid w:val="00BE51A4"/>
    <w:rsid w:val="00C106D6"/>
    <w:rsid w:val="00C119AE"/>
    <w:rsid w:val="00C60F0C"/>
    <w:rsid w:val="00C805C9"/>
    <w:rsid w:val="00C92939"/>
    <w:rsid w:val="00CA1679"/>
    <w:rsid w:val="00CA610F"/>
    <w:rsid w:val="00CB151C"/>
    <w:rsid w:val="00CE59D8"/>
    <w:rsid w:val="00CE5A1A"/>
    <w:rsid w:val="00CF55F6"/>
    <w:rsid w:val="00D05C52"/>
    <w:rsid w:val="00D33D63"/>
    <w:rsid w:val="00D5253A"/>
    <w:rsid w:val="00D86BD3"/>
    <w:rsid w:val="00D90028"/>
    <w:rsid w:val="00D90138"/>
    <w:rsid w:val="00DA2D45"/>
    <w:rsid w:val="00DC7ED4"/>
    <w:rsid w:val="00DD78D1"/>
    <w:rsid w:val="00DE32CD"/>
    <w:rsid w:val="00DF5767"/>
    <w:rsid w:val="00DF71B9"/>
    <w:rsid w:val="00E12C5F"/>
    <w:rsid w:val="00E73F76"/>
    <w:rsid w:val="00E75694"/>
    <w:rsid w:val="00EA2C9F"/>
    <w:rsid w:val="00EA420E"/>
    <w:rsid w:val="00ED0BDA"/>
    <w:rsid w:val="00EE142A"/>
    <w:rsid w:val="00EF1360"/>
    <w:rsid w:val="00EF2517"/>
    <w:rsid w:val="00EF3220"/>
    <w:rsid w:val="00F2523A"/>
    <w:rsid w:val="00F43903"/>
    <w:rsid w:val="00F831FD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customStyle="1" w:styleId="HChG">
    <w:name w:val="_ H _Ch_G"/>
    <w:basedOn w:val="Normal"/>
    <w:next w:val="Normal"/>
    <w:rsid w:val="00F831F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en-GB" w:eastAsia="en-US"/>
    </w:rPr>
  </w:style>
  <w:style w:type="paragraph" w:customStyle="1" w:styleId="SingleTxtG">
    <w:name w:val="_ Single Txt_G"/>
    <w:basedOn w:val="Normal"/>
    <w:link w:val="SingleTxtGChar"/>
    <w:rsid w:val="00EF2517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en-GB" w:eastAsia="en-US"/>
    </w:rPr>
  </w:style>
  <w:style w:type="character" w:customStyle="1" w:styleId="SingleTxtGChar">
    <w:name w:val="_ Single Txt_G Char"/>
    <w:link w:val="SingleTxtG"/>
    <w:locked/>
    <w:rsid w:val="00EF2517"/>
    <w:rPr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qFormat="1"/>
    <w:lsdException w:name="header" w:qFormat="1"/>
    <w:lsdException w:name="footer" w:qFormat="1"/>
    <w:lsdException w:name="caption" w:qFormat="1"/>
    <w:lsdException w:name="footnote reference" w:qFormat="1"/>
    <w:lsdException w:name="page number" w:qFormat="1"/>
    <w:lsdException w:name="endnote reference" w:qFormat="1"/>
    <w:lsdException w:name="endnote text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Default Paragraph Font" w:uiPriority="1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,4_G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customStyle="1" w:styleId="HChG">
    <w:name w:val="_ H _Ch_G"/>
    <w:basedOn w:val="Normal"/>
    <w:next w:val="Normal"/>
    <w:rsid w:val="00F831FD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pacing w:val="0"/>
      <w:w w:val="100"/>
      <w:kern w:val="0"/>
      <w:sz w:val="28"/>
      <w:szCs w:val="20"/>
      <w:lang w:val="en-GB" w:eastAsia="en-US"/>
    </w:rPr>
  </w:style>
  <w:style w:type="paragraph" w:customStyle="1" w:styleId="SingleTxtG">
    <w:name w:val="_ Single Txt_G"/>
    <w:basedOn w:val="Normal"/>
    <w:link w:val="SingleTxtGChar"/>
    <w:rsid w:val="00EF2517"/>
    <w:pPr>
      <w:suppressAutoHyphens/>
      <w:spacing w:after="120"/>
      <w:ind w:left="1134" w:right="1134"/>
      <w:jc w:val="both"/>
    </w:pPr>
    <w:rPr>
      <w:rFonts w:eastAsia="Times New Roman" w:cs="Times New Roman"/>
      <w:spacing w:val="0"/>
      <w:w w:val="100"/>
      <w:kern w:val="0"/>
      <w:szCs w:val="20"/>
      <w:lang w:val="en-GB" w:eastAsia="en-US"/>
    </w:rPr>
  </w:style>
  <w:style w:type="character" w:customStyle="1" w:styleId="SingleTxtGChar">
    <w:name w:val="_ Single Txt_G Char"/>
    <w:link w:val="SingleTxtG"/>
    <w:locked/>
    <w:rsid w:val="00EF2517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1147</Words>
  <Characters>7978</Characters>
  <Application>Microsoft Office Word</Application>
  <DocSecurity>0</DocSecurity>
  <Lines>66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ECE/TRANS/2018/15</vt:lpstr>
      <vt:lpstr>ECE/TRANS/2018/15</vt:lpstr>
      <vt:lpstr>A/</vt:lpstr>
    </vt:vector>
  </TitlesOfParts>
  <Company>DCM</Company>
  <LinksUpToDate>false</LinksUpToDate>
  <CharactersWithSpaces>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ECE/TRANS/2018/15</dc:title>
  <dc:creator>Prokoudina S.</dc:creator>
  <cp:lastModifiedBy>Jeyhun Shahverdili</cp:lastModifiedBy>
  <cp:revision>2</cp:revision>
  <cp:lastPrinted>2017-12-22T10:35:00Z</cp:lastPrinted>
  <dcterms:created xsi:type="dcterms:W3CDTF">2018-01-10T07:58:00Z</dcterms:created>
  <dcterms:modified xsi:type="dcterms:W3CDTF">2018-01-10T07:58:00Z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