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5622"/>
        <w:gridCol w:w="2801"/>
      </w:tblGrid>
      <w:tr w:rsidR="005D6641" w:rsidRPr="005D6641" w:rsidTr="00B416BC">
        <w:trPr>
          <w:cantSplit/>
          <w:trHeight w:hRule="exact" w:val="881"/>
        </w:trPr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/>
        </w:tc>
        <w:tc>
          <w:tcPr>
            <w:tcW w:w="8423" w:type="dxa"/>
            <w:gridSpan w:val="2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>
            <w:pPr>
              <w:jc w:val="right"/>
            </w:pPr>
            <w:r w:rsidRPr="005D6641">
              <w:rPr>
                <w:b/>
                <w:sz w:val="40"/>
                <w:szCs w:val="40"/>
              </w:rPr>
              <w:t>INF</w:t>
            </w:r>
            <w:r w:rsidR="00B416BC">
              <w:rPr>
                <w:b/>
                <w:sz w:val="40"/>
                <w:szCs w:val="40"/>
              </w:rPr>
              <w:t>.</w:t>
            </w:r>
            <w:r w:rsidR="00127422">
              <w:rPr>
                <w:b/>
                <w:sz w:val="40"/>
                <w:szCs w:val="40"/>
              </w:rPr>
              <w:t>12</w:t>
            </w:r>
          </w:p>
        </w:tc>
      </w:tr>
      <w:tr w:rsidR="005D6641" w:rsidRPr="005D6641" w:rsidTr="00CC0411">
        <w:trPr>
          <w:cantSplit/>
          <w:trHeight w:hRule="exact" w:val="3810"/>
        </w:trPr>
        <w:tc>
          <w:tcPr>
            <w:tcW w:w="691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641" w:rsidRPr="003134DF" w:rsidRDefault="005D6641" w:rsidP="005D6641">
            <w:pPr>
              <w:spacing w:before="120"/>
              <w:rPr>
                <w:b/>
                <w:sz w:val="28"/>
                <w:szCs w:val="28"/>
              </w:rPr>
            </w:pPr>
            <w:r w:rsidRPr="003134DF">
              <w:rPr>
                <w:b/>
                <w:sz w:val="28"/>
                <w:szCs w:val="28"/>
              </w:rPr>
              <w:t>Economic Commission for Europe</w:t>
            </w:r>
          </w:p>
          <w:p w:rsidR="005D6641" w:rsidRPr="003134DF" w:rsidRDefault="005D6641" w:rsidP="005D6641">
            <w:pPr>
              <w:spacing w:before="120"/>
              <w:rPr>
                <w:sz w:val="28"/>
                <w:szCs w:val="28"/>
              </w:rPr>
            </w:pPr>
            <w:r w:rsidRPr="003134DF">
              <w:rPr>
                <w:sz w:val="28"/>
                <w:szCs w:val="28"/>
              </w:rPr>
              <w:t>Inland Transport Committee</w:t>
            </w:r>
          </w:p>
          <w:p w:rsidR="005D6641" w:rsidRPr="003134DF" w:rsidRDefault="005D6641" w:rsidP="005D6641">
            <w:pPr>
              <w:spacing w:before="120"/>
              <w:rPr>
                <w:b/>
                <w:sz w:val="24"/>
                <w:szCs w:val="24"/>
              </w:rPr>
            </w:pPr>
            <w:r w:rsidRPr="003134DF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5D6641" w:rsidRPr="003134DF" w:rsidRDefault="005D6641" w:rsidP="005D6641">
            <w:pPr>
              <w:spacing w:before="120" w:after="120"/>
              <w:rPr>
                <w:b/>
              </w:rPr>
            </w:pPr>
            <w:r w:rsidRPr="003134DF">
              <w:rPr>
                <w:b/>
              </w:rPr>
              <w:t xml:space="preserve">Joint Meeting of Experts on the Regulations annexed to the </w:t>
            </w:r>
            <w:r w:rsidRPr="003134DF">
              <w:rPr>
                <w:b/>
              </w:rPr>
              <w:br/>
              <w:t xml:space="preserve">European Agreement concerning the International Carriage </w:t>
            </w:r>
            <w:r w:rsidRPr="003134DF">
              <w:rPr>
                <w:b/>
              </w:rPr>
              <w:br/>
              <w:t>of Dangerous Goods by Inland Waterways (ADN)</w:t>
            </w:r>
            <w:r w:rsidRPr="003134DF">
              <w:rPr>
                <w:b/>
              </w:rPr>
              <w:br/>
              <w:t>(ADN Safety Committee)</w:t>
            </w:r>
          </w:p>
          <w:p w:rsidR="005D6641" w:rsidRPr="003134DF" w:rsidRDefault="005D6641" w:rsidP="005D6641">
            <w:pPr>
              <w:spacing w:before="120"/>
              <w:rPr>
                <w:b/>
              </w:rPr>
            </w:pPr>
            <w:r>
              <w:rPr>
                <w:b/>
              </w:rPr>
              <w:t>Thirty-third</w:t>
            </w:r>
            <w:r w:rsidRPr="003134DF">
              <w:rPr>
                <w:b/>
              </w:rPr>
              <w:t xml:space="preserve"> session</w:t>
            </w:r>
          </w:p>
          <w:p w:rsidR="005D6641" w:rsidRPr="003134DF" w:rsidRDefault="005D6641" w:rsidP="005D6641">
            <w:r w:rsidRPr="003134DF">
              <w:t>Geneva, 2</w:t>
            </w:r>
            <w:r>
              <w:t>7–31August</w:t>
            </w:r>
            <w:r w:rsidRPr="003134DF">
              <w:t xml:space="preserve"> 201</w:t>
            </w:r>
            <w:r>
              <w:t>8</w:t>
            </w:r>
            <w:r>
              <w:br/>
              <w:t xml:space="preserve">Item </w:t>
            </w:r>
            <w:r w:rsidR="00CC0411">
              <w:t>4</w:t>
            </w:r>
            <w:r w:rsidR="008C13ED">
              <w:t xml:space="preserve"> (</w:t>
            </w:r>
            <w:r w:rsidR="007E4801">
              <w:t>a</w:t>
            </w:r>
            <w:r w:rsidR="008C13ED">
              <w:t>)</w:t>
            </w:r>
            <w:r w:rsidR="00BA1D19">
              <w:t xml:space="preserve"> </w:t>
            </w:r>
            <w:r w:rsidRPr="003134DF">
              <w:t>of the provisional agenda</w:t>
            </w:r>
          </w:p>
          <w:p w:rsidR="005D6641" w:rsidRPr="00F06314" w:rsidRDefault="00CC0411" w:rsidP="00CC0411">
            <w:pPr>
              <w:rPr>
                <w:b/>
              </w:rPr>
            </w:pPr>
            <w:r w:rsidRPr="00F06314">
              <w:rPr>
                <w:b/>
              </w:rPr>
              <w:t>Proposals for amendments to the Regulations annexed to ADN</w:t>
            </w:r>
            <w:r w:rsidR="005D6641" w:rsidRPr="00F06314">
              <w:rPr>
                <w:b/>
              </w:rPr>
              <w:t>:</w:t>
            </w:r>
          </w:p>
          <w:p w:rsidR="005D6641" w:rsidRPr="005D6641" w:rsidRDefault="00F06314" w:rsidP="00F06314">
            <w:pPr>
              <w:spacing w:after="120"/>
              <w:rPr>
                <w:b/>
              </w:rPr>
            </w:pPr>
            <w:r w:rsidRPr="00F06314">
              <w:rPr>
                <w:b/>
              </w:rPr>
              <w:t>work of the RID/ADR/ADN Joint Meeting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</w:tcPr>
          <w:p w:rsidR="005D6641" w:rsidRPr="005D6641" w:rsidRDefault="005D6641" w:rsidP="005D6641">
            <w:pPr>
              <w:spacing w:before="120"/>
            </w:pPr>
          </w:p>
          <w:p w:rsidR="005D6641" w:rsidRPr="00FA1363" w:rsidRDefault="00127422" w:rsidP="005D6641">
            <w:pPr>
              <w:spacing w:before="120"/>
              <w:rPr>
                <w:bCs/>
              </w:rPr>
            </w:pPr>
            <w:r>
              <w:rPr>
                <w:bCs/>
              </w:rPr>
              <w:t>2 August</w:t>
            </w:r>
            <w:r w:rsidR="00FA1363" w:rsidRPr="00FA1363">
              <w:rPr>
                <w:bCs/>
              </w:rPr>
              <w:t xml:space="preserve"> </w:t>
            </w:r>
            <w:r w:rsidR="005D6641" w:rsidRPr="00FA1363">
              <w:rPr>
                <w:bCs/>
              </w:rPr>
              <w:t>2018</w:t>
            </w:r>
          </w:p>
        </w:tc>
      </w:tr>
    </w:tbl>
    <w:p w:rsidR="00885A1E" w:rsidRPr="00885A1E" w:rsidRDefault="00710B24" w:rsidP="007E4801">
      <w:pPr>
        <w:pStyle w:val="HChG"/>
        <w:rPr>
          <w:lang w:eastAsia="zh-CN"/>
        </w:rPr>
      </w:pPr>
      <w:r>
        <w:rPr>
          <w:lang w:val="en" w:eastAsia="zh-CN"/>
        </w:rPr>
        <w:tab/>
      </w:r>
      <w:r>
        <w:rPr>
          <w:lang w:val="en" w:eastAsia="zh-CN"/>
        </w:rPr>
        <w:tab/>
      </w:r>
      <w:r w:rsidR="007E4801" w:rsidRPr="007E4801">
        <w:rPr>
          <w:lang w:eastAsia="zh-CN"/>
        </w:rPr>
        <w:t>Draft amendments of the regulations annexed to the ADN - new section 7.1.7 of ADN (temperature control)</w:t>
      </w:r>
    </w:p>
    <w:p w:rsidR="00F1616D" w:rsidRDefault="00F1616D" w:rsidP="007E4801">
      <w:pPr>
        <w:pStyle w:val="H1G"/>
        <w:rPr>
          <w:lang w:val="en-US"/>
        </w:rPr>
      </w:pPr>
      <w:r w:rsidRPr="003134DF">
        <w:tab/>
      </w:r>
      <w:r w:rsidRPr="003134DF">
        <w:tab/>
      </w:r>
      <w:r w:rsidR="00ED44FE" w:rsidRPr="00ED44FE">
        <w:rPr>
          <w:lang w:val="en-US"/>
        </w:rPr>
        <w:t xml:space="preserve">Transmitted by </w:t>
      </w:r>
      <w:r w:rsidR="007E4801">
        <w:rPr>
          <w:lang w:val="en-US"/>
        </w:rPr>
        <w:t xml:space="preserve">the Government of </w:t>
      </w:r>
      <w:r w:rsidR="007E4801" w:rsidRPr="007E4801">
        <w:t>Germany</w:t>
      </w:r>
    </w:p>
    <w:p w:rsidR="007E4801" w:rsidRPr="007E4801" w:rsidRDefault="007E4801" w:rsidP="007E4801">
      <w:pPr>
        <w:pStyle w:val="SingleTxtG"/>
      </w:pPr>
      <w:r w:rsidRPr="00F06314">
        <w:t xml:space="preserve">Related document: </w:t>
      </w:r>
      <w:r w:rsidR="006B5528">
        <w:t>ECE/TRANS/</w:t>
      </w:r>
      <w:r w:rsidRPr="007E4801">
        <w:t>WP.15/AC.2/2018/24</w:t>
      </w:r>
    </w:p>
    <w:p w:rsidR="007E4801" w:rsidRPr="007E4801" w:rsidRDefault="007E4801" w:rsidP="0057523C">
      <w:pPr>
        <w:pStyle w:val="HChG"/>
      </w:pPr>
      <w:r w:rsidRPr="007E4801">
        <w:tab/>
      </w:r>
      <w:r w:rsidR="0057523C">
        <w:tab/>
      </w:r>
      <w:r w:rsidR="0057523C">
        <w:tab/>
      </w:r>
      <w:r w:rsidRPr="007E4801">
        <w:t>Introduction</w:t>
      </w:r>
    </w:p>
    <w:p w:rsidR="007E4801" w:rsidRPr="007E4801" w:rsidRDefault="007E4801" w:rsidP="007E4801">
      <w:pPr>
        <w:pStyle w:val="SingleTxtG"/>
        <w:rPr>
          <w:iCs/>
        </w:rPr>
      </w:pPr>
      <w:r w:rsidRPr="007E4801">
        <w:t>1.</w:t>
      </w:r>
      <w:r w:rsidRPr="007E4801">
        <w:tab/>
        <w:t xml:space="preserve">With the mentioned document, the UNECE Secretariat, based on the decisions of the Joint Meeting and WP.15, proposes, among other things, to include in ADN a new section </w:t>
      </w:r>
      <w:r w:rsidRPr="007E4801">
        <w:br/>
      </w:r>
      <w:r w:rsidRPr="007E4801">
        <w:rPr>
          <w:b/>
          <w:i/>
          <w:iCs/>
        </w:rPr>
        <w:t>“7.1.7</w:t>
      </w:r>
      <w:r w:rsidRPr="007E4801">
        <w:rPr>
          <w:b/>
          <w:i/>
          <w:iCs/>
        </w:rPr>
        <w:tab/>
        <w:t>Specific provisions applicable to the carriage of self-reactive substances of Class 4.1, organic peroxides of Class 5.2 and substances stabilized by temperature control (other than self-reactive substances and organic peroxides)”.</w:t>
      </w:r>
    </w:p>
    <w:p w:rsidR="007E4801" w:rsidRPr="007E4801" w:rsidRDefault="007E4801" w:rsidP="007E4801">
      <w:pPr>
        <w:pStyle w:val="SingleTxtG"/>
      </w:pPr>
      <w:r w:rsidRPr="007E4801">
        <w:t>2.</w:t>
      </w:r>
      <w:r w:rsidRPr="007E4801">
        <w:tab/>
        <w:t>In ADN 2017, there are provisions on the carriage of goods with temperature control in 2.2.41.1.17, in 3.1.2.6 and in special provision 386.</w:t>
      </w:r>
    </w:p>
    <w:p w:rsidR="007E4801" w:rsidRPr="007E4801" w:rsidRDefault="007E4801" w:rsidP="007E4801">
      <w:pPr>
        <w:pStyle w:val="SingleTxtG"/>
      </w:pPr>
      <w:r w:rsidRPr="007E4801">
        <w:t>3.</w:t>
      </w:r>
      <w:r w:rsidRPr="007E4801">
        <w:tab/>
        <w:t xml:space="preserve">In 3.1.2.6 and special provision 386, the reference to “7.1.7” is added (document </w:t>
      </w:r>
      <w:r w:rsidR="00AA264F">
        <w:t>ECE/TRANS</w:t>
      </w:r>
      <w:bookmarkStart w:id="0" w:name="_GoBack"/>
      <w:bookmarkEnd w:id="0"/>
      <w:r w:rsidRPr="007E4801">
        <w:t>/ADN/45).</w:t>
      </w:r>
    </w:p>
    <w:p w:rsidR="007E4801" w:rsidRPr="007E4801" w:rsidRDefault="007E4801" w:rsidP="007E4801">
      <w:pPr>
        <w:pStyle w:val="SingleTxtG"/>
      </w:pPr>
      <w:r w:rsidRPr="007E4801">
        <w:t>4.</w:t>
      </w:r>
      <w:r w:rsidRPr="007E4801">
        <w:tab/>
        <w:t>In 7.1.7.4, new obligations are laid down for the enterprises participating in the transport operation.</w:t>
      </w:r>
    </w:p>
    <w:p w:rsidR="007E4801" w:rsidRPr="007E4801" w:rsidRDefault="007E4801" w:rsidP="007E4801">
      <w:pPr>
        <w:pStyle w:val="SingleTxtG"/>
      </w:pPr>
      <w:r w:rsidRPr="007E4801">
        <w:t xml:space="preserve">The German delegation </w:t>
      </w:r>
      <w:proofErr w:type="gramStart"/>
      <w:r w:rsidRPr="007E4801">
        <w:t>is of the opinion that</w:t>
      </w:r>
      <w:proofErr w:type="gramEnd"/>
      <w:r w:rsidRPr="007E4801">
        <w:t xml:space="preserve"> these obligations are shared among the enterprises in the following manner:</w:t>
      </w:r>
    </w:p>
    <w:p w:rsidR="007E4801" w:rsidRPr="007E4801" w:rsidRDefault="007E4801" w:rsidP="0057523C">
      <w:pPr>
        <w:pStyle w:val="SingleTxtG"/>
        <w:ind w:left="1701"/>
        <w:rPr>
          <w:b/>
        </w:rPr>
      </w:pPr>
      <w:r w:rsidRPr="007E4801">
        <w:rPr>
          <w:b/>
        </w:rPr>
        <w:t>Consignor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7.1.7.4.1: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</w:rPr>
        <w:t xml:space="preserve">(b) Instructions to the carrier about the operation of the refrigeration system including a list of the suppliers of coolant available </w:t>
      </w:r>
      <w:proofErr w:type="spellStart"/>
      <w:r w:rsidRPr="007E4801">
        <w:rPr>
          <w:i/>
        </w:rPr>
        <w:t>en</w:t>
      </w:r>
      <w:proofErr w:type="spellEnd"/>
      <w:r w:rsidRPr="007E4801">
        <w:rPr>
          <w:i/>
        </w:rPr>
        <w:t xml:space="preserve"> route;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(c)</w:t>
      </w:r>
      <w:r w:rsidRPr="007E4801">
        <w:rPr>
          <w:i/>
          <w:iCs/>
        </w:rPr>
        <w:tab/>
        <w:t>Procedures to be followed in the event of loss of control;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(e)</w:t>
      </w:r>
      <w:r w:rsidRPr="007E4801">
        <w:rPr>
          <w:i/>
          <w:iCs/>
        </w:rPr>
        <w:tab/>
        <w:t>Provision of a back-up refrigeration system or spare parts;</w:t>
      </w:r>
    </w:p>
    <w:p w:rsidR="007E4801" w:rsidRPr="007E4801" w:rsidRDefault="007E4801" w:rsidP="0057523C">
      <w:pPr>
        <w:pStyle w:val="SingleTxtG"/>
        <w:ind w:left="1701"/>
        <w:rPr>
          <w:iCs/>
        </w:rPr>
      </w:pPr>
      <w:r w:rsidRPr="007E4801">
        <w:rPr>
          <w:iCs/>
        </w:rPr>
        <w:t>[Note to the Secretariat: in ADR the term “Availability” is used.]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lastRenderedPageBreak/>
        <w:t>7.1.7.4.2: Condition and operation of the control and temperature sensing devices in the refrigeration system;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7.1.7.4.3: Specification of alert procedures and emergency procedures.</w:t>
      </w:r>
    </w:p>
    <w:p w:rsidR="007E4801" w:rsidRPr="007E4801" w:rsidRDefault="007E4801" w:rsidP="0057523C">
      <w:pPr>
        <w:pStyle w:val="SingleTxtG"/>
        <w:ind w:left="1701"/>
      </w:pPr>
      <w:r w:rsidRPr="007E4801">
        <w:t>The resulting obligations vis-à-vis the carrier to provide information already follow from 1.4.2.1.1 (b) of ADN.</w:t>
      </w:r>
    </w:p>
    <w:p w:rsidR="007E4801" w:rsidRPr="007E4801" w:rsidRDefault="007E4801" w:rsidP="0057523C">
      <w:pPr>
        <w:pStyle w:val="SingleTxtG"/>
        <w:ind w:left="1701"/>
        <w:rPr>
          <w:b/>
        </w:rPr>
      </w:pPr>
      <w:r w:rsidRPr="007E4801">
        <w:rPr>
          <w:b/>
        </w:rPr>
        <w:t>Loader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7.1.7.4.1: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(a)</w:t>
      </w:r>
      <w:r w:rsidRPr="007E4801">
        <w:rPr>
          <w:i/>
          <w:iCs/>
        </w:rPr>
        <w:tab/>
        <w:t>Thorough inspection of the cargo transport unit prior to loading;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(c)</w:t>
      </w:r>
      <w:r w:rsidRPr="007E4801">
        <w:rPr>
          <w:i/>
          <w:iCs/>
        </w:rPr>
        <w:tab/>
        <w:t>Procedures to be followed in the event of loss of control;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(e)</w:t>
      </w:r>
      <w:r w:rsidRPr="007E4801">
        <w:rPr>
          <w:i/>
          <w:iCs/>
        </w:rPr>
        <w:tab/>
        <w:t>Provision of a back-up refrigeration system or spare parts.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7.1.7.4.2: Condition and operation of the control and temperature sensing devices in the refrigeration system;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7.1.7.4.3: Specification of alert procedures and emergency procedures.</w:t>
      </w:r>
    </w:p>
    <w:p w:rsidR="007E4801" w:rsidRPr="007E4801" w:rsidRDefault="007E4801" w:rsidP="0057523C">
      <w:pPr>
        <w:pStyle w:val="SingleTxtG"/>
        <w:ind w:left="1701"/>
      </w:pPr>
      <w:r w:rsidRPr="007E4801">
        <w:t>These obligations are already allocated to the loader by 1.4.3.1.1 (d) of ADN.</w:t>
      </w:r>
    </w:p>
    <w:p w:rsidR="007E4801" w:rsidRPr="007E4801" w:rsidRDefault="007E4801" w:rsidP="0057523C">
      <w:pPr>
        <w:pStyle w:val="SingleTxtG"/>
        <w:ind w:left="1701"/>
        <w:rPr>
          <w:b/>
        </w:rPr>
      </w:pPr>
      <w:r w:rsidRPr="007E4801">
        <w:rPr>
          <w:b/>
        </w:rPr>
        <w:t>Carrier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7.1.7.4.1 (d)</w:t>
      </w:r>
      <w:r w:rsidRPr="007E4801">
        <w:rPr>
          <w:i/>
          <w:iCs/>
        </w:rPr>
        <w:tab/>
        <w:t>Regular monitoring of operating temperatures; and</w:t>
      </w:r>
    </w:p>
    <w:p w:rsidR="007E4801" w:rsidRPr="007E4801" w:rsidRDefault="007E4801" w:rsidP="0057523C">
      <w:pPr>
        <w:pStyle w:val="SingleTxtG"/>
        <w:ind w:left="1701"/>
        <w:rPr>
          <w:i/>
          <w:iCs/>
        </w:rPr>
      </w:pPr>
      <w:r w:rsidRPr="007E4801">
        <w:rPr>
          <w:i/>
          <w:iCs/>
        </w:rPr>
        <w:t>7.1.7.4.3: Implementation of alert procedures and emergency procedures</w:t>
      </w:r>
    </w:p>
    <w:p w:rsidR="007E4801" w:rsidRPr="007E4801" w:rsidRDefault="007E4801" w:rsidP="0057523C">
      <w:pPr>
        <w:pStyle w:val="SingleTxtG"/>
        <w:ind w:left="1701"/>
      </w:pPr>
      <w:r w:rsidRPr="007E4801">
        <w:t>These obligations are already allocated to the carrier by 1.4.2.2.1 (</w:t>
      </w:r>
      <w:proofErr w:type="spellStart"/>
      <w:r w:rsidRPr="007E4801">
        <w:t>i</w:t>
      </w:r>
      <w:proofErr w:type="spellEnd"/>
      <w:r w:rsidRPr="007E4801">
        <w:t>) of ADN.</w:t>
      </w:r>
    </w:p>
    <w:p w:rsidR="007E4801" w:rsidRPr="007E4801" w:rsidRDefault="007E4801" w:rsidP="007E4801">
      <w:pPr>
        <w:pStyle w:val="SingleTxtG"/>
      </w:pPr>
      <w:r w:rsidRPr="007E4801">
        <w:t>5.</w:t>
      </w:r>
      <w:r w:rsidRPr="007E4801">
        <w:tab/>
        <w:t>Germany requests that the Safety Committee decides whether this allocation of obligations is correct or whether new paragraphs are needed in 1.4.2 for these new obligations.</w:t>
      </w:r>
    </w:p>
    <w:p w:rsidR="007E4801" w:rsidRPr="007E4801" w:rsidRDefault="007E4801" w:rsidP="007E4801">
      <w:pPr>
        <w:pStyle w:val="SingleTxtG"/>
      </w:pPr>
      <w:r w:rsidRPr="007E4801">
        <w:t>6.</w:t>
      </w:r>
      <w:r w:rsidRPr="007E4801">
        <w:tab/>
        <w:t xml:space="preserve">The Safety Committee could also discuss whether, for the carriage of cargo transport units with temperature control (normally containers), new stowing requirements, as they exist, for instance, in maritime shipping, </w:t>
      </w:r>
      <w:proofErr w:type="gramStart"/>
      <w:r w:rsidRPr="007E4801">
        <w:t>have to</w:t>
      </w:r>
      <w:proofErr w:type="gramEnd"/>
      <w:r w:rsidRPr="007E4801">
        <w:t xml:space="preserve"> be included in 7.1.4: distance from sources of heat, stowage only in the upper layer of the containers.</w:t>
      </w:r>
    </w:p>
    <w:p w:rsidR="007E4801" w:rsidRPr="007E4801" w:rsidRDefault="007E4801" w:rsidP="007E4801">
      <w:pPr>
        <w:pStyle w:val="SingleTxtG"/>
      </w:pPr>
      <w:r w:rsidRPr="007E4801">
        <w:t xml:space="preserve">7. </w:t>
      </w:r>
      <w:r w:rsidRPr="007E4801">
        <w:tab/>
        <w:t>Necessary amendments should be adopted still for ADN 2019 as a supplement or correction to the amendments proposed by the UNECE Secretariat and could be developed by the Safety Committee in an ad hoc working group.</w:t>
      </w:r>
    </w:p>
    <w:p w:rsidR="00107527" w:rsidRPr="00885A1E" w:rsidRDefault="00885A1E" w:rsidP="00885A1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7527" w:rsidRPr="00885A1E" w:rsidSect="00E5571E">
      <w:headerReference w:type="even" r:id="rId8"/>
      <w:footerReference w:type="even" r:id="rId9"/>
      <w:headerReference w:type="firs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47" w:rsidRDefault="00CB1847"/>
  </w:endnote>
  <w:endnote w:type="continuationSeparator" w:id="0">
    <w:p w:rsidR="00CB1847" w:rsidRDefault="00CB1847"/>
  </w:endnote>
  <w:endnote w:type="continuationNotice" w:id="1">
    <w:p w:rsidR="00CB1847" w:rsidRDefault="00CB1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76633E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47" w:rsidRDefault="00CB1847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1847" w:rsidRDefault="00CB184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1847" w:rsidRDefault="00CB1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B416BC" w:rsidP="00446B79">
    <w:pPr>
      <w:pBdr>
        <w:bottom w:val="single" w:sz="4" w:space="1" w:color="auto"/>
      </w:pBdr>
      <w:rPr>
        <w:b/>
      </w:rPr>
    </w:pPr>
    <w:r>
      <w:rPr>
        <w:b/>
      </w:rPr>
      <w:t>INF.</w:t>
    </w:r>
    <w:r w:rsidR="007E4801">
      <w:rPr>
        <w:b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15"/>
  </w:num>
  <w:num w:numId="21">
    <w:abstractNumId w:val="23"/>
  </w:num>
  <w:num w:numId="22">
    <w:abstractNumId w:val="22"/>
  </w:num>
  <w:num w:numId="23">
    <w:abstractNumId w:val="14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proofState w:spelling="clean" w:grammar="clean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BA"/>
    <w:rsid w:val="00022219"/>
    <w:rsid w:val="000240B8"/>
    <w:rsid w:val="00024EAF"/>
    <w:rsid w:val="00026199"/>
    <w:rsid w:val="00032BCA"/>
    <w:rsid w:val="000401CE"/>
    <w:rsid w:val="000437FC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51F5"/>
    <w:rsid w:val="000C54D8"/>
    <w:rsid w:val="000D3066"/>
    <w:rsid w:val="000E30A2"/>
    <w:rsid w:val="000E65FF"/>
    <w:rsid w:val="000F2AA3"/>
    <w:rsid w:val="000F69B0"/>
    <w:rsid w:val="00105163"/>
    <w:rsid w:val="00107527"/>
    <w:rsid w:val="001124A6"/>
    <w:rsid w:val="00112D7A"/>
    <w:rsid w:val="00112E69"/>
    <w:rsid w:val="00114DCA"/>
    <w:rsid w:val="001177EE"/>
    <w:rsid w:val="00120027"/>
    <w:rsid w:val="00124305"/>
    <w:rsid w:val="0012656F"/>
    <w:rsid w:val="00127422"/>
    <w:rsid w:val="00143AB5"/>
    <w:rsid w:val="00144348"/>
    <w:rsid w:val="00147CAB"/>
    <w:rsid w:val="00151529"/>
    <w:rsid w:val="00151B62"/>
    <w:rsid w:val="00157446"/>
    <w:rsid w:val="00160290"/>
    <w:rsid w:val="0016094E"/>
    <w:rsid w:val="00164AFF"/>
    <w:rsid w:val="00167350"/>
    <w:rsid w:val="00167467"/>
    <w:rsid w:val="0017140D"/>
    <w:rsid w:val="0018416D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A92"/>
    <w:rsid w:val="00202FBB"/>
    <w:rsid w:val="00210044"/>
    <w:rsid w:val="00213C99"/>
    <w:rsid w:val="0022283B"/>
    <w:rsid w:val="00224AF3"/>
    <w:rsid w:val="0025084A"/>
    <w:rsid w:val="00253571"/>
    <w:rsid w:val="002542E3"/>
    <w:rsid w:val="00255A0D"/>
    <w:rsid w:val="002671C7"/>
    <w:rsid w:val="0028541C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37276"/>
    <w:rsid w:val="00340F33"/>
    <w:rsid w:val="00343A67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E4DED"/>
    <w:rsid w:val="003E4E69"/>
    <w:rsid w:val="003F270A"/>
    <w:rsid w:val="003F3BEE"/>
    <w:rsid w:val="004202BD"/>
    <w:rsid w:val="0042401A"/>
    <w:rsid w:val="00424E32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C0A88"/>
    <w:rsid w:val="004D4787"/>
    <w:rsid w:val="004E4C77"/>
    <w:rsid w:val="004E4CC3"/>
    <w:rsid w:val="004F2FD6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523C"/>
    <w:rsid w:val="00577F31"/>
    <w:rsid w:val="005827CD"/>
    <w:rsid w:val="005833CB"/>
    <w:rsid w:val="0058438D"/>
    <w:rsid w:val="00587B4F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D6641"/>
    <w:rsid w:val="005E4990"/>
    <w:rsid w:val="005E4D7E"/>
    <w:rsid w:val="005E6668"/>
    <w:rsid w:val="005E684E"/>
    <w:rsid w:val="005F34E6"/>
    <w:rsid w:val="0060173D"/>
    <w:rsid w:val="0060225A"/>
    <w:rsid w:val="00606072"/>
    <w:rsid w:val="00612296"/>
    <w:rsid w:val="006166F4"/>
    <w:rsid w:val="006234CC"/>
    <w:rsid w:val="0062351F"/>
    <w:rsid w:val="006264EB"/>
    <w:rsid w:val="00631A46"/>
    <w:rsid w:val="006530EF"/>
    <w:rsid w:val="00661D28"/>
    <w:rsid w:val="0067041E"/>
    <w:rsid w:val="0067429C"/>
    <w:rsid w:val="00674391"/>
    <w:rsid w:val="00680075"/>
    <w:rsid w:val="00684A12"/>
    <w:rsid w:val="006877DE"/>
    <w:rsid w:val="00694E75"/>
    <w:rsid w:val="00697CA2"/>
    <w:rsid w:val="006A5BAF"/>
    <w:rsid w:val="006B21E9"/>
    <w:rsid w:val="006B2756"/>
    <w:rsid w:val="006B5528"/>
    <w:rsid w:val="006B63BD"/>
    <w:rsid w:val="006C1C84"/>
    <w:rsid w:val="006C595D"/>
    <w:rsid w:val="006C6B99"/>
    <w:rsid w:val="006E04EA"/>
    <w:rsid w:val="006E1FA4"/>
    <w:rsid w:val="006E6564"/>
    <w:rsid w:val="006F3225"/>
    <w:rsid w:val="006F55E4"/>
    <w:rsid w:val="006F765D"/>
    <w:rsid w:val="00703069"/>
    <w:rsid w:val="00704C49"/>
    <w:rsid w:val="00710B24"/>
    <w:rsid w:val="00715A30"/>
    <w:rsid w:val="00722D7D"/>
    <w:rsid w:val="007455D9"/>
    <w:rsid w:val="007503D0"/>
    <w:rsid w:val="00752D13"/>
    <w:rsid w:val="00753671"/>
    <w:rsid w:val="00753755"/>
    <w:rsid w:val="00753ABE"/>
    <w:rsid w:val="007557E5"/>
    <w:rsid w:val="0076518E"/>
    <w:rsid w:val="0076633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1368"/>
    <w:rsid w:val="007E4801"/>
    <w:rsid w:val="007F0D64"/>
    <w:rsid w:val="007F244B"/>
    <w:rsid w:val="0080168B"/>
    <w:rsid w:val="008059A3"/>
    <w:rsid w:val="00806A75"/>
    <w:rsid w:val="0081106B"/>
    <w:rsid w:val="00813543"/>
    <w:rsid w:val="00817A1C"/>
    <w:rsid w:val="00820A23"/>
    <w:rsid w:val="008309C1"/>
    <w:rsid w:val="00830C13"/>
    <w:rsid w:val="00831E12"/>
    <w:rsid w:val="00835F82"/>
    <w:rsid w:val="00845127"/>
    <w:rsid w:val="0085389B"/>
    <w:rsid w:val="00856A9B"/>
    <w:rsid w:val="008573BC"/>
    <w:rsid w:val="008610F7"/>
    <w:rsid w:val="00867AAE"/>
    <w:rsid w:val="00874E4D"/>
    <w:rsid w:val="008757A0"/>
    <w:rsid w:val="00876716"/>
    <w:rsid w:val="00877E7D"/>
    <w:rsid w:val="00882429"/>
    <w:rsid w:val="00885A1E"/>
    <w:rsid w:val="00890A0F"/>
    <w:rsid w:val="00890A31"/>
    <w:rsid w:val="00891507"/>
    <w:rsid w:val="00891D8D"/>
    <w:rsid w:val="008B670D"/>
    <w:rsid w:val="008C13ED"/>
    <w:rsid w:val="008C37BA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6FB6"/>
    <w:rsid w:val="00910F84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85B"/>
    <w:rsid w:val="00A25618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849EE"/>
    <w:rsid w:val="00A867D9"/>
    <w:rsid w:val="00A912CA"/>
    <w:rsid w:val="00AA264F"/>
    <w:rsid w:val="00AA6A46"/>
    <w:rsid w:val="00AB1878"/>
    <w:rsid w:val="00AB5FE4"/>
    <w:rsid w:val="00AC6DF1"/>
    <w:rsid w:val="00AE1969"/>
    <w:rsid w:val="00AE1C51"/>
    <w:rsid w:val="00AE7FB5"/>
    <w:rsid w:val="00AF095F"/>
    <w:rsid w:val="00AF7EB3"/>
    <w:rsid w:val="00B01B63"/>
    <w:rsid w:val="00B0360E"/>
    <w:rsid w:val="00B051E1"/>
    <w:rsid w:val="00B10E78"/>
    <w:rsid w:val="00B12181"/>
    <w:rsid w:val="00B12D35"/>
    <w:rsid w:val="00B17DF9"/>
    <w:rsid w:val="00B416BC"/>
    <w:rsid w:val="00B44B0E"/>
    <w:rsid w:val="00B51EF8"/>
    <w:rsid w:val="00B54049"/>
    <w:rsid w:val="00B6345C"/>
    <w:rsid w:val="00B64AFA"/>
    <w:rsid w:val="00B65E66"/>
    <w:rsid w:val="00B756C8"/>
    <w:rsid w:val="00B75796"/>
    <w:rsid w:val="00B82511"/>
    <w:rsid w:val="00B92A07"/>
    <w:rsid w:val="00B92EB7"/>
    <w:rsid w:val="00BA1B8B"/>
    <w:rsid w:val="00BA1D19"/>
    <w:rsid w:val="00BB0811"/>
    <w:rsid w:val="00BB347B"/>
    <w:rsid w:val="00BB3862"/>
    <w:rsid w:val="00BB41B0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1E5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A50AB"/>
    <w:rsid w:val="00CB1847"/>
    <w:rsid w:val="00CC041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41080"/>
    <w:rsid w:val="00D42E3A"/>
    <w:rsid w:val="00D53053"/>
    <w:rsid w:val="00D53C6B"/>
    <w:rsid w:val="00D56FD2"/>
    <w:rsid w:val="00D60487"/>
    <w:rsid w:val="00D61720"/>
    <w:rsid w:val="00D66C42"/>
    <w:rsid w:val="00D71354"/>
    <w:rsid w:val="00D854B5"/>
    <w:rsid w:val="00D85503"/>
    <w:rsid w:val="00D8691E"/>
    <w:rsid w:val="00D86CD5"/>
    <w:rsid w:val="00D9326B"/>
    <w:rsid w:val="00D956D9"/>
    <w:rsid w:val="00DA3149"/>
    <w:rsid w:val="00DA53FF"/>
    <w:rsid w:val="00DC1FB4"/>
    <w:rsid w:val="00DE0024"/>
    <w:rsid w:val="00DE024B"/>
    <w:rsid w:val="00DE4089"/>
    <w:rsid w:val="00DF2DC6"/>
    <w:rsid w:val="00DF410F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571E"/>
    <w:rsid w:val="00E565A4"/>
    <w:rsid w:val="00E6137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4128"/>
    <w:rsid w:val="00EB4E6A"/>
    <w:rsid w:val="00EC23E6"/>
    <w:rsid w:val="00EC3683"/>
    <w:rsid w:val="00ED44FE"/>
    <w:rsid w:val="00ED5F4B"/>
    <w:rsid w:val="00EE470B"/>
    <w:rsid w:val="00EE502F"/>
    <w:rsid w:val="00EF3C3C"/>
    <w:rsid w:val="00EF75C7"/>
    <w:rsid w:val="00F06314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711AA"/>
    <w:rsid w:val="00F714AB"/>
    <w:rsid w:val="00F729F8"/>
    <w:rsid w:val="00F75D32"/>
    <w:rsid w:val="00F7696D"/>
    <w:rsid w:val="00F84B81"/>
    <w:rsid w:val="00F92BA9"/>
    <w:rsid w:val="00FA1363"/>
    <w:rsid w:val="00FA58F8"/>
    <w:rsid w:val="00FC321C"/>
    <w:rsid w:val="00FC6D5D"/>
    <w:rsid w:val="00FD3E57"/>
    <w:rsid w:val="00FD5B29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066B46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527"/>
    <w:rPr>
      <w:rFonts w:ascii="Courier New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4CF4-7AB9-414B-91E8-C0266900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Secretariat</cp:lastModifiedBy>
  <cp:revision>7</cp:revision>
  <cp:lastPrinted>2018-08-14T16:33:00Z</cp:lastPrinted>
  <dcterms:created xsi:type="dcterms:W3CDTF">2018-08-02T09:57:00Z</dcterms:created>
  <dcterms:modified xsi:type="dcterms:W3CDTF">2018-08-14T16:34:00Z</dcterms:modified>
</cp:coreProperties>
</file>