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4E" w:rsidRDefault="003E234E" w:rsidP="003E234E">
      <w:pPr>
        <w:widowControl/>
        <w:overflowPunct/>
        <w:autoSpaceDE/>
        <w:adjustRightInd/>
        <w:snapToGrid w:val="0"/>
        <w:ind w:left="5387" w:right="-286" w:firstLine="0"/>
        <w:jc w:val="left"/>
        <w:outlineLvl w:val="0"/>
        <w:rPr>
          <w:rFonts w:ascii="Arial" w:eastAsia="Arial" w:hAnsi="Arial" w:cs="Arial"/>
          <w:bCs/>
          <w:szCs w:val="24"/>
          <w:lang w:val="en-US" w:eastAsia="de-DE"/>
        </w:rPr>
      </w:pPr>
      <w:bookmarkStart w:id="0" w:name="_GoBack"/>
      <w:bookmarkEnd w:id="0"/>
      <w:r>
        <w:rPr>
          <w:noProof/>
          <w:lang w:val="fr-FR"/>
        </w:rPr>
        <w:drawing>
          <wp:anchor distT="0" distB="0" distL="114300" distR="114300" simplePos="0" relativeHeight="251659264" behindDoc="0" locked="0" layoutInCell="1" allowOverlap="1" wp14:anchorId="5D9B3894" wp14:editId="26D67795">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Cs/>
          <w:szCs w:val="24"/>
          <w:lang w:val="en-US" w:eastAsia="de-DE"/>
        </w:rPr>
        <w:t>CCNR-ZKR/ADN/WP.15/AC.2/2018/</w:t>
      </w:r>
      <w:r w:rsidR="00F024B8">
        <w:rPr>
          <w:rFonts w:ascii="Arial" w:eastAsia="Arial" w:hAnsi="Arial" w:cs="Arial"/>
          <w:bCs/>
          <w:szCs w:val="24"/>
          <w:lang w:val="en-US" w:eastAsia="de-DE"/>
        </w:rPr>
        <w:t>51</w:t>
      </w:r>
    </w:p>
    <w:p w:rsidR="003E234E" w:rsidRDefault="003E234E" w:rsidP="003E234E">
      <w:pPr>
        <w:widowControl/>
        <w:tabs>
          <w:tab w:val="left" w:pos="5670"/>
        </w:tabs>
        <w:overflowPunct/>
        <w:autoSpaceDE/>
        <w:adjustRightInd/>
        <w:snapToGrid w:val="0"/>
        <w:ind w:left="5387" w:firstLine="0"/>
        <w:jc w:val="left"/>
        <w:rPr>
          <w:rFonts w:ascii="Arial" w:hAnsi="Arial" w:cs="Arial"/>
          <w:sz w:val="16"/>
          <w:szCs w:val="24"/>
          <w:lang w:eastAsia="de-DE"/>
        </w:rPr>
      </w:pPr>
      <w:r>
        <w:rPr>
          <w:rFonts w:ascii="Arial" w:hAnsi="Arial" w:cs="Arial"/>
          <w:sz w:val="16"/>
          <w:szCs w:val="24"/>
          <w:lang w:eastAsia="de-DE"/>
        </w:rPr>
        <w:t>Allgemeine Verteilung</w:t>
      </w:r>
    </w:p>
    <w:p w:rsidR="003E234E" w:rsidRDefault="003E234E" w:rsidP="003E234E">
      <w:pPr>
        <w:widowControl/>
        <w:tabs>
          <w:tab w:val="right" w:pos="3856"/>
          <w:tab w:val="left" w:pos="5670"/>
        </w:tabs>
        <w:overflowPunct/>
        <w:autoSpaceDE/>
        <w:adjustRightInd/>
        <w:snapToGrid w:val="0"/>
        <w:ind w:left="5387" w:firstLine="0"/>
        <w:jc w:val="left"/>
        <w:rPr>
          <w:rFonts w:ascii="Arial" w:hAnsi="Arial" w:cs="Arial"/>
          <w:szCs w:val="24"/>
          <w:lang w:eastAsia="de-DE"/>
        </w:rPr>
      </w:pPr>
      <w:r>
        <w:rPr>
          <w:rFonts w:ascii="Arial" w:eastAsia="Arial" w:hAnsi="Arial" w:cs="Arial"/>
          <w:szCs w:val="24"/>
          <w:lang w:eastAsia="de-DE"/>
        </w:rPr>
        <w:t>1</w:t>
      </w:r>
      <w:r w:rsidR="00F024B8">
        <w:rPr>
          <w:rFonts w:ascii="Arial" w:eastAsia="Arial" w:hAnsi="Arial" w:cs="Arial"/>
          <w:szCs w:val="24"/>
          <w:lang w:eastAsia="de-DE"/>
        </w:rPr>
        <w:t>8.</w:t>
      </w:r>
      <w:r>
        <w:rPr>
          <w:rFonts w:ascii="Arial" w:eastAsia="Arial" w:hAnsi="Arial" w:cs="Arial"/>
          <w:szCs w:val="24"/>
          <w:lang w:eastAsia="de-DE"/>
        </w:rPr>
        <w:t xml:space="preserve"> </w:t>
      </w:r>
      <w:r w:rsidR="00F024B8">
        <w:rPr>
          <w:rFonts w:ascii="Arial" w:eastAsia="Arial" w:hAnsi="Arial" w:cs="Arial"/>
          <w:szCs w:val="24"/>
          <w:lang w:eastAsia="de-DE"/>
        </w:rPr>
        <w:t>Juni</w:t>
      </w:r>
      <w:r>
        <w:rPr>
          <w:rFonts w:ascii="Arial" w:eastAsia="Arial" w:hAnsi="Arial" w:cs="Arial"/>
          <w:szCs w:val="24"/>
          <w:lang w:eastAsia="de-DE"/>
        </w:rPr>
        <w:t xml:space="preserve"> 2018</w:t>
      </w:r>
    </w:p>
    <w:p w:rsidR="003E234E" w:rsidRDefault="003E234E" w:rsidP="003E234E">
      <w:pPr>
        <w:widowControl/>
        <w:tabs>
          <w:tab w:val="right" w:pos="3856"/>
          <w:tab w:val="left" w:pos="5670"/>
        </w:tabs>
        <w:overflowPunct/>
        <w:autoSpaceDE/>
        <w:adjustRightInd/>
        <w:snapToGrid w:val="0"/>
        <w:ind w:left="5387" w:right="565" w:firstLine="0"/>
        <w:jc w:val="left"/>
        <w:rPr>
          <w:rFonts w:ascii="Arial" w:eastAsia="Arial" w:hAnsi="Arial" w:cs="Arial"/>
          <w:sz w:val="16"/>
          <w:szCs w:val="24"/>
          <w:lang w:eastAsia="de-DE"/>
        </w:rPr>
      </w:pPr>
      <w:proofErr w:type="spellStart"/>
      <w:r>
        <w:rPr>
          <w:rFonts w:ascii="Arial" w:eastAsia="Arial" w:hAnsi="Arial" w:cs="Arial"/>
          <w:sz w:val="16"/>
          <w:szCs w:val="24"/>
          <w:lang w:eastAsia="de-DE"/>
        </w:rPr>
        <w:t>Or</w:t>
      </w:r>
      <w:proofErr w:type="spellEnd"/>
      <w:r>
        <w:rPr>
          <w:rFonts w:ascii="Arial" w:eastAsia="Arial" w:hAnsi="Arial" w:cs="Arial"/>
          <w:sz w:val="16"/>
          <w:szCs w:val="24"/>
          <w:lang w:eastAsia="de-DE"/>
        </w:rPr>
        <w:t>. DEUTSCH</w:t>
      </w:r>
    </w:p>
    <w:p w:rsidR="003E234E" w:rsidRDefault="003E234E" w:rsidP="003E234E">
      <w:pPr>
        <w:widowControl/>
        <w:overflowPunct/>
        <w:autoSpaceDE/>
        <w:adjustRightInd/>
        <w:snapToGrid w:val="0"/>
        <w:ind w:left="0" w:firstLine="0"/>
        <w:jc w:val="left"/>
        <w:rPr>
          <w:rFonts w:ascii="Arial" w:hAnsi="Arial" w:cs="Arial"/>
          <w:sz w:val="16"/>
          <w:szCs w:val="24"/>
          <w:lang w:eastAsia="de-DE"/>
        </w:rPr>
      </w:pPr>
    </w:p>
    <w:p w:rsidR="003E234E" w:rsidRDefault="003E234E" w:rsidP="003E234E">
      <w:pPr>
        <w:widowControl/>
        <w:overflowPunct/>
        <w:autoSpaceDE/>
        <w:adjustRightInd/>
        <w:snapToGrid w:val="0"/>
        <w:ind w:left="0" w:firstLine="0"/>
        <w:jc w:val="left"/>
        <w:rPr>
          <w:rFonts w:ascii="Arial" w:hAnsi="Arial" w:cs="Arial"/>
          <w:sz w:val="16"/>
          <w:szCs w:val="24"/>
          <w:lang w:eastAsia="de-DE"/>
        </w:rPr>
      </w:pP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GEMEINSAME EXPERTENTAGUNG FÜR DIE DEM</w:t>
      </w: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ÜBEREINKOMMEN ÜBER DIE INTERNATIONALE BEFÖRDERUNG</w:t>
      </w: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VON GEFÄHRLICHEN GÜTERN AUF BINNENWASSERSTRASSEN</w:t>
      </w: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BEIGEFÜGTE VERORDNUNG (ADN)</w:t>
      </w: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(SICHERHEITSAUSSCHUSS)</w:t>
      </w:r>
    </w:p>
    <w:p w:rsidR="00F024B8" w:rsidRPr="00F024B8" w:rsidRDefault="00F024B8" w:rsidP="00F024B8">
      <w:pPr>
        <w:widowControl/>
        <w:tabs>
          <w:tab w:val="left" w:pos="2977"/>
        </w:tabs>
        <w:overflowPunct/>
        <w:autoSpaceDE/>
        <w:adjustRightInd/>
        <w:snapToGrid w:val="0"/>
        <w:ind w:left="3960" w:firstLine="0"/>
        <w:jc w:val="left"/>
        <w:rPr>
          <w:rFonts w:ascii="Arial" w:hAnsi="Arial"/>
          <w:sz w:val="16"/>
          <w:szCs w:val="24"/>
        </w:rPr>
      </w:pPr>
      <w:r w:rsidRPr="00F024B8">
        <w:rPr>
          <w:rFonts w:ascii="Arial" w:hAnsi="Arial"/>
          <w:sz w:val="16"/>
          <w:szCs w:val="24"/>
        </w:rPr>
        <w:t>(33. Tagung, Genf, 27. bis 31. August 2018)</w:t>
      </w:r>
    </w:p>
    <w:p w:rsidR="00F024B8" w:rsidRPr="00F024B8" w:rsidRDefault="00F024B8" w:rsidP="00F024B8">
      <w:pPr>
        <w:widowControl/>
        <w:tabs>
          <w:tab w:val="left" w:pos="2977"/>
        </w:tabs>
        <w:overflowPunct/>
        <w:autoSpaceDE/>
        <w:adjustRightInd/>
        <w:snapToGrid w:val="0"/>
        <w:ind w:left="3960" w:firstLine="0"/>
        <w:jc w:val="left"/>
        <w:rPr>
          <w:rFonts w:ascii="Arial" w:hAnsi="Arial"/>
          <w:sz w:val="16"/>
          <w:szCs w:val="24"/>
        </w:rPr>
      </w:pPr>
      <w:r w:rsidRPr="00F024B8">
        <w:rPr>
          <w:rFonts w:ascii="Arial" w:hAnsi="Arial"/>
          <w:sz w:val="16"/>
          <w:szCs w:val="24"/>
        </w:rPr>
        <w:t>Punkt  4 b) zur vorläufigen Tagesordnung</w:t>
      </w:r>
    </w:p>
    <w:p w:rsidR="00F024B8" w:rsidRPr="00F024B8" w:rsidRDefault="00F024B8" w:rsidP="00F024B8">
      <w:pPr>
        <w:widowControl/>
        <w:tabs>
          <w:tab w:val="left" w:pos="2977"/>
        </w:tabs>
        <w:overflowPunct/>
        <w:autoSpaceDE/>
        <w:adjustRightInd/>
        <w:snapToGrid w:val="0"/>
        <w:ind w:left="3960" w:firstLine="0"/>
        <w:jc w:val="left"/>
        <w:rPr>
          <w:rFonts w:ascii="Arial" w:hAnsi="Arial"/>
          <w:b/>
          <w:sz w:val="16"/>
          <w:szCs w:val="24"/>
        </w:rPr>
      </w:pPr>
      <w:r w:rsidRPr="00F024B8">
        <w:rPr>
          <w:rFonts w:ascii="Arial" w:hAnsi="Arial"/>
          <w:b/>
          <w:sz w:val="16"/>
          <w:szCs w:val="24"/>
        </w:rPr>
        <w:t>Vorschläge für Änderungen der dem ADN beigefügten Verordnung: Weitere Vorschläge</w:t>
      </w:r>
    </w:p>
    <w:p w:rsidR="003E234E" w:rsidRDefault="003E234E" w:rsidP="003E234E">
      <w:pPr>
        <w:tabs>
          <w:tab w:val="left" w:pos="2977"/>
        </w:tabs>
        <w:ind w:left="3960"/>
        <w:rPr>
          <w:rFonts w:ascii="Arial" w:hAnsi="Arial" w:cs="Arial"/>
          <w:b/>
          <w:sz w:val="16"/>
          <w:szCs w:val="16"/>
          <w:lang w:eastAsia="en-US"/>
        </w:rPr>
      </w:pPr>
    </w:p>
    <w:p w:rsidR="00DE1BA2" w:rsidRPr="00DE1BA2" w:rsidRDefault="00DE1BA2" w:rsidP="00DE1BA2">
      <w:pPr>
        <w:ind w:left="0" w:firstLine="0"/>
        <w:jc w:val="center"/>
        <w:rPr>
          <w:noProof/>
          <w:sz w:val="24"/>
          <w:szCs w:val="24"/>
        </w:rPr>
      </w:pPr>
    </w:p>
    <w:p w:rsidR="00891337" w:rsidRDefault="00891337" w:rsidP="00AC2992">
      <w:pPr>
        <w:pStyle w:val="HChG"/>
        <w:keepNext w:val="0"/>
        <w:keepLines w:val="0"/>
        <w:tabs>
          <w:tab w:val="clear" w:pos="851"/>
        </w:tabs>
        <w:spacing w:before="0" w:after="0" w:line="240" w:lineRule="auto"/>
        <w:ind w:right="0" w:firstLine="0"/>
        <w:jc w:val="both"/>
        <w:rPr>
          <w:bCs/>
          <w:szCs w:val="24"/>
          <w:lang w:val="de-DE"/>
        </w:rPr>
      </w:pPr>
    </w:p>
    <w:p w:rsidR="00DE1BA2" w:rsidRPr="00DE1BA2" w:rsidRDefault="00DE1BA2" w:rsidP="00AC2992">
      <w:pPr>
        <w:pStyle w:val="HChG"/>
        <w:keepNext w:val="0"/>
        <w:keepLines w:val="0"/>
        <w:tabs>
          <w:tab w:val="clear" w:pos="851"/>
        </w:tabs>
        <w:spacing w:before="0" w:after="0" w:line="240" w:lineRule="auto"/>
        <w:ind w:right="0" w:firstLine="0"/>
        <w:jc w:val="both"/>
        <w:rPr>
          <w:bCs/>
          <w:szCs w:val="24"/>
          <w:lang w:val="de-DE"/>
        </w:rPr>
      </w:pPr>
      <w:r w:rsidRPr="00DE1BA2">
        <w:rPr>
          <w:bCs/>
          <w:szCs w:val="24"/>
          <w:lang w:val="de-DE"/>
        </w:rPr>
        <w:t>Unterabschnitt 1.1.3.6 ADN – Freistellungen im Zusammenhang mit den an Bord beförderten Mengen</w:t>
      </w:r>
    </w:p>
    <w:p w:rsidR="003E234E" w:rsidRDefault="003E234E" w:rsidP="00AC2992">
      <w:pPr>
        <w:keepNext/>
        <w:keepLines/>
        <w:widowControl/>
        <w:suppressAutoHyphens/>
        <w:overflowPunct/>
        <w:autoSpaceDE/>
        <w:adjustRightInd/>
        <w:snapToGrid w:val="0"/>
        <w:spacing w:before="360" w:after="240" w:line="270" w:lineRule="exact"/>
        <w:ind w:right="567" w:firstLine="0"/>
        <w:jc w:val="left"/>
        <w:rPr>
          <w:b/>
          <w:sz w:val="18"/>
          <w:vertAlign w:val="superscript"/>
        </w:rPr>
      </w:pPr>
      <w:r>
        <w:rPr>
          <w:b/>
          <w:sz w:val="24"/>
        </w:rPr>
        <w:t>Vorgelegt von Deutschland</w:t>
      </w:r>
      <w:r>
        <w:rPr>
          <w:b/>
          <w:sz w:val="18"/>
          <w:vertAlign w:val="superscript"/>
        </w:rPr>
        <w:footnoteReference w:id="1"/>
      </w:r>
      <w:r>
        <w:rPr>
          <w:b/>
          <w:sz w:val="18"/>
          <w:vertAlign w:val="superscript"/>
        </w:rPr>
        <w:t>,</w:t>
      </w:r>
      <w:r>
        <w:rPr>
          <w:b/>
          <w:sz w:val="18"/>
          <w:vertAlign w:val="superscript"/>
        </w:rPr>
        <w:footnoteReference w:id="2"/>
      </w:r>
    </w:p>
    <w:p w:rsidR="00891337" w:rsidRDefault="00891337" w:rsidP="00AC2992">
      <w:pPr>
        <w:keepNext/>
        <w:keepLines/>
        <w:widowControl/>
        <w:suppressAutoHyphens/>
        <w:overflowPunct/>
        <w:autoSpaceDE/>
        <w:adjustRightInd/>
        <w:snapToGrid w:val="0"/>
        <w:spacing w:before="360" w:after="240" w:line="270" w:lineRule="exact"/>
        <w:ind w:right="567" w:firstLine="0"/>
        <w:jc w:val="left"/>
        <w:rPr>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DE1BA2" w:rsidRPr="003E234E" w:rsidTr="00785B9A">
        <w:trPr>
          <w:jc w:val="center"/>
        </w:trPr>
        <w:tc>
          <w:tcPr>
            <w:tcW w:w="2330" w:type="dxa"/>
          </w:tcPr>
          <w:p w:rsidR="00DE1BA2" w:rsidRPr="003E234E" w:rsidRDefault="00DE1BA2" w:rsidP="00785B9A">
            <w:pPr>
              <w:tabs>
                <w:tab w:val="left" w:pos="284"/>
              </w:tabs>
              <w:spacing w:before="120" w:after="120"/>
              <w:rPr>
                <w:i/>
                <w:lang w:eastAsia="en-US"/>
              </w:rPr>
            </w:pPr>
            <w:r w:rsidRPr="003E234E">
              <w:rPr>
                <w:rFonts w:eastAsia="Arial"/>
                <w:i/>
                <w:lang w:eastAsia="en-US"/>
              </w:rPr>
              <w:t>Zusammenfassung</w:t>
            </w:r>
          </w:p>
        </w:tc>
        <w:tc>
          <w:tcPr>
            <w:tcW w:w="7309" w:type="dxa"/>
          </w:tcPr>
          <w:p w:rsidR="00DE1BA2" w:rsidRPr="003E234E" w:rsidRDefault="00DE1BA2" w:rsidP="00785B9A">
            <w:pPr>
              <w:spacing w:before="120" w:after="120"/>
              <w:rPr>
                <w:lang w:eastAsia="en-US"/>
              </w:rPr>
            </w:pPr>
          </w:p>
        </w:tc>
      </w:tr>
      <w:tr w:rsidR="00DE1BA2" w:rsidRPr="003E234E" w:rsidTr="00785B9A">
        <w:trPr>
          <w:jc w:val="center"/>
        </w:trPr>
        <w:tc>
          <w:tcPr>
            <w:tcW w:w="2330" w:type="dxa"/>
            <w:tcBorders>
              <w:bottom w:val="single" w:sz="4" w:space="0" w:color="auto"/>
            </w:tcBorders>
          </w:tcPr>
          <w:p w:rsidR="00DE1BA2" w:rsidRPr="003E234E" w:rsidRDefault="00DE1BA2" w:rsidP="00785B9A">
            <w:pPr>
              <w:tabs>
                <w:tab w:val="left" w:pos="284"/>
              </w:tabs>
              <w:spacing w:before="120" w:after="120"/>
              <w:jc w:val="left"/>
              <w:rPr>
                <w:b/>
                <w:lang w:eastAsia="en-US"/>
              </w:rPr>
            </w:pPr>
            <w:r w:rsidRPr="003E234E">
              <w:rPr>
                <w:b/>
                <w:lang w:eastAsia="en-US"/>
              </w:rPr>
              <w:t>Analytische</w:t>
            </w:r>
          </w:p>
          <w:p w:rsidR="00DE1BA2" w:rsidRPr="003E234E" w:rsidRDefault="00DE1BA2" w:rsidP="00785B9A">
            <w:pPr>
              <w:tabs>
                <w:tab w:val="left" w:pos="284"/>
              </w:tabs>
              <w:spacing w:before="120" w:after="120"/>
              <w:jc w:val="left"/>
              <w:rPr>
                <w:b/>
                <w:lang w:eastAsia="en-US"/>
              </w:rPr>
            </w:pPr>
            <w:r w:rsidRPr="003E234E">
              <w:rPr>
                <w:b/>
                <w:lang w:eastAsia="en-US"/>
              </w:rPr>
              <w:t>Zusammenfassung:</w:t>
            </w:r>
          </w:p>
        </w:tc>
        <w:tc>
          <w:tcPr>
            <w:tcW w:w="7309" w:type="dxa"/>
          </w:tcPr>
          <w:p w:rsidR="00DE1BA2" w:rsidRPr="003E234E" w:rsidRDefault="00DE1BA2" w:rsidP="00785B9A">
            <w:pPr>
              <w:widowControl/>
              <w:overflowPunct/>
              <w:ind w:left="0" w:firstLine="0"/>
              <w:jc w:val="left"/>
              <w:textAlignment w:val="auto"/>
              <w:rPr>
                <w:rFonts w:cs="Arial"/>
              </w:rPr>
            </w:pPr>
            <w:r w:rsidRPr="003E234E">
              <w:rPr>
                <w:rFonts w:cs="Arial"/>
              </w:rPr>
              <w:t>Es ist unklar, wie die in Absatz 1.1.3.6.1 a) ADN genannte Bruttomenge der an Bord mitgeführten gefährlichen Güter zu berechnen ist.</w:t>
            </w:r>
          </w:p>
        </w:tc>
      </w:tr>
      <w:tr w:rsidR="00DE1BA2" w:rsidRPr="003E234E" w:rsidTr="00785B9A">
        <w:trPr>
          <w:jc w:val="center"/>
        </w:trPr>
        <w:tc>
          <w:tcPr>
            <w:tcW w:w="2330" w:type="dxa"/>
            <w:tcBorders>
              <w:bottom w:val="single" w:sz="4" w:space="0" w:color="auto"/>
            </w:tcBorders>
          </w:tcPr>
          <w:p w:rsidR="00DE1BA2" w:rsidRPr="003E234E" w:rsidRDefault="00DE1BA2" w:rsidP="00785B9A">
            <w:pPr>
              <w:tabs>
                <w:tab w:val="left" w:pos="284"/>
              </w:tabs>
              <w:spacing w:before="120" w:after="120"/>
              <w:jc w:val="left"/>
              <w:rPr>
                <w:b/>
                <w:lang w:eastAsia="en-US"/>
              </w:rPr>
            </w:pPr>
            <w:r w:rsidRPr="003E234E">
              <w:rPr>
                <w:b/>
                <w:lang w:eastAsia="en-US"/>
              </w:rPr>
              <w:t>Zu ergreifende</w:t>
            </w:r>
          </w:p>
          <w:p w:rsidR="00DE1BA2" w:rsidRPr="003E234E" w:rsidRDefault="00DE1BA2" w:rsidP="00785B9A">
            <w:pPr>
              <w:tabs>
                <w:tab w:val="left" w:pos="284"/>
              </w:tabs>
              <w:spacing w:before="120" w:after="120"/>
              <w:jc w:val="left"/>
              <w:rPr>
                <w:b/>
                <w:lang w:eastAsia="en-US"/>
              </w:rPr>
            </w:pPr>
            <w:r w:rsidRPr="003E234E">
              <w:rPr>
                <w:b/>
                <w:lang w:eastAsia="en-US"/>
              </w:rPr>
              <w:t>Maßnahme:</w:t>
            </w:r>
          </w:p>
        </w:tc>
        <w:tc>
          <w:tcPr>
            <w:tcW w:w="7309" w:type="dxa"/>
          </w:tcPr>
          <w:p w:rsidR="00DE1BA2" w:rsidRPr="003E234E" w:rsidRDefault="00DE1BA2" w:rsidP="00785B9A">
            <w:pPr>
              <w:spacing w:before="120" w:after="120"/>
              <w:ind w:left="11" w:firstLine="0"/>
              <w:rPr>
                <w:rFonts w:cs="Arial"/>
              </w:rPr>
            </w:pPr>
            <w:r w:rsidRPr="003E234E">
              <w:rPr>
                <w:rFonts w:cs="Arial"/>
              </w:rPr>
              <w:t>Änderung von Absatz 1.1.3.6.1 a) ADN.</w:t>
            </w:r>
          </w:p>
        </w:tc>
      </w:tr>
      <w:tr w:rsidR="00DE1BA2" w:rsidRPr="003E234E" w:rsidTr="00785B9A">
        <w:trPr>
          <w:jc w:val="center"/>
        </w:trPr>
        <w:tc>
          <w:tcPr>
            <w:tcW w:w="2330" w:type="dxa"/>
            <w:tcBorders>
              <w:top w:val="single" w:sz="4" w:space="0" w:color="auto"/>
            </w:tcBorders>
          </w:tcPr>
          <w:p w:rsidR="00DE1BA2" w:rsidRPr="003E234E" w:rsidRDefault="00DE1BA2" w:rsidP="00785B9A">
            <w:pPr>
              <w:tabs>
                <w:tab w:val="left" w:pos="284"/>
              </w:tabs>
              <w:spacing w:before="120" w:after="120"/>
              <w:ind w:left="0" w:firstLine="0"/>
              <w:jc w:val="left"/>
              <w:rPr>
                <w:b/>
                <w:lang w:eastAsia="en-US"/>
              </w:rPr>
            </w:pPr>
            <w:r w:rsidRPr="003E234E">
              <w:rPr>
                <w:b/>
                <w:lang w:eastAsia="en-US"/>
              </w:rPr>
              <w:t>Verbundene Dokumente:</w:t>
            </w:r>
          </w:p>
        </w:tc>
        <w:tc>
          <w:tcPr>
            <w:tcW w:w="7309" w:type="dxa"/>
          </w:tcPr>
          <w:p w:rsidR="00DE1BA2" w:rsidRPr="003E234E" w:rsidRDefault="00DE1BA2" w:rsidP="00785B9A">
            <w:pPr>
              <w:ind w:left="11" w:firstLine="0"/>
            </w:pPr>
            <w:r w:rsidRPr="003E234E">
              <w:t>keine</w:t>
            </w:r>
          </w:p>
        </w:tc>
      </w:tr>
    </w:tbl>
    <w:p w:rsidR="00DE1BA2" w:rsidRPr="00DE1BA2" w:rsidRDefault="00DE1BA2" w:rsidP="00DE1BA2">
      <w:pPr>
        <w:tabs>
          <w:tab w:val="left" w:pos="1418"/>
        </w:tabs>
        <w:spacing w:before="180" w:line="360" w:lineRule="auto"/>
        <w:rPr>
          <w:rFonts w:ascii="Arial" w:hAnsi="Arial"/>
          <w:b/>
          <w:sz w:val="24"/>
          <w:szCs w:val="18"/>
        </w:rPr>
      </w:pPr>
    </w:p>
    <w:p w:rsidR="00891337" w:rsidRDefault="00891337">
      <w:pPr>
        <w:widowControl/>
        <w:overflowPunct/>
        <w:autoSpaceDE/>
        <w:autoSpaceDN/>
        <w:adjustRightInd/>
        <w:ind w:left="0" w:firstLine="0"/>
        <w:jc w:val="left"/>
        <w:textAlignment w:val="auto"/>
        <w:rPr>
          <w:b/>
          <w:sz w:val="28"/>
          <w:szCs w:val="18"/>
        </w:rPr>
      </w:pPr>
      <w:r>
        <w:rPr>
          <w:b/>
          <w:sz w:val="28"/>
          <w:szCs w:val="18"/>
        </w:rPr>
        <w:br w:type="page"/>
      </w:r>
    </w:p>
    <w:p w:rsidR="00DE1BA2" w:rsidRPr="00DE1BA2" w:rsidRDefault="00DE1BA2" w:rsidP="003E234E">
      <w:pPr>
        <w:tabs>
          <w:tab w:val="left" w:pos="567"/>
          <w:tab w:val="left" w:pos="1418"/>
        </w:tabs>
        <w:spacing w:before="180" w:line="360" w:lineRule="auto"/>
        <w:rPr>
          <w:b/>
          <w:sz w:val="28"/>
          <w:szCs w:val="18"/>
        </w:rPr>
      </w:pPr>
      <w:r w:rsidRPr="00DE1BA2">
        <w:rPr>
          <w:b/>
          <w:sz w:val="28"/>
          <w:szCs w:val="18"/>
        </w:rPr>
        <w:lastRenderedPageBreak/>
        <w:t>Einführung</w:t>
      </w:r>
    </w:p>
    <w:p w:rsidR="00DE1BA2" w:rsidRPr="00DE1BA2" w:rsidRDefault="00DE1BA2" w:rsidP="00DE1BA2">
      <w:pPr>
        <w:tabs>
          <w:tab w:val="left" w:pos="567"/>
        </w:tabs>
        <w:spacing w:line="276" w:lineRule="auto"/>
        <w:ind w:left="0" w:firstLine="0"/>
        <w:rPr>
          <w:rFonts w:cs="Arial"/>
          <w:sz w:val="22"/>
          <w:szCs w:val="18"/>
        </w:rPr>
      </w:pPr>
    </w:p>
    <w:p w:rsidR="00DE1BA2" w:rsidRPr="003E234E" w:rsidRDefault="00DE1BA2" w:rsidP="00DE1BA2">
      <w:pPr>
        <w:tabs>
          <w:tab w:val="left" w:pos="567"/>
        </w:tabs>
        <w:spacing w:line="276" w:lineRule="auto"/>
        <w:ind w:left="0" w:firstLine="0"/>
        <w:rPr>
          <w:rFonts w:cs="Arial"/>
        </w:rPr>
      </w:pPr>
      <w:r w:rsidRPr="003E234E">
        <w:rPr>
          <w:rFonts w:cs="Arial"/>
        </w:rPr>
        <w:t>1.</w:t>
      </w:r>
      <w:r w:rsidRPr="003E234E">
        <w:rPr>
          <w:rFonts w:cs="Arial"/>
        </w:rPr>
        <w:tab/>
        <w:t>Abschnitt 1.1.3 ADN enthält mehrere Arten von Freistellungen: neben der Freistellung von einigen Vorschriften des ADN aufgrund der an Bord des jeweiligen Schiff beförderten Mengen (1.1.3.6) gibt es z.B. auch Freistellungen im Zusammenhang mit der Art der Beförderungsdurchführung (1.1.3.1), im Zusammenhang mit Sondervorschriften, begrenzten oder freigestellten Mengen (1.1.3.4) oder im Zusammenhang mit der der Beförderung von Einrichtungen zur Speicherung und Erzeugung elektrischer Energie (1.1.3.7).</w:t>
      </w:r>
    </w:p>
    <w:p w:rsidR="00DE1BA2" w:rsidRPr="00DE1BA2" w:rsidRDefault="00DE1BA2" w:rsidP="00DE1BA2">
      <w:pPr>
        <w:tabs>
          <w:tab w:val="left" w:pos="567"/>
        </w:tabs>
        <w:spacing w:line="276" w:lineRule="auto"/>
        <w:ind w:left="0" w:firstLine="0"/>
        <w:rPr>
          <w:rFonts w:cs="Arial"/>
          <w:sz w:val="24"/>
          <w:szCs w:val="18"/>
        </w:rPr>
      </w:pPr>
    </w:p>
    <w:p w:rsidR="00DE1BA2" w:rsidRPr="003E234E" w:rsidRDefault="00DE1BA2" w:rsidP="00DE1BA2">
      <w:pPr>
        <w:tabs>
          <w:tab w:val="left" w:pos="567"/>
        </w:tabs>
        <w:spacing w:line="276" w:lineRule="auto"/>
        <w:ind w:left="0" w:firstLine="0"/>
        <w:rPr>
          <w:rFonts w:cs="Arial"/>
        </w:rPr>
      </w:pPr>
      <w:r w:rsidRPr="003E234E">
        <w:rPr>
          <w:rFonts w:cs="Arial"/>
        </w:rPr>
        <w:t>2.</w:t>
      </w:r>
      <w:r w:rsidRPr="003E234E">
        <w:rPr>
          <w:rFonts w:cs="Arial"/>
        </w:rPr>
        <w:tab/>
        <w:t>Diese verschiedenen Freistellungsregelungen können für die jeweils beförderten gefährlichen Güter unter Umständen nebeneinander angewendet werden.</w:t>
      </w:r>
    </w:p>
    <w:p w:rsidR="00DE1BA2" w:rsidRPr="00DE1BA2" w:rsidRDefault="00DE1BA2" w:rsidP="00DE1BA2">
      <w:pPr>
        <w:tabs>
          <w:tab w:val="left" w:pos="567"/>
        </w:tabs>
        <w:spacing w:line="276" w:lineRule="auto"/>
        <w:ind w:left="0" w:firstLine="0"/>
        <w:rPr>
          <w:rFonts w:cs="Arial"/>
          <w:sz w:val="24"/>
          <w:szCs w:val="18"/>
        </w:rPr>
      </w:pPr>
    </w:p>
    <w:p w:rsidR="00DE1BA2" w:rsidRPr="003E234E" w:rsidRDefault="00DE1BA2" w:rsidP="00DE1BA2">
      <w:pPr>
        <w:tabs>
          <w:tab w:val="left" w:pos="567"/>
        </w:tabs>
        <w:spacing w:line="276" w:lineRule="auto"/>
        <w:ind w:left="0" w:firstLine="0"/>
        <w:rPr>
          <w:rFonts w:cs="Arial"/>
        </w:rPr>
      </w:pPr>
      <w:r w:rsidRPr="003E234E">
        <w:rPr>
          <w:rFonts w:cs="Arial"/>
        </w:rPr>
        <w:t>3.</w:t>
      </w:r>
      <w:r w:rsidRPr="003E234E">
        <w:rPr>
          <w:rFonts w:cs="Arial"/>
        </w:rPr>
        <w:tab/>
        <w:t>Nach Meinung der deutschen Delegation ist vor diesem Hintergrund nicht eindeutig erkennbar, wie die in Absatz 1.1.3.6.1 a) ADN genannten Bruttomengen zu berechnen sind, die für die Anwendung der Freistellung im Zusammenhang mit den an Bord von Schiffen beförderten Mengen maßgeblich sind (3 000 kg oder 300 kg).</w:t>
      </w:r>
    </w:p>
    <w:p w:rsidR="00DE1BA2" w:rsidRPr="00DE1BA2" w:rsidRDefault="00DE1BA2" w:rsidP="00DE1BA2">
      <w:pPr>
        <w:tabs>
          <w:tab w:val="left" w:pos="567"/>
        </w:tabs>
        <w:spacing w:line="276" w:lineRule="auto"/>
        <w:ind w:left="0" w:firstLine="0"/>
        <w:rPr>
          <w:rFonts w:cs="Arial"/>
          <w:sz w:val="24"/>
          <w:szCs w:val="18"/>
        </w:rPr>
      </w:pPr>
    </w:p>
    <w:p w:rsidR="00DE1BA2" w:rsidRPr="00DE1BA2" w:rsidRDefault="00DE1BA2" w:rsidP="003E234E">
      <w:pPr>
        <w:tabs>
          <w:tab w:val="left" w:pos="567"/>
        </w:tabs>
        <w:spacing w:before="180" w:line="360" w:lineRule="auto"/>
        <w:rPr>
          <w:b/>
          <w:sz w:val="28"/>
          <w:szCs w:val="18"/>
        </w:rPr>
      </w:pPr>
      <w:r w:rsidRPr="00DE1BA2">
        <w:rPr>
          <w:b/>
          <w:sz w:val="28"/>
          <w:szCs w:val="18"/>
        </w:rPr>
        <w:t>Antrag</w:t>
      </w:r>
    </w:p>
    <w:p w:rsidR="00DE1BA2" w:rsidRPr="00DE1BA2" w:rsidRDefault="00DE1BA2" w:rsidP="00DE1BA2">
      <w:pPr>
        <w:tabs>
          <w:tab w:val="left" w:pos="567"/>
        </w:tabs>
        <w:spacing w:line="276" w:lineRule="auto"/>
        <w:ind w:left="0" w:firstLine="0"/>
        <w:rPr>
          <w:rFonts w:cs="Arial"/>
          <w:sz w:val="22"/>
          <w:szCs w:val="18"/>
        </w:rPr>
      </w:pPr>
    </w:p>
    <w:p w:rsidR="00DE1BA2" w:rsidRPr="003E234E" w:rsidRDefault="00DE1BA2" w:rsidP="00DE1BA2">
      <w:pPr>
        <w:tabs>
          <w:tab w:val="left" w:pos="567"/>
        </w:tabs>
        <w:spacing w:line="276" w:lineRule="auto"/>
        <w:ind w:left="0" w:firstLine="0"/>
        <w:rPr>
          <w:rFonts w:cs="Arial"/>
        </w:rPr>
      </w:pPr>
      <w:r w:rsidRPr="003E234E">
        <w:rPr>
          <w:rFonts w:cs="Arial"/>
        </w:rPr>
        <w:t>4.</w:t>
      </w:r>
      <w:r w:rsidRPr="003E234E">
        <w:rPr>
          <w:rFonts w:cs="Arial"/>
        </w:rPr>
        <w:tab/>
        <w:t>In Unterabschnitt 1.1.3.6. ADN wird folgender neuer Absatz ergänzt:</w:t>
      </w:r>
    </w:p>
    <w:p w:rsidR="00DE1BA2" w:rsidRPr="00DE1BA2" w:rsidRDefault="00DE1BA2" w:rsidP="00DE1BA2">
      <w:pPr>
        <w:tabs>
          <w:tab w:val="left" w:pos="567"/>
        </w:tabs>
        <w:spacing w:line="276" w:lineRule="auto"/>
        <w:ind w:left="0" w:firstLine="0"/>
        <w:rPr>
          <w:rFonts w:cs="Arial"/>
          <w:sz w:val="24"/>
          <w:szCs w:val="18"/>
        </w:rPr>
      </w:pPr>
    </w:p>
    <w:p w:rsidR="00DE1BA2" w:rsidRPr="003E234E" w:rsidRDefault="00DE1BA2" w:rsidP="00DE1BA2">
      <w:pPr>
        <w:ind w:left="1843" w:hanging="1276"/>
      </w:pPr>
      <w:r w:rsidRPr="003E234E">
        <w:rPr>
          <w:b/>
        </w:rPr>
        <w:t>„</w:t>
      </w:r>
      <w:r w:rsidRPr="003E234E">
        <w:rPr>
          <w:b/>
          <w:u w:val="single"/>
        </w:rPr>
        <w:t xml:space="preserve">1.1.3.6.3 </w:t>
      </w:r>
      <w:r w:rsidRPr="003E234E">
        <w:rPr>
          <w:b/>
          <w:u w:val="single"/>
        </w:rPr>
        <w:tab/>
      </w:r>
      <w:r w:rsidRPr="003E234E">
        <w:rPr>
          <w:u w:val="single"/>
        </w:rPr>
        <w:t>Bezüglich dieses Unterabschnitts bleiben gefährliche Güter, die gemäß den Unterabschnitten 1.1.3.1 a), b) und d) bis f), 1.1.3.2 bis 1.1.3.5 und 1.1.3.7, 1.1.3.9 und 1.1.3.10 freigestellt sind, unberücksichtigt.“.</w:t>
      </w:r>
    </w:p>
    <w:p w:rsidR="00DE1BA2" w:rsidRDefault="00DE1BA2" w:rsidP="00DE1BA2">
      <w:pPr>
        <w:tabs>
          <w:tab w:val="left" w:pos="567"/>
        </w:tabs>
        <w:spacing w:line="276" w:lineRule="auto"/>
        <w:ind w:left="0" w:firstLine="0"/>
        <w:rPr>
          <w:rFonts w:cs="Arial"/>
          <w:sz w:val="24"/>
          <w:szCs w:val="18"/>
        </w:rPr>
      </w:pPr>
    </w:p>
    <w:p w:rsidR="00891337" w:rsidRPr="00DE1BA2" w:rsidRDefault="00891337" w:rsidP="00DE1BA2">
      <w:pPr>
        <w:tabs>
          <w:tab w:val="left" w:pos="567"/>
        </w:tabs>
        <w:spacing w:line="276" w:lineRule="auto"/>
        <w:ind w:left="0" w:firstLine="0"/>
        <w:rPr>
          <w:rFonts w:cs="Arial"/>
          <w:sz w:val="24"/>
          <w:szCs w:val="18"/>
        </w:rPr>
      </w:pPr>
    </w:p>
    <w:p w:rsidR="00DE1BA2" w:rsidRPr="00DE1BA2" w:rsidRDefault="00DE1BA2" w:rsidP="003E234E">
      <w:pPr>
        <w:tabs>
          <w:tab w:val="left" w:pos="567"/>
          <w:tab w:val="left" w:pos="1418"/>
        </w:tabs>
        <w:spacing w:line="240" w:lineRule="atLeast"/>
        <w:ind w:left="1418" w:hanging="1418"/>
        <w:rPr>
          <w:b/>
          <w:sz w:val="28"/>
          <w:szCs w:val="18"/>
        </w:rPr>
      </w:pPr>
      <w:r w:rsidRPr="00DE1BA2">
        <w:rPr>
          <w:b/>
          <w:sz w:val="28"/>
          <w:szCs w:val="18"/>
        </w:rPr>
        <w:t>Begründung</w:t>
      </w:r>
    </w:p>
    <w:p w:rsidR="00DE1BA2" w:rsidRPr="00DE1BA2" w:rsidRDefault="00DE1BA2" w:rsidP="00DE1BA2"/>
    <w:p w:rsidR="00DE1BA2" w:rsidRPr="003E234E" w:rsidRDefault="00DE1BA2" w:rsidP="00DE1BA2">
      <w:pPr>
        <w:tabs>
          <w:tab w:val="left" w:pos="567"/>
        </w:tabs>
        <w:spacing w:line="276" w:lineRule="auto"/>
        <w:ind w:left="0" w:firstLine="0"/>
        <w:rPr>
          <w:rFonts w:cs="Arial"/>
        </w:rPr>
      </w:pPr>
      <w:r w:rsidRPr="003E234E">
        <w:rPr>
          <w:rFonts w:cs="Arial"/>
        </w:rPr>
        <w:t>5.</w:t>
      </w:r>
      <w:r w:rsidRPr="003E234E">
        <w:rPr>
          <w:rFonts w:cs="Arial"/>
        </w:rPr>
        <w:tab/>
        <w:t>Die Änderungen sind erforderlich um eindeutig zu bestimmen, ob die für die Freistellung 1.1.3.6 ADN relevanten Mengenschwellen über- oder unterschritten werden.</w:t>
      </w:r>
    </w:p>
    <w:p w:rsidR="00DE1BA2" w:rsidRPr="00DE1BA2" w:rsidRDefault="00DE1BA2" w:rsidP="00DE1BA2">
      <w:pPr>
        <w:tabs>
          <w:tab w:val="left" w:pos="567"/>
        </w:tabs>
        <w:spacing w:line="276" w:lineRule="auto"/>
        <w:ind w:left="0" w:firstLine="0"/>
        <w:rPr>
          <w:rFonts w:cs="Arial"/>
          <w:sz w:val="24"/>
          <w:szCs w:val="18"/>
        </w:rPr>
      </w:pPr>
    </w:p>
    <w:p w:rsidR="00DE1BA2" w:rsidRPr="003E234E" w:rsidRDefault="00DE1BA2" w:rsidP="00DE1BA2">
      <w:pPr>
        <w:tabs>
          <w:tab w:val="left" w:pos="567"/>
        </w:tabs>
        <w:spacing w:line="276" w:lineRule="auto"/>
        <w:ind w:left="0" w:firstLine="0"/>
      </w:pPr>
      <w:r w:rsidRPr="003E234E">
        <w:t>6.</w:t>
      </w:r>
      <w:r w:rsidRPr="003E234E">
        <w:tab/>
        <w:t>Die hinzuzufügenden genannten Freistellungen 1.1.3.1 a), b) und d) bis f), 1.1.3.2 bis 1.1.3.5 und 1.1.3.7, 1.1.3.9 und 1.1.3.10 sind die spezielleren Vorschriften und daher stets zuerst zu prüfen. Nur wenn und soweit diese Freistellungen nicht greifen, kann auf die Freistellungsmöglichkeit nach Unterabschnitt 1.1.3.6 ADN zurückgegriffen werden.</w:t>
      </w:r>
    </w:p>
    <w:p w:rsidR="00DE1BA2" w:rsidRPr="00DE1BA2" w:rsidRDefault="00DE1BA2" w:rsidP="00DE1BA2">
      <w:pPr>
        <w:tabs>
          <w:tab w:val="left" w:pos="567"/>
        </w:tabs>
        <w:spacing w:line="276" w:lineRule="auto"/>
        <w:ind w:left="0" w:firstLine="0"/>
        <w:rPr>
          <w:rFonts w:cs="Arial"/>
          <w:sz w:val="24"/>
          <w:szCs w:val="18"/>
        </w:rPr>
      </w:pPr>
    </w:p>
    <w:p w:rsidR="00DE1BA2" w:rsidRPr="003E234E" w:rsidRDefault="00DE1BA2" w:rsidP="00DE1BA2">
      <w:pPr>
        <w:tabs>
          <w:tab w:val="left" w:pos="567"/>
        </w:tabs>
        <w:spacing w:line="276" w:lineRule="auto"/>
        <w:ind w:left="0" w:firstLine="0"/>
        <w:rPr>
          <w:rFonts w:cs="Arial"/>
        </w:rPr>
      </w:pPr>
      <w:r w:rsidRPr="003E234E">
        <w:rPr>
          <w:rFonts w:cs="Arial"/>
        </w:rPr>
        <w:t>7.</w:t>
      </w:r>
      <w:r w:rsidRPr="003E234E">
        <w:rPr>
          <w:rFonts w:cs="Arial"/>
        </w:rPr>
        <w:tab/>
        <w:t>Der Wortlaut wurde dem Absatz 1.1.3.6.5 ADR/RID entlehnt. Absatz 1.1.3.1 c) bleibt ausgenommen, weil die Freistellung</w:t>
      </w:r>
      <w:r w:rsidR="001D5401">
        <w:rPr>
          <w:rFonts w:cs="Arial"/>
        </w:rPr>
        <w:t xml:space="preserve"> auf Grund</w:t>
      </w:r>
      <w:r w:rsidRPr="003E234E">
        <w:rPr>
          <w:rFonts w:cs="Arial"/>
        </w:rPr>
        <w:t xml:space="preserve"> dieser Vorschrift selbst auf die Höchstmengen nach 1.1.3.6 ADN begrenzt ist.</w:t>
      </w:r>
    </w:p>
    <w:p w:rsidR="00DE1BA2" w:rsidRPr="00DE1BA2" w:rsidRDefault="00DE1BA2" w:rsidP="00DE1BA2">
      <w:pPr>
        <w:tabs>
          <w:tab w:val="left" w:pos="567"/>
        </w:tabs>
        <w:spacing w:line="276" w:lineRule="auto"/>
        <w:ind w:left="0" w:firstLine="0"/>
        <w:rPr>
          <w:rFonts w:cs="Arial"/>
          <w:sz w:val="24"/>
          <w:szCs w:val="18"/>
        </w:rPr>
      </w:pPr>
    </w:p>
    <w:p w:rsidR="00DE1BA2" w:rsidRPr="00DE1BA2" w:rsidRDefault="00DE1BA2" w:rsidP="003E234E">
      <w:pPr>
        <w:tabs>
          <w:tab w:val="left" w:pos="567"/>
          <w:tab w:val="left" w:pos="1418"/>
        </w:tabs>
        <w:spacing w:before="180" w:line="240" w:lineRule="atLeast"/>
        <w:rPr>
          <w:b/>
          <w:sz w:val="28"/>
          <w:szCs w:val="18"/>
        </w:rPr>
      </w:pPr>
      <w:r w:rsidRPr="00DE1BA2">
        <w:rPr>
          <w:b/>
          <w:sz w:val="28"/>
          <w:szCs w:val="18"/>
        </w:rPr>
        <w:t>Sicherheit</w:t>
      </w:r>
    </w:p>
    <w:p w:rsidR="00DE1BA2" w:rsidRPr="00DE1BA2" w:rsidRDefault="00DE1BA2" w:rsidP="00DE1BA2">
      <w:pPr>
        <w:tabs>
          <w:tab w:val="left" w:pos="1418"/>
        </w:tabs>
        <w:spacing w:line="240" w:lineRule="atLeast"/>
        <w:rPr>
          <w:rFonts w:cs="Arial"/>
          <w:sz w:val="22"/>
          <w:szCs w:val="18"/>
        </w:rPr>
      </w:pPr>
    </w:p>
    <w:p w:rsidR="00DE1BA2" w:rsidRPr="003E234E" w:rsidRDefault="00DE1BA2" w:rsidP="00DE1BA2">
      <w:pPr>
        <w:tabs>
          <w:tab w:val="left" w:pos="567"/>
        </w:tabs>
        <w:spacing w:line="276" w:lineRule="auto"/>
        <w:ind w:left="0" w:firstLine="0"/>
        <w:rPr>
          <w:rFonts w:cs="Arial"/>
        </w:rPr>
      </w:pPr>
      <w:r w:rsidRPr="003E234E">
        <w:rPr>
          <w:rFonts w:cs="Arial"/>
        </w:rPr>
        <w:t>8.</w:t>
      </w:r>
      <w:r w:rsidRPr="003E234E">
        <w:rPr>
          <w:rFonts w:cs="Arial"/>
        </w:rPr>
        <w:tab/>
        <w:t>Die Sicherheit der Beförderung wird nicht beeinträchtigt. Die in der Bemerkung aufgeführten Freistellungen sind zwischen den Regelwerken ADR, RID und ADN harmonisiert. Es ist unstreitig, dass diese Freistellungen für sich genommen sicherheitstechnisch unbedenklich sind, auch wenn im Rahmen von 1.1.3.6 ADN weitere gefährliche Güter mitgeführt werden sollten.</w:t>
      </w:r>
    </w:p>
    <w:p w:rsidR="00DE1BA2" w:rsidRPr="00DE1BA2" w:rsidRDefault="00DE1BA2" w:rsidP="00DE1BA2">
      <w:pPr>
        <w:tabs>
          <w:tab w:val="left" w:pos="567"/>
        </w:tabs>
        <w:spacing w:line="276" w:lineRule="auto"/>
        <w:ind w:left="0" w:firstLine="0"/>
        <w:rPr>
          <w:rFonts w:cs="Arial"/>
          <w:sz w:val="24"/>
          <w:szCs w:val="18"/>
        </w:rPr>
      </w:pPr>
    </w:p>
    <w:p w:rsidR="00891337" w:rsidRDefault="00891337">
      <w:pPr>
        <w:widowControl/>
        <w:overflowPunct/>
        <w:autoSpaceDE/>
        <w:autoSpaceDN/>
        <w:adjustRightInd/>
        <w:ind w:left="0" w:firstLine="0"/>
        <w:jc w:val="left"/>
        <w:textAlignment w:val="auto"/>
        <w:rPr>
          <w:b/>
          <w:sz w:val="28"/>
          <w:szCs w:val="18"/>
        </w:rPr>
      </w:pPr>
      <w:r>
        <w:rPr>
          <w:b/>
          <w:sz w:val="28"/>
          <w:szCs w:val="18"/>
        </w:rPr>
        <w:br w:type="page"/>
      </w:r>
    </w:p>
    <w:p w:rsidR="00DE1BA2" w:rsidRPr="00DE1BA2" w:rsidRDefault="00DE1BA2" w:rsidP="003E234E">
      <w:pPr>
        <w:tabs>
          <w:tab w:val="left" w:pos="567"/>
          <w:tab w:val="left" w:pos="1418"/>
        </w:tabs>
        <w:spacing w:before="180" w:line="240" w:lineRule="atLeast"/>
        <w:rPr>
          <w:b/>
          <w:sz w:val="28"/>
          <w:szCs w:val="18"/>
        </w:rPr>
      </w:pPr>
      <w:r w:rsidRPr="00DE1BA2">
        <w:rPr>
          <w:b/>
          <w:sz w:val="28"/>
          <w:szCs w:val="18"/>
        </w:rPr>
        <w:lastRenderedPageBreak/>
        <w:t>Umsetzbarkeit</w:t>
      </w:r>
    </w:p>
    <w:p w:rsidR="00DE1BA2" w:rsidRPr="00DE1BA2" w:rsidRDefault="00DE1BA2" w:rsidP="00DE1BA2">
      <w:pPr>
        <w:tabs>
          <w:tab w:val="left" w:pos="1418"/>
        </w:tabs>
        <w:spacing w:line="240" w:lineRule="atLeast"/>
        <w:rPr>
          <w:rFonts w:cs="Arial"/>
          <w:sz w:val="22"/>
          <w:szCs w:val="18"/>
        </w:rPr>
      </w:pPr>
    </w:p>
    <w:p w:rsidR="00DE1BA2" w:rsidRPr="003E234E" w:rsidRDefault="00DE1BA2" w:rsidP="00DE1BA2">
      <w:pPr>
        <w:tabs>
          <w:tab w:val="left" w:pos="567"/>
        </w:tabs>
        <w:spacing w:line="276" w:lineRule="auto"/>
        <w:ind w:left="0" w:firstLine="0"/>
        <w:rPr>
          <w:rFonts w:cs="Arial"/>
        </w:rPr>
      </w:pPr>
      <w:r w:rsidRPr="003E234E">
        <w:rPr>
          <w:rFonts w:cs="Arial"/>
        </w:rPr>
        <w:t>9.</w:t>
      </w:r>
      <w:r w:rsidRPr="003E234E">
        <w:rPr>
          <w:rFonts w:cs="Arial"/>
        </w:rPr>
        <w:tab/>
        <w:t xml:space="preserve">Es sind keine schiffbaulichen oder logistischen Änderungen erforderlich, die eine Belastung der beteiligten Unternehmen darstellen könnten. Es erfolgt eine Erleichterung der Beförderung. Eine unklare Vorschrift wird zur </w:t>
      </w:r>
      <w:r w:rsidR="001D5401">
        <w:rPr>
          <w:rFonts w:cs="Arial"/>
        </w:rPr>
        <w:t xml:space="preserve">Vermeidung </w:t>
      </w:r>
      <w:r w:rsidRPr="003E234E">
        <w:rPr>
          <w:rFonts w:cs="Arial"/>
        </w:rPr>
        <w:t>von hinderlichen Auslegungsfragen präzisiert, u.U. erweitert sich der bisherige, auf abweichenden Auslegungen beruhende Anwendungsbereich von Freistellungen.</w:t>
      </w:r>
    </w:p>
    <w:p w:rsidR="00DE1BA2" w:rsidRPr="00DE1BA2" w:rsidRDefault="00DE1BA2" w:rsidP="00DE1BA2">
      <w:pPr>
        <w:tabs>
          <w:tab w:val="left" w:pos="567"/>
        </w:tabs>
        <w:spacing w:line="276" w:lineRule="auto"/>
        <w:ind w:left="0" w:firstLine="0"/>
        <w:rPr>
          <w:rFonts w:cs="Arial"/>
          <w:sz w:val="24"/>
          <w:szCs w:val="18"/>
        </w:rPr>
      </w:pPr>
    </w:p>
    <w:p w:rsidR="00CE73AD" w:rsidRPr="00DE1BA2" w:rsidRDefault="00DE1BA2" w:rsidP="00DE1BA2">
      <w:pPr>
        <w:tabs>
          <w:tab w:val="left" w:pos="567"/>
        </w:tabs>
        <w:spacing w:line="276" w:lineRule="auto"/>
        <w:ind w:left="0" w:firstLine="0"/>
        <w:jc w:val="center"/>
        <w:rPr>
          <w:rFonts w:cs="Arial"/>
          <w:sz w:val="24"/>
          <w:szCs w:val="18"/>
        </w:rPr>
      </w:pPr>
      <w:r w:rsidRPr="00DE1BA2">
        <w:rPr>
          <w:rFonts w:cs="Arial"/>
          <w:sz w:val="24"/>
          <w:szCs w:val="18"/>
        </w:rPr>
        <w:t>***</w:t>
      </w:r>
    </w:p>
    <w:sectPr w:rsidR="00CE73AD" w:rsidRPr="00DE1BA2" w:rsidSect="00891337">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EAD" w:rsidRDefault="00855EAD" w:rsidP="003943F4">
      <w:r>
        <w:separator/>
      </w:r>
    </w:p>
  </w:endnote>
  <w:endnote w:type="continuationSeparator" w:id="0">
    <w:p w:rsidR="00855EAD" w:rsidRDefault="00855EAD" w:rsidP="0039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37" w:rsidRDefault="00891337" w:rsidP="00891337">
    <w:pPr>
      <w:widowControl/>
      <w:suppressAutoHyphens/>
      <w:overflowPunct/>
      <w:autoSpaceDE/>
      <w:adjustRightInd/>
      <w:ind w:left="0" w:firstLine="0"/>
      <w:jc w:val="right"/>
      <w:textAlignment w:val="auto"/>
    </w:pPr>
    <w:r>
      <w:rPr>
        <w:rFonts w:ascii="Arial" w:hAnsi="Arial"/>
        <w:noProof/>
        <w:snapToGrid w:val="0"/>
        <w:sz w:val="12"/>
        <w:szCs w:val="24"/>
        <w:lang w:val="en-US"/>
      </w:rPr>
      <w:t>m</w:t>
    </w:r>
    <w:r w:rsidRPr="001829D8">
      <w:rPr>
        <w:rFonts w:ascii="Arial" w:hAnsi="Arial"/>
        <w:noProof/>
        <w:snapToGrid w:val="0"/>
        <w:sz w:val="12"/>
        <w:szCs w:val="24"/>
        <w:lang w:val="en-US"/>
      </w:rPr>
      <w:t>m/adn_wp15_ac2_201</w:t>
    </w:r>
    <w:r>
      <w:rPr>
        <w:rFonts w:ascii="Arial" w:hAnsi="Arial"/>
        <w:noProof/>
        <w:snapToGrid w:val="0"/>
        <w:sz w:val="12"/>
        <w:szCs w:val="24"/>
        <w:lang w:val="en-US"/>
      </w:rPr>
      <w:t>8</w:t>
    </w:r>
    <w:r w:rsidRPr="001829D8">
      <w:rPr>
        <w:rFonts w:ascii="Arial" w:hAnsi="Arial"/>
        <w:noProof/>
        <w:snapToGrid w:val="0"/>
        <w:sz w:val="12"/>
        <w:szCs w:val="24"/>
        <w:lang w:val="en-US"/>
      </w:rPr>
      <w:t>_</w:t>
    </w:r>
    <w:r>
      <w:rPr>
        <w:rFonts w:ascii="Arial" w:hAnsi="Arial"/>
        <w:noProof/>
        <w:snapToGrid w:val="0"/>
        <w:sz w:val="12"/>
        <w:szCs w:val="24"/>
        <w:lang w:val="en-US"/>
      </w:rPr>
      <w:t>51de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F4" w:rsidRDefault="003E234E" w:rsidP="003E234E">
    <w:pPr>
      <w:widowControl/>
      <w:suppressAutoHyphens/>
      <w:overflowPunct/>
      <w:autoSpaceDE/>
      <w:adjustRightInd/>
      <w:ind w:left="0" w:firstLine="0"/>
      <w:jc w:val="right"/>
      <w:textAlignment w:val="auto"/>
    </w:pPr>
    <w:r>
      <w:rPr>
        <w:rFonts w:ascii="Arial" w:hAnsi="Arial"/>
        <w:noProof/>
        <w:snapToGrid w:val="0"/>
        <w:sz w:val="12"/>
        <w:szCs w:val="24"/>
        <w:lang w:val="en-US"/>
      </w:rPr>
      <w:t>m</w:t>
    </w:r>
    <w:r w:rsidRPr="001829D8">
      <w:rPr>
        <w:rFonts w:ascii="Arial" w:hAnsi="Arial"/>
        <w:noProof/>
        <w:snapToGrid w:val="0"/>
        <w:sz w:val="12"/>
        <w:szCs w:val="24"/>
        <w:lang w:val="en-US"/>
      </w:rPr>
      <w:t>m/adn_wp15_ac2_201</w:t>
    </w:r>
    <w:r>
      <w:rPr>
        <w:rFonts w:ascii="Arial" w:hAnsi="Arial"/>
        <w:noProof/>
        <w:snapToGrid w:val="0"/>
        <w:sz w:val="12"/>
        <w:szCs w:val="24"/>
        <w:lang w:val="en-US"/>
      </w:rPr>
      <w:t>8</w:t>
    </w:r>
    <w:r w:rsidRPr="001829D8">
      <w:rPr>
        <w:rFonts w:ascii="Arial" w:hAnsi="Arial"/>
        <w:noProof/>
        <w:snapToGrid w:val="0"/>
        <w:sz w:val="12"/>
        <w:szCs w:val="24"/>
        <w:lang w:val="en-US"/>
      </w:rPr>
      <w:t>_</w:t>
    </w:r>
    <w:r w:rsidR="00F024B8">
      <w:rPr>
        <w:rFonts w:ascii="Arial" w:hAnsi="Arial"/>
        <w:noProof/>
        <w:snapToGrid w:val="0"/>
        <w:sz w:val="12"/>
        <w:szCs w:val="24"/>
        <w:lang w:val="en-US"/>
      </w:rPr>
      <w:t>5</w:t>
    </w:r>
    <w:r w:rsidR="00891337">
      <w:rPr>
        <w:rFonts w:ascii="Arial" w:hAnsi="Arial"/>
        <w:noProof/>
        <w:snapToGrid w:val="0"/>
        <w:sz w:val="12"/>
        <w:szCs w:val="24"/>
        <w:lang w:val="en-US"/>
      </w:rPr>
      <w:t>1</w:t>
    </w:r>
    <w:r>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EAD" w:rsidRDefault="00855EAD" w:rsidP="003943F4">
      <w:r>
        <w:separator/>
      </w:r>
    </w:p>
  </w:footnote>
  <w:footnote w:type="continuationSeparator" w:id="0">
    <w:p w:rsidR="00855EAD" w:rsidRDefault="00855EAD" w:rsidP="003943F4">
      <w:r>
        <w:continuationSeparator/>
      </w:r>
    </w:p>
  </w:footnote>
  <w:footnote w:id="1">
    <w:p w:rsidR="003E234E" w:rsidRDefault="003E234E" w:rsidP="003E234E">
      <w:pPr>
        <w:pStyle w:val="FootnoteText"/>
        <w:ind w:left="284" w:hanging="284"/>
        <w:rPr>
          <w:sz w:val="16"/>
          <w:szCs w:val="16"/>
        </w:rPr>
      </w:pPr>
      <w:r>
        <w:rPr>
          <w:rStyle w:val="FootnoteReference"/>
          <w:sz w:val="16"/>
          <w:szCs w:val="16"/>
        </w:rPr>
        <w:footnoteRef/>
      </w:r>
      <w:r>
        <w:rPr>
          <w:sz w:val="16"/>
          <w:szCs w:val="16"/>
        </w:rPr>
        <w:t xml:space="preserve"> </w:t>
      </w:r>
      <w:r>
        <w:rPr>
          <w:sz w:val="16"/>
          <w:szCs w:val="16"/>
        </w:rPr>
        <w:tab/>
        <w:t>Von der UN-ECE in Englisch, Französisch und Russisch unter dem Aktenzeichen ECE/TRANS/WP.15/AC.2/2018/</w:t>
      </w:r>
      <w:r w:rsidR="00F024B8">
        <w:rPr>
          <w:sz w:val="16"/>
          <w:szCs w:val="16"/>
        </w:rPr>
        <w:t>5</w:t>
      </w:r>
      <w:r w:rsidR="00891337">
        <w:rPr>
          <w:sz w:val="16"/>
          <w:szCs w:val="16"/>
        </w:rPr>
        <w:t>1</w:t>
      </w:r>
      <w:r>
        <w:rPr>
          <w:sz w:val="16"/>
          <w:szCs w:val="16"/>
        </w:rPr>
        <w:t xml:space="preserve"> verteilt.</w:t>
      </w:r>
    </w:p>
  </w:footnote>
  <w:footnote w:id="2">
    <w:p w:rsidR="003E234E" w:rsidRDefault="003E234E" w:rsidP="003E234E">
      <w:pPr>
        <w:pStyle w:val="FootnoteText"/>
        <w:tabs>
          <w:tab w:val="left" w:pos="284"/>
        </w:tabs>
        <w:ind w:left="284" w:hanging="284"/>
        <w:rPr>
          <w:sz w:val="16"/>
          <w:szCs w:val="16"/>
        </w:rPr>
      </w:pPr>
      <w:r>
        <w:rPr>
          <w:rStyle w:val="FootnoteReference"/>
          <w:sz w:val="16"/>
          <w:szCs w:val="16"/>
        </w:rPr>
        <w:footnoteRef/>
      </w:r>
      <w:r>
        <w:rPr>
          <w:sz w:val="16"/>
          <w:szCs w:val="16"/>
        </w:rPr>
        <w:t xml:space="preserve"> </w:t>
      </w:r>
      <w:r>
        <w:rPr>
          <w:sz w:val="16"/>
          <w:szCs w:val="16"/>
        </w:rPr>
        <w:tab/>
        <w:t>Entsprechend dem Arbeitsprogramm des Binnenverkehrsausschusses für 201</w:t>
      </w:r>
      <w:r w:rsidR="00F024B8">
        <w:rPr>
          <w:sz w:val="16"/>
          <w:szCs w:val="16"/>
        </w:rPr>
        <w:t>8</w:t>
      </w:r>
      <w:r>
        <w:rPr>
          <w:sz w:val="16"/>
          <w:szCs w:val="16"/>
        </w:rPr>
        <w:t>-201</w:t>
      </w:r>
      <w:r w:rsidR="00F024B8">
        <w:rPr>
          <w:sz w:val="16"/>
          <w:szCs w:val="16"/>
        </w:rPr>
        <w:t>9</w:t>
      </w:r>
      <w:r>
        <w:rPr>
          <w:sz w:val="16"/>
          <w:szCs w:val="16"/>
        </w:rPr>
        <w:t xml:space="preserve"> (ECE/TRANS/201</w:t>
      </w:r>
      <w:r w:rsidR="00F024B8">
        <w:rPr>
          <w:sz w:val="16"/>
          <w:szCs w:val="16"/>
        </w:rPr>
        <w:t>8</w:t>
      </w:r>
      <w:r>
        <w:rPr>
          <w:sz w:val="16"/>
          <w:szCs w:val="16"/>
        </w:rPr>
        <w:t>/</w:t>
      </w:r>
      <w:r w:rsidR="00F024B8">
        <w:rPr>
          <w:sz w:val="16"/>
          <w:szCs w:val="16"/>
        </w:rPr>
        <w:t>21</w:t>
      </w:r>
      <w:r>
        <w:rPr>
          <w:sz w:val="16"/>
          <w:szCs w:val="16"/>
        </w:rPr>
        <w:t>/Add.1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37" w:rsidRPr="004B1815" w:rsidRDefault="00891337" w:rsidP="00891337">
    <w:pPr>
      <w:widowControl/>
      <w:suppressAutoHyphens/>
      <w:overflowPunct/>
      <w:autoSpaceDE/>
      <w:autoSpaceDN/>
      <w:adjustRightInd/>
      <w:ind w:left="0" w:firstLine="0"/>
      <w:jc w:val="left"/>
      <w:textAlignment w:val="auto"/>
      <w:rPr>
        <w:rFonts w:ascii="Arial" w:hAnsi="Arial"/>
        <w:snapToGrid w:val="0"/>
        <w:sz w:val="16"/>
        <w:szCs w:val="16"/>
        <w:lang w:val="en-US"/>
      </w:rPr>
    </w:pPr>
    <w:r w:rsidRPr="004B1815">
      <w:rPr>
        <w:rFonts w:ascii="Arial" w:hAnsi="Arial"/>
        <w:snapToGrid w:val="0"/>
        <w:sz w:val="16"/>
        <w:szCs w:val="16"/>
        <w:lang w:val="en-US"/>
      </w:rPr>
      <w:t>CCNR-ZKR/ADN/WP.15/AC.2/2018/</w:t>
    </w:r>
    <w:r>
      <w:rPr>
        <w:rFonts w:ascii="Arial" w:hAnsi="Arial"/>
        <w:snapToGrid w:val="0"/>
        <w:sz w:val="16"/>
        <w:szCs w:val="16"/>
        <w:lang w:val="en-US"/>
      </w:rPr>
      <w:t>51</w:t>
    </w:r>
  </w:p>
  <w:p w:rsidR="00891337" w:rsidRDefault="00891337" w:rsidP="00891337">
    <w:pPr>
      <w:widowControl/>
      <w:suppressAutoHyphens/>
      <w:overflowPunct/>
      <w:autoSpaceDE/>
      <w:autoSpaceDN/>
      <w:adjustRightInd/>
      <w:ind w:left="0" w:firstLine="0"/>
      <w:jc w:val="left"/>
      <w:textAlignment w:val="auto"/>
    </w:pPr>
    <w:r w:rsidRPr="004B1815">
      <w:rPr>
        <w:rFonts w:ascii="Arial" w:hAnsi="Arial"/>
        <w:snapToGrid w:val="0"/>
        <w:sz w:val="16"/>
        <w:szCs w:val="16"/>
      </w:rPr>
      <w:t xml:space="preserve">Seite </w:t>
    </w:r>
    <w:r w:rsidRPr="004B1815">
      <w:rPr>
        <w:rFonts w:ascii="Arial" w:hAnsi="Arial"/>
        <w:snapToGrid w:val="0"/>
        <w:sz w:val="16"/>
        <w:szCs w:val="16"/>
      </w:rPr>
      <w:fldChar w:fldCharType="begin"/>
    </w:r>
    <w:r w:rsidRPr="004B1815">
      <w:rPr>
        <w:rFonts w:ascii="Arial" w:hAnsi="Arial"/>
        <w:snapToGrid w:val="0"/>
        <w:sz w:val="16"/>
        <w:szCs w:val="16"/>
      </w:rPr>
      <w:instrText xml:space="preserve"> PAGE  \* MERGEFORMAT </w:instrText>
    </w:r>
    <w:r w:rsidRPr="004B1815">
      <w:rPr>
        <w:rFonts w:ascii="Arial" w:hAnsi="Arial"/>
        <w:snapToGrid w:val="0"/>
        <w:sz w:val="16"/>
        <w:szCs w:val="16"/>
      </w:rPr>
      <w:fldChar w:fldCharType="separate"/>
    </w:r>
    <w:r w:rsidR="005B4726">
      <w:rPr>
        <w:rFonts w:ascii="Arial" w:hAnsi="Arial"/>
        <w:noProof/>
        <w:snapToGrid w:val="0"/>
        <w:sz w:val="16"/>
        <w:szCs w:val="16"/>
      </w:rPr>
      <w:t>2</w:t>
    </w:r>
    <w:r w:rsidRPr="004B1815">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4E" w:rsidRPr="004B1815" w:rsidRDefault="003E234E" w:rsidP="00891337">
    <w:pPr>
      <w:widowControl/>
      <w:suppressAutoHyphens/>
      <w:overflowPunct/>
      <w:autoSpaceDE/>
      <w:autoSpaceDN/>
      <w:adjustRightInd/>
      <w:ind w:left="0" w:firstLine="0"/>
      <w:jc w:val="right"/>
      <w:textAlignment w:val="auto"/>
      <w:rPr>
        <w:rFonts w:ascii="Arial" w:hAnsi="Arial"/>
        <w:snapToGrid w:val="0"/>
        <w:sz w:val="16"/>
        <w:szCs w:val="16"/>
        <w:lang w:val="en-US"/>
      </w:rPr>
    </w:pPr>
    <w:r w:rsidRPr="004B1815">
      <w:rPr>
        <w:rFonts w:ascii="Arial" w:hAnsi="Arial"/>
        <w:snapToGrid w:val="0"/>
        <w:sz w:val="16"/>
        <w:szCs w:val="16"/>
        <w:lang w:val="en-US"/>
      </w:rPr>
      <w:t>CCNR-ZKR/ADN/WP.15/AC.2/2018/</w:t>
    </w:r>
    <w:r w:rsidR="00F024B8">
      <w:rPr>
        <w:rFonts w:ascii="Arial" w:hAnsi="Arial"/>
        <w:snapToGrid w:val="0"/>
        <w:sz w:val="16"/>
        <w:szCs w:val="16"/>
        <w:lang w:val="en-US"/>
      </w:rPr>
      <w:t>5</w:t>
    </w:r>
    <w:r w:rsidR="00891337">
      <w:rPr>
        <w:rFonts w:ascii="Arial" w:hAnsi="Arial"/>
        <w:snapToGrid w:val="0"/>
        <w:sz w:val="16"/>
        <w:szCs w:val="16"/>
        <w:lang w:val="en-US"/>
      </w:rPr>
      <w:t>1</w:t>
    </w:r>
  </w:p>
  <w:p w:rsidR="003943F4" w:rsidRDefault="003E234E" w:rsidP="00891337">
    <w:pPr>
      <w:widowControl/>
      <w:suppressAutoHyphens/>
      <w:overflowPunct/>
      <w:autoSpaceDE/>
      <w:autoSpaceDN/>
      <w:adjustRightInd/>
      <w:ind w:left="0" w:firstLine="0"/>
      <w:jc w:val="right"/>
      <w:textAlignment w:val="auto"/>
    </w:pPr>
    <w:r w:rsidRPr="004B1815">
      <w:rPr>
        <w:rFonts w:ascii="Arial" w:hAnsi="Arial"/>
        <w:snapToGrid w:val="0"/>
        <w:sz w:val="16"/>
        <w:szCs w:val="16"/>
      </w:rPr>
      <w:t xml:space="preserve">Seite </w:t>
    </w:r>
    <w:r w:rsidRPr="004B1815">
      <w:rPr>
        <w:rFonts w:ascii="Arial" w:hAnsi="Arial"/>
        <w:snapToGrid w:val="0"/>
        <w:sz w:val="16"/>
        <w:szCs w:val="16"/>
      </w:rPr>
      <w:fldChar w:fldCharType="begin"/>
    </w:r>
    <w:r w:rsidRPr="004B1815">
      <w:rPr>
        <w:rFonts w:ascii="Arial" w:hAnsi="Arial"/>
        <w:snapToGrid w:val="0"/>
        <w:sz w:val="16"/>
        <w:szCs w:val="16"/>
      </w:rPr>
      <w:instrText xml:space="preserve"> PAGE  \* MERGEFORMAT </w:instrText>
    </w:r>
    <w:r w:rsidRPr="004B1815">
      <w:rPr>
        <w:rFonts w:ascii="Arial" w:hAnsi="Arial"/>
        <w:snapToGrid w:val="0"/>
        <w:sz w:val="16"/>
        <w:szCs w:val="16"/>
      </w:rPr>
      <w:fldChar w:fldCharType="separate"/>
    </w:r>
    <w:r w:rsidR="005B4726">
      <w:rPr>
        <w:rFonts w:ascii="Arial" w:hAnsi="Arial"/>
        <w:noProof/>
        <w:snapToGrid w:val="0"/>
        <w:sz w:val="16"/>
        <w:szCs w:val="16"/>
      </w:rPr>
      <w:t>3</w:t>
    </w:r>
    <w:r w:rsidRPr="004B1815">
      <w:rPr>
        <w:rFonts w:ascii="Arial" w:hAnsi="Arial"/>
        <w:snapToGrid w:val="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B"/>
    <w:rsid w:val="0009215A"/>
    <w:rsid w:val="000C6E63"/>
    <w:rsid w:val="000D7CD4"/>
    <w:rsid w:val="001114F6"/>
    <w:rsid w:val="001D5401"/>
    <w:rsid w:val="002C1A2D"/>
    <w:rsid w:val="002C5BB4"/>
    <w:rsid w:val="003943F4"/>
    <w:rsid w:val="003E234E"/>
    <w:rsid w:val="00432F4D"/>
    <w:rsid w:val="00591A7D"/>
    <w:rsid w:val="005B4726"/>
    <w:rsid w:val="00633F2B"/>
    <w:rsid w:val="00643AEA"/>
    <w:rsid w:val="006564C7"/>
    <w:rsid w:val="00751575"/>
    <w:rsid w:val="00776325"/>
    <w:rsid w:val="007C68A8"/>
    <w:rsid w:val="00855EAD"/>
    <w:rsid w:val="00891337"/>
    <w:rsid w:val="00942F49"/>
    <w:rsid w:val="00984707"/>
    <w:rsid w:val="009A5AA2"/>
    <w:rsid w:val="00A50FEB"/>
    <w:rsid w:val="00AC2992"/>
    <w:rsid w:val="00B4533C"/>
    <w:rsid w:val="00BB45AE"/>
    <w:rsid w:val="00C737A3"/>
    <w:rsid w:val="00C80FB6"/>
    <w:rsid w:val="00CD6483"/>
    <w:rsid w:val="00CE73AD"/>
    <w:rsid w:val="00DB57E7"/>
    <w:rsid w:val="00DE1BA2"/>
    <w:rsid w:val="00ED557F"/>
    <w:rsid w:val="00F024B8"/>
    <w:rsid w:val="00F55B45"/>
    <w:rsid w:val="00FD0BE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58D7BB86-D778-40E6-AE9B-13C6865B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paragraph" w:styleId="Header">
    <w:name w:val="header"/>
    <w:basedOn w:val="Normal"/>
    <w:link w:val="HeaderChar"/>
    <w:rsid w:val="003943F4"/>
    <w:pPr>
      <w:tabs>
        <w:tab w:val="center" w:pos="4536"/>
        <w:tab w:val="right" w:pos="9072"/>
      </w:tabs>
    </w:pPr>
  </w:style>
  <w:style w:type="character" w:customStyle="1" w:styleId="HeaderChar">
    <w:name w:val="Header Char"/>
    <w:basedOn w:val="DefaultParagraphFont"/>
    <w:link w:val="Header"/>
    <w:rsid w:val="003943F4"/>
    <w:rPr>
      <w:lang w:eastAsia="fr-FR"/>
    </w:rPr>
  </w:style>
  <w:style w:type="paragraph" w:styleId="Footer">
    <w:name w:val="footer"/>
    <w:basedOn w:val="Normal"/>
    <w:link w:val="FooterChar"/>
    <w:rsid w:val="003943F4"/>
    <w:pPr>
      <w:tabs>
        <w:tab w:val="center" w:pos="4536"/>
        <w:tab w:val="right" w:pos="9072"/>
      </w:tabs>
    </w:pPr>
  </w:style>
  <w:style w:type="character" w:customStyle="1" w:styleId="FooterChar">
    <w:name w:val="Footer Char"/>
    <w:basedOn w:val="DefaultParagraphFont"/>
    <w:link w:val="Footer"/>
    <w:rsid w:val="003943F4"/>
    <w:rPr>
      <w:lang w:eastAsia="fr-FR"/>
    </w:rPr>
  </w:style>
  <w:style w:type="paragraph" w:styleId="FootnoteText">
    <w:name w:val="footnote text"/>
    <w:basedOn w:val="Normal"/>
    <w:link w:val="FootnoteTextChar"/>
    <w:unhideWhenUsed/>
    <w:rsid w:val="003E234E"/>
    <w:pPr>
      <w:textAlignment w:val="auto"/>
    </w:pPr>
  </w:style>
  <w:style w:type="character" w:customStyle="1" w:styleId="FootnoteTextChar">
    <w:name w:val="Footnote Text Char"/>
    <w:basedOn w:val="DefaultParagraphFont"/>
    <w:link w:val="FootnoteText"/>
    <w:rsid w:val="003E234E"/>
    <w:rPr>
      <w:lang w:eastAsia="fr-FR"/>
    </w:rPr>
  </w:style>
  <w:style w:type="character" w:styleId="FootnoteReference">
    <w:name w:val="footnote reference"/>
    <w:aliases w:val="4_G,Footnote Reference/"/>
    <w:unhideWhenUsed/>
    <w:rsid w:val="003E234E"/>
    <w:rPr>
      <w:rFonts w:ascii="Times New Roman" w:hAnsi="Times New Roman" w:cs="Times New Roman" w:hint="default"/>
      <w:sz w:val="18"/>
      <w:vertAlign w:val="superscript"/>
    </w:rPr>
  </w:style>
  <w:style w:type="character" w:styleId="CommentReference">
    <w:name w:val="annotation reference"/>
    <w:basedOn w:val="DefaultParagraphFont"/>
    <w:rsid w:val="00BB45AE"/>
    <w:rPr>
      <w:sz w:val="16"/>
      <w:szCs w:val="16"/>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basedOn w:val="CommentTextChar"/>
    <w:link w:val="CommentSubject"/>
    <w:rsid w:val="00BB45AE"/>
    <w:rPr>
      <w:b/>
      <w:bCs/>
      <w:lang w:eastAsia="fr-FR"/>
    </w:rPr>
  </w:style>
  <w:style w:type="paragraph" w:styleId="BalloonText">
    <w:name w:val="Balloon Text"/>
    <w:basedOn w:val="Normal"/>
    <w:link w:val="BalloonTextChar"/>
    <w:rsid w:val="00BB45AE"/>
    <w:rPr>
      <w:rFonts w:ascii="Tahoma" w:hAnsi="Tahoma" w:cs="Tahoma"/>
      <w:sz w:val="16"/>
      <w:szCs w:val="16"/>
    </w:rPr>
  </w:style>
  <w:style w:type="character" w:customStyle="1" w:styleId="BalloonTextChar">
    <w:name w:val="Balloon Text Char"/>
    <w:basedOn w:val="DefaultParagraphFont"/>
    <w:link w:val="BalloonText"/>
    <w:rsid w:val="00BB45AE"/>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6F65-831C-4647-9C81-0BC017FF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3118</Characters>
  <Application>Microsoft Office Word</Application>
  <DocSecurity>4</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CRP.3/A.8</cp:lastModifiedBy>
  <cp:revision>2</cp:revision>
  <dcterms:created xsi:type="dcterms:W3CDTF">2018-06-25T12:12:00Z</dcterms:created>
  <dcterms:modified xsi:type="dcterms:W3CDTF">2018-06-25T12:12:00Z</dcterms:modified>
</cp:coreProperties>
</file>