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47BF" w:rsidRPr="00D70305" w:rsidTr="00F01516">
        <w:trPr>
          <w:trHeight w:hRule="exact" w:val="851"/>
        </w:trPr>
        <w:tc>
          <w:tcPr>
            <w:tcW w:w="1277" w:type="dxa"/>
            <w:tcBorders>
              <w:bottom w:val="single" w:sz="4" w:space="0" w:color="auto"/>
            </w:tcBorders>
          </w:tcPr>
          <w:p w:rsidR="003447BF" w:rsidRPr="00367E6A" w:rsidRDefault="003447BF" w:rsidP="00F01516">
            <w:pPr>
              <w:rPr>
                <w:lang w:val="fr-FR"/>
              </w:rPr>
            </w:pPr>
          </w:p>
        </w:tc>
        <w:tc>
          <w:tcPr>
            <w:tcW w:w="2268" w:type="dxa"/>
            <w:tcBorders>
              <w:bottom w:val="single" w:sz="4" w:space="0" w:color="auto"/>
            </w:tcBorders>
            <w:vAlign w:val="bottom"/>
          </w:tcPr>
          <w:p w:rsidR="003447BF" w:rsidRPr="00367E6A" w:rsidRDefault="003447BF"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447BF" w:rsidRPr="006D7AA7" w:rsidRDefault="003447BF" w:rsidP="00DC45A6">
            <w:pPr>
              <w:jc w:val="right"/>
              <w:rPr>
                <w:lang w:val="en-GB"/>
              </w:rPr>
            </w:pPr>
            <w:r w:rsidRPr="006D7AA7">
              <w:rPr>
                <w:sz w:val="40"/>
                <w:lang w:val="en-GB"/>
              </w:rPr>
              <w:t>ECE</w:t>
            </w:r>
            <w:r w:rsidRPr="006D7AA7">
              <w:rPr>
                <w:lang w:val="en-GB"/>
              </w:rPr>
              <w:t>/TRANS/WP.15/AC.2/201</w:t>
            </w:r>
            <w:r w:rsidR="00D70305" w:rsidRPr="006D7AA7">
              <w:rPr>
                <w:lang w:val="en-GB"/>
              </w:rPr>
              <w:t>8</w:t>
            </w:r>
            <w:r w:rsidRPr="006D7AA7">
              <w:rPr>
                <w:lang w:val="en-GB"/>
              </w:rPr>
              <w:t>/</w:t>
            </w:r>
            <w:r w:rsidR="00780335">
              <w:rPr>
                <w:lang w:val="en-GB"/>
              </w:rPr>
              <w:t>3</w:t>
            </w:r>
            <w:r w:rsidR="00027DDF">
              <w:rPr>
                <w:lang w:val="en-GB"/>
              </w:rPr>
              <w:t>1</w:t>
            </w:r>
          </w:p>
        </w:tc>
      </w:tr>
      <w:tr w:rsidR="003447BF" w:rsidRPr="00367E6A" w:rsidTr="00F01516">
        <w:trPr>
          <w:trHeight w:hRule="exact" w:val="2835"/>
        </w:trPr>
        <w:tc>
          <w:tcPr>
            <w:tcW w:w="1276" w:type="dxa"/>
            <w:tcBorders>
              <w:top w:val="single" w:sz="4" w:space="0" w:color="auto"/>
              <w:bottom w:val="single" w:sz="12" w:space="0" w:color="auto"/>
            </w:tcBorders>
          </w:tcPr>
          <w:p w:rsidR="003447BF" w:rsidRPr="00367E6A" w:rsidRDefault="005525D2" w:rsidP="00F01516">
            <w:pPr>
              <w:spacing w:before="120"/>
              <w:jc w:val="cent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1pt;height:46.8pt;visibility:visible">
                  <v:imagedata r:id="rId8" o:title=""/>
                </v:shape>
              </w:pict>
            </w:r>
          </w:p>
        </w:tc>
        <w:tc>
          <w:tcPr>
            <w:tcW w:w="5528" w:type="dxa"/>
            <w:gridSpan w:val="2"/>
            <w:tcBorders>
              <w:top w:val="single" w:sz="4" w:space="0" w:color="auto"/>
              <w:bottom w:val="single" w:sz="12" w:space="0" w:color="auto"/>
            </w:tcBorders>
          </w:tcPr>
          <w:p w:rsidR="003447BF" w:rsidRPr="00367E6A" w:rsidRDefault="003447BF"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447BF" w:rsidRDefault="003447BF" w:rsidP="00C4302B">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rsidR="003447BF" w:rsidRDefault="0062309D" w:rsidP="00072E86">
            <w:pPr>
              <w:spacing w:line="240" w:lineRule="exact"/>
              <w:rPr>
                <w:lang w:val="fr-FR"/>
              </w:rPr>
            </w:pPr>
            <w:r>
              <w:rPr>
                <w:lang w:val="fr-FR"/>
              </w:rPr>
              <w:t>2</w:t>
            </w:r>
            <w:r w:rsidR="00027DDF">
              <w:rPr>
                <w:lang w:val="fr-FR"/>
              </w:rPr>
              <w:t>4</w:t>
            </w:r>
            <w:r w:rsidR="00DC45A6">
              <w:rPr>
                <w:lang w:val="fr-FR"/>
              </w:rPr>
              <w:t xml:space="preserve"> </w:t>
            </w:r>
            <w:r w:rsidR="0028112F">
              <w:rPr>
                <w:lang w:val="fr-FR"/>
              </w:rPr>
              <w:t>mai</w:t>
            </w:r>
            <w:r w:rsidR="00D70305">
              <w:rPr>
                <w:lang w:val="fr-FR"/>
              </w:rPr>
              <w:t xml:space="preserve"> 201</w:t>
            </w:r>
            <w:r w:rsidR="0028112F">
              <w:rPr>
                <w:lang w:val="fr-FR"/>
              </w:rPr>
              <w:t>8</w:t>
            </w:r>
          </w:p>
          <w:p w:rsidR="003447BF" w:rsidRDefault="003447BF" w:rsidP="00C4302B">
            <w:pPr>
              <w:spacing w:line="240" w:lineRule="exact"/>
              <w:rPr>
                <w:lang w:val="fr-FR"/>
              </w:rPr>
            </w:pPr>
          </w:p>
          <w:p w:rsidR="003447BF" w:rsidRPr="00367E6A" w:rsidRDefault="003447BF" w:rsidP="00B30CFB">
            <w:pPr>
              <w:spacing w:line="240" w:lineRule="exact"/>
              <w:rPr>
                <w:lang w:val="fr-FR"/>
              </w:rPr>
            </w:pPr>
            <w:r>
              <w:rPr>
                <w:lang w:val="fr-FR"/>
              </w:rPr>
              <w:t>Original</w:t>
            </w:r>
            <w:r w:rsidR="00AD545E">
              <w:rPr>
                <w:lang w:val="fr-FR"/>
              </w:rPr>
              <w:t xml:space="preserve"> </w:t>
            </w:r>
            <w:r>
              <w:rPr>
                <w:lang w:val="fr-FR"/>
              </w:rPr>
              <w:t xml:space="preserve">: </w:t>
            </w:r>
            <w:r w:rsidR="00D319BE">
              <w:rPr>
                <w:lang w:val="fr-FR"/>
              </w:rPr>
              <w:t>f</w:t>
            </w:r>
            <w:r>
              <w:rPr>
                <w:lang w:val="fr-FR"/>
              </w:rPr>
              <w:t xml:space="preserve">rançais </w:t>
            </w:r>
          </w:p>
        </w:tc>
      </w:tr>
    </w:tbl>
    <w:p w:rsidR="003447BF" w:rsidRPr="00367E6A" w:rsidRDefault="003447BF" w:rsidP="000312C0">
      <w:pPr>
        <w:spacing w:before="120"/>
        <w:rPr>
          <w:b/>
          <w:sz w:val="28"/>
          <w:szCs w:val="28"/>
          <w:lang w:val="fr-FR"/>
        </w:rPr>
      </w:pPr>
      <w:r w:rsidRPr="00367E6A">
        <w:rPr>
          <w:b/>
          <w:sz w:val="28"/>
          <w:szCs w:val="28"/>
          <w:lang w:val="fr-FR"/>
        </w:rPr>
        <w:t>Commission économique pour l’Europe</w:t>
      </w:r>
    </w:p>
    <w:p w:rsidR="003447BF" w:rsidRPr="00367E6A" w:rsidRDefault="003447BF" w:rsidP="00B93E72">
      <w:pPr>
        <w:spacing w:before="120"/>
        <w:rPr>
          <w:sz w:val="28"/>
          <w:szCs w:val="28"/>
          <w:lang w:val="fr-FR"/>
        </w:rPr>
      </w:pPr>
      <w:r w:rsidRPr="00367E6A">
        <w:rPr>
          <w:sz w:val="28"/>
          <w:szCs w:val="28"/>
          <w:lang w:val="fr-FR"/>
        </w:rPr>
        <w:t>Comité des transports intérieurs</w:t>
      </w:r>
    </w:p>
    <w:p w:rsidR="003447BF" w:rsidRPr="00367E6A" w:rsidRDefault="003447BF" w:rsidP="00B93E72">
      <w:pPr>
        <w:spacing w:before="120"/>
        <w:rPr>
          <w:b/>
          <w:sz w:val="24"/>
          <w:szCs w:val="24"/>
          <w:lang w:val="fr-FR"/>
        </w:rPr>
      </w:pPr>
      <w:r w:rsidRPr="00367E6A">
        <w:rPr>
          <w:b/>
          <w:sz w:val="24"/>
          <w:szCs w:val="24"/>
          <w:lang w:val="fr-FR"/>
        </w:rPr>
        <w:t>Groupe de travail des transports de marchandises dangereuses</w:t>
      </w:r>
    </w:p>
    <w:p w:rsidR="003447BF" w:rsidRPr="00A17EEC" w:rsidRDefault="003447B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3447BF" w:rsidRPr="00234E40" w:rsidRDefault="00D70305" w:rsidP="00D70305">
      <w:pPr>
        <w:spacing w:before="120"/>
        <w:rPr>
          <w:b/>
        </w:rPr>
      </w:pPr>
      <w:r>
        <w:rPr>
          <w:b/>
        </w:rPr>
        <w:t>Trente-</w:t>
      </w:r>
      <w:r w:rsidR="00770118">
        <w:rPr>
          <w:b/>
        </w:rPr>
        <w:t>troisième</w:t>
      </w:r>
      <w:r w:rsidR="003447BF">
        <w:rPr>
          <w:b/>
        </w:rPr>
        <w:t xml:space="preserve"> </w:t>
      </w:r>
      <w:r w:rsidR="003447BF" w:rsidRPr="00234E40">
        <w:rPr>
          <w:b/>
        </w:rPr>
        <w:t>session</w:t>
      </w:r>
    </w:p>
    <w:p w:rsidR="003447BF" w:rsidRDefault="003447BF" w:rsidP="00745866">
      <w:r>
        <w:t>Genève, 2</w:t>
      </w:r>
      <w:r w:rsidR="00770118">
        <w:t>7</w:t>
      </w:r>
      <w:r>
        <w:t>-</w:t>
      </w:r>
      <w:r w:rsidR="00770118">
        <w:t>31</w:t>
      </w:r>
      <w:r>
        <w:t xml:space="preserve"> </w:t>
      </w:r>
      <w:r w:rsidR="00770118">
        <w:t>août</w:t>
      </w:r>
      <w:r>
        <w:t xml:space="preserve"> 201</w:t>
      </w:r>
      <w:r w:rsidR="00745866">
        <w:t>8</w:t>
      </w:r>
    </w:p>
    <w:p w:rsidR="003447BF" w:rsidRDefault="003447BF" w:rsidP="0049374F">
      <w:r w:rsidRPr="00B93E72">
        <w:t xml:space="preserve">Point </w:t>
      </w:r>
      <w:r w:rsidR="00450E30">
        <w:t>4</w:t>
      </w:r>
      <w:r w:rsidRPr="0013653F">
        <w:t xml:space="preserve"> b)</w:t>
      </w:r>
      <w:r w:rsidRPr="00B93E72">
        <w:t xml:space="preserve"> de l</w:t>
      </w:r>
      <w:r>
        <w:t>’</w:t>
      </w:r>
      <w:r w:rsidRPr="00B93E72">
        <w:t>ordre du jour provisoire</w:t>
      </w:r>
    </w:p>
    <w:p w:rsidR="003447BF" w:rsidRPr="00B30CFB" w:rsidRDefault="003447BF" w:rsidP="001850B8">
      <w:pPr>
        <w:rPr>
          <w:b/>
          <w:lang w:val="fr-FR"/>
        </w:rPr>
      </w:pPr>
      <w:r w:rsidRPr="00B30CFB">
        <w:rPr>
          <w:b/>
          <w:lang w:val="fr-FR"/>
        </w:rPr>
        <w:t xml:space="preserve">Propositions </w:t>
      </w:r>
      <w:r>
        <w:rPr>
          <w:b/>
          <w:lang w:val="fr-FR"/>
        </w:rPr>
        <w:t>d'amendements au R</w:t>
      </w:r>
      <w:r w:rsidRPr="00B30CFB">
        <w:rPr>
          <w:b/>
          <w:lang w:val="fr-FR"/>
        </w:rPr>
        <w:t>èglement annexé à l'ADN</w:t>
      </w:r>
      <w:r w:rsidR="001850B8">
        <w:rPr>
          <w:b/>
          <w:lang w:val="fr-FR"/>
        </w:rPr>
        <w:t> :</w:t>
      </w:r>
    </w:p>
    <w:p w:rsidR="003447BF" w:rsidRPr="00C63AC1" w:rsidRDefault="006D7AA7" w:rsidP="00B30CFB">
      <w:proofErr w:type="gramStart"/>
      <w:r>
        <w:rPr>
          <w:b/>
          <w:lang w:val="fr-FR"/>
        </w:rPr>
        <w:t>a</w:t>
      </w:r>
      <w:r w:rsidR="00F37523">
        <w:rPr>
          <w:b/>
          <w:lang w:val="fr-FR"/>
        </w:rPr>
        <w:t>u</w:t>
      </w:r>
      <w:r w:rsidR="003447BF">
        <w:rPr>
          <w:b/>
          <w:lang w:val="fr-FR"/>
        </w:rPr>
        <w:t>tres</w:t>
      </w:r>
      <w:proofErr w:type="gramEnd"/>
      <w:r w:rsidR="003447BF">
        <w:rPr>
          <w:b/>
          <w:lang w:val="fr-FR"/>
        </w:rPr>
        <w:t xml:space="preserve"> propositions</w:t>
      </w:r>
    </w:p>
    <w:p w:rsidR="003447BF" w:rsidRPr="00EA0C87" w:rsidRDefault="003447BF" w:rsidP="00D0029B">
      <w:pPr>
        <w:pStyle w:val="HChG"/>
        <w:keepNext w:val="0"/>
      </w:pPr>
      <w:r w:rsidRPr="00C63AC1">
        <w:tab/>
      </w:r>
      <w:r w:rsidRPr="00C63AC1">
        <w:tab/>
      </w:r>
      <w:r w:rsidR="00D0029B" w:rsidRPr="00D0029B">
        <w:rPr>
          <w:bCs/>
          <w:lang w:val="fr-FR"/>
        </w:rPr>
        <w:t>7.2.3.29.1 – Canot</w:t>
      </w:r>
    </w:p>
    <w:p w:rsidR="003447BF" w:rsidRDefault="003447BF" w:rsidP="00D0029B">
      <w:pPr>
        <w:pStyle w:val="H1G"/>
        <w:keepNext w:val="0"/>
        <w:rPr>
          <w:b w:val="0"/>
          <w:bCs/>
          <w:szCs w:val="24"/>
        </w:rPr>
      </w:pPr>
      <w:r w:rsidRPr="00EA0C87">
        <w:tab/>
      </w:r>
      <w:r w:rsidRPr="00EA0C87">
        <w:tab/>
      </w:r>
      <w:r w:rsidR="00780335" w:rsidRPr="00780335">
        <w:rPr>
          <w:lang w:val="fr-FR"/>
        </w:rPr>
        <w:t>Communication du Gouvernement de l’</w:t>
      </w:r>
      <w:r w:rsidR="00D0029B" w:rsidRPr="00D0029B">
        <w:rPr>
          <w:lang w:val="fr-FR"/>
        </w:rPr>
        <w:t>Allemagne</w:t>
      </w:r>
      <w:r w:rsidR="00DB533B" w:rsidRPr="00905A77">
        <w:rPr>
          <w:rStyle w:val="FootnoteReference"/>
          <w:b w:val="0"/>
          <w:bCs/>
          <w:sz w:val="24"/>
          <w:szCs w:val="24"/>
        </w:rPr>
        <w:footnoteReference w:id="2"/>
      </w:r>
      <w:r w:rsidR="004D5258" w:rsidRPr="00905A77">
        <w:rPr>
          <w:b w:val="0"/>
          <w:bCs/>
          <w:szCs w:val="24"/>
          <w:vertAlign w:val="superscript"/>
          <w:lang w:val="fr-FR"/>
        </w:rPr>
        <w:t>,</w:t>
      </w:r>
      <w:r w:rsidR="00DB533B" w:rsidRPr="00905A77">
        <w:rPr>
          <w:rStyle w:val="FootnoteReference"/>
          <w:b w:val="0"/>
          <w:bCs/>
          <w:sz w:val="24"/>
          <w:szCs w:val="24"/>
        </w:rPr>
        <w:footnoteReference w:customMarkFollows="1" w:id="3"/>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D0029B" w:rsidRPr="00D0029B" w:rsidTr="009A0B0D">
        <w:trPr>
          <w:jc w:val="center"/>
        </w:trPr>
        <w:tc>
          <w:tcPr>
            <w:tcW w:w="2330" w:type="dxa"/>
          </w:tcPr>
          <w:p w:rsidR="00D0029B" w:rsidRPr="00D0029B" w:rsidRDefault="00D0029B" w:rsidP="00D0029B">
            <w:pPr>
              <w:widowControl w:val="0"/>
              <w:tabs>
                <w:tab w:val="left" w:pos="284"/>
              </w:tabs>
              <w:suppressAutoHyphens w:val="0"/>
              <w:overflowPunct w:val="0"/>
              <w:autoSpaceDE w:val="0"/>
              <w:autoSpaceDN w:val="0"/>
              <w:adjustRightInd w:val="0"/>
              <w:spacing w:before="120" w:after="120" w:line="240" w:lineRule="auto"/>
              <w:ind w:left="1134" w:hanging="1134"/>
              <w:jc w:val="both"/>
              <w:textAlignment w:val="baseline"/>
              <w:rPr>
                <w:i/>
                <w:lang w:val="fr-FR" w:eastAsia="fr-FR"/>
              </w:rPr>
            </w:pPr>
            <w:r w:rsidRPr="00A7187C">
              <w:rPr>
                <w:rFonts w:eastAsia="Arial"/>
                <w:i/>
                <w:sz w:val="24"/>
                <w:szCs w:val="24"/>
                <w:lang w:val="fr-FR" w:eastAsia="fr-FR"/>
              </w:rPr>
              <w:t>Résumé</w:t>
            </w:r>
          </w:p>
        </w:tc>
        <w:tc>
          <w:tcPr>
            <w:tcW w:w="7309" w:type="dxa"/>
          </w:tcPr>
          <w:p w:rsidR="00D0029B" w:rsidRPr="00D0029B" w:rsidRDefault="00D0029B" w:rsidP="00D0029B">
            <w:pPr>
              <w:widowControl w:val="0"/>
              <w:suppressAutoHyphens w:val="0"/>
              <w:overflowPunct w:val="0"/>
              <w:autoSpaceDE w:val="0"/>
              <w:autoSpaceDN w:val="0"/>
              <w:adjustRightInd w:val="0"/>
              <w:spacing w:before="120" w:after="120" w:line="240" w:lineRule="auto"/>
              <w:ind w:left="1134" w:hanging="1134"/>
              <w:jc w:val="both"/>
              <w:textAlignment w:val="baseline"/>
              <w:rPr>
                <w:lang w:val="fr-FR" w:eastAsia="fr-FR"/>
              </w:rPr>
            </w:pPr>
          </w:p>
        </w:tc>
      </w:tr>
      <w:tr w:rsidR="00D0029B" w:rsidRPr="00D0029B" w:rsidTr="009A0B0D">
        <w:trPr>
          <w:jc w:val="center"/>
        </w:trPr>
        <w:tc>
          <w:tcPr>
            <w:tcW w:w="2330" w:type="dxa"/>
            <w:tcBorders>
              <w:bottom w:val="single" w:sz="4" w:space="0" w:color="auto"/>
            </w:tcBorders>
          </w:tcPr>
          <w:p w:rsidR="00D0029B" w:rsidRPr="00D0029B" w:rsidRDefault="00D0029B" w:rsidP="00D0029B">
            <w:pPr>
              <w:widowControl w:val="0"/>
              <w:suppressAutoHyphens w:val="0"/>
              <w:overflowPunct w:val="0"/>
              <w:autoSpaceDE w:val="0"/>
              <w:autoSpaceDN w:val="0"/>
              <w:adjustRightInd w:val="0"/>
              <w:spacing w:before="120" w:after="120" w:line="240" w:lineRule="auto"/>
              <w:textAlignment w:val="baseline"/>
              <w:rPr>
                <w:b/>
                <w:lang w:val="fr-FR" w:eastAsia="fr-FR"/>
              </w:rPr>
            </w:pPr>
            <w:r w:rsidRPr="00D0029B">
              <w:rPr>
                <w:b/>
                <w:lang w:val="fr-FR" w:eastAsia="fr-FR"/>
              </w:rPr>
              <w:t>Résumé analytique :</w:t>
            </w:r>
            <w:r w:rsidRPr="00D0029B">
              <w:rPr>
                <w:b/>
                <w:lang w:val="fr-FR" w:eastAsia="fr-FR"/>
              </w:rPr>
              <w:br/>
            </w:r>
          </w:p>
        </w:tc>
        <w:tc>
          <w:tcPr>
            <w:tcW w:w="7309" w:type="dxa"/>
            <w:tcBorders>
              <w:bottom w:val="single" w:sz="4" w:space="0" w:color="auto"/>
            </w:tcBorders>
          </w:tcPr>
          <w:p w:rsidR="00D0029B" w:rsidRPr="00D0029B" w:rsidRDefault="00D0029B" w:rsidP="00D0029B">
            <w:pPr>
              <w:widowControl w:val="0"/>
              <w:suppressAutoHyphens w:val="0"/>
              <w:overflowPunct w:val="0"/>
              <w:autoSpaceDE w:val="0"/>
              <w:autoSpaceDN w:val="0"/>
              <w:adjustRightInd w:val="0"/>
              <w:spacing w:before="120" w:after="120" w:line="240" w:lineRule="auto"/>
              <w:ind w:left="11"/>
              <w:jc w:val="both"/>
              <w:textAlignment w:val="baseline"/>
              <w:rPr>
                <w:rFonts w:cs="Arial"/>
                <w:lang w:val="fr-FR" w:eastAsia="fr-FR"/>
              </w:rPr>
            </w:pPr>
            <w:r w:rsidRPr="00D0029B">
              <w:rPr>
                <w:rFonts w:cs="Arial"/>
                <w:lang w:val="fr-FR" w:eastAsia="fr-FR"/>
              </w:rPr>
              <w:t>La deuxième phrase du 7.2.</w:t>
            </w:r>
            <w:r w:rsidR="00450E30">
              <w:rPr>
                <w:rFonts w:cs="Arial"/>
                <w:lang w:val="fr-FR" w:eastAsia="fr-FR"/>
              </w:rPr>
              <w:t>x</w:t>
            </w:r>
            <w:r w:rsidRPr="00D0029B">
              <w:rPr>
                <w:rFonts w:cs="Arial"/>
                <w:lang w:val="fr-FR" w:eastAsia="fr-FR"/>
              </w:rPr>
              <w:t xml:space="preserve">.3.29.1 </w:t>
            </w:r>
            <w:r w:rsidR="00450E30">
              <w:rPr>
                <w:rFonts w:cs="Arial"/>
                <w:lang w:val="fr-FR" w:eastAsia="fr-FR"/>
              </w:rPr>
              <w:t>de l'</w:t>
            </w:r>
            <w:r w:rsidRPr="00D0029B">
              <w:rPr>
                <w:rFonts w:cs="Arial"/>
                <w:lang w:val="fr-FR" w:eastAsia="fr-FR"/>
              </w:rPr>
              <w:t>ADN précise les conditions dans lesquelles le canot de service peut être placé dans la zone de cargaison. Le « moyen de sauvetage collectif » requis à cet effet n'est pas défini dans l'ADN. Le renvoi aux</w:t>
            </w:r>
            <w:proofErr w:type="gramStart"/>
            <w:r w:rsidRPr="00D0029B">
              <w:rPr>
                <w:rFonts w:cs="Arial"/>
                <w:lang w:val="fr-FR" w:eastAsia="fr-FR"/>
              </w:rPr>
              <w:t xml:space="preserve"> «règlements</w:t>
            </w:r>
            <w:proofErr w:type="gramEnd"/>
            <w:r w:rsidRPr="00D0029B">
              <w:rPr>
                <w:rFonts w:cs="Arial"/>
                <w:lang w:val="fr-FR" w:eastAsia="fr-FR"/>
              </w:rPr>
              <w:t xml:space="preserve"> visés à la sous-section 1.1.4.6» n'est pas clair, dans la mesure où des moyens de sauvetage collectifs n'y sont prévus que pour les bateaux à passagers.</w:t>
            </w:r>
          </w:p>
        </w:tc>
      </w:tr>
      <w:tr w:rsidR="00D0029B" w:rsidRPr="00D0029B" w:rsidTr="009A0B0D">
        <w:trPr>
          <w:jc w:val="center"/>
        </w:trPr>
        <w:tc>
          <w:tcPr>
            <w:tcW w:w="2330" w:type="dxa"/>
            <w:tcBorders>
              <w:bottom w:val="single" w:sz="4" w:space="0" w:color="auto"/>
            </w:tcBorders>
          </w:tcPr>
          <w:p w:rsidR="00D0029B" w:rsidRPr="00D0029B" w:rsidRDefault="00D0029B" w:rsidP="00D0029B">
            <w:pPr>
              <w:widowControl w:val="0"/>
              <w:suppressAutoHyphens w:val="0"/>
              <w:overflowPunct w:val="0"/>
              <w:autoSpaceDE w:val="0"/>
              <w:autoSpaceDN w:val="0"/>
              <w:adjustRightInd w:val="0"/>
              <w:spacing w:before="120" w:after="120" w:line="240" w:lineRule="auto"/>
              <w:textAlignment w:val="baseline"/>
              <w:rPr>
                <w:b/>
                <w:lang w:val="fr-FR" w:eastAsia="fr-FR"/>
              </w:rPr>
            </w:pPr>
            <w:r w:rsidRPr="00D0029B">
              <w:rPr>
                <w:b/>
                <w:lang w:val="fr-FR" w:eastAsia="fr-FR"/>
              </w:rPr>
              <w:t xml:space="preserve">Mesure à prendre : </w:t>
            </w:r>
          </w:p>
        </w:tc>
        <w:tc>
          <w:tcPr>
            <w:tcW w:w="7309" w:type="dxa"/>
            <w:tcBorders>
              <w:bottom w:val="single" w:sz="4" w:space="0" w:color="auto"/>
            </w:tcBorders>
          </w:tcPr>
          <w:p w:rsidR="00D0029B" w:rsidRPr="00D0029B" w:rsidRDefault="00D0029B" w:rsidP="00D0029B">
            <w:pPr>
              <w:widowControl w:val="0"/>
              <w:suppressAutoHyphens w:val="0"/>
              <w:overflowPunct w:val="0"/>
              <w:autoSpaceDE w:val="0"/>
              <w:autoSpaceDN w:val="0"/>
              <w:adjustRightInd w:val="0"/>
              <w:spacing w:before="120" w:after="120" w:line="240" w:lineRule="auto"/>
              <w:ind w:left="11"/>
              <w:jc w:val="both"/>
              <w:textAlignment w:val="baseline"/>
              <w:rPr>
                <w:rFonts w:cs="Arial"/>
                <w:lang w:val="fr-FR" w:eastAsia="fr-FR"/>
              </w:rPr>
            </w:pPr>
            <w:r w:rsidRPr="00D0029B">
              <w:rPr>
                <w:rFonts w:cs="Arial"/>
                <w:lang w:val="fr-FR" w:eastAsia="fr-FR"/>
              </w:rPr>
              <w:t>Il conviendrait de compléter les exigences auxquelles doit satisfaire le moyen de sauvetage collectif destiné à remplacer un canot de service dans la zone des logements.</w:t>
            </w:r>
          </w:p>
        </w:tc>
      </w:tr>
      <w:tr w:rsidR="00D0029B" w:rsidRPr="00D0029B" w:rsidTr="009A0B0D">
        <w:trPr>
          <w:jc w:val="center"/>
        </w:trPr>
        <w:tc>
          <w:tcPr>
            <w:tcW w:w="2330" w:type="dxa"/>
            <w:tcBorders>
              <w:top w:val="single" w:sz="4" w:space="0" w:color="auto"/>
            </w:tcBorders>
          </w:tcPr>
          <w:p w:rsidR="00D0029B" w:rsidRPr="00D0029B" w:rsidRDefault="00D0029B" w:rsidP="00D0029B">
            <w:pPr>
              <w:widowControl w:val="0"/>
              <w:tabs>
                <w:tab w:val="left" w:pos="284"/>
              </w:tabs>
              <w:suppressAutoHyphens w:val="0"/>
              <w:overflowPunct w:val="0"/>
              <w:autoSpaceDE w:val="0"/>
              <w:autoSpaceDN w:val="0"/>
              <w:adjustRightInd w:val="0"/>
              <w:spacing w:line="240" w:lineRule="auto"/>
              <w:ind w:left="1134" w:hanging="1134"/>
              <w:textAlignment w:val="baseline"/>
              <w:rPr>
                <w:b/>
                <w:lang w:val="fr-FR" w:eastAsia="fr-FR"/>
              </w:rPr>
            </w:pPr>
            <w:r w:rsidRPr="00D0029B">
              <w:rPr>
                <w:b/>
                <w:lang w:val="fr-FR" w:eastAsia="fr-FR"/>
              </w:rPr>
              <w:t>Documents connexes :</w:t>
            </w:r>
          </w:p>
        </w:tc>
        <w:tc>
          <w:tcPr>
            <w:tcW w:w="7309" w:type="dxa"/>
            <w:tcBorders>
              <w:top w:val="single" w:sz="4" w:space="0" w:color="auto"/>
            </w:tcBorders>
          </w:tcPr>
          <w:p w:rsidR="00D0029B" w:rsidRPr="00D0029B" w:rsidRDefault="00D0029B" w:rsidP="00153CCD">
            <w:pPr>
              <w:widowControl w:val="0"/>
              <w:suppressAutoHyphens w:val="0"/>
              <w:overflowPunct w:val="0"/>
              <w:autoSpaceDE w:val="0"/>
              <w:autoSpaceDN w:val="0"/>
              <w:adjustRightInd w:val="0"/>
              <w:spacing w:after="120" w:line="240" w:lineRule="auto"/>
              <w:ind w:left="11"/>
              <w:jc w:val="both"/>
              <w:textAlignment w:val="baseline"/>
              <w:rPr>
                <w:lang w:val="de-DE" w:eastAsia="fr-FR"/>
              </w:rPr>
            </w:pPr>
            <w:proofErr w:type="spellStart"/>
            <w:r>
              <w:rPr>
                <w:lang w:val="de-DE" w:eastAsia="fr-FR"/>
              </w:rPr>
              <w:t>N</w:t>
            </w:r>
            <w:r w:rsidRPr="00D0029B">
              <w:rPr>
                <w:lang w:val="de-DE" w:eastAsia="fr-FR"/>
              </w:rPr>
              <w:t>éant</w:t>
            </w:r>
            <w:proofErr w:type="spellEnd"/>
          </w:p>
        </w:tc>
      </w:tr>
    </w:tbl>
    <w:p w:rsidR="00D0029B" w:rsidRPr="00D0029B" w:rsidRDefault="00D0029B" w:rsidP="00D0029B">
      <w:pPr>
        <w:pStyle w:val="HChG"/>
        <w:rPr>
          <w:lang w:val="de-DE"/>
        </w:rPr>
      </w:pPr>
      <w:r>
        <w:rPr>
          <w:lang w:val="de-DE"/>
        </w:rPr>
        <w:lastRenderedPageBreak/>
        <w:tab/>
      </w:r>
      <w:r w:rsidRPr="00D0029B">
        <w:rPr>
          <w:lang w:val="de-DE"/>
        </w:rPr>
        <w:t>I.</w:t>
      </w:r>
      <w:r w:rsidRPr="00D0029B">
        <w:rPr>
          <w:lang w:val="de-DE"/>
        </w:rPr>
        <w:tab/>
      </w:r>
      <w:proofErr w:type="spellStart"/>
      <w:r w:rsidRPr="00D0029B">
        <w:rPr>
          <w:lang w:val="de-DE"/>
        </w:rPr>
        <w:t>Introduction</w:t>
      </w:r>
      <w:proofErr w:type="spellEnd"/>
    </w:p>
    <w:p w:rsidR="00D0029B" w:rsidRPr="00D0029B" w:rsidRDefault="00D0029B" w:rsidP="00D0029B">
      <w:pPr>
        <w:pStyle w:val="SingleTxtG"/>
        <w:rPr>
          <w:bCs/>
          <w:lang w:val="fr-FR"/>
        </w:rPr>
      </w:pPr>
      <w:r w:rsidRPr="00D0029B">
        <w:rPr>
          <w:bCs/>
          <w:lang w:val="fr-FR"/>
        </w:rPr>
        <w:t>1.</w:t>
      </w:r>
      <w:r w:rsidRPr="00D0029B">
        <w:rPr>
          <w:bCs/>
          <w:lang w:val="fr-FR"/>
        </w:rPr>
        <w:tab/>
        <w:t>Lors de contrôles effectués à bord de bateaux sur les voies de navigation intérieure allemandes, il a été constaté que, en vertu de la possibilité offerte par</w:t>
      </w:r>
      <w:r w:rsidR="005525D2">
        <w:rPr>
          <w:bCs/>
          <w:lang w:val="fr-FR"/>
        </w:rPr>
        <w:t xml:space="preserve"> le 7.2.3.29.1, deuxième phrase</w:t>
      </w:r>
      <w:bookmarkStart w:id="0" w:name="_GoBack"/>
      <w:bookmarkEnd w:id="0"/>
      <w:r w:rsidRPr="00D0029B">
        <w:rPr>
          <w:bCs/>
          <w:lang w:val="fr-FR"/>
        </w:rPr>
        <w:t xml:space="preserve"> de l'ADN de ne disposer que d'un seul</w:t>
      </w:r>
      <w:proofErr w:type="gramStart"/>
      <w:r w:rsidRPr="00D0029B">
        <w:rPr>
          <w:bCs/>
          <w:lang w:val="fr-FR"/>
        </w:rPr>
        <w:t xml:space="preserve"> «moyen</w:t>
      </w:r>
      <w:proofErr w:type="gramEnd"/>
      <w:r w:rsidRPr="00D0029B">
        <w:rPr>
          <w:bCs/>
          <w:lang w:val="fr-FR"/>
        </w:rPr>
        <w:t xml:space="preserve"> de sauvetage collectif» dans la zone des logements, sont utilisés des moyens de sauvetage qui, de par leurs dimensions et leur conception, ne peuvent en aucun cas remplacer un canot de service.</w:t>
      </w:r>
    </w:p>
    <w:p w:rsidR="00D0029B" w:rsidRPr="00D0029B" w:rsidRDefault="00450E30" w:rsidP="00D0029B">
      <w:pPr>
        <w:pStyle w:val="SingleTxtG"/>
        <w:jc w:val="center"/>
        <w:rPr>
          <w:bCs/>
          <w:lang w:val="fr-FR"/>
        </w:rPr>
      </w:pPr>
      <w:r>
        <w:pict>
          <v:shape id="Grafik 2" o:spid="_x0000_i1026" type="#_x0000_t75" style="width:79.05pt;height:59.2pt;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04 0 -204 21327 21600 21327 21600 0 -204 0">
            <v:imagedata r:id="rId9" o:title="P2240014"/>
          </v:shape>
        </w:pict>
      </w:r>
    </w:p>
    <w:p w:rsidR="00D0029B" w:rsidRPr="00D0029B" w:rsidRDefault="00D0029B" w:rsidP="00D0029B">
      <w:pPr>
        <w:pStyle w:val="SingleTxtG"/>
        <w:rPr>
          <w:bCs/>
          <w:lang w:val="fr-FR"/>
        </w:rPr>
      </w:pPr>
      <w:r w:rsidRPr="00D0029B">
        <w:rPr>
          <w:bCs/>
          <w:lang w:val="fr-FR"/>
        </w:rPr>
        <w:t>2.</w:t>
      </w:r>
      <w:r w:rsidRPr="00D0029B">
        <w:rPr>
          <w:bCs/>
          <w:lang w:val="fr-FR"/>
        </w:rPr>
        <w:tab/>
        <w:t>Les prescriptions auxquelles fait référence la sous-section 1.1.4.6 de l'ADN, c'est à dire d'une part le Règlement de visite des bateaux du Rhin de la Commission Centrale pour la Navigation du Rhin pour les Parties contractantes qui sont des États riverains du Rhin et, d'autre part, la directive 2006/87/CE du 12 décembre 2006 établissant les prescriptions techniques des bateaux de la navigation intérieure pour les États membres de l'UE, ne prévoient pas de «moyens de sauvetage collectifs» pour les bateaux à marchandises. Ceux-ci n'y sont décrits que pour une utilisation à bord de bateaux à passagers.</w:t>
      </w:r>
    </w:p>
    <w:p w:rsidR="00D0029B" w:rsidRPr="00D0029B" w:rsidRDefault="00D0029B" w:rsidP="00D0029B">
      <w:pPr>
        <w:pStyle w:val="HChG"/>
        <w:rPr>
          <w:lang w:val="fr-FR"/>
        </w:rPr>
      </w:pPr>
      <w:r>
        <w:rPr>
          <w:lang w:val="fr-FR"/>
        </w:rPr>
        <w:tab/>
      </w:r>
      <w:r w:rsidRPr="00D0029B">
        <w:rPr>
          <w:lang w:val="fr-FR"/>
        </w:rPr>
        <w:t>II.</w:t>
      </w:r>
      <w:r w:rsidRPr="00D0029B">
        <w:rPr>
          <w:lang w:val="fr-FR"/>
        </w:rPr>
        <w:tab/>
        <w:t>Demande</w:t>
      </w:r>
    </w:p>
    <w:p w:rsidR="00D0029B" w:rsidRPr="00D0029B" w:rsidRDefault="00D0029B" w:rsidP="00D0029B">
      <w:pPr>
        <w:pStyle w:val="SingleTxtG"/>
        <w:rPr>
          <w:bCs/>
          <w:lang w:val="fr-FR"/>
        </w:rPr>
      </w:pPr>
      <w:r w:rsidRPr="00D0029B">
        <w:rPr>
          <w:bCs/>
          <w:lang w:val="fr-FR"/>
        </w:rPr>
        <w:t>3.</w:t>
      </w:r>
      <w:r w:rsidR="00450E30">
        <w:rPr>
          <w:bCs/>
          <w:lang w:val="fr-FR"/>
        </w:rPr>
        <w:tab/>
        <w:t>La deuxième phrase du 7.2.3.29.1 de l'</w:t>
      </w:r>
      <w:r w:rsidRPr="00D0029B">
        <w:rPr>
          <w:bCs/>
          <w:lang w:val="fr-FR"/>
        </w:rPr>
        <w:t>ADN est modifiée pour lire comme suit :</w:t>
      </w:r>
    </w:p>
    <w:p w:rsidR="00D0029B" w:rsidRPr="00D0029B" w:rsidRDefault="00D0029B" w:rsidP="00450E30">
      <w:pPr>
        <w:pStyle w:val="SingleTxtG"/>
        <w:ind w:left="1701"/>
        <w:rPr>
          <w:bCs/>
          <w:lang w:val="fr-FR"/>
        </w:rPr>
      </w:pPr>
      <w:proofErr w:type="gramStart"/>
      <w:r w:rsidRPr="00D0029B">
        <w:rPr>
          <w:bCs/>
          <w:lang w:val="fr-FR"/>
        </w:rPr>
        <w:t>«</w:t>
      </w:r>
      <w:r w:rsidRPr="00D0029B">
        <w:rPr>
          <w:bCs/>
          <w:strike/>
          <w:lang w:val="fr-FR"/>
        </w:rPr>
        <w:t>Ce</w:t>
      </w:r>
      <w:proofErr w:type="gramEnd"/>
      <w:r w:rsidRPr="00D0029B">
        <w:rPr>
          <w:bCs/>
          <w:strike/>
          <w:lang w:val="fr-FR"/>
        </w:rPr>
        <w:t xml:space="preserve"> canot </w:t>
      </w:r>
      <w:r w:rsidRPr="00D0029B">
        <w:rPr>
          <w:b/>
          <w:lang w:val="fr-FR"/>
        </w:rPr>
        <w:t>Il</w:t>
      </w:r>
      <w:r w:rsidRPr="00D0029B">
        <w:rPr>
          <w:bCs/>
          <w:lang w:val="fr-FR"/>
        </w:rPr>
        <w:t xml:space="preserve"> peut néanmoins être placé dans la zone de cargaison s'il y a un </w:t>
      </w:r>
      <w:r w:rsidRPr="00D0029B">
        <w:rPr>
          <w:bCs/>
          <w:strike/>
          <w:lang w:val="fr-FR"/>
        </w:rPr>
        <w:t xml:space="preserve">moyen de sauvetage collectif conforme aux règlements visés au 1.1.4.6 </w:t>
      </w:r>
      <w:r w:rsidRPr="00D0029B">
        <w:rPr>
          <w:b/>
          <w:lang w:val="fr-FR"/>
        </w:rPr>
        <w:t xml:space="preserve">radeau de sauvetage </w:t>
      </w:r>
      <w:r w:rsidRPr="00D0029B">
        <w:rPr>
          <w:bCs/>
          <w:lang w:val="fr-FR"/>
        </w:rPr>
        <w:t xml:space="preserve">facilement accessible près des logements, </w:t>
      </w:r>
      <w:r w:rsidRPr="00D0029B">
        <w:rPr>
          <w:b/>
          <w:lang w:val="fr-FR"/>
        </w:rPr>
        <w:t>satisfaisant aux exigences de l'appendice II, partie 15, article 15.09, paragraphe 5, de la directive européenne 2006/87/CE</w:t>
      </w:r>
      <w:r>
        <w:rPr>
          <w:b/>
          <w:vertAlign w:val="superscript"/>
          <w:lang w:val="fr-FR"/>
        </w:rPr>
        <w:t xml:space="preserve">4) </w:t>
      </w:r>
      <w:r w:rsidRPr="00D0029B">
        <w:rPr>
          <w:b/>
          <w:lang w:val="fr-FR"/>
        </w:rPr>
        <w:t>dans sa version en vigueur (ou équivalente)</w:t>
      </w:r>
      <w:r w:rsidRPr="00D0029B">
        <w:rPr>
          <w:bCs/>
          <w:lang w:val="fr-FR"/>
        </w:rPr>
        <w:t>»</w:t>
      </w:r>
    </w:p>
    <w:p w:rsidR="00D0029B" w:rsidRPr="00D0029B" w:rsidRDefault="00D0029B" w:rsidP="00450E30">
      <w:pPr>
        <w:pStyle w:val="SingleTxtG"/>
        <w:ind w:left="1701"/>
        <w:rPr>
          <w:bCs/>
          <w:sz w:val="18"/>
          <w:szCs w:val="18"/>
          <w:lang w:val="en-US"/>
        </w:rPr>
      </w:pPr>
      <w:r w:rsidRPr="00D0029B">
        <w:rPr>
          <w:bCs/>
          <w:vertAlign w:val="superscript"/>
          <w:lang w:val="en-US"/>
        </w:rPr>
        <w:t>4)</w:t>
      </w:r>
      <w:r w:rsidRPr="00D0029B">
        <w:rPr>
          <w:bCs/>
          <w:sz w:val="18"/>
          <w:szCs w:val="18"/>
          <w:vertAlign w:val="superscript"/>
          <w:lang w:val="en-US"/>
        </w:rPr>
        <w:t xml:space="preserve"> </w:t>
      </w:r>
      <w:r w:rsidR="00450E30" w:rsidRPr="00450E30">
        <w:rPr>
          <w:bCs/>
          <w:sz w:val="18"/>
          <w:szCs w:val="18"/>
          <w:lang w:val="fr-FR"/>
        </w:rPr>
        <w:t xml:space="preserve">Directive </w:t>
      </w:r>
      <w:hyperlink r:id="rId10" w:history="1">
        <w:r w:rsidR="00450E30" w:rsidRPr="00450E30">
          <w:rPr>
            <w:rStyle w:val="Hyperlink"/>
            <w:sz w:val="18"/>
            <w:szCs w:val="18"/>
            <w:lang w:val="fr-FR"/>
          </w:rPr>
          <w:t>2006/87/CE</w:t>
        </w:r>
      </w:hyperlink>
      <w:r w:rsidR="00450E30" w:rsidRPr="00450E30">
        <w:rPr>
          <w:bCs/>
          <w:sz w:val="18"/>
          <w:szCs w:val="18"/>
          <w:lang w:val="fr-FR"/>
        </w:rPr>
        <w:t xml:space="preserve"> du Parlement européen et du Conseil, du 12 décembre 2006, établissant les prescriptions techniques des bateaux de la navigation intérieure et abrogeant la directive </w:t>
      </w:r>
      <w:hyperlink r:id="rId11" w:history="1">
        <w:r w:rsidR="00450E30" w:rsidRPr="00450E30">
          <w:rPr>
            <w:rStyle w:val="Hyperlink"/>
            <w:sz w:val="18"/>
            <w:szCs w:val="18"/>
            <w:lang w:val="fr-FR"/>
          </w:rPr>
          <w:t>82/714/CEE</w:t>
        </w:r>
      </w:hyperlink>
      <w:r w:rsidR="00450E30" w:rsidRPr="00450E30">
        <w:rPr>
          <w:bCs/>
          <w:sz w:val="18"/>
          <w:szCs w:val="18"/>
          <w:lang w:val="fr-FR"/>
        </w:rPr>
        <w:t xml:space="preserve"> du Conseil</w:t>
      </w:r>
      <w:r w:rsidRPr="00D0029B">
        <w:rPr>
          <w:bCs/>
          <w:sz w:val="18"/>
          <w:szCs w:val="18"/>
          <w:lang w:val="en-US"/>
        </w:rPr>
        <w:t xml:space="preserve"> (OJ L 389, 30.12.2006, pages 1 </w:t>
      </w:r>
      <w:r w:rsidR="00450E30">
        <w:rPr>
          <w:bCs/>
          <w:sz w:val="18"/>
          <w:szCs w:val="18"/>
          <w:lang w:val="en-US"/>
        </w:rPr>
        <w:t>à</w:t>
      </w:r>
      <w:r w:rsidRPr="00D0029B">
        <w:rPr>
          <w:bCs/>
          <w:sz w:val="18"/>
          <w:szCs w:val="18"/>
          <w:lang w:val="en-US"/>
        </w:rPr>
        <w:t xml:space="preserve"> 260).</w:t>
      </w:r>
    </w:p>
    <w:p w:rsidR="00D0029B" w:rsidRPr="00D0029B" w:rsidRDefault="00D0029B" w:rsidP="000A3C06">
      <w:pPr>
        <w:pStyle w:val="HChG"/>
        <w:rPr>
          <w:lang w:val="fr-FR"/>
        </w:rPr>
      </w:pPr>
      <w:r>
        <w:rPr>
          <w:lang w:val="fr-FR"/>
        </w:rPr>
        <w:tab/>
      </w:r>
      <w:r w:rsidRPr="00D0029B">
        <w:rPr>
          <w:lang w:val="fr-FR"/>
        </w:rPr>
        <w:t>III.</w:t>
      </w:r>
      <w:r w:rsidRPr="00D0029B">
        <w:rPr>
          <w:lang w:val="fr-FR"/>
        </w:rPr>
        <w:tab/>
        <w:t>Motif</w:t>
      </w:r>
    </w:p>
    <w:p w:rsidR="00D0029B" w:rsidRPr="00D0029B" w:rsidRDefault="00D0029B" w:rsidP="000A3C06">
      <w:pPr>
        <w:pStyle w:val="SingleTxtG"/>
        <w:keepNext/>
        <w:keepLines/>
        <w:rPr>
          <w:bCs/>
          <w:lang w:val="fr-FR"/>
        </w:rPr>
      </w:pPr>
      <w:r w:rsidRPr="00D0029B">
        <w:rPr>
          <w:bCs/>
          <w:lang w:val="fr-FR"/>
        </w:rPr>
        <w:t>4.</w:t>
      </w:r>
      <w:r w:rsidRPr="00D0029B">
        <w:rPr>
          <w:bCs/>
          <w:lang w:val="fr-FR"/>
        </w:rPr>
        <w:tab/>
        <w:t>L'ADN ne comporte pas de définition des « moyens de sauvetage collectifs ». Dans les prescriptions auxquelles renvoie le 1.1.4.6, des « moyens de sauvetage collectifs » ne sont prévus que pour les bateaux à passagers, pas pour les bateaux à marchandises. Par conséquent, ce renvoi est inopérant pour les bateaux à marchandises. Il n'est pas précisé s'il y a lieu de recourir aux moyens de sauvetage collectifs prévus pour les bateaux à passagers.</w:t>
      </w:r>
    </w:p>
    <w:p w:rsidR="00D0029B" w:rsidRPr="00D0029B" w:rsidRDefault="00D0029B" w:rsidP="00D0029B">
      <w:pPr>
        <w:pStyle w:val="SingleTxtG"/>
        <w:rPr>
          <w:bCs/>
          <w:lang w:val="fr-FR"/>
        </w:rPr>
      </w:pPr>
      <w:r w:rsidRPr="00D0029B">
        <w:rPr>
          <w:bCs/>
          <w:lang w:val="fr-FR"/>
        </w:rPr>
        <w:t>5.</w:t>
      </w:r>
      <w:r w:rsidRPr="00D0029B">
        <w:rPr>
          <w:bCs/>
          <w:lang w:val="fr-FR"/>
        </w:rPr>
        <w:tab/>
        <w:t>La modification proposée vise à décrire clairement quels moyens de sauvetage collectifs sont considérés comme suffisants pour remplacer un canot pneumatique dans la zone du logement.</w:t>
      </w:r>
    </w:p>
    <w:p w:rsidR="00D0029B" w:rsidRPr="00D0029B" w:rsidRDefault="00D0029B" w:rsidP="00D0029B">
      <w:pPr>
        <w:pStyle w:val="SingleTxtG"/>
        <w:rPr>
          <w:bCs/>
          <w:lang w:val="fr-FR"/>
        </w:rPr>
      </w:pPr>
      <w:r w:rsidRPr="00D0029B">
        <w:rPr>
          <w:bCs/>
          <w:lang w:val="fr-FR"/>
        </w:rPr>
        <w:t>6.</w:t>
      </w:r>
      <w:r w:rsidRPr="00D0029B">
        <w:rPr>
          <w:bCs/>
          <w:lang w:val="fr-FR"/>
        </w:rPr>
        <w:tab/>
        <w:t>Dans la prescription citée à présent sont mentionnés comme moyens de sauvetage collectifs les canots de service et les radeaux de sauvetage. L'emplacement du canot de service devant être modifié au 7.2.3.29.1 de l'ADN, il ne peut être remplacé que par un radeau de sauvetage. Cela est décrit de manière détaillée dans la prescription mentionnée. L'ajout de</w:t>
      </w:r>
      <w:proofErr w:type="gramStart"/>
      <w:r w:rsidRPr="00D0029B">
        <w:rPr>
          <w:bCs/>
          <w:lang w:val="fr-FR"/>
        </w:rPr>
        <w:t xml:space="preserve"> </w:t>
      </w:r>
      <w:r>
        <w:rPr>
          <w:bCs/>
          <w:lang w:val="fr-FR"/>
        </w:rPr>
        <w:t>«</w:t>
      </w:r>
      <w:r w:rsidRPr="00D0029B">
        <w:rPr>
          <w:b/>
          <w:lang w:val="fr-FR"/>
        </w:rPr>
        <w:t>(</w:t>
      </w:r>
      <w:proofErr w:type="gramEnd"/>
      <w:r w:rsidRPr="00D0029B">
        <w:rPr>
          <w:b/>
          <w:lang w:val="fr-FR"/>
        </w:rPr>
        <w:t>ou équivalente)</w:t>
      </w:r>
      <w:r w:rsidRPr="00D0029B">
        <w:rPr>
          <w:bCs/>
          <w:lang w:val="fr-FR"/>
        </w:rPr>
        <w:t xml:space="preserve">» permet de tenir compte du fait que certaines parties </w:t>
      </w:r>
      <w:r w:rsidRPr="00D0029B">
        <w:rPr>
          <w:bCs/>
          <w:lang w:val="fr-FR"/>
        </w:rPr>
        <w:lastRenderedPageBreak/>
        <w:t>contractantes à l'ADN ne sont pas des États riverains du Rhin ou membres de l’Union européenne.</w:t>
      </w:r>
    </w:p>
    <w:p w:rsidR="00D0029B" w:rsidRPr="00D0029B" w:rsidRDefault="00D0029B" w:rsidP="00D0029B">
      <w:pPr>
        <w:pStyle w:val="SingleTxtG"/>
        <w:rPr>
          <w:bCs/>
          <w:lang w:val="fr-FR"/>
        </w:rPr>
      </w:pPr>
      <w:r w:rsidRPr="00D0029B">
        <w:rPr>
          <w:bCs/>
          <w:lang w:val="fr-FR"/>
        </w:rPr>
        <w:t>7.</w:t>
      </w:r>
      <w:r w:rsidRPr="00D0029B">
        <w:rPr>
          <w:bCs/>
          <w:lang w:val="fr-FR"/>
        </w:rPr>
        <w:tab/>
        <w:t xml:space="preserve">Le moyen de sauvetage présenté au </w:t>
      </w:r>
      <w:r w:rsidR="00450E30">
        <w:rPr>
          <w:bCs/>
          <w:lang w:val="fr-FR"/>
        </w:rPr>
        <w:t xml:space="preserve">paragraphe </w:t>
      </w:r>
      <w:r w:rsidRPr="00D0029B">
        <w:rPr>
          <w:bCs/>
          <w:lang w:val="fr-FR"/>
        </w:rPr>
        <w:t xml:space="preserve">1. </w:t>
      </w:r>
      <w:proofErr w:type="gramStart"/>
      <w:r w:rsidRPr="00D0029B">
        <w:rPr>
          <w:bCs/>
          <w:lang w:val="fr-FR"/>
        </w:rPr>
        <w:t>peut</w:t>
      </w:r>
      <w:proofErr w:type="gramEnd"/>
      <w:r w:rsidRPr="00D0029B">
        <w:rPr>
          <w:bCs/>
          <w:lang w:val="fr-FR"/>
        </w:rPr>
        <w:t xml:space="preserve"> seulement satisfaire a</w:t>
      </w:r>
      <w:r>
        <w:rPr>
          <w:bCs/>
          <w:lang w:val="fr-FR"/>
        </w:rPr>
        <w:t>ux exigences applicables à un «</w:t>
      </w:r>
      <w:r w:rsidRPr="00D0029B">
        <w:rPr>
          <w:bCs/>
          <w:lang w:val="fr-FR"/>
        </w:rPr>
        <w:t>autre moyen de sauvetage collectif», tel que décrit à l'article 15.09, paragraphe 6, de la directive européenne, à savoir un matériel d'équipement qui est à même de supporter plusieurs personnes se trouvant dans l'eau.</w:t>
      </w:r>
    </w:p>
    <w:p w:rsidR="00D0029B" w:rsidRPr="00D0029B" w:rsidRDefault="00D0029B" w:rsidP="00D0029B">
      <w:pPr>
        <w:pStyle w:val="SingleTxtG"/>
        <w:rPr>
          <w:bCs/>
          <w:lang w:val="fr-FR"/>
        </w:rPr>
      </w:pPr>
      <w:r w:rsidRPr="00D0029B">
        <w:rPr>
          <w:bCs/>
          <w:lang w:val="fr-FR"/>
        </w:rPr>
        <w:t>8.</w:t>
      </w:r>
      <w:r w:rsidRPr="00D0029B">
        <w:rPr>
          <w:bCs/>
          <w:lang w:val="fr-FR"/>
        </w:rPr>
        <w:tab/>
        <w:t>Or, cette fonction n'est pas équivalente aux possibilités offertes par un canot de service, lequel permet de s'éloigner du bateau de façon proactive en cas d'urgence. Par conséquent, un matériel d'équipement seulement destiné à supporter plusieurs personnes se trouvant dans l'eau n'est pas considéré comme étant équivalent.</w:t>
      </w:r>
    </w:p>
    <w:p w:rsidR="00D0029B" w:rsidRPr="00D0029B" w:rsidRDefault="00D0029B" w:rsidP="00D0029B">
      <w:pPr>
        <w:pStyle w:val="HChG"/>
        <w:rPr>
          <w:lang w:val="fr-FR"/>
        </w:rPr>
      </w:pPr>
      <w:r>
        <w:rPr>
          <w:lang w:val="fr-FR"/>
        </w:rPr>
        <w:tab/>
      </w:r>
      <w:r w:rsidRPr="00D0029B">
        <w:rPr>
          <w:lang w:val="fr-FR"/>
        </w:rPr>
        <w:t>IV.</w:t>
      </w:r>
      <w:r w:rsidRPr="00D0029B">
        <w:rPr>
          <w:lang w:val="fr-FR"/>
        </w:rPr>
        <w:tab/>
        <w:t>Sécurité</w:t>
      </w:r>
    </w:p>
    <w:p w:rsidR="00D0029B" w:rsidRPr="00D0029B" w:rsidRDefault="00D0029B" w:rsidP="00D0029B">
      <w:pPr>
        <w:pStyle w:val="SingleTxtG"/>
        <w:rPr>
          <w:bCs/>
          <w:lang w:val="fr-FR"/>
        </w:rPr>
      </w:pPr>
      <w:r w:rsidRPr="00D0029B">
        <w:rPr>
          <w:bCs/>
          <w:lang w:val="fr-FR"/>
        </w:rPr>
        <w:t>9.</w:t>
      </w:r>
      <w:r w:rsidRPr="00D0029B">
        <w:rPr>
          <w:bCs/>
          <w:lang w:val="fr-FR"/>
        </w:rPr>
        <w:tab/>
        <w:t>La référence claire et l'utilisation effective de radeaux de sauvetage qui en découle permettent d'améliorer la sécurité des personnes se trouvant dans la zone des logements au moment d'un d'accident ou d'un d'incident à bord. Elles peuvent s'éloigner plus rapidement de la zone de danger.</w:t>
      </w:r>
    </w:p>
    <w:p w:rsidR="00D0029B" w:rsidRPr="00D0029B" w:rsidRDefault="00D0029B" w:rsidP="00D0029B">
      <w:pPr>
        <w:pStyle w:val="HChG"/>
        <w:rPr>
          <w:lang w:val="fr-FR"/>
        </w:rPr>
      </w:pPr>
      <w:r>
        <w:rPr>
          <w:lang w:val="fr-FR"/>
        </w:rPr>
        <w:tab/>
      </w:r>
      <w:r w:rsidRPr="00D0029B">
        <w:rPr>
          <w:lang w:val="fr-FR"/>
        </w:rPr>
        <w:t>V.</w:t>
      </w:r>
      <w:r w:rsidRPr="00D0029B">
        <w:rPr>
          <w:lang w:val="fr-FR"/>
        </w:rPr>
        <w:tab/>
        <w:t>Mise en œuvre</w:t>
      </w:r>
    </w:p>
    <w:p w:rsidR="00D0029B" w:rsidRPr="00D0029B" w:rsidRDefault="00D0029B" w:rsidP="00D0029B">
      <w:pPr>
        <w:pStyle w:val="SingleTxtG"/>
        <w:rPr>
          <w:bCs/>
          <w:lang w:val="fr-FR"/>
        </w:rPr>
      </w:pPr>
      <w:r w:rsidRPr="00D0029B">
        <w:rPr>
          <w:bCs/>
          <w:lang w:val="fr-FR"/>
        </w:rPr>
        <w:t>10.</w:t>
      </w:r>
      <w:r w:rsidRPr="00D0029B">
        <w:rPr>
          <w:bCs/>
          <w:lang w:val="fr-FR"/>
        </w:rPr>
        <w:tab/>
        <w:t>L'espace disponible dans la zone des logements sera suffisant aussi pour de tels radeaux de sauvetage. Le coût d'un radeau de sauvetage est estimé à environ 1000 €, ce qui est raisonnable. Les radeaux de sauvetage sont disponibles sur le marché et peuvent être achetés à court terme, de sorte qu'il n'est pas nécessaire de prévoir un délai transitoire.</w:t>
      </w:r>
    </w:p>
    <w:p w:rsidR="00AE1716" w:rsidRPr="00D866A8" w:rsidRDefault="00AE1716" w:rsidP="00AE1716">
      <w:pPr>
        <w:pStyle w:val="SingleTxtG"/>
        <w:spacing w:before="240" w:after="0"/>
        <w:jc w:val="center"/>
      </w:pPr>
      <w:r w:rsidRPr="00D71CA8">
        <w:rPr>
          <w:u w:val="single"/>
          <w:lang w:val="x-none" w:eastAsia="de-DE"/>
        </w:rPr>
        <w:tab/>
      </w:r>
      <w:r w:rsidRPr="00D71CA8">
        <w:rPr>
          <w:u w:val="single"/>
          <w:lang w:val="x-none" w:eastAsia="de-DE"/>
        </w:rPr>
        <w:tab/>
      </w:r>
      <w:r w:rsidRPr="00D71CA8">
        <w:rPr>
          <w:u w:val="single"/>
          <w:lang w:val="x-none" w:eastAsia="de-DE"/>
        </w:rPr>
        <w:tab/>
      </w:r>
    </w:p>
    <w:sectPr w:rsidR="00AE1716" w:rsidRPr="00D866A8" w:rsidSect="00450E30">
      <w:headerReference w:type="even" r:id="rId12"/>
      <w:headerReference w:type="default" r:id="rId13"/>
      <w:footerReference w:type="even" r:id="rId14"/>
      <w:footerReference w:type="default" r:id="rId15"/>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3EF" w:rsidRDefault="00CE03EF"/>
  </w:endnote>
  <w:endnote w:type="continuationSeparator" w:id="0">
    <w:p w:rsidR="00CE03EF" w:rsidRDefault="00CE03EF"/>
  </w:endnote>
  <w:endnote w:type="continuationNotice" w:id="1">
    <w:p w:rsidR="00CE03EF" w:rsidRDefault="00CE0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29776B" w:rsidRDefault="00AF52DB"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5525D2">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29776B" w:rsidRDefault="00AF52DB"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5525D2">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3EF" w:rsidRPr="00D27D5E" w:rsidRDefault="00CE03EF" w:rsidP="00D27D5E">
      <w:pPr>
        <w:tabs>
          <w:tab w:val="right" w:pos="2155"/>
        </w:tabs>
        <w:spacing w:after="80"/>
        <w:ind w:left="680"/>
        <w:rPr>
          <w:u w:val="single"/>
        </w:rPr>
      </w:pPr>
      <w:r>
        <w:rPr>
          <w:u w:val="single"/>
        </w:rPr>
        <w:tab/>
      </w:r>
    </w:p>
  </w:footnote>
  <w:footnote w:type="continuationSeparator" w:id="0">
    <w:p w:rsidR="00CE03EF" w:rsidRPr="00A80554" w:rsidRDefault="00CE03EF" w:rsidP="00A80554">
      <w:pPr>
        <w:tabs>
          <w:tab w:val="left" w:pos="2155"/>
        </w:tabs>
        <w:spacing w:after="80"/>
        <w:ind w:left="680"/>
        <w:rPr>
          <w:u w:val="single"/>
        </w:rPr>
      </w:pPr>
      <w:r w:rsidRPr="00A80554">
        <w:rPr>
          <w:u w:val="single"/>
        </w:rPr>
        <w:tab/>
      </w:r>
    </w:p>
  </w:footnote>
  <w:footnote w:type="continuationNotice" w:id="1">
    <w:p w:rsidR="00CE03EF" w:rsidRDefault="00CE03EF"/>
  </w:footnote>
  <w:footnote w:id="2">
    <w:p w:rsidR="00DB533B" w:rsidRPr="00905A77" w:rsidRDefault="00905A77" w:rsidP="00905A77">
      <w:pPr>
        <w:pStyle w:val="FootnoteText"/>
      </w:pPr>
      <w:r>
        <w:tab/>
      </w:r>
      <w:r w:rsidR="00DB533B" w:rsidRPr="00905A77">
        <w:rPr>
          <w:rStyle w:val="FootnoteReference"/>
          <w:sz w:val="20"/>
          <w:szCs w:val="22"/>
          <w:vertAlign w:val="baseline"/>
        </w:rPr>
        <w:footnoteRef/>
      </w:r>
      <w:r w:rsidR="00DB533B" w:rsidRPr="00905A77">
        <w:rPr>
          <w:sz w:val="20"/>
          <w:szCs w:val="22"/>
        </w:rPr>
        <w:t xml:space="preserve"> </w:t>
      </w:r>
      <w:r>
        <w:tab/>
      </w:r>
      <w:r w:rsidR="00DB533B" w:rsidRPr="00EF5998">
        <w:rPr>
          <w:lang w:val="fr-FR"/>
        </w:rPr>
        <w:t>Diffusé en langue allemande par la Commission cent</w:t>
      </w:r>
      <w:proofErr w:type="spellStart"/>
      <w:r w:rsidR="00DB533B" w:rsidRPr="00905A77">
        <w:t>rale</w:t>
      </w:r>
      <w:proofErr w:type="spellEnd"/>
      <w:r w:rsidR="00DB533B" w:rsidRPr="00905A77">
        <w:t xml:space="preserve"> pour la navigation du Rhin sous la cote CCNR/ZKR/ADN/WP.15/AC.2/2018/</w:t>
      </w:r>
      <w:r w:rsidR="00D0029B">
        <w:t>31</w:t>
      </w:r>
      <w:r w:rsidR="00DB533B" w:rsidRPr="00905A77">
        <w:t>.</w:t>
      </w:r>
    </w:p>
  </w:footnote>
  <w:footnote w:id="3">
    <w:p w:rsidR="00DB533B" w:rsidRDefault="00905A77" w:rsidP="00905A77">
      <w:pPr>
        <w:pStyle w:val="FootnoteText"/>
      </w:pPr>
      <w:r>
        <w:tab/>
      </w:r>
      <w:r w:rsidR="00DB533B" w:rsidRPr="00905A77">
        <w:rPr>
          <w:rStyle w:val="FootnoteReference"/>
          <w:sz w:val="20"/>
          <w:szCs w:val="22"/>
          <w:vertAlign w:val="baseline"/>
          <w:lang w:eastAsia="en-US"/>
        </w:rPr>
        <w:t>**</w:t>
      </w:r>
      <w:r w:rsidR="00DB533B" w:rsidRPr="00905A77">
        <w:rPr>
          <w:sz w:val="20"/>
          <w:szCs w:val="22"/>
        </w:rPr>
        <w:t xml:space="preserve"> </w:t>
      </w:r>
      <w:r>
        <w:tab/>
      </w:r>
      <w:r w:rsidR="00DB533B" w:rsidRPr="00905A77">
        <w:t>Conformément au programme de travail du Comité de</w:t>
      </w:r>
      <w:r w:rsidR="00DB533B" w:rsidRPr="00EF5998">
        <w:rPr>
          <w:lang w:val="fr-FR"/>
        </w:rPr>
        <w:t>s</w:t>
      </w:r>
      <w:r w:rsidR="00DB533B">
        <w:rPr>
          <w:lang w:val="fr-FR"/>
        </w:rPr>
        <w:t xml:space="preserve"> transports intérieurs pour 201</w:t>
      </w:r>
      <w:r w:rsidR="00770118">
        <w:rPr>
          <w:lang w:val="fr-FR"/>
        </w:rPr>
        <w:t>8</w:t>
      </w:r>
      <w:r w:rsidR="00DB533B">
        <w:rPr>
          <w:lang w:val="fr-FR"/>
        </w:rPr>
        <w:t>-201</w:t>
      </w:r>
      <w:r w:rsidR="00770118">
        <w:rPr>
          <w:lang w:val="fr-FR"/>
        </w:rPr>
        <w:t>9</w:t>
      </w:r>
      <w:r w:rsidR="00DB533B">
        <w:rPr>
          <w:lang w:val="fr-FR"/>
        </w:rPr>
        <w:t xml:space="preserve"> </w:t>
      </w:r>
      <w:r w:rsidR="00DB533B" w:rsidRPr="00EF5998">
        <w:rPr>
          <w:lang w:val="fr-FR"/>
        </w:rPr>
        <w:t>(</w:t>
      </w:r>
      <w:r w:rsidR="00770118" w:rsidRPr="00ED5F4B">
        <w:t xml:space="preserve">ECE/TRANS/2018/21/Add.1, </w:t>
      </w:r>
      <w:r w:rsidR="00521BA9">
        <w:t>(</w:t>
      </w:r>
      <w:r w:rsidR="00770118" w:rsidRPr="00ED5F4B">
        <w:t>9.3</w:t>
      </w:r>
      <w:r w:rsidR="00521BA9">
        <w:t>)</w:t>
      </w:r>
      <w:r w:rsidR="00DB533B" w:rsidRPr="00EF5998">
        <w:rPr>
          <w:lang w:val="fr-FR"/>
        </w:rPr>
        <w:t>)</w:t>
      </w:r>
      <w:r w:rsidR="00DB533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6D7AA7" w:rsidRDefault="004D5258" w:rsidP="00DD38E9">
    <w:pPr>
      <w:pStyle w:val="Header"/>
      <w:rPr>
        <w:lang w:val="en-GB"/>
      </w:rPr>
    </w:pPr>
    <w:r>
      <w:rPr>
        <w:lang w:val="en-GB"/>
      </w:rPr>
      <w:t>ECE/TRANS/WP.15/AC.2/2018/</w:t>
    </w:r>
    <w:r w:rsidR="00D0029B">
      <w:rPr>
        <w:lang w:val="en-GB"/>
      </w:rPr>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D0029B" w:rsidRDefault="00AF52DB" w:rsidP="0029776B">
    <w:pPr>
      <w:pStyle w:val="Header"/>
      <w:jc w:val="right"/>
      <w:rPr>
        <w:lang w:val="en-GB"/>
      </w:rPr>
    </w:pPr>
    <w:r w:rsidRPr="00D0029B">
      <w:rPr>
        <w:lang w:val="en-GB"/>
      </w:rPr>
      <w:t>ECE/TRANS/WP.15/AC.2/2018/</w:t>
    </w:r>
    <w:r w:rsidR="00D0029B">
      <w:rPr>
        <w:lang w:val="en-GB"/>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numFmt w:val="chicago"/>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1A"/>
    <w:rsid w:val="0000195C"/>
    <w:rsid w:val="00003FFB"/>
    <w:rsid w:val="0000754C"/>
    <w:rsid w:val="000121D3"/>
    <w:rsid w:val="000131A5"/>
    <w:rsid w:val="00016AC5"/>
    <w:rsid w:val="00022BD7"/>
    <w:rsid w:val="00027DDF"/>
    <w:rsid w:val="00030ADE"/>
    <w:rsid w:val="000312C0"/>
    <w:rsid w:val="00033A63"/>
    <w:rsid w:val="0004058B"/>
    <w:rsid w:val="000472A1"/>
    <w:rsid w:val="000507A8"/>
    <w:rsid w:val="0006085A"/>
    <w:rsid w:val="0006415C"/>
    <w:rsid w:val="000643B7"/>
    <w:rsid w:val="00066716"/>
    <w:rsid w:val="00071432"/>
    <w:rsid w:val="00072E86"/>
    <w:rsid w:val="000758B9"/>
    <w:rsid w:val="00081790"/>
    <w:rsid w:val="000828C8"/>
    <w:rsid w:val="00094EF2"/>
    <w:rsid w:val="000963EA"/>
    <w:rsid w:val="000964C7"/>
    <w:rsid w:val="000A3C06"/>
    <w:rsid w:val="000A49E0"/>
    <w:rsid w:val="000A7EC2"/>
    <w:rsid w:val="000B34CA"/>
    <w:rsid w:val="000C0699"/>
    <w:rsid w:val="000D7E12"/>
    <w:rsid w:val="000E4978"/>
    <w:rsid w:val="000E68FB"/>
    <w:rsid w:val="000F41F2"/>
    <w:rsid w:val="00104ADE"/>
    <w:rsid w:val="00114764"/>
    <w:rsid w:val="00114946"/>
    <w:rsid w:val="00114DAF"/>
    <w:rsid w:val="00115943"/>
    <w:rsid w:val="00127A72"/>
    <w:rsid w:val="0013180D"/>
    <w:rsid w:val="00135C0D"/>
    <w:rsid w:val="0013653F"/>
    <w:rsid w:val="00143574"/>
    <w:rsid w:val="001448DB"/>
    <w:rsid w:val="00147C56"/>
    <w:rsid w:val="00153CCD"/>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6EE9"/>
    <w:rsid w:val="00190399"/>
    <w:rsid w:val="00192BA5"/>
    <w:rsid w:val="00192EEB"/>
    <w:rsid w:val="00197152"/>
    <w:rsid w:val="001A20FB"/>
    <w:rsid w:val="001A37C7"/>
    <w:rsid w:val="001A73B7"/>
    <w:rsid w:val="001B6AF6"/>
    <w:rsid w:val="001B6F40"/>
    <w:rsid w:val="001C08A0"/>
    <w:rsid w:val="001C4BBB"/>
    <w:rsid w:val="001C64DD"/>
    <w:rsid w:val="001D7DF9"/>
    <w:rsid w:val="001D7F8A"/>
    <w:rsid w:val="001E3FEB"/>
    <w:rsid w:val="001E4A02"/>
    <w:rsid w:val="001F3CC1"/>
    <w:rsid w:val="001F412D"/>
    <w:rsid w:val="001F5816"/>
    <w:rsid w:val="002023CD"/>
    <w:rsid w:val="00203B6A"/>
    <w:rsid w:val="002041A8"/>
    <w:rsid w:val="0020607F"/>
    <w:rsid w:val="002069D5"/>
    <w:rsid w:val="00216861"/>
    <w:rsid w:val="0022098E"/>
    <w:rsid w:val="00223B89"/>
    <w:rsid w:val="00225741"/>
    <w:rsid w:val="00225A8C"/>
    <w:rsid w:val="00232C61"/>
    <w:rsid w:val="00234E40"/>
    <w:rsid w:val="002403AA"/>
    <w:rsid w:val="00241AAF"/>
    <w:rsid w:val="00260A9C"/>
    <w:rsid w:val="00261C6B"/>
    <w:rsid w:val="002659F1"/>
    <w:rsid w:val="00265FE8"/>
    <w:rsid w:val="0027037E"/>
    <w:rsid w:val="00271C7C"/>
    <w:rsid w:val="0028112F"/>
    <w:rsid w:val="00287E79"/>
    <w:rsid w:val="0029101B"/>
    <w:rsid w:val="002928F9"/>
    <w:rsid w:val="0029776B"/>
    <w:rsid w:val="002A1905"/>
    <w:rsid w:val="002A29C3"/>
    <w:rsid w:val="002A5D07"/>
    <w:rsid w:val="002A5F7F"/>
    <w:rsid w:val="002B2881"/>
    <w:rsid w:val="002B56D7"/>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3FA8"/>
    <w:rsid w:val="00374106"/>
    <w:rsid w:val="00374296"/>
    <w:rsid w:val="00391403"/>
    <w:rsid w:val="00397250"/>
    <w:rsid w:val="003974E1"/>
    <w:rsid w:val="003976D5"/>
    <w:rsid w:val="003A1FEF"/>
    <w:rsid w:val="003A462C"/>
    <w:rsid w:val="003A656C"/>
    <w:rsid w:val="003B5981"/>
    <w:rsid w:val="003B6B20"/>
    <w:rsid w:val="003C322F"/>
    <w:rsid w:val="003C5A95"/>
    <w:rsid w:val="003C5C5B"/>
    <w:rsid w:val="003D1DF3"/>
    <w:rsid w:val="003D46A7"/>
    <w:rsid w:val="003D6C68"/>
    <w:rsid w:val="003D76E4"/>
    <w:rsid w:val="003F118A"/>
    <w:rsid w:val="003F6E0A"/>
    <w:rsid w:val="004005D0"/>
    <w:rsid w:val="00406E74"/>
    <w:rsid w:val="00413736"/>
    <w:rsid w:val="00414425"/>
    <w:rsid w:val="004159D0"/>
    <w:rsid w:val="00421AC2"/>
    <w:rsid w:val="00423D55"/>
    <w:rsid w:val="004249E7"/>
    <w:rsid w:val="00426DA1"/>
    <w:rsid w:val="00430C92"/>
    <w:rsid w:val="0043277B"/>
    <w:rsid w:val="00434168"/>
    <w:rsid w:val="0044289E"/>
    <w:rsid w:val="00450E30"/>
    <w:rsid w:val="00454017"/>
    <w:rsid w:val="00461870"/>
    <w:rsid w:val="00471DA9"/>
    <w:rsid w:val="00473690"/>
    <w:rsid w:val="00475DD2"/>
    <w:rsid w:val="00486E96"/>
    <w:rsid w:val="00491EC7"/>
    <w:rsid w:val="0049374F"/>
    <w:rsid w:val="00497A70"/>
    <w:rsid w:val="00497E7A"/>
    <w:rsid w:val="004A324B"/>
    <w:rsid w:val="004A331B"/>
    <w:rsid w:val="004A3778"/>
    <w:rsid w:val="004A5C90"/>
    <w:rsid w:val="004B154F"/>
    <w:rsid w:val="004C3B4F"/>
    <w:rsid w:val="004D0EB7"/>
    <w:rsid w:val="004D5258"/>
    <w:rsid w:val="004D53B7"/>
    <w:rsid w:val="004E1AC3"/>
    <w:rsid w:val="004E551E"/>
    <w:rsid w:val="00502D1A"/>
    <w:rsid w:val="00504EB2"/>
    <w:rsid w:val="00514EB1"/>
    <w:rsid w:val="0052158A"/>
    <w:rsid w:val="00521BA9"/>
    <w:rsid w:val="0052416A"/>
    <w:rsid w:val="00524D9B"/>
    <w:rsid w:val="00530057"/>
    <w:rsid w:val="00531F0F"/>
    <w:rsid w:val="005367EB"/>
    <w:rsid w:val="00543D5E"/>
    <w:rsid w:val="005446F3"/>
    <w:rsid w:val="00545F2F"/>
    <w:rsid w:val="005525D2"/>
    <w:rsid w:val="005611FF"/>
    <w:rsid w:val="005622F9"/>
    <w:rsid w:val="00563346"/>
    <w:rsid w:val="00565A49"/>
    <w:rsid w:val="005669DD"/>
    <w:rsid w:val="00571F41"/>
    <w:rsid w:val="00572556"/>
    <w:rsid w:val="00575335"/>
    <w:rsid w:val="00576C84"/>
    <w:rsid w:val="00585A6B"/>
    <w:rsid w:val="00593132"/>
    <w:rsid w:val="0059410B"/>
    <w:rsid w:val="00595BE4"/>
    <w:rsid w:val="00595C56"/>
    <w:rsid w:val="005A041A"/>
    <w:rsid w:val="005B738F"/>
    <w:rsid w:val="005B76A3"/>
    <w:rsid w:val="005C6014"/>
    <w:rsid w:val="005E5D1F"/>
    <w:rsid w:val="005E5E79"/>
    <w:rsid w:val="005E67B6"/>
    <w:rsid w:val="005F25D1"/>
    <w:rsid w:val="005F302D"/>
    <w:rsid w:val="005F59DB"/>
    <w:rsid w:val="00603391"/>
    <w:rsid w:val="006049FD"/>
    <w:rsid w:val="00605683"/>
    <w:rsid w:val="00611D43"/>
    <w:rsid w:val="00612D48"/>
    <w:rsid w:val="00616B45"/>
    <w:rsid w:val="0061708F"/>
    <w:rsid w:val="006210B6"/>
    <w:rsid w:val="0062309D"/>
    <w:rsid w:val="00625F01"/>
    <w:rsid w:val="00630D9B"/>
    <w:rsid w:val="00631953"/>
    <w:rsid w:val="0063675E"/>
    <w:rsid w:val="006439EC"/>
    <w:rsid w:val="00654B07"/>
    <w:rsid w:val="00665D5C"/>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D7511"/>
    <w:rsid w:val="006D7AA7"/>
    <w:rsid w:val="006E0743"/>
    <w:rsid w:val="006E19BA"/>
    <w:rsid w:val="006E3B48"/>
    <w:rsid w:val="006E5FC7"/>
    <w:rsid w:val="006E7722"/>
    <w:rsid w:val="006F151C"/>
    <w:rsid w:val="00700CF9"/>
    <w:rsid w:val="0070347C"/>
    <w:rsid w:val="007176C1"/>
    <w:rsid w:val="0073250D"/>
    <w:rsid w:val="00737BCE"/>
    <w:rsid w:val="0074123A"/>
    <w:rsid w:val="00742FD7"/>
    <w:rsid w:val="007450F8"/>
    <w:rsid w:val="00745866"/>
    <w:rsid w:val="00745CA1"/>
    <w:rsid w:val="007514EF"/>
    <w:rsid w:val="007527B6"/>
    <w:rsid w:val="00753BDA"/>
    <w:rsid w:val="00766A94"/>
    <w:rsid w:val="007673E8"/>
    <w:rsid w:val="00770118"/>
    <w:rsid w:val="00780335"/>
    <w:rsid w:val="00780EAE"/>
    <w:rsid w:val="007811F7"/>
    <w:rsid w:val="007817A1"/>
    <w:rsid w:val="007820F2"/>
    <w:rsid w:val="00783F37"/>
    <w:rsid w:val="00786EF4"/>
    <w:rsid w:val="007904AF"/>
    <w:rsid w:val="00790F2F"/>
    <w:rsid w:val="00795138"/>
    <w:rsid w:val="007A6076"/>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60C9D"/>
    <w:rsid w:val="00871051"/>
    <w:rsid w:val="00883D70"/>
    <w:rsid w:val="00884E9C"/>
    <w:rsid w:val="00893D70"/>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5A77"/>
    <w:rsid w:val="009066AE"/>
    <w:rsid w:val="00911BF7"/>
    <w:rsid w:val="00922301"/>
    <w:rsid w:val="00922FBA"/>
    <w:rsid w:val="00926E87"/>
    <w:rsid w:val="00932D7A"/>
    <w:rsid w:val="009416C9"/>
    <w:rsid w:val="00952247"/>
    <w:rsid w:val="00952FDB"/>
    <w:rsid w:val="00953DE0"/>
    <w:rsid w:val="009566B0"/>
    <w:rsid w:val="00970F62"/>
    <w:rsid w:val="00977EC8"/>
    <w:rsid w:val="009817BD"/>
    <w:rsid w:val="009837CB"/>
    <w:rsid w:val="009A21FA"/>
    <w:rsid w:val="009A6F85"/>
    <w:rsid w:val="009B060F"/>
    <w:rsid w:val="009B18A3"/>
    <w:rsid w:val="009B25CE"/>
    <w:rsid w:val="009B5EA0"/>
    <w:rsid w:val="009B6524"/>
    <w:rsid w:val="009C1239"/>
    <w:rsid w:val="009C246D"/>
    <w:rsid w:val="009C2848"/>
    <w:rsid w:val="009C38EA"/>
    <w:rsid w:val="009D3A8C"/>
    <w:rsid w:val="009E01B8"/>
    <w:rsid w:val="009E698E"/>
    <w:rsid w:val="009E7956"/>
    <w:rsid w:val="00A11C63"/>
    <w:rsid w:val="00A134EB"/>
    <w:rsid w:val="00A1547F"/>
    <w:rsid w:val="00A17EEC"/>
    <w:rsid w:val="00A2492E"/>
    <w:rsid w:val="00A31F07"/>
    <w:rsid w:val="00A41235"/>
    <w:rsid w:val="00A44CBA"/>
    <w:rsid w:val="00A45EBB"/>
    <w:rsid w:val="00A6502C"/>
    <w:rsid w:val="00A70163"/>
    <w:rsid w:val="00A71439"/>
    <w:rsid w:val="00A7187C"/>
    <w:rsid w:val="00A73DB7"/>
    <w:rsid w:val="00A778A5"/>
    <w:rsid w:val="00A80554"/>
    <w:rsid w:val="00A86837"/>
    <w:rsid w:val="00A92C6B"/>
    <w:rsid w:val="00A963DD"/>
    <w:rsid w:val="00AA0176"/>
    <w:rsid w:val="00AA3C96"/>
    <w:rsid w:val="00AA5B1E"/>
    <w:rsid w:val="00AA72C3"/>
    <w:rsid w:val="00AA77E5"/>
    <w:rsid w:val="00AB6447"/>
    <w:rsid w:val="00AC67A1"/>
    <w:rsid w:val="00AC7977"/>
    <w:rsid w:val="00AD1E14"/>
    <w:rsid w:val="00AD3F23"/>
    <w:rsid w:val="00AD545E"/>
    <w:rsid w:val="00AE1716"/>
    <w:rsid w:val="00AE352C"/>
    <w:rsid w:val="00AE4F08"/>
    <w:rsid w:val="00AE5E87"/>
    <w:rsid w:val="00AE69A8"/>
    <w:rsid w:val="00AE7BCA"/>
    <w:rsid w:val="00AF1446"/>
    <w:rsid w:val="00AF2F6F"/>
    <w:rsid w:val="00AF52DB"/>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C1"/>
    <w:rsid w:val="00C732D1"/>
    <w:rsid w:val="00C836BC"/>
    <w:rsid w:val="00C940E9"/>
    <w:rsid w:val="00CA047F"/>
    <w:rsid w:val="00CA3500"/>
    <w:rsid w:val="00CA5CBD"/>
    <w:rsid w:val="00CB2BEA"/>
    <w:rsid w:val="00CB6267"/>
    <w:rsid w:val="00CD1A71"/>
    <w:rsid w:val="00CD1FBB"/>
    <w:rsid w:val="00CD4C90"/>
    <w:rsid w:val="00CE03EF"/>
    <w:rsid w:val="00CF4311"/>
    <w:rsid w:val="00CF6435"/>
    <w:rsid w:val="00D0029B"/>
    <w:rsid w:val="00D016B5"/>
    <w:rsid w:val="00D034F1"/>
    <w:rsid w:val="00D10BD3"/>
    <w:rsid w:val="00D11B17"/>
    <w:rsid w:val="00D218FC"/>
    <w:rsid w:val="00D22284"/>
    <w:rsid w:val="00D27297"/>
    <w:rsid w:val="00D27D5E"/>
    <w:rsid w:val="00D31640"/>
    <w:rsid w:val="00D319BE"/>
    <w:rsid w:val="00D34270"/>
    <w:rsid w:val="00D40906"/>
    <w:rsid w:val="00D41B47"/>
    <w:rsid w:val="00D428F9"/>
    <w:rsid w:val="00D440EE"/>
    <w:rsid w:val="00D47F24"/>
    <w:rsid w:val="00D52A86"/>
    <w:rsid w:val="00D57493"/>
    <w:rsid w:val="00D60301"/>
    <w:rsid w:val="00D64213"/>
    <w:rsid w:val="00D6487C"/>
    <w:rsid w:val="00D70305"/>
    <w:rsid w:val="00D72874"/>
    <w:rsid w:val="00D75A23"/>
    <w:rsid w:val="00D84247"/>
    <w:rsid w:val="00D8534F"/>
    <w:rsid w:val="00D86AD1"/>
    <w:rsid w:val="00D94430"/>
    <w:rsid w:val="00D96366"/>
    <w:rsid w:val="00DA1820"/>
    <w:rsid w:val="00DA57D4"/>
    <w:rsid w:val="00DA6BC7"/>
    <w:rsid w:val="00DB4793"/>
    <w:rsid w:val="00DB533B"/>
    <w:rsid w:val="00DB5C62"/>
    <w:rsid w:val="00DC158C"/>
    <w:rsid w:val="00DC45A6"/>
    <w:rsid w:val="00DC51E3"/>
    <w:rsid w:val="00DD051B"/>
    <w:rsid w:val="00DD38E9"/>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30A6C"/>
    <w:rsid w:val="00E418A5"/>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265E"/>
    <w:rsid w:val="00ED7BEB"/>
    <w:rsid w:val="00EE2EA3"/>
    <w:rsid w:val="00EE43A7"/>
    <w:rsid w:val="00EF041A"/>
    <w:rsid w:val="00F01516"/>
    <w:rsid w:val="00F0189E"/>
    <w:rsid w:val="00F12577"/>
    <w:rsid w:val="00F14D09"/>
    <w:rsid w:val="00F2271B"/>
    <w:rsid w:val="00F227C9"/>
    <w:rsid w:val="00F27F4C"/>
    <w:rsid w:val="00F337B3"/>
    <w:rsid w:val="00F35A1F"/>
    <w:rsid w:val="00F37523"/>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C2ACB24"/>
  <w15:docId w15:val="{37FD9A99-007E-4A4F-98F5-B37C9299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lock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eastAsia="x-none"/>
    </w:rPr>
  </w:style>
  <w:style w:type="character" w:styleId="EndnoteReference">
    <w:name w:val="endnote reference"/>
    <w:aliases w:val="1_G"/>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character" w:styleId="UnresolvedMention">
    <w:name w:val="Unresolved Mention"/>
    <w:basedOn w:val="DefaultParagraphFont"/>
    <w:uiPriority w:val="99"/>
    <w:semiHidden/>
    <w:unhideWhenUsed/>
    <w:rsid w:val="00450E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FR/AUTO/?uri=celex:31982L07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FR/AUTO/?uri=celex:32006L008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A1A3-2600-4E49-953E-1EE12ED3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17</TotalTime>
  <Pages>3</Pages>
  <Words>871</Words>
  <Characters>4966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ECE-TRANS-WP.15-AC.2-2018-XXf.doc</vt:lpstr>
      <vt:lpstr>ECE-TRANS-WP.15-AC.2-2018-XXf.doc</vt:lpstr>
    </vt:vector>
  </TitlesOfParts>
  <Company>CSD</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ECE-TRANS-WP.15-AC.2-2018-XXf.doc</dc:title>
  <dc:creator>UNECE</dc:creator>
  <cp:lastModifiedBy>ECE/ADN/45</cp:lastModifiedBy>
  <cp:revision>11</cp:revision>
  <cp:lastPrinted>2017-10-20T12:59:00Z</cp:lastPrinted>
  <dcterms:created xsi:type="dcterms:W3CDTF">2018-05-22T13:34:00Z</dcterms:created>
  <dcterms:modified xsi:type="dcterms:W3CDTF">2018-05-24T13:38:00Z</dcterms:modified>
</cp:coreProperties>
</file>