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E61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E6175" w:rsidP="002E6175">
            <w:pPr>
              <w:jc w:val="right"/>
            </w:pPr>
            <w:r w:rsidRPr="002E6175">
              <w:rPr>
                <w:sz w:val="40"/>
              </w:rPr>
              <w:t>ECE</w:t>
            </w:r>
            <w:r>
              <w:t>/TRANS/WP.15/AC.2/2018/25</w:t>
            </w:r>
          </w:p>
        </w:tc>
      </w:tr>
      <w:tr w:rsidR="002D5AAC" w:rsidRPr="002E617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61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E6175" w:rsidRDefault="002E6175" w:rsidP="002E61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June 2018</w:t>
            </w:r>
          </w:p>
          <w:p w:rsidR="002E6175" w:rsidRDefault="002E6175" w:rsidP="002E61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E6175" w:rsidRPr="008D53B6" w:rsidRDefault="002E6175" w:rsidP="002E61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E6175" w:rsidRPr="002E6175" w:rsidRDefault="002E6175" w:rsidP="002E6175">
      <w:pPr>
        <w:spacing w:before="120"/>
        <w:rPr>
          <w:sz w:val="28"/>
          <w:szCs w:val="28"/>
        </w:rPr>
      </w:pPr>
      <w:r w:rsidRPr="002E6175">
        <w:rPr>
          <w:sz w:val="28"/>
          <w:szCs w:val="28"/>
        </w:rPr>
        <w:t>Комитет по внутреннему транспорту</w:t>
      </w:r>
    </w:p>
    <w:p w:rsidR="002E6175" w:rsidRPr="003D1FA4" w:rsidRDefault="002E6175" w:rsidP="002E6175">
      <w:pPr>
        <w:spacing w:before="120"/>
        <w:rPr>
          <w:b/>
          <w:sz w:val="24"/>
          <w:szCs w:val="24"/>
        </w:rPr>
      </w:pPr>
      <w:r w:rsidRPr="003D1FA4">
        <w:rPr>
          <w:b/>
          <w:bCs/>
          <w:sz w:val="24"/>
          <w:szCs w:val="24"/>
        </w:rPr>
        <w:t>Рабочая группа по перевозкам опасных грузов</w:t>
      </w:r>
    </w:p>
    <w:p w:rsidR="002E6175" w:rsidRPr="006B685C" w:rsidRDefault="002E6175" w:rsidP="002E6175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2E6175" w:rsidRPr="006B685C" w:rsidRDefault="002E6175" w:rsidP="002E6175">
      <w:pPr>
        <w:spacing w:before="120"/>
        <w:rPr>
          <w:b/>
        </w:rPr>
      </w:pPr>
      <w:r>
        <w:rPr>
          <w:b/>
          <w:bCs/>
        </w:rPr>
        <w:t>Тридцать третья сессия</w:t>
      </w:r>
    </w:p>
    <w:p w:rsidR="002E6175" w:rsidRPr="006B685C" w:rsidRDefault="002E6175" w:rsidP="002E6175">
      <w:r>
        <w:t>Женева, 27–31 августа 2018 года</w:t>
      </w:r>
    </w:p>
    <w:p w:rsidR="002E6175" w:rsidRPr="00C74863" w:rsidRDefault="002E6175" w:rsidP="002E6175">
      <w:r>
        <w:t>Пункт 4 a) предварительной повестки дня</w:t>
      </w:r>
    </w:p>
    <w:p w:rsidR="002E6175" w:rsidRPr="006B685C" w:rsidRDefault="002E6175" w:rsidP="002E6175">
      <w:pPr>
        <w:rPr>
          <w:b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Правила, прилагаемые к ВОПОГ:</w:t>
      </w:r>
    </w:p>
    <w:p w:rsidR="002E6175" w:rsidRPr="006B685C" w:rsidRDefault="002E6175" w:rsidP="002E6175">
      <w:pPr>
        <w:rPr>
          <w:b/>
        </w:rPr>
      </w:pPr>
      <w:r>
        <w:rPr>
          <w:b/>
          <w:bCs/>
        </w:rPr>
        <w:t>работа Совместного совещания МПОГ/ДОПОГ/ВОПОГ</w:t>
      </w:r>
    </w:p>
    <w:p w:rsidR="002E6175" w:rsidRPr="006B685C" w:rsidRDefault="002E6175" w:rsidP="003D1FA4">
      <w:pPr>
        <w:pStyle w:val="HChGR"/>
      </w:pPr>
      <w:r>
        <w:tab/>
      </w:r>
      <w:r>
        <w:tab/>
        <w:t>Европейское соглашение о международной перевозке опасных грузов по внутренним водным путям (ВОПОГ)</w:t>
      </w:r>
    </w:p>
    <w:p w:rsidR="002E6175" w:rsidRPr="006B685C" w:rsidRDefault="002E6175" w:rsidP="003D1FA4">
      <w:pPr>
        <w:pStyle w:val="H1GR"/>
      </w:pPr>
      <w:r>
        <w:tab/>
      </w:r>
      <w:r>
        <w:tab/>
        <w:t>Исправления к предлагаемым поправкам, содержащимся в документе ECE/ADN/45</w:t>
      </w:r>
    </w:p>
    <w:p w:rsidR="002E6175" w:rsidRPr="009F1F48" w:rsidRDefault="002E6175" w:rsidP="002E6175">
      <w:pPr>
        <w:pStyle w:val="H1GR"/>
      </w:pPr>
      <w:r>
        <w:tab/>
      </w:r>
      <w:r>
        <w:tab/>
        <w:t>Записка секретариата</w:t>
      </w:r>
      <w:r w:rsidRPr="002E6175">
        <w:rPr>
          <w:b w:val="0"/>
          <w:sz w:val="20"/>
        </w:rPr>
        <w:footnoteReference w:customMarkFollows="1" w:id="1"/>
        <w:t xml:space="preserve">* </w:t>
      </w:r>
      <w:r w:rsidRPr="002E6175">
        <w:rPr>
          <w:b w:val="0"/>
          <w:sz w:val="20"/>
        </w:rPr>
        <w:footnoteReference w:customMarkFollows="1" w:id="2"/>
        <w:t>**</w:t>
      </w:r>
    </w:p>
    <w:p w:rsidR="002E6175" w:rsidRPr="006B685C" w:rsidRDefault="002E6175" w:rsidP="002E6175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2E6175" w:rsidRPr="006B685C" w:rsidRDefault="002E6175" w:rsidP="003D1FA4">
      <w:pPr>
        <w:pStyle w:val="SingleTxtGR"/>
      </w:pPr>
      <w:r>
        <w:t>1.</w:t>
      </w:r>
      <w:r>
        <w:tab/>
        <w:t>Комитет по вопросам безопасности, возможно, пожелает рассмотреть работу, проделанную Совместным совещанием МПОГ/ДОПОГ/ВОПОГ на его весенней сессии 2018 года (ECE/TRANS/WP.15/AC.1/150).</w:t>
      </w:r>
    </w:p>
    <w:p w:rsidR="002E6175" w:rsidRPr="006B685C" w:rsidRDefault="002E6175" w:rsidP="003D1FA4">
      <w:pPr>
        <w:pStyle w:val="SingleTxtGR"/>
      </w:pPr>
      <w:r>
        <w:t>2.</w:t>
      </w:r>
      <w:r>
        <w:tab/>
        <w:t>На своей 104-й сессии в мае 2018 года Рабочая группа по перевозкам опасных грузов (WP.15) приняла дополнительные поправки, которые изменяют или дополняют поправки, принятые на предыдущей сессии (см. ECE/TRANS/WP.15/240). Они приводятся в документе ECE/TRANS/WP.15/240/Corr.1.</w:t>
      </w:r>
    </w:p>
    <w:p w:rsidR="002E6175" w:rsidRPr="006B685C" w:rsidRDefault="002E6175" w:rsidP="002E6175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В настоящем документе содержатся, частности, исправления, которые касаются также документа ECE/ADN/45.</w:t>
      </w:r>
    </w:p>
    <w:p w:rsidR="002E6175" w:rsidRPr="006B685C" w:rsidRDefault="002E6175" w:rsidP="002E6175">
      <w:pPr>
        <w:pStyle w:val="H1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Исправления к предлагаемым поправкам, содержащимся в документе ECE/ADN/45</w:t>
      </w:r>
    </w:p>
    <w:p w:rsidR="002E6175" w:rsidRPr="006B685C" w:rsidRDefault="002E6175" w:rsidP="002E6175">
      <w:pPr>
        <w:pStyle w:val="H23GR"/>
      </w:pPr>
      <w:r>
        <w:tab/>
        <w:t>1.</w:t>
      </w:r>
      <w:r>
        <w:tab/>
        <w:t>Глава 1.6, новая переходная мера 1.6.1.44</w:t>
      </w:r>
    </w:p>
    <w:p w:rsidR="002E6175" w:rsidRPr="006B685C" w:rsidRDefault="002E6175" w:rsidP="002E6175">
      <w:pPr>
        <w:pStyle w:val="SingleTxtG"/>
        <w:rPr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2E6175" w:rsidRPr="00AB4CC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2.</w:t>
      </w:r>
      <w:r>
        <w:rPr>
          <w:lang w:val="ru-RU"/>
        </w:rPr>
        <w:tab/>
      </w:r>
      <w:r>
        <w:rPr>
          <w:bCs/>
          <w:lang w:val="ru-RU"/>
        </w:rPr>
        <w:t>Глава 1.6, 1.6.7.2.2, детектор газа</w:t>
      </w:r>
    </w:p>
    <w:p w:rsidR="002E6175" w:rsidRPr="006B685C" w:rsidRDefault="002E6175" w:rsidP="002E6175">
      <w:pPr>
        <w:pStyle w:val="SingleTxtG"/>
        <w:rPr>
          <w:lang w:val="ru-RU"/>
        </w:rPr>
      </w:pPr>
      <w:r w:rsidRPr="002E6175">
        <w:rPr>
          <w:i/>
          <w:lang w:val="ru-RU"/>
        </w:rPr>
        <w:t>Вместо</w:t>
      </w:r>
      <w:r>
        <w:rPr>
          <w:lang w:val="ru-RU"/>
        </w:rPr>
        <w:t xml:space="preserve"> «МЭК 60079-29-1:2011» </w:t>
      </w:r>
      <w:r w:rsidRPr="002E6175">
        <w:rPr>
          <w:i/>
          <w:lang w:val="ru-RU"/>
        </w:rPr>
        <w:t>читать</w:t>
      </w:r>
      <w:r>
        <w:rPr>
          <w:lang w:val="ru-RU"/>
        </w:rPr>
        <w:t xml:space="preserve"> «МЭК 60079-29-1:2016».</w:t>
      </w:r>
    </w:p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3.</w:t>
      </w:r>
      <w:r>
        <w:rPr>
          <w:lang w:val="ru-RU"/>
        </w:rPr>
        <w:tab/>
      </w:r>
      <w:r>
        <w:rPr>
          <w:bCs/>
          <w:lang w:val="ru-RU"/>
        </w:rPr>
        <w:t>Глава 1.8, поправка к подразделу 1.8.3.1</w:t>
      </w:r>
    </w:p>
    <w:p w:rsidR="002E6175" w:rsidRPr="006B685C" w:rsidRDefault="002E6175" w:rsidP="002E6175">
      <w:pPr>
        <w:pStyle w:val="SingleTxtG"/>
        <w:rPr>
          <w:lang w:val="ru-RU"/>
        </w:rPr>
      </w:pPr>
      <w:r>
        <w:rPr>
          <w:lang w:val="ru-RU"/>
        </w:rPr>
        <w:t xml:space="preserve">В существующий текст </w:t>
      </w:r>
      <w:r w:rsidRPr="002E6175">
        <w:rPr>
          <w:i/>
          <w:lang w:val="ru-RU"/>
        </w:rPr>
        <w:t>внести следующие изменения</w:t>
      </w:r>
      <w:r>
        <w:rPr>
          <w:lang w:val="ru-RU"/>
        </w:rPr>
        <w:t>:</w:t>
      </w:r>
    </w:p>
    <w:p w:rsidR="002E6175" w:rsidRPr="006B685C" w:rsidRDefault="002E6175" w:rsidP="002E6175">
      <w:pPr>
        <w:pStyle w:val="SingleTxtG"/>
        <w:ind w:left="1701"/>
        <w:rPr>
          <w:lang w:val="ru-RU"/>
        </w:rPr>
      </w:pPr>
      <w:r>
        <w:rPr>
          <w:lang w:val="ru-RU"/>
        </w:rPr>
        <w:t>1.8.3.1</w:t>
      </w:r>
      <w:r>
        <w:rPr>
          <w:lang w:val="ru-RU"/>
        </w:rPr>
        <w:tab/>
      </w:r>
      <w:r>
        <w:rPr>
          <w:lang w:val="ru-RU"/>
        </w:rPr>
        <w:tab/>
        <w:t xml:space="preserve">В начале заменить «деятельность которого включает автомобильную перевозку опасных грузов или связанные с ней операции по упаковке, погрузке, наполнению или разгрузке» на «деятельность которого включает отправку или дорожную перевозку опасных грузов либо связанные с этим операции по упаковке, погрузке, наполнению или разгрузке». </w:t>
      </w:r>
      <w:bookmarkStart w:id="1" w:name="_Hlk516041360"/>
      <w:bookmarkEnd w:id="1"/>
    </w:p>
    <w:p w:rsidR="002E6175" w:rsidRPr="00C74863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4.</w:t>
      </w:r>
      <w:r>
        <w:rPr>
          <w:lang w:val="ru-RU"/>
        </w:rPr>
        <w:tab/>
      </w:r>
      <w:r>
        <w:rPr>
          <w:bCs/>
          <w:lang w:val="ru-RU"/>
        </w:rPr>
        <w:t>Глава 2.2, поправка к пункту 2.2.51.1.3</w:t>
      </w:r>
    </w:p>
    <w:p w:rsidR="002E6175" w:rsidRPr="006B685C" w:rsidRDefault="002E6175" w:rsidP="002E6175">
      <w:pPr>
        <w:pStyle w:val="SingleTxtG"/>
        <w:rPr>
          <w:lang w:val="ru-RU"/>
        </w:rPr>
      </w:pPr>
      <w:r w:rsidRPr="002E6175">
        <w:rPr>
          <w:i/>
          <w:lang w:val="ru-RU"/>
        </w:rPr>
        <w:t>Вместо</w:t>
      </w:r>
      <w:r>
        <w:rPr>
          <w:lang w:val="ru-RU"/>
        </w:rPr>
        <w:t xml:space="preserve"> «тринадцатый подпункт» </w:t>
      </w:r>
      <w:r w:rsidRPr="002E6175">
        <w:rPr>
          <w:i/>
          <w:lang w:val="ru-RU"/>
        </w:rPr>
        <w:t>читать</w:t>
      </w:r>
      <w:r>
        <w:rPr>
          <w:lang w:val="ru-RU"/>
        </w:rPr>
        <w:t xml:space="preserve"> «тринадцатый и четырнадцатый подпункты».</w:t>
      </w:r>
    </w:p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</w:r>
      <w:r w:rsidRPr="002E6175">
        <w:rPr>
          <w:lang w:val="ru-RU"/>
        </w:rPr>
        <w:t>5</w:t>
      </w:r>
      <w:r>
        <w:rPr>
          <w:lang w:val="ru-RU"/>
        </w:rPr>
        <w:t>.</w:t>
      </w:r>
      <w:r>
        <w:rPr>
          <w:lang w:val="ru-RU"/>
        </w:rPr>
        <w:tab/>
      </w:r>
      <w:r>
        <w:rPr>
          <w:bCs/>
          <w:lang w:val="ru-RU"/>
        </w:rPr>
        <w:t xml:space="preserve">Глава 2.2, поправка к 2.2.51.2.2, подпункт, заканчивающийся словами </w:t>
      </w:r>
      <w:r>
        <w:rPr>
          <w:bCs/>
          <w:lang w:val="ru-RU"/>
        </w:rPr>
        <w:br/>
        <w:t>«№ ООН 2067</w:t>
      </w:r>
      <w:bookmarkStart w:id="2" w:name="_Hlk516041739"/>
      <w:bookmarkEnd w:id="2"/>
      <w:r>
        <w:rPr>
          <w:bCs/>
          <w:lang w:val="ru-RU"/>
        </w:rPr>
        <w:t>»</w:t>
      </w:r>
    </w:p>
    <w:p w:rsidR="002E6175" w:rsidRPr="006F63BE" w:rsidRDefault="002E6175" w:rsidP="002E6175">
      <w:pPr>
        <w:pStyle w:val="SingleTxtG"/>
        <w:rPr>
          <w:iCs/>
          <w:lang w:val="ru-RU"/>
        </w:rPr>
      </w:pPr>
      <w:r w:rsidRPr="002E6175">
        <w:rPr>
          <w:i/>
          <w:iCs/>
          <w:lang w:val="ru-RU"/>
        </w:rPr>
        <w:t>Включить</w:t>
      </w:r>
      <w:r>
        <w:rPr>
          <w:iCs/>
          <w:lang w:val="ru-RU"/>
        </w:rPr>
        <w:t>:</w:t>
      </w:r>
    </w:p>
    <w:p w:rsidR="002E6175" w:rsidRPr="006B685C" w:rsidRDefault="002E6175" w:rsidP="002E6175">
      <w:pPr>
        <w:pStyle w:val="SingleTxtG"/>
        <w:ind w:left="1701"/>
        <w:rPr>
          <w:lang w:val="ru-RU"/>
        </w:rPr>
      </w:pPr>
      <w:bookmarkStart w:id="3" w:name="_Hlk516041680"/>
      <w:r w:rsidRPr="006F63BE">
        <w:rPr>
          <w:bCs/>
          <w:lang w:val="ru-RU"/>
        </w:rPr>
        <w:t>«</w:t>
      </w:r>
      <w:r w:rsidRPr="006F63BE">
        <w:rPr>
          <w:b/>
          <w:bCs/>
          <w:i/>
          <w:lang w:val="ru-RU"/>
        </w:rPr>
        <w:t>ПРИМЕЧАНИЕ</w:t>
      </w:r>
      <w:r>
        <w:rPr>
          <w:b/>
          <w:bCs/>
          <w:lang w:val="ru-RU"/>
        </w:rPr>
        <w:t>:</w:t>
      </w:r>
      <w:r>
        <w:rPr>
          <w:lang w:val="ru-RU"/>
        </w:rPr>
        <w:tab/>
      </w:r>
      <w:r w:rsidRPr="006F63BE">
        <w:rPr>
          <w:i/>
          <w:iCs/>
          <w:lang w:val="ru-RU"/>
        </w:rPr>
        <w:t xml:space="preserve">Термин </w:t>
      </w:r>
      <w:r>
        <w:rPr>
          <w:i/>
          <w:iCs/>
          <w:lang w:val="ru-RU"/>
        </w:rPr>
        <w:t>"компетентный орган" означает компетентный орган страны происхождения.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Если страна происхождения не является Договаривающейся стороной ВОПОГ, то классификация и условия перевозки должны быть признаны компетентным органом первой страны, являющейся Договаривающейся стороной ВОПОГ, по маршруту перевозки груза</w:t>
      </w:r>
      <w:r>
        <w:rPr>
          <w:iCs/>
          <w:lang w:val="ru-RU"/>
        </w:rPr>
        <w:t>»</w:t>
      </w:r>
      <w:r>
        <w:rPr>
          <w:i/>
          <w:iCs/>
          <w:lang w:val="ru-RU"/>
        </w:rPr>
        <w:t>.</w:t>
      </w:r>
      <w:bookmarkEnd w:id="3"/>
    </w:p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6.</w:t>
      </w:r>
      <w:r>
        <w:rPr>
          <w:lang w:val="ru-RU"/>
        </w:rPr>
        <w:tab/>
      </w:r>
      <w:r>
        <w:rPr>
          <w:bCs/>
          <w:lang w:val="ru-RU"/>
        </w:rPr>
        <w:t>Глава 2.2, поправка к 2.2.9.1.7, новый подпункт g после «элементы и батареи»</w:t>
      </w:r>
    </w:p>
    <w:p w:rsidR="002E6175" w:rsidRPr="006B685C" w:rsidRDefault="002E6175" w:rsidP="002E6175">
      <w:pPr>
        <w:pStyle w:val="SingleTxtG"/>
        <w:rPr>
          <w:lang w:val="ru-RU"/>
        </w:rPr>
      </w:pPr>
      <w:r w:rsidRPr="002E6175">
        <w:rPr>
          <w:i/>
          <w:lang w:val="ru-RU"/>
        </w:rPr>
        <w:t>Включить</w:t>
      </w:r>
      <w:r>
        <w:rPr>
          <w:lang w:val="ru-RU"/>
        </w:rPr>
        <w:t xml:space="preserve"> «изготовленные после 30 июня 2003 года».</w:t>
      </w:r>
      <w:bookmarkStart w:id="4" w:name="_Hlk516042041"/>
      <w:bookmarkEnd w:id="4"/>
    </w:p>
    <w:p w:rsidR="002E6175" w:rsidRPr="003D1FA4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7.</w:t>
      </w:r>
      <w:r>
        <w:rPr>
          <w:lang w:val="ru-RU"/>
        </w:rPr>
        <w:tab/>
      </w:r>
      <w:r>
        <w:rPr>
          <w:bCs/>
          <w:lang w:val="ru-RU"/>
        </w:rPr>
        <w:t>Глава 3.2, таблица А, новые позиции, № ООН 3535, 3536, 3537, 3538, 3539, 3540, 3541, 3542, 3543, 3544, 3545, 3546, 3547, 3548, колонка 8</w:t>
      </w:r>
      <w:r w:rsidR="003D1FA4">
        <w:rPr>
          <w:bCs/>
          <w:lang w:val="ru-RU"/>
        </w:rPr>
        <w:t>)</w:t>
      </w:r>
    </w:p>
    <w:p w:rsidR="002E6175" w:rsidRPr="006B685C" w:rsidRDefault="002E6175" w:rsidP="002E6175">
      <w:pPr>
        <w:pStyle w:val="SingleTxtG"/>
        <w:rPr>
          <w:lang w:val="ru-RU"/>
        </w:rPr>
      </w:pPr>
      <w:r w:rsidRPr="002E6175">
        <w:rPr>
          <w:i/>
          <w:iCs/>
          <w:lang w:val="ru-RU"/>
        </w:rPr>
        <w:t>Исключить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существующий текст.</w:t>
      </w:r>
    </w:p>
    <w:p w:rsidR="002E6175" w:rsidRPr="003D1FA4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8.</w:t>
      </w:r>
      <w:r>
        <w:rPr>
          <w:lang w:val="ru-RU"/>
        </w:rPr>
        <w:tab/>
      </w:r>
      <w:r>
        <w:rPr>
          <w:bCs/>
          <w:lang w:val="ru-RU"/>
        </w:rPr>
        <w:t xml:space="preserve">Глава 3.3, поправка к специальному положению 251, подпункт </w:t>
      </w:r>
      <w:r w:rsidRPr="003D1FA4">
        <w:rPr>
          <w:bCs/>
          <w:lang w:val="ru-RU"/>
        </w:rPr>
        <w:t>а</w:t>
      </w:r>
      <w:r w:rsidR="003D1FA4" w:rsidRPr="003D1FA4">
        <w:rPr>
          <w:bCs/>
          <w:lang w:val="ru-RU"/>
        </w:rPr>
        <w:t>)</w:t>
      </w:r>
    </w:p>
    <w:p w:rsidR="002E6175" w:rsidRPr="006B685C" w:rsidRDefault="002E6175" w:rsidP="002E6175">
      <w:pPr>
        <w:pStyle w:val="SingleTxtG"/>
        <w:rPr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  <w:bookmarkStart w:id="5" w:name="_Hlk516042473"/>
      <w:bookmarkEnd w:id="5"/>
    </w:p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9.</w:t>
      </w:r>
      <w:r>
        <w:rPr>
          <w:lang w:val="ru-RU"/>
        </w:rPr>
        <w:tab/>
      </w:r>
      <w:r>
        <w:rPr>
          <w:bCs/>
          <w:lang w:val="ru-RU"/>
        </w:rPr>
        <w:t>Глава 3.3, поправка к специальному положению 307, второе предложение</w:t>
      </w:r>
    </w:p>
    <w:p w:rsidR="002E6175" w:rsidRPr="006B685C" w:rsidRDefault="002E6175" w:rsidP="002E6175">
      <w:pPr>
        <w:pStyle w:val="SingleTxtG"/>
        <w:rPr>
          <w:lang w:val="ru-RU"/>
        </w:rPr>
      </w:pPr>
      <w:r w:rsidRPr="002E6175">
        <w:rPr>
          <w:i/>
          <w:lang w:val="ru-RU"/>
        </w:rPr>
        <w:t>Вместо</w:t>
      </w:r>
      <w:r>
        <w:rPr>
          <w:lang w:val="ru-RU"/>
        </w:rPr>
        <w:t xml:space="preserve"> «тринадцатый подпункт» </w:t>
      </w:r>
      <w:r w:rsidRPr="002E6175">
        <w:rPr>
          <w:i/>
          <w:lang w:val="ru-RU"/>
        </w:rPr>
        <w:t>читать</w:t>
      </w:r>
      <w:r>
        <w:rPr>
          <w:lang w:val="ru-RU"/>
        </w:rPr>
        <w:t xml:space="preserve"> «тринадцатый и четырнадцатый подпункты».</w:t>
      </w:r>
    </w:p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10.</w:t>
      </w:r>
      <w:r>
        <w:rPr>
          <w:lang w:val="ru-RU"/>
        </w:rPr>
        <w:tab/>
      </w:r>
      <w:r>
        <w:rPr>
          <w:bCs/>
          <w:lang w:val="ru-RU"/>
        </w:rPr>
        <w:t>Глава 3.3, новое специальное положение 388, четвертый абзац</w:t>
      </w:r>
    </w:p>
    <w:p w:rsidR="002E6175" w:rsidRPr="006B685C" w:rsidRDefault="002E6175" w:rsidP="002E6175">
      <w:pPr>
        <w:pStyle w:val="SingleTxtG"/>
        <w:rPr>
          <w:b/>
          <w:bCs/>
          <w:lang w:val="ru-RU"/>
        </w:rPr>
      </w:pPr>
      <w:r w:rsidRPr="002E6175">
        <w:rPr>
          <w:i/>
          <w:iCs/>
          <w:lang w:val="ru-RU"/>
        </w:rPr>
        <w:t>Заменить</w:t>
      </w:r>
      <w:r>
        <w:rPr>
          <w:lang w:val="ru-RU"/>
        </w:rPr>
        <w:t xml:space="preserve"> существующий текст следующим:</w:t>
      </w:r>
    </w:p>
    <w:p w:rsidR="002E6175" w:rsidRPr="006B685C" w:rsidRDefault="002E6175" w:rsidP="002E6175">
      <w:pPr>
        <w:pStyle w:val="SingleTxtG"/>
        <w:ind w:left="1701"/>
        <w:rPr>
          <w:lang w:val="ru-RU"/>
        </w:rPr>
      </w:pPr>
      <w:bookmarkStart w:id="6" w:name="_Hlk516042602"/>
      <w:r>
        <w:rPr>
          <w:lang w:val="ru-RU"/>
        </w:rPr>
        <w:t>«Если транспортное средство имеет двигатель внутреннего сгорания, работающий на легковоспламеняющейся жидкости и воспламеняющемся газе, оно должно быть отнесено к № ООН 3166 СРЕДСТВО ТРАНСПОРТНОЕ, РАБОТАЮЩЕЕ НА ВОСПЛАМЕНЯЮЩЕМСЯ ГАЗЕ».</w:t>
      </w:r>
      <w:bookmarkEnd w:id="6"/>
    </w:p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lastRenderedPageBreak/>
        <w:tab/>
        <w:t>11.</w:t>
      </w:r>
      <w:r>
        <w:rPr>
          <w:lang w:val="ru-RU"/>
        </w:rPr>
        <w:tab/>
      </w:r>
      <w:r>
        <w:rPr>
          <w:bCs/>
          <w:lang w:val="ru-RU"/>
        </w:rPr>
        <w:t xml:space="preserve">Глава 3.3, новое специальное положение 392, подпункт </w:t>
      </w:r>
      <w:r w:rsidRPr="003D1FA4">
        <w:rPr>
          <w:bCs/>
          <w:lang w:val="ru-RU"/>
        </w:rPr>
        <w:t>a</w:t>
      </w:r>
      <w:bookmarkStart w:id="7" w:name="_Hlk515971069"/>
      <w:r w:rsidR="003D1FA4" w:rsidRPr="003D1FA4">
        <w:rPr>
          <w:bCs/>
          <w:lang w:val="ru-RU"/>
        </w:rPr>
        <w:t>)</w:t>
      </w:r>
      <w:r>
        <w:rPr>
          <w:bCs/>
          <w:lang w:val="ru-RU"/>
        </w:rPr>
        <w:t>, таблица, предпоследняя строка, вторая колонка</w:t>
      </w:r>
    </w:p>
    <w:p w:rsidR="002E6175" w:rsidRPr="006B685C" w:rsidRDefault="002E6175" w:rsidP="002E6175">
      <w:pPr>
        <w:pStyle w:val="SingleTxtG"/>
        <w:rPr>
          <w:lang w:val="ru-RU"/>
        </w:rPr>
      </w:pPr>
      <w:r w:rsidRPr="002E6175">
        <w:rPr>
          <w:i/>
          <w:lang w:val="ru-RU"/>
        </w:rPr>
        <w:t>Вместо</w:t>
      </w:r>
      <w:r>
        <w:rPr>
          <w:lang w:val="ru-RU"/>
        </w:rPr>
        <w:t xml:space="preserve"> «Правила ЕЭК № 134 (транспортные средства, работающие на водороде и топливных элементах (ТСВТЭ))» </w:t>
      </w:r>
      <w:r w:rsidRPr="002E6175">
        <w:rPr>
          <w:i/>
          <w:lang w:val="ru-RU"/>
        </w:rPr>
        <w:t>читать</w:t>
      </w:r>
      <w:r>
        <w:rPr>
          <w:lang w:val="ru-RU"/>
        </w:rPr>
        <w:t xml:space="preserve"> «Единообразные предписания, касающиеся официального утверждения автотранспортных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средств, работающих на водороде».</w:t>
      </w:r>
    </w:p>
    <w:bookmarkEnd w:id="7"/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12.</w:t>
      </w:r>
      <w:r>
        <w:rPr>
          <w:lang w:val="ru-RU"/>
        </w:rPr>
        <w:tab/>
      </w:r>
      <w:r>
        <w:rPr>
          <w:bCs/>
          <w:lang w:val="ru-RU"/>
        </w:rPr>
        <w:t>Глава 3.3, новое специальное положение 392, подпункт b</w:t>
      </w:r>
      <w:r w:rsidR="003D1FA4" w:rsidRPr="003D1FA4">
        <w:rPr>
          <w:bCs/>
          <w:lang w:val="ru-RU"/>
        </w:rPr>
        <w:t>)</w:t>
      </w:r>
      <w:r>
        <w:rPr>
          <w:bCs/>
          <w:lang w:val="ru-RU"/>
        </w:rPr>
        <w:t>, примечание 1</w:t>
      </w:r>
    </w:p>
    <w:p w:rsidR="002E6175" w:rsidRPr="006B685C" w:rsidRDefault="002E6175" w:rsidP="002E6175">
      <w:pPr>
        <w:pStyle w:val="SingleTxtG"/>
        <w:rPr>
          <w:lang w:val="ru-RU"/>
        </w:rPr>
      </w:pPr>
      <w:r w:rsidRPr="002E6175">
        <w:rPr>
          <w:i/>
          <w:lang w:val="ru-RU"/>
        </w:rPr>
        <w:t>Вместо</w:t>
      </w:r>
      <w:r>
        <w:rPr>
          <w:lang w:val="ru-RU"/>
        </w:rPr>
        <w:t xml:space="preserve"> «Стандарт ISO 11623:2015 Переносные газовые баллоны </w:t>
      </w:r>
      <w:r w:rsidR="00DB5C07" w:rsidRPr="00DB5C07">
        <w:rPr>
          <w:lang w:val="ru-RU"/>
        </w:rPr>
        <w:t>–</w:t>
      </w:r>
      <w:r>
        <w:rPr>
          <w:lang w:val="ru-RU"/>
        </w:rPr>
        <w:t xml:space="preserve"> Периодические проверки и испытания газовых баллонов из композитных материалов» </w:t>
      </w:r>
      <w:r w:rsidRPr="002E6175">
        <w:rPr>
          <w:i/>
          <w:lang w:val="ru-RU"/>
        </w:rPr>
        <w:t>читать</w:t>
      </w:r>
      <w:r>
        <w:rPr>
          <w:lang w:val="ru-RU"/>
        </w:rPr>
        <w:t xml:space="preserve"> «Стандарт ISO 11623:2015 Переносные газовые баллоны</w:t>
      </w:r>
      <w:r w:rsidR="00DB5C07">
        <w:rPr>
          <w:lang w:val="ru-RU"/>
        </w:rPr>
        <w:t> –</w:t>
      </w:r>
      <w:r>
        <w:rPr>
          <w:lang w:val="ru-RU"/>
        </w:rPr>
        <w:t xml:space="preserve"> Композитная конструкция</w:t>
      </w:r>
      <w:r w:rsidR="00DB5C07">
        <w:rPr>
          <w:lang w:val="ru-RU"/>
        </w:rPr>
        <w:t> </w:t>
      </w:r>
      <w:r w:rsidR="00DB5C07" w:rsidRPr="00DB5C07">
        <w:rPr>
          <w:lang w:val="ru-RU"/>
        </w:rPr>
        <w:t>–</w:t>
      </w:r>
      <w:r>
        <w:rPr>
          <w:lang w:val="ru-RU"/>
        </w:rPr>
        <w:t xml:space="preserve"> Периодические проверки и испытания</w:t>
      </w:r>
      <w:bookmarkStart w:id="8" w:name="_Hlk516042877"/>
      <w:bookmarkEnd w:id="8"/>
      <w:r>
        <w:rPr>
          <w:lang w:val="ru-RU"/>
        </w:rPr>
        <w:t>».</w:t>
      </w:r>
    </w:p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13.</w:t>
      </w:r>
      <w:r>
        <w:rPr>
          <w:lang w:val="ru-RU"/>
        </w:rPr>
        <w:tab/>
      </w:r>
      <w:r>
        <w:rPr>
          <w:bCs/>
          <w:lang w:val="ru-RU"/>
        </w:rPr>
        <w:t>Глава 3.3, новое специальное положение 392, примеры 1 и 2 в конце</w:t>
      </w:r>
    </w:p>
    <w:p w:rsidR="002E6175" w:rsidRPr="006B685C" w:rsidRDefault="002E6175" w:rsidP="002E6175">
      <w:pPr>
        <w:pStyle w:val="SingleTxtG"/>
        <w:rPr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14.</w:t>
      </w:r>
      <w:r>
        <w:rPr>
          <w:lang w:val="ru-RU"/>
        </w:rPr>
        <w:tab/>
      </w:r>
      <w:r>
        <w:rPr>
          <w:bCs/>
          <w:lang w:val="ru-RU"/>
        </w:rPr>
        <w:t>Глава 5.2, 5.2.2.2.2, таблица, графа для образца знака № 2.1, колонка «Подкласс или категория»</w:t>
      </w:r>
    </w:p>
    <w:p w:rsidR="002E6175" w:rsidRPr="006B685C" w:rsidRDefault="002E6175" w:rsidP="002E6175">
      <w:pPr>
        <w:pStyle w:val="SingleTxtG"/>
        <w:rPr>
          <w:lang w:val="ru-RU"/>
        </w:rPr>
      </w:pPr>
      <w:r w:rsidRPr="002E6175">
        <w:rPr>
          <w:i/>
          <w:iCs/>
          <w:lang w:val="ru-RU"/>
        </w:rPr>
        <w:t>Исключить</w:t>
      </w:r>
      <w:r>
        <w:rPr>
          <w:lang w:val="ru-RU"/>
        </w:rPr>
        <w:t xml:space="preserve"> «(за исключением случаев, предусмотренных в пункте 5.2.2.2.1.6</w:t>
      </w:r>
      <w:r w:rsidR="00DB5C07" w:rsidRPr="00DB5C07">
        <w:rPr>
          <w:lang w:val="ru-RU"/>
        </w:rPr>
        <w:t xml:space="preserve"> </w:t>
      </w:r>
      <w:r>
        <w:rPr>
          <w:lang w:val="ru-RU"/>
        </w:rPr>
        <w:t>d</w:t>
      </w:r>
      <w:r w:rsidR="00DB5C07" w:rsidRPr="00DB5C07">
        <w:rPr>
          <w:lang w:val="ru-RU"/>
        </w:rPr>
        <w:t>)</w:t>
      </w:r>
      <w:r>
        <w:rPr>
          <w:lang w:val="ru-RU"/>
        </w:rPr>
        <w:t>)».</w:t>
      </w:r>
    </w:p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15.</w:t>
      </w:r>
      <w:r>
        <w:rPr>
          <w:lang w:val="ru-RU"/>
        </w:rPr>
        <w:tab/>
      </w:r>
      <w:r>
        <w:rPr>
          <w:bCs/>
          <w:lang w:val="ru-RU"/>
        </w:rPr>
        <w:t>Глава 5.2, 5.2.2.2.2, таблица, графа для образца знака № 2.1, колонки «Символ и цвет символа» и «Цифра в нижнем углу (и цвет цифры)», в конце</w:t>
      </w:r>
    </w:p>
    <w:p w:rsidR="002E6175" w:rsidRPr="006B685C" w:rsidRDefault="002E6175" w:rsidP="002E6175">
      <w:pPr>
        <w:pStyle w:val="SingleTxtG"/>
        <w:rPr>
          <w:lang w:val="ru-RU"/>
        </w:rPr>
      </w:pPr>
      <w:r w:rsidRPr="002E6175">
        <w:rPr>
          <w:i/>
          <w:iCs/>
          <w:lang w:val="ru-RU"/>
        </w:rPr>
        <w:t>Включить</w:t>
      </w:r>
      <w:r w:rsidRPr="00AB4CCC">
        <w:rPr>
          <w:i/>
          <w:iCs/>
          <w:lang w:val="ru-RU"/>
        </w:rPr>
        <w:t xml:space="preserve"> </w:t>
      </w:r>
      <w:r w:rsidRPr="00023D1E">
        <w:rPr>
          <w:iCs/>
          <w:lang w:val="ru-RU"/>
        </w:rPr>
        <w:t>«</w:t>
      </w:r>
      <w:r>
        <w:rPr>
          <w:lang w:val="ru-RU"/>
        </w:rPr>
        <w:t>(за исключением случаев, предусмотренных в пункте 5.2.2.2.1.6d)».</w:t>
      </w:r>
    </w:p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16.</w:t>
      </w:r>
      <w:r>
        <w:rPr>
          <w:lang w:val="ru-RU"/>
        </w:rPr>
        <w:tab/>
      </w:r>
      <w:r>
        <w:rPr>
          <w:bCs/>
          <w:lang w:val="ru-RU"/>
        </w:rPr>
        <w:t>Глава 5.2, 5.2.2.2.2, таблица, строка «Опасность класса 4.1»</w:t>
      </w:r>
    </w:p>
    <w:p w:rsidR="002E6175" w:rsidRPr="006B685C" w:rsidRDefault="002E6175" w:rsidP="002E6175">
      <w:pPr>
        <w:pStyle w:val="SingleTxtG"/>
        <w:rPr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2E6175" w:rsidRPr="006B685C" w:rsidRDefault="002E6175" w:rsidP="002E6175">
      <w:pPr>
        <w:pStyle w:val="H23G"/>
        <w:tabs>
          <w:tab w:val="left" w:pos="2268"/>
        </w:tabs>
        <w:rPr>
          <w:lang w:val="ru-RU"/>
        </w:rPr>
      </w:pPr>
      <w:r>
        <w:rPr>
          <w:lang w:val="ru-RU"/>
        </w:rPr>
        <w:tab/>
        <w:t>17.</w:t>
      </w:r>
      <w:r>
        <w:rPr>
          <w:lang w:val="ru-RU"/>
        </w:rPr>
        <w:tab/>
      </w:r>
      <w:r>
        <w:rPr>
          <w:bCs/>
          <w:lang w:val="ru-RU"/>
        </w:rPr>
        <w:t>Глава 5.3, поправка к пункту 5.3.1.2</w:t>
      </w:r>
    </w:p>
    <w:p w:rsidR="002E6175" w:rsidRPr="006B685C" w:rsidRDefault="002E6175" w:rsidP="002E6175">
      <w:pPr>
        <w:pStyle w:val="SingleTxtG"/>
        <w:rPr>
          <w:lang w:val="ru-RU"/>
        </w:rPr>
      </w:pPr>
      <w:r>
        <w:rPr>
          <w:lang w:val="ru-RU"/>
        </w:rPr>
        <w:t xml:space="preserve">В существующий текст </w:t>
      </w:r>
      <w:r w:rsidRPr="002E6175">
        <w:rPr>
          <w:i/>
          <w:lang w:val="ru-RU"/>
        </w:rPr>
        <w:t>внести следующие изменения</w:t>
      </w:r>
      <w:r>
        <w:rPr>
          <w:lang w:val="ru-RU"/>
        </w:rPr>
        <w:t>:</w:t>
      </w:r>
    </w:p>
    <w:p w:rsidR="002E6175" w:rsidRPr="006B685C" w:rsidRDefault="002E6175" w:rsidP="002E6175">
      <w:pPr>
        <w:pStyle w:val="SingleTxtG"/>
        <w:tabs>
          <w:tab w:val="left" w:pos="2552"/>
        </w:tabs>
        <w:ind w:left="1701"/>
        <w:rPr>
          <w:lang w:val="ru-RU"/>
        </w:rPr>
      </w:pPr>
      <w:r>
        <w:rPr>
          <w:lang w:val="ru-RU"/>
        </w:rPr>
        <w:t>5.3.1.2</w:t>
      </w:r>
      <w:r>
        <w:rPr>
          <w:lang w:val="ru-RU"/>
        </w:rPr>
        <w:tab/>
        <w:t>В заголовке после «контейнерах,» включить «контейнерах для массовых грузов,».</w:t>
      </w:r>
    </w:p>
    <w:p w:rsidR="002E6175" w:rsidRPr="006B685C" w:rsidRDefault="002E6175" w:rsidP="002E6175">
      <w:pPr>
        <w:pStyle w:val="SingleTxtG"/>
        <w:tabs>
          <w:tab w:val="left" w:pos="2552"/>
        </w:tabs>
        <w:ind w:left="1701"/>
        <w:rPr>
          <w:lang w:val="ru-RU"/>
        </w:rPr>
      </w:pPr>
      <w:r>
        <w:rPr>
          <w:lang w:val="ru-RU"/>
        </w:rPr>
        <w:t>5.3.1.2</w:t>
      </w:r>
      <w:r>
        <w:rPr>
          <w:lang w:val="ru-RU"/>
        </w:rPr>
        <w:tab/>
        <w:t>Изменить первый абзац после примечания следующим образом:</w:t>
      </w:r>
    </w:p>
    <w:p w:rsidR="002E6175" w:rsidRPr="006B685C" w:rsidRDefault="002E6175" w:rsidP="002E6175">
      <w:pPr>
        <w:pStyle w:val="SingleTxtG"/>
        <w:ind w:left="1701"/>
        <w:rPr>
          <w:lang w:val="ru-RU"/>
        </w:rPr>
      </w:pPr>
      <w:r>
        <w:rPr>
          <w:lang w:val="ru-RU"/>
        </w:rPr>
        <w:t>«Большие знаки опасности должны размещаться на обеих боковых сторонах и на каждой торцевой стороне контейнера, контейнера для массовых грузов, МЭГК, контейнера-цистерны или переносной цистерны и на двух противоположных сторонах в случае мягких контейнеров для массовых грузов».</w:t>
      </w:r>
      <w:bookmarkStart w:id="9" w:name="_Hlk516043871"/>
      <w:bookmarkEnd w:id="9"/>
    </w:p>
    <w:p w:rsidR="002E6175" w:rsidRPr="006B685C" w:rsidRDefault="002E6175" w:rsidP="002E6175">
      <w:pPr>
        <w:pStyle w:val="H23G"/>
        <w:rPr>
          <w:rFonts w:asciiTheme="majorBidi" w:hAnsiTheme="majorBidi" w:cstheme="majorBidi"/>
          <w:lang w:val="ru-RU"/>
        </w:rPr>
      </w:pPr>
      <w:r>
        <w:rPr>
          <w:lang w:val="ru-RU"/>
        </w:rPr>
        <w:tab/>
        <w:t>18.</w:t>
      </w:r>
      <w:r>
        <w:rPr>
          <w:lang w:val="ru-RU"/>
        </w:rPr>
        <w:tab/>
      </w:r>
      <w:r>
        <w:rPr>
          <w:bCs/>
          <w:lang w:val="ru-RU"/>
        </w:rPr>
        <w:t>Глава 7.2, поправка к пункту 7.2.3.7.1.2, в конце</w:t>
      </w:r>
    </w:p>
    <w:p w:rsidR="002E6175" w:rsidRPr="00CA1D4F" w:rsidRDefault="002E6175" w:rsidP="002E6175">
      <w:pPr>
        <w:pStyle w:val="SingleTxtG"/>
        <w:rPr>
          <w:lang w:val="ru-RU"/>
        </w:rPr>
      </w:pPr>
      <w:r w:rsidRPr="002E6175">
        <w:rPr>
          <w:i/>
          <w:iCs/>
          <w:lang w:val="ru-RU"/>
        </w:rPr>
        <w:t>Включить</w:t>
      </w:r>
      <w:r>
        <w:rPr>
          <w:lang w:val="ru-RU"/>
        </w:rPr>
        <w:t>:</w:t>
      </w:r>
      <w:r w:rsidRPr="00CA1D4F">
        <w:rPr>
          <w:lang w:val="ru-RU"/>
        </w:rPr>
        <w:t xml:space="preserve"> </w:t>
      </w:r>
    </w:p>
    <w:p w:rsidR="002E6175" w:rsidRPr="006B685C" w:rsidRDefault="002E6175" w:rsidP="002E6175">
      <w:pPr>
        <w:pStyle w:val="Bullet1GR"/>
        <w:rPr>
          <w:color w:val="000000"/>
        </w:rPr>
      </w:pPr>
      <w:r>
        <w:t>все выходящие наружу входы или отверстия помещений закрыты; это требование не применяется к отверстиям для подачи воздуха в машинное отделение и к системам вентиляции, работающим при повышенном давлении;</w:t>
      </w:r>
    </w:p>
    <w:p w:rsidR="002E6175" w:rsidRPr="006B685C" w:rsidRDefault="002E6175" w:rsidP="002E6175">
      <w:pPr>
        <w:pStyle w:val="Bullet1GR"/>
        <w:rPr>
          <w:color w:val="000000"/>
        </w:rPr>
      </w:pPr>
      <w:r>
        <w:t>каждый член экипажа, работающий на палубе, имеет соответствующее защитное снаряжение;</w:t>
      </w:r>
    </w:p>
    <w:p w:rsidR="002E6175" w:rsidRPr="002E6175" w:rsidRDefault="002E6175" w:rsidP="002E6175">
      <w:pPr>
        <w:pStyle w:val="Bullet1GR"/>
        <w:rPr>
          <w:color w:val="000000"/>
        </w:rPr>
      </w:pPr>
      <w:r w:rsidRPr="001179D4">
        <w:t xml:space="preserve">дегазация </w:t>
      </w:r>
      <w:r>
        <w:t>не осуществляется в шлюзовых зонах, включая места отстоя судов, под мостами или в густонаселенных районах.</w:t>
      </w:r>
    </w:p>
    <w:p w:rsidR="002E6175" w:rsidRPr="006B685C" w:rsidRDefault="002E6175" w:rsidP="008C2F4C">
      <w:pPr>
        <w:pStyle w:val="H23G"/>
        <w:pageBreakBefore/>
        <w:rPr>
          <w:lang w:val="ru-RU"/>
        </w:rPr>
      </w:pPr>
      <w:r>
        <w:rPr>
          <w:lang w:val="ru-RU"/>
        </w:rPr>
        <w:lastRenderedPageBreak/>
        <w:tab/>
        <w:t>19.</w:t>
      </w:r>
      <w:r>
        <w:rPr>
          <w:lang w:val="ru-RU"/>
        </w:rPr>
        <w:tab/>
      </w:r>
      <w:r>
        <w:rPr>
          <w:bCs/>
          <w:lang w:val="ru-RU"/>
        </w:rPr>
        <w:t>Часть 9, сноска 2, все случаи</w:t>
      </w:r>
    </w:p>
    <w:p w:rsidR="002E6175" w:rsidRPr="006B685C" w:rsidRDefault="002E6175" w:rsidP="002E6175">
      <w:pPr>
        <w:pStyle w:val="SingleTxtG"/>
        <w:rPr>
          <w:i/>
          <w:iCs/>
          <w:lang w:val="ru-RU"/>
        </w:rPr>
      </w:pPr>
      <w:r w:rsidRPr="002E6175">
        <w:rPr>
          <w:i/>
          <w:lang w:val="ru-RU"/>
        </w:rPr>
        <w:t>Вместо</w:t>
      </w:r>
      <w:r>
        <w:rPr>
          <w:lang w:val="ru-RU"/>
        </w:rPr>
        <w:t xml:space="preserve"> «29 августа 2008 года» </w:t>
      </w:r>
      <w:r w:rsidRPr="002E6175">
        <w:rPr>
          <w:i/>
          <w:lang w:val="ru-RU"/>
        </w:rPr>
        <w:t>читать</w:t>
      </w:r>
      <w:r>
        <w:rPr>
          <w:lang w:val="ru-RU"/>
        </w:rPr>
        <w:t xml:space="preserve"> «4 июня 2008 года».</w:t>
      </w:r>
    </w:p>
    <w:p w:rsidR="002E6175" w:rsidRPr="006B685C" w:rsidRDefault="002E6175" w:rsidP="002E6175">
      <w:pPr>
        <w:pStyle w:val="H23G"/>
        <w:rPr>
          <w:lang w:val="ru-RU"/>
        </w:rPr>
      </w:pPr>
      <w:r>
        <w:rPr>
          <w:lang w:val="ru-RU"/>
        </w:rPr>
        <w:tab/>
        <w:t>20.</w:t>
      </w:r>
      <w:r>
        <w:rPr>
          <w:lang w:val="ru-RU"/>
        </w:rPr>
        <w:tab/>
      </w:r>
      <w:r>
        <w:rPr>
          <w:bCs/>
          <w:lang w:val="ru-RU"/>
        </w:rPr>
        <w:t>Глава 9.3, 9.3.3.22.4</w:t>
      </w:r>
      <w:r w:rsidR="008C2F4C">
        <w:rPr>
          <w:bCs/>
          <w:lang w:val="en-US"/>
        </w:rPr>
        <w:t xml:space="preserve"> </w:t>
      </w:r>
      <w:r>
        <w:rPr>
          <w:bCs/>
          <w:lang w:val="ru-RU"/>
        </w:rPr>
        <w:t>d</w:t>
      </w:r>
      <w:r w:rsidR="008C2F4C">
        <w:rPr>
          <w:bCs/>
          <w:lang w:val="en-US"/>
        </w:rPr>
        <w:t>)</w:t>
      </w:r>
      <w:r>
        <w:rPr>
          <w:bCs/>
          <w:lang w:val="ru-RU"/>
        </w:rPr>
        <w:t>, последний абзац</w:t>
      </w:r>
    </w:p>
    <w:p w:rsidR="00E12C5F" w:rsidRDefault="002E6175" w:rsidP="002E6175">
      <w:pPr>
        <w:pStyle w:val="SingleTxtGR"/>
      </w:pPr>
      <w:r>
        <w:t>Данное исправление не касается текста на русском языке.</w:t>
      </w:r>
    </w:p>
    <w:p w:rsidR="002E6175" w:rsidRPr="002E6175" w:rsidRDefault="002E6175" w:rsidP="002E617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6175" w:rsidRPr="002E6175" w:rsidSect="002E61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AB" w:rsidRPr="00A312BC" w:rsidRDefault="002703AB" w:rsidP="00A312BC"/>
  </w:endnote>
  <w:endnote w:type="continuationSeparator" w:id="0">
    <w:p w:rsidR="002703AB" w:rsidRPr="00A312BC" w:rsidRDefault="002703A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75" w:rsidRPr="002E6175" w:rsidRDefault="002E6175">
    <w:pPr>
      <w:pStyle w:val="Footer"/>
    </w:pPr>
    <w:r w:rsidRPr="002E6175">
      <w:rPr>
        <w:b/>
        <w:sz w:val="18"/>
      </w:rPr>
      <w:fldChar w:fldCharType="begin"/>
    </w:r>
    <w:r w:rsidRPr="002E6175">
      <w:rPr>
        <w:b/>
        <w:sz w:val="18"/>
      </w:rPr>
      <w:instrText xml:space="preserve"> PAGE  \* MERGEFORMAT </w:instrText>
    </w:r>
    <w:r w:rsidRPr="002E6175">
      <w:rPr>
        <w:b/>
        <w:sz w:val="18"/>
      </w:rPr>
      <w:fldChar w:fldCharType="separate"/>
    </w:r>
    <w:r w:rsidR="00004A73">
      <w:rPr>
        <w:b/>
        <w:noProof/>
        <w:sz w:val="18"/>
      </w:rPr>
      <w:t>2</w:t>
    </w:r>
    <w:r w:rsidRPr="002E6175">
      <w:rPr>
        <w:b/>
        <w:sz w:val="18"/>
      </w:rPr>
      <w:fldChar w:fldCharType="end"/>
    </w:r>
    <w:r>
      <w:rPr>
        <w:b/>
        <w:sz w:val="18"/>
      </w:rPr>
      <w:tab/>
    </w:r>
    <w:r>
      <w:t>GE.18-09818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75" w:rsidRPr="002E6175" w:rsidRDefault="002E6175" w:rsidP="002E6175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GE.18-09818</w:t>
    </w:r>
    <w:r>
      <w:tab/>
    </w:r>
    <w:r w:rsidRPr="002E6175">
      <w:rPr>
        <w:b/>
        <w:sz w:val="18"/>
      </w:rPr>
      <w:fldChar w:fldCharType="begin"/>
    </w:r>
    <w:r w:rsidRPr="002E6175">
      <w:rPr>
        <w:b/>
        <w:sz w:val="18"/>
      </w:rPr>
      <w:instrText xml:space="preserve"> PAGE  \* MERGEFORMAT </w:instrText>
    </w:r>
    <w:r w:rsidRPr="002E6175">
      <w:rPr>
        <w:b/>
        <w:sz w:val="18"/>
      </w:rPr>
      <w:fldChar w:fldCharType="separate"/>
    </w:r>
    <w:r w:rsidR="00004A73">
      <w:rPr>
        <w:b/>
        <w:noProof/>
        <w:sz w:val="18"/>
      </w:rPr>
      <w:t>3</w:t>
    </w:r>
    <w:r w:rsidRPr="002E61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E6175" w:rsidRDefault="002E6175" w:rsidP="002E617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18-09818  (R)</w:t>
    </w:r>
    <w:r>
      <w:rPr>
        <w:lang w:val="en-US"/>
      </w:rPr>
      <w:t xml:space="preserve">  190618  200618</w:t>
    </w:r>
    <w:r>
      <w:br/>
    </w:r>
    <w:r w:rsidRPr="002E6175">
      <w:rPr>
        <w:rFonts w:ascii="C39T30Lfz" w:hAnsi="C39T30Lfz"/>
        <w:kern w:val="14"/>
        <w:sz w:val="56"/>
      </w:rPr>
      <w:t></w:t>
    </w:r>
    <w:r w:rsidRPr="002E6175">
      <w:rPr>
        <w:rFonts w:ascii="C39T30Lfz" w:hAnsi="C39T30Lfz"/>
        <w:kern w:val="14"/>
        <w:sz w:val="56"/>
      </w:rPr>
      <w:t></w:t>
    </w:r>
    <w:r w:rsidRPr="002E6175">
      <w:rPr>
        <w:rFonts w:ascii="C39T30Lfz" w:hAnsi="C39T30Lfz"/>
        <w:kern w:val="14"/>
        <w:sz w:val="56"/>
      </w:rPr>
      <w:t></w:t>
    </w:r>
    <w:r w:rsidRPr="002E6175">
      <w:rPr>
        <w:rFonts w:ascii="C39T30Lfz" w:hAnsi="C39T30Lfz"/>
        <w:kern w:val="14"/>
        <w:sz w:val="56"/>
      </w:rPr>
      <w:t></w:t>
    </w:r>
    <w:r w:rsidRPr="002E6175">
      <w:rPr>
        <w:rFonts w:ascii="C39T30Lfz" w:hAnsi="C39T30Lfz"/>
        <w:kern w:val="14"/>
        <w:sz w:val="56"/>
      </w:rPr>
      <w:t></w:t>
    </w:r>
    <w:r w:rsidRPr="002E6175">
      <w:rPr>
        <w:rFonts w:ascii="C39T30Lfz" w:hAnsi="C39T30Lfz"/>
        <w:kern w:val="14"/>
        <w:sz w:val="56"/>
      </w:rPr>
      <w:t></w:t>
    </w:r>
    <w:r w:rsidRPr="002E6175">
      <w:rPr>
        <w:rFonts w:ascii="C39T30Lfz" w:hAnsi="C39T30Lfz"/>
        <w:kern w:val="14"/>
        <w:sz w:val="56"/>
      </w:rPr>
      <w:t></w:t>
    </w:r>
    <w:r w:rsidRPr="002E6175">
      <w:rPr>
        <w:rFonts w:ascii="C39T30Lfz" w:hAnsi="C39T30Lfz"/>
        <w:kern w:val="14"/>
        <w:sz w:val="56"/>
      </w:rPr>
      <w:t></w:t>
    </w:r>
    <w:r w:rsidRPr="002E617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AB" w:rsidRPr="001075E9" w:rsidRDefault="002703A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03AB" w:rsidRDefault="002703A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E6175" w:rsidRPr="006B685C" w:rsidRDefault="002E6175" w:rsidP="002E6175">
      <w:pPr>
        <w:pStyle w:val="FootnoteText"/>
      </w:pPr>
      <w:r>
        <w:tab/>
      </w:r>
      <w:r w:rsidRPr="002E6175">
        <w:rPr>
          <w:sz w:val="20"/>
        </w:rPr>
        <w:t>*</w:t>
      </w:r>
      <w:r>
        <w:t xml:space="preserve"> 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CCNR/ZKR/ADN/WP.15/AC.2/2018/25.</w:t>
      </w:r>
    </w:p>
  </w:footnote>
  <w:footnote w:id="2">
    <w:p w:rsidR="002E6175" w:rsidRPr="006B685C" w:rsidRDefault="002E6175" w:rsidP="002E6175">
      <w:pPr>
        <w:pStyle w:val="FootnoteText"/>
      </w:pPr>
      <w:r>
        <w:tab/>
      </w:r>
      <w:r w:rsidRPr="002E6175">
        <w:rPr>
          <w:sz w:val="20"/>
        </w:rPr>
        <w:t>**</w:t>
      </w:r>
      <w:r>
        <w:t xml:space="preserve"> </w:t>
      </w:r>
      <w:r>
        <w:tab/>
        <w:t xml:space="preserve">В соответствии с программой работы Комитета по внутреннему транспорту </w:t>
      </w:r>
      <w:r>
        <w:br/>
        <w:t>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75" w:rsidRPr="002E6175" w:rsidRDefault="00004A7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25C41">
      <w:t>ECE/TRANS/WP.15/AC.2/2018/25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75" w:rsidRPr="002E6175" w:rsidRDefault="00004A73" w:rsidP="002E617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25C41">
      <w:t>ECE/TRANS/WP.15/AC.2/2018/25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lvl w:ilvl="0" w:tplc="80442CEC">
        <w:start w:val="1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AB"/>
    <w:rsid w:val="00004A7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03AB"/>
    <w:rsid w:val="0027151D"/>
    <w:rsid w:val="002A2EFC"/>
    <w:rsid w:val="002B0106"/>
    <w:rsid w:val="002B74B1"/>
    <w:rsid w:val="002C0E18"/>
    <w:rsid w:val="002D5AAC"/>
    <w:rsid w:val="002E5067"/>
    <w:rsid w:val="002E6175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1FA4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5C4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3D46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2F4C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B5C0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1CA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32DC19-16AC-490F-95F7-459D4D96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2E617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rsid w:val="002E617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CH"/>
    </w:rPr>
  </w:style>
  <w:style w:type="paragraph" w:customStyle="1" w:styleId="H23G">
    <w:name w:val="_ H_2/3_G"/>
    <w:basedOn w:val="Normal"/>
    <w:next w:val="Normal"/>
    <w:link w:val="H23GChar"/>
    <w:qFormat/>
    <w:rsid w:val="002E61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2E6175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paragraph" w:customStyle="1" w:styleId="SMG">
    <w:name w:val="__S_M_G"/>
    <w:basedOn w:val="Normal"/>
    <w:next w:val="Normal"/>
    <w:rsid w:val="002E617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fr-CH"/>
    </w:rPr>
  </w:style>
  <w:style w:type="character" w:customStyle="1" w:styleId="H1GChar">
    <w:name w:val="_ H_1_G Char"/>
    <w:link w:val="H1G"/>
    <w:rsid w:val="002E6175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2E6175"/>
    <w:rPr>
      <w:b/>
      <w:lang w:val="fr-CH" w:eastAsia="en-US"/>
    </w:rPr>
  </w:style>
  <w:style w:type="character" w:customStyle="1" w:styleId="SingleTxtGChar">
    <w:name w:val="_ Single Txt_G Char"/>
    <w:link w:val="SingleTxtG"/>
    <w:qFormat/>
    <w:rsid w:val="002E6175"/>
    <w:rPr>
      <w:lang w:val="fr-CH" w:eastAsia="en-US"/>
    </w:rPr>
  </w:style>
  <w:style w:type="character" w:customStyle="1" w:styleId="HChGChar">
    <w:name w:val="_ H _Ch_G Char"/>
    <w:link w:val="HChG"/>
    <w:locked/>
    <w:rsid w:val="002E6175"/>
    <w:rPr>
      <w:b/>
      <w:sz w:val="28"/>
      <w:lang w:val="fr-CH" w:eastAsia="en-US"/>
    </w:rPr>
  </w:style>
  <w:style w:type="paragraph" w:styleId="ListParagraph">
    <w:name w:val="List Paragraph"/>
    <w:basedOn w:val="Normal"/>
    <w:uiPriority w:val="34"/>
    <w:qFormat/>
    <w:rsid w:val="002E6175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ECE/TRANS/WP.15/AC.2/2018/25</vt:lpstr>
      <vt:lpstr>ECE/TRANS/WP.15/AC.2/2018/25</vt:lpstr>
      <vt:lpstr>A/</vt:lpstr>
    </vt:vector>
  </TitlesOfParts>
  <Company>DCM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ECE/TRANS/WP.15/AC.2/2018/25</dc:title>
  <dc:subject/>
  <dc:creator>Elena IZOTOVA</dc:creator>
  <cp:keywords/>
  <cp:lastModifiedBy>Caillot</cp:lastModifiedBy>
  <cp:revision>2</cp:revision>
  <cp:lastPrinted>2018-06-20T06:50:00Z</cp:lastPrinted>
  <dcterms:created xsi:type="dcterms:W3CDTF">2018-07-23T15:00:00Z</dcterms:created>
  <dcterms:modified xsi:type="dcterms:W3CDTF">2018-07-23T15:00:00Z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