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0026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00263" w:rsidP="00B00263">
            <w:pPr>
              <w:jc w:val="right"/>
            </w:pPr>
            <w:r w:rsidRPr="00B00263">
              <w:rPr>
                <w:sz w:val="40"/>
              </w:rPr>
              <w:t>ECE</w:t>
            </w:r>
            <w:r>
              <w:t>/TRANS/WP.15/AC.2/2018/4</w:t>
            </w:r>
          </w:p>
        </w:tc>
      </w:tr>
      <w:tr w:rsidR="002D5AAC" w:rsidRPr="00B0026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00263" w:rsidP="00387CD4">
            <w:pPr>
              <w:spacing w:before="240"/>
              <w:rPr>
                <w:lang w:val="en-US"/>
              </w:rPr>
            </w:pPr>
            <w:r>
              <w:rPr>
                <w:lang w:val="en-US"/>
              </w:rPr>
              <w:t>Distr.: General</w:t>
            </w:r>
          </w:p>
          <w:p w:rsidR="00B00263" w:rsidRDefault="00B00263" w:rsidP="00B00263">
            <w:pPr>
              <w:spacing w:line="240" w:lineRule="exact"/>
              <w:rPr>
                <w:lang w:val="en-US"/>
              </w:rPr>
            </w:pPr>
            <w:r>
              <w:rPr>
                <w:lang w:val="en-US"/>
              </w:rPr>
              <w:t>20 October 2017</w:t>
            </w:r>
          </w:p>
          <w:p w:rsidR="00B00263" w:rsidRDefault="00B00263" w:rsidP="00B00263">
            <w:pPr>
              <w:spacing w:line="240" w:lineRule="exact"/>
              <w:rPr>
                <w:lang w:val="en-US"/>
              </w:rPr>
            </w:pPr>
            <w:r>
              <w:rPr>
                <w:lang w:val="en-US"/>
              </w:rPr>
              <w:t>Russian</w:t>
            </w:r>
          </w:p>
          <w:p w:rsidR="00B00263" w:rsidRPr="008D53B6" w:rsidRDefault="00B00263" w:rsidP="00B0026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00263" w:rsidRPr="00B00263" w:rsidRDefault="00B00263" w:rsidP="00B00263">
      <w:pPr>
        <w:pStyle w:val="SingleTxtGR"/>
        <w:spacing w:before="120"/>
        <w:ind w:left="0"/>
        <w:jc w:val="left"/>
        <w:rPr>
          <w:sz w:val="28"/>
          <w:szCs w:val="28"/>
        </w:rPr>
      </w:pPr>
      <w:r w:rsidRPr="00B00263">
        <w:rPr>
          <w:sz w:val="28"/>
          <w:szCs w:val="28"/>
        </w:rPr>
        <w:t>Комитет по внутреннему транспорту</w:t>
      </w:r>
    </w:p>
    <w:p w:rsidR="00B00263" w:rsidRPr="00B00263" w:rsidRDefault="00B00263" w:rsidP="00B00263">
      <w:pPr>
        <w:pStyle w:val="SingleTxtGR"/>
        <w:ind w:left="0"/>
        <w:jc w:val="left"/>
        <w:rPr>
          <w:b/>
          <w:sz w:val="24"/>
          <w:szCs w:val="24"/>
        </w:rPr>
      </w:pPr>
      <w:r w:rsidRPr="00B00263">
        <w:rPr>
          <w:b/>
          <w:sz w:val="24"/>
          <w:szCs w:val="24"/>
        </w:rPr>
        <w:t>Рабочая группа по перевозкам опасных грузов</w:t>
      </w:r>
    </w:p>
    <w:p w:rsidR="00B00263" w:rsidRPr="00B00263" w:rsidRDefault="00B00263" w:rsidP="00B00263">
      <w:pPr>
        <w:pStyle w:val="SingleTxtGR"/>
        <w:ind w:left="0"/>
        <w:jc w:val="left"/>
        <w:rPr>
          <w:b/>
        </w:rPr>
      </w:pPr>
      <w:r w:rsidRPr="00B00263">
        <w:rPr>
          <w:b/>
        </w:rPr>
        <w:t xml:space="preserve">Совместное совещание экспертов по Правилам, </w:t>
      </w:r>
      <w:r w:rsidRPr="00B00263">
        <w:rPr>
          <w:b/>
        </w:rPr>
        <w:br/>
        <w:t xml:space="preserve">прилагаемым к Европейскому соглашению </w:t>
      </w:r>
      <w:r w:rsidRPr="00B00263">
        <w:rPr>
          <w:b/>
        </w:rPr>
        <w:br/>
        <w:t xml:space="preserve">о международной перевозке опасных грузов </w:t>
      </w:r>
      <w:r w:rsidRPr="00B00263">
        <w:rPr>
          <w:b/>
        </w:rPr>
        <w:br/>
        <w:t xml:space="preserve">по внутренним водным путям (ВОПОГ) </w:t>
      </w:r>
      <w:r w:rsidRPr="00B00263">
        <w:rPr>
          <w:b/>
          <w:bCs/>
        </w:rPr>
        <w:br/>
      </w:r>
      <w:r w:rsidRPr="00B00263">
        <w:rPr>
          <w:b/>
        </w:rPr>
        <w:t>(Комитет по вопросам безопасности ВОПОГ)</w:t>
      </w:r>
    </w:p>
    <w:p w:rsidR="00B00263" w:rsidRPr="00B00263" w:rsidRDefault="00B00263" w:rsidP="00B00263">
      <w:pPr>
        <w:pStyle w:val="SingleTxtGR"/>
        <w:spacing w:after="0"/>
        <w:ind w:left="0"/>
        <w:jc w:val="left"/>
        <w:rPr>
          <w:b/>
        </w:rPr>
      </w:pPr>
      <w:r w:rsidRPr="00B00263">
        <w:rPr>
          <w:b/>
        </w:rPr>
        <w:t>Тридцать вторая сессия</w:t>
      </w:r>
    </w:p>
    <w:p w:rsidR="00B00263" w:rsidRPr="00B00263" w:rsidRDefault="00B00263" w:rsidP="00B00263">
      <w:pPr>
        <w:pStyle w:val="SingleTxtGR"/>
        <w:spacing w:after="0"/>
        <w:ind w:left="0"/>
        <w:jc w:val="left"/>
      </w:pPr>
      <w:r w:rsidRPr="00B00263">
        <w:t>Женева, 22–26 января 2018 года</w:t>
      </w:r>
    </w:p>
    <w:p w:rsidR="00B00263" w:rsidRPr="00B00263" w:rsidRDefault="00B00263" w:rsidP="00B00263">
      <w:pPr>
        <w:pStyle w:val="SingleTxtGR"/>
        <w:spacing w:after="0"/>
        <w:ind w:left="0"/>
        <w:jc w:val="left"/>
      </w:pPr>
      <w:r w:rsidRPr="00B00263">
        <w:t>Пункт 5 b) предварительной повестки дня</w:t>
      </w:r>
    </w:p>
    <w:p w:rsidR="00B00263" w:rsidRPr="00B00263" w:rsidRDefault="00B00263" w:rsidP="00B00263">
      <w:pPr>
        <w:pStyle w:val="SingleTxtGR"/>
        <w:spacing w:after="0"/>
        <w:ind w:left="0"/>
        <w:jc w:val="left"/>
        <w:rPr>
          <w:b/>
        </w:rPr>
      </w:pPr>
      <w:r w:rsidRPr="00B00263">
        <w:rPr>
          <w:b/>
        </w:rPr>
        <w:t xml:space="preserve">Предложения о внесении поправок в Правила, </w:t>
      </w:r>
      <w:r w:rsidRPr="00B00263">
        <w:rPr>
          <w:b/>
        </w:rPr>
        <w:br/>
        <w:t>прилагаемые к ВОПОГ: другие предложения</w:t>
      </w:r>
    </w:p>
    <w:p w:rsidR="00B00263" w:rsidRPr="00B00263" w:rsidRDefault="00B00263" w:rsidP="00B00263">
      <w:pPr>
        <w:pStyle w:val="HChGR"/>
      </w:pPr>
      <w:r w:rsidRPr="00B00263">
        <w:tab/>
      </w:r>
      <w:r w:rsidRPr="00B00263">
        <w:tab/>
        <w:t>Толкование пункта 7.1.4.4.3 ВОПОГ в отношении минимального расстояния для разделения мягких контейнеров для массовых грузов</w:t>
      </w:r>
    </w:p>
    <w:p w:rsidR="00B00263" w:rsidRPr="00B00263" w:rsidRDefault="00B00263" w:rsidP="00B00263">
      <w:pPr>
        <w:pStyle w:val="H1GR"/>
        <w:rPr>
          <w:bCs/>
          <w:vertAlign w:val="superscript"/>
        </w:rPr>
      </w:pPr>
      <w:r w:rsidRPr="00B00263">
        <w:tab/>
      </w:r>
      <w:r w:rsidRPr="00B00263">
        <w:tab/>
        <w:t>Передано Центральной комиссией судоходства по Рейну (ЦКСР)</w:t>
      </w:r>
      <w:r w:rsidRPr="00B00263">
        <w:rPr>
          <w:b w:val="0"/>
          <w:bCs/>
          <w:sz w:val="20"/>
        </w:rPr>
        <w:footnoteReference w:customMarkFollows="1" w:id="1"/>
        <w:t>*</w:t>
      </w:r>
      <w:r w:rsidRPr="00F477F9">
        <w:rPr>
          <w:b w:val="0"/>
          <w:bCs/>
          <w:sz w:val="20"/>
        </w:rPr>
        <w:t xml:space="preserve"> </w:t>
      </w:r>
      <w:r w:rsidRPr="00B00263">
        <w:rPr>
          <w:b w:val="0"/>
          <w:bCs/>
          <w:sz w:val="20"/>
        </w:rPr>
        <w:footnoteReference w:customMarkFollows="1" w:id="2"/>
        <w:t>**</w:t>
      </w:r>
    </w:p>
    <w:p w:rsidR="00B00263" w:rsidRPr="00B00263" w:rsidRDefault="00B00263" w:rsidP="00F477F9">
      <w:pPr>
        <w:pStyle w:val="HChGR"/>
      </w:pPr>
      <w:r w:rsidRPr="00B00263">
        <w:tab/>
        <w:t>I.</w:t>
      </w:r>
      <w:r w:rsidRPr="00B00263">
        <w:tab/>
        <w:t>Введение</w:t>
      </w:r>
    </w:p>
    <w:p w:rsidR="00B00263" w:rsidRPr="00B00263" w:rsidRDefault="00B00263" w:rsidP="00B00263">
      <w:pPr>
        <w:pStyle w:val="SingleTxtGR"/>
      </w:pPr>
      <w:r w:rsidRPr="00B00263">
        <w:t>1.</w:t>
      </w:r>
      <w:r w:rsidRPr="00B00263">
        <w:tab/>
        <w:t>На последнем совещании Комитета по вопросам безопасности ВОПОГ секретариату ЦКСР было поручено подготовить документ по вопросам толкования специальных положений, касающихся мягких контейнеров для массовых грузов, в соответствии с пунктом 7.1.4.4.3 ВОПОГ (см. также ECE/TRANS/</w:t>
      </w:r>
      <w:r w:rsidR="00F477F9" w:rsidRPr="00F477F9">
        <w:t xml:space="preserve"> </w:t>
      </w:r>
      <w:r w:rsidRPr="00B00263">
        <w:t>WP.15/AC.2/62, пункт 30).</w:t>
      </w:r>
    </w:p>
    <w:p w:rsidR="00B00263" w:rsidRPr="00B00263" w:rsidRDefault="00B00263" w:rsidP="00B00263">
      <w:pPr>
        <w:pStyle w:val="SingleTxtGR"/>
      </w:pPr>
      <w:r w:rsidRPr="00B00263">
        <w:t>2.</w:t>
      </w:r>
      <w:r w:rsidRPr="00B00263">
        <w:tab/>
        <w:t xml:space="preserve">На основе материалов, полученных от делегаций Германии и Нидерландов, секретариат ЦКСР </w:t>
      </w:r>
      <w:r w:rsidRPr="00B00263">
        <w:rPr>
          <w:bCs/>
          <w:iCs/>
        </w:rPr>
        <w:t>далее определил суть вопроса о мягких контейнерах для массовых грузов в связи с положением</w:t>
      </w:r>
      <w:r w:rsidRPr="00B00263">
        <w:t xml:space="preserve"> пункта 7.1.4.4.3 ВОПОГ:</w:t>
      </w:r>
    </w:p>
    <w:p w:rsidR="00B00263" w:rsidRPr="00B00263" w:rsidRDefault="00564ADA" w:rsidP="00564ADA">
      <w:pPr>
        <w:pStyle w:val="SingleTxtGR"/>
        <w:ind w:left="2835" w:hanging="1701"/>
      </w:pPr>
      <w:r>
        <w:tab/>
      </w:r>
      <w:r w:rsidR="00B00263" w:rsidRPr="00B00263">
        <w:t>7.1.4.4.3</w:t>
      </w:r>
      <w:r w:rsidR="00B00263" w:rsidRPr="00B00263">
        <w:tab/>
        <w:t>Для контейнеров, не указанных в пунктах 7.1.4.4.1 и 7.1.4.4.2 выше, разделяющее их расстояние, требуемое в пунк</w:t>
      </w:r>
      <w:r w:rsidR="00B00263" w:rsidRPr="00B00263">
        <w:lastRenderedPageBreak/>
        <w:t>те</w:t>
      </w:r>
      <w:r>
        <w:t> </w:t>
      </w:r>
      <w:r w:rsidR="00B00263" w:rsidRPr="00B00263">
        <w:t>7.1.4.3.1, может быть уменьшено до 2,40 м (ширина контейнера).</w:t>
      </w:r>
    </w:p>
    <w:p w:rsidR="00B00263" w:rsidRPr="00B00263" w:rsidRDefault="00B00263" w:rsidP="00B00263">
      <w:pPr>
        <w:pStyle w:val="SingleTxtGR"/>
      </w:pPr>
      <w:r w:rsidRPr="00B00263">
        <w:t>3.</w:t>
      </w:r>
      <w:r w:rsidRPr="00B00263">
        <w:tab/>
        <w:t>Вопрос о толковании пункта 7.1.4.4.3 ВОПОГ первоначально был поставлен в ходе пятнадцатого совещания неофициальной рабочей группы по подготовке экспертов (неофициальный документ INF.5 двадцать девятой сессии, пункт 8):</w:t>
      </w:r>
    </w:p>
    <w:p w:rsidR="00B00263" w:rsidRPr="00B00263" w:rsidRDefault="00B00263" w:rsidP="00771001">
      <w:pPr>
        <w:pStyle w:val="Bullet1GR"/>
      </w:pPr>
      <w:r w:rsidRPr="00B00263">
        <w:t>В случае пункта 7.1.4.4.3 ВОПОГ требуются ли особые положения в отношении мягких контейнеров для массовых грузов?</w:t>
      </w:r>
    </w:p>
    <w:p w:rsidR="00B00263" w:rsidRPr="00B00263" w:rsidRDefault="00B00263" w:rsidP="00BE01C8">
      <w:pPr>
        <w:pStyle w:val="HChGR"/>
      </w:pPr>
      <w:r w:rsidRPr="00B00263">
        <w:tab/>
        <w:t>II.</w:t>
      </w:r>
      <w:r w:rsidRPr="00B00263">
        <w:tab/>
        <w:t>Вопрос, требующий толкования Комитетом по</w:t>
      </w:r>
      <w:r w:rsidR="00BE01C8">
        <w:rPr>
          <w:lang w:val="en-US"/>
        </w:rPr>
        <w:t> </w:t>
      </w:r>
      <w:r w:rsidRPr="00B00263">
        <w:t>вопросам безопасности ВОПОГ</w:t>
      </w:r>
    </w:p>
    <w:p w:rsidR="00B00263" w:rsidRPr="00B00263" w:rsidRDefault="00B00263" w:rsidP="00B00263">
      <w:pPr>
        <w:pStyle w:val="SingleTxtGR"/>
      </w:pPr>
      <w:r w:rsidRPr="00B00263">
        <w:t>4.</w:t>
      </w:r>
      <w:r w:rsidRPr="00B00263">
        <w:tab/>
        <w:t>Подпадают ли мягкие контейнеры для массовых грузов под действие положения пункта 7.1.4.4.3 ВОПОГ?</w:t>
      </w:r>
    </w:p>
    <w:p w:rsidR="00B00263" w:rsidRPr="00B00263" w:rsidRDefault="00B00263" w:rsidP="00B00263">
      <w:pPr>
        <w:pStyle w:val="SingleTxtGR"/>
      </w:pPr>
      <w:r w:rsidRPr="00B00263">
        <w:t>5.</w:t>
      </w:r>
      <w:r w:rsidRPr="00B00263">
        <w:tab/>
        <w:t>В том случае, если вышеупомянутое положение не распространяется на мягкие контейнеры для массовых грузов, существует ли необходимость в особых положениях в отношении мягких контейнеров для массовых грузов в рамках раздела 7.1.4?</w:t>
      </w:r>
    </w:p>
    <w:p w:rsidR="00B00263" w:rsidRPr="00B00263" w:rsidRDefault="00B00263" w:rsidP="00BE01C8">
      <w:pPr>
        <w:pStyle w:val="HChGR"/>
      </w:pPr>
      <w:r w:rsidRPr="00B00263">
        <w:tab/>
        <w:t>III.</w:t>
      </w:r>
      <w:r w:rsidRPr="00B00263">
        <w:tab/>
        <w:t>Справочная информация</w:t>
      </w:r>
    </w:p>
    <w:p w:rsidR="00B00263" w:rsidRPr="00B00263" w:rsidRDefault="00B00263" w:rsidP="00B00263">
      <w:pPr>
        <w:pStyle w:val="SingleTxtGR"/>
      </w:pPr>
      <w:r w:rsidRPr="00B00263">
        <w:t>6.</w:t>
      </w:r>
      <w:r w:rsidRPr="00B00263">
        <w:tab/>
        <w:t>На основе рабочего документа ECE/TRANS/WP.15/AC.1/2013/37 (Соединенное Королевство от имени неофициальной рабочей группы по мягким контейнерам для массовых грузов (МКМГ)) и неофициального документа INF.10, представленного на той же сессии, Совместное совещание приняло в 2013 году положения, касающиеся мягких контейнеров для массовых грузов, для МПОГ/</w:t>
      </w:r>
      <w:r w:rsidR="00210D07">
        <w:br/>
      </w:r>
      <w:r w:rsidRPr="00B00263">
        <w:t>ДОПОГ/ВОПОГ (ECE/TRANS/WP.15/AC.1/132/Add.2):</w:t>
      </w:r>
    </w:p>
    <w:p w:rsidR="00B00263" w:rsidRPr="00B00263" w:rsidRDefault="00B00263" w:rsidP="00BE01C8">
      <w:pPr>
        <w:pStyle w:val="SingleTxtGR"/>
        <w:ind w:left="1701"/>
      </w:pPr>
      <w:r w:rsidRPr="00B00263">
        <w:t>Глава 7.1 (ВОПОГ)</w:t>
      </w:r>
    </w:p>
    <w:p w:rsidR="00B00263" w:rsidRPr="00B00263" w:rsidRDefault="00B00263" w:rsidP="00BE01C8">
      <w:pPr>
        <w:pStyle w:val="SingleTxtGR"/>
        <w:ind w:left="2835" w:hanging="1134"/>
      </w:pPr>
      <w:r w:rsidRPr="00B00263">
        <w:t>7.1.1.18</w:t>
      </w:r>
      <w:r w:rsidRPr="00B00263">
        <w:tab/>
        <w:t>В заголовке и в тексте включить «, контейнерах для массовых грузов» после «контейнерах».</w:t>
      </w:r>
    </w:p>
    <w:p w:rsidR="00B00263" w:rsidRPr="00B00263" w:rsidRDefault="00B00263" w:rsidP="00BE01C8">
      <w:pPr>
        <w:pStyle w:val="SingleTxtGR"/>
        <w:ind w:left="2835" w:hanging="1134"/>
      </w:pPr>
      <w:r w:rsidRPr="00771001">
        <w:rPr>
          <w:spacing w:val="0"/>
        </w:rPr>
        <w:t>7.1.4.14.1.1</w:t>
      </w:r>
      <w:r w:rsidRPr="00B00263">
        <w:tab/>
        <w:t>В конце добавить следующее предложение:</w:t>
      </w:r>
    </w:p>
    <w:p w:rsidR="00B00263" w:rsidRPr="00B00263" w:rsidRDefault="00BE01C8" w:rsidP="00BE01C8">
      <w:pPr>
        <w:pStyle w:val="SingleTxtGR"/>
        <w:ind w:left="2835" w:hanging="1134"/>
      </w:pPr>
      <w:r>
        <w:rPr>
          <w:lang w:val="en-US"/>
        </w:rPr>
        <w:tab/>
      </w:r>
      <w:r>
        <w:rPr>
          <w:lang w:val="en-US"/>
        </w:rPr>
        <w:tab/>
      </w:r>
      <w:r w:rsidR="00B00263" w:rsidRPr="00B00263">
        <w:t xml:space="preserve">«Мягкие контейнеры для массовых грузов должны укладываться таким образом, чтобы между ними в трюме не было незаполненных пространств. Если мягкие контейнеры для массовых грузов не полностью заполняют трюм, </w:t>
      </w:r>
      <w:r w:rsidR="00B00263" w:rsidRPr="00B00263">
        <w:rPr>
          <w:bCs/>
          <w:iCs/>
        </w:rPr>
        <w:t>должны быть приняты надлежащие меры</w:t>
      </w:r>
      <w:r w:rsidR="00B00263" w:rsidRPr="00B00263">
        <w:t xml:space="preserve"> для предотвращения перемещения груза.».</w:t>
      </w:r>
    </w:p>
    <w:p w:rsidR="00B00263" w:rsidRPr="00B00263" w:rsidRDefault="00B00263" w:rsidP="00BE01C8">
      <w:pPr>
        <w:pStyle w:val="SingleTxtGR"/>
        <w:ind w:left="2835" w:hanging="1134"/>
      </w:pPr>
      <w:r w:rsidRPr="00771001">
        <w:rPr>
          <w:spacing w:val="0"/>
        </w:rPr>
        <w:t>7.1.4.14.1.2</w:t>
      </w:r>
      <w:r w:rsidRPr="00B00263">
        <w:tab/>
        <w:t>В конце добавить следующее предложение:</w:t>
      </w:r>
    </w:p>
    <w:p w:rsidR="00B00263" w:rsidRPr="00B00263" w:rsidRDefault="00BE01C8" w:rsidP="00BE01C8">
      <w:pPr>
        <w:pStyle w:val="SingleTxtGR"/>
        <w:ind w:left="2835" w:hanging="1134"/>
      </w:pPr>
      <w:r>
        <w:rPr>
          <w:bCs/>
          <w:iCs/>
          <w:lang w:val="en-US"/>
        </w:rPr>
        <w:tab/>
      </w:r>
      <w:r>
        <w:rPr>
          <w:bCs/>
          <w:iCs/>
          <w:lang w:val="en-US"/>
        </w:rPr>
        <w:tab/>
      </w:r>
      <w:r w:rsidR="00B00263" w:rsidRPr="00B00263">
        <w:rPr>
          <w:bCs/>
          <w:iCs/>
        </w:rPr>
        <w:t xml:space="preserve">«Мягкие </w:t>
      </w:r>
      <w:r w:rsidR="00B00263" w:rsidRPr="00BE01C8">
        <w:t>контейнеры</w:t>
      </w:r>
      <w:r w:rsidR="00B00263" w:rsidRPr="00B00263">
        <w:rPr>
          <w:bCs/>
          <w:iCs/>
        </w:rPr>
        <w:t xml:space="preserve"> для массовых грузов могут штабелироваться друг на друга в трюмах при условии, что высота штабеля не превышает трех ярусов.</w:t>
      </w:r>
      <w:r w:rsidR="00B00263" w:rsidRPr="00B00263">
        <w:t xml:space="preserve"> </w:t>
      </w:r>
      <w:r w:rsidR="00B00263" w:rsidRPr="00B00263">
        <w:rPr>
          <w:lang w:bidi="ru-RU"/>
        </w:rPr>
        <w:t>В тех случаях, когда мягкие контейнеры для массовых грузов имеют вентиляционные устройства, укладка таких мягких контейнеров для массовых грузов не должна препятствовать выполнению этими устройствами своей функции.».</w:t>
      </w:r>
    </w:p>
    <w:p w:rsidR="00B00263" w:rsidRPr="00B00263" w:rsidRDefault="00B00263" w:rsidP="00B00263">
      <w:pPr>
        <w:pStyle w:val="SingleTxtGR"/>
      </w:pPr>
      <w:r w:rsidRPr="00B00263">
        <w:t>7.</w:t>
      </w:r>
      <w:r w:rsidRPr="00B00263">
        <w:tab/>
        <w:t>На своей двадцать шестой сессии Комитет по вопросам безопасности ВОПОГ принял положения, касающиеся перевозки мягких контейнеров для массовых грузов (ECE/TRANS/WP.15/AC.2/54, пункты 40 и 41):</w:t>
      </w:r>
    </w:p>
    <w:p w:rsidR="00B00263" w:rsidRPr="00B00263" w:rsidRDefault="00B00263" w:rsidP="00B00263">
      <w:pPr>
        <w:pStyle w:val="SingleTxtGR"/>
      </w:pPr>
      <w:r w:rsidRPr="00B00263">
        <w:t>«40.</w:t>
      </w:r>
      <w:r w:rsidRPr="00B00263">
        <w:tab/>
        <w:t xml:space="preserve">Комитет по вопросам безопасности отметил, что Совместное совещание МПОГ/ДОПОГ/ВОПОГ рекомендовало принять положения, которые уже были предусмотрены в 2013 году для использования мягких контейнеров для массовых грузов. Вследствие этого Рабочая группа по перевозкам опасных грузов </w:t>
      </w:r>
      <w:r w:rsidRPr="00B00263">
        <w:lastRenderedPageBreak/>
        <w:t>(WP.15) приняла положения для  включения в ДОПОГ 2017 года, при этом аналогичные положения были приняты и для МПОГ. Комитет по вопросам бе</w:t>
      </w:r>
      <w:r w:rsidR="006A1FBA">
        <w:t>-</w:t>
      </w:r>
      <w:r w:rsidRPr="00B00263">
        <w:t>зопасности счел, что то же самое может быть сделано и в отношении перевозки по внутренним водным путям. Таким образом, он принял соответствующие положения, содержащиеся в документах ECE/TRANS/WP.15/AC.1/132/Add.2 и ECE/TRANS/WP.15/226, приложение I (см. приложение II).</w:t>
      </w:r>
    </w:p>
    <w:p w:rsidR="00B00263" w:rsidRPr="00B00263" w:rsidRDefault="00B00263" w:rsidP="00B00263">
      <w:pPr>
        <w:pStyle w:val="SingleTxtGR"/>
      </w:pPr>
      <w:r w:rsidRPr="00B00263">
        <w:t>41.</w:t>
      </w:r>
      <w:r w:rsidRPr="00B00263">
        <w:tab/>
        <w:t>Представитель Германии поднял вопрос о целесообразности внесения изменений в пункт 7.1.4.12.2. В ответ на это было указано, что если возникнет необходимость внести изменения в указанный пункт, то тогда потребуется, вероятно, принять во внимание все типы контейнеров для массовых грузов. Поэтому ему было предложено проанализировать данный вопрос и, возможно, представить соответствующее предложение на следующей сессии.».</w:t>
      </w:r>
    </w:p>
    <w:p w:rsidR="00B00263" w:rsidRPr="00B00263" w:rsidRDefault="00B00263" w:rsidP="00B00263">
      <w:pPr>
        <w:pStyle w:val="SingleTxtGR"/>
      </w:pPr>
      <w:r w:rsidRPr="00B00263">
        <w:t>8.</w:t>
      </w:r>
      <w:r w:rsidRPr="00B00263">
        <w:tab/>
        <w:t>Положения ВОПОГ 2017 года, которые могли бы применяться в отношении мягких контейнеров для массовых грузов:</w:t>
      </w:r>
    </w:p>
    <w:p w:rsidR="00B00263" w:rsidRPr="00B00263" w:rsidRDefault="00B00263" w:rsidP="00BE01C8">
      <w:pPr>
        <w:pStyle w:val="SingleTxtGR"/>
        <w:ind w:left="1701"/>
        <w:rPr>
          <w:b/>
        </w:rPr>
      </w:pPr>
      <w:r w:rsidRPr="00B00263">
        <w:rPr>
          <w:b/>
        </w:rPr>
        <w:t>1.2.1</w:t>
      </w:r>
      <w:r w:rsidRPr="00B00263">
        <w:rPr>
          <w:b/>
        </w:rPr>
        <w:tab/>
      </w:r>
      <w:r w:rsidR="00DE3E58">
        <w:rPr>
          <w:b/>
        </w:rPr>
        <w:tab/>
      </w:r>
      <w:r w:rsidRPr="00B00263">
        <w:rPr>
          <w:b/>
        </w:rPr>
        <w:t>Определения</w:t>
      </w:r>
    </w:p>
    <w:p w:rsidR="00B00263" w:rsidRPr="00B00263" w:rsidRDefault="00B00263" w:rsidP="00BE01C8">
      <w:pPr>
        <w:pStyle w:val="SingleTxtGR"/>
        <w:ind w:left="2835" w:hanging="1134"/>
      </w:pPr>
      <w:r w:rsidRPr="00B00263">
        <w:tab/>
      </w:r>
      <w:r w:rsidRPr="00B00263">
        <w:tab/>
        <w:t>«</w:t>
      </w:r>
      <w:r w:rsidRPr="00B00263">
        <w:rPr>
          <w:i/>
          <w:iCs/>
        </w:rPr>
        <w:t>Мягкий контейнер для массовых грузов</w:t>
      </w:r>
      <w:r w:rsidRPr="00B00263">
        <w:t>» означает мягкий контейнер вместимостью, не превышающей 15 м</w:t>
      </w:r>
      <w:r w:rsidRPr="00B00263">
        <w:rPr>
          <w:vertAlign w:val="superscript"/>
        </w:rPr>
        <w:t>3</w:t>
      </w:r>
      <w:r w:rsidRPr="00B00263">
        <w:t>, и включает вкладыши и прикрепленные грузозахватные приспособления и эксплуатационное оборудование.</w:t>
      </w:r>
    </w:p>
    <w:p w:rsidR="00B00263" w:rsidRPr="00B00263" w:rsidRDefault="00B00263" w:rsidP="00BE01C8">
      <w:pPr>
        <w:pStyle w:val="SingleTxtGR"/>
        <w:ind w:left="1701"/>
        <w:rPr>
          <w:b/>
        </w:rPr>
      </w:pPr>
      <w:r w:rsidRPr="00B00263">
        <w:rPr>
          <w:b/>
        </w:rPr>
        <w:t>7.1.4.3</w:t>
      </w:r>
      <w:r w:rsidRPr="00B00263">
        <w:rPr>
          <w:b/>
        </w:rPr>
        <w:tab/>
        <w:t>Запрещение совместной погрузки (упаковок в трюмы)</w:t>
      </w:r>
    </w:p>
    <w:p w:rsidR="00B00263" w:rsidRPr="00B00263" w:rsidRDefault="00B00263" w:rsidP="00BE01C8">
      <w:pPr>
        <w:pStyle w:val="SingleTxtGR"/>
        <w:ind w:left="2835" w:hanging="1134"/>
      </w:pPr>
      <w:r w:rsidRPr="00B00263">
        <w:t>7.1.4.3.1</w:t>
      </w:r>
      <w:r w:rsidRPr="00B00263">
        <w:tab/>
        <w:t xml:space="preserve">Грузы разных классов должны быть уложены как минимум на расстоянии </w:t>
      </w:r>
      <w:smartTag w:uri="urn:schemas-microsoft-com:office:smarttags" w:element="metricconverter">
        <w:smartTagPr>
          <w:attr w:name="ProductID" w:val="3,00 м"/>
        </w:smartTagPr>
        <w:r w:rsidRPr="00B00263">
          <w:t>3,00 м</w:t>
        </w:r>
      </w:smartTag>
      <w:r w:rsidRPr="00B00263">
        <w:t xml:space="preserve"> друг от друга в горизонтальной плоскости. Штабелирование таких грузов не допускается.</w:t>
      </w:r>
    </w:p>
    <w:p w:rsidR="00B00263" w:rsidRPr="00B00263" w:rsidRDefault="00B00263" w:rsidP="00BE01C8">
      <w:pPr>
        <w:pStyle w:val="SingleTxtGR"/>
        <w:ind w:left="2835" w:hanging="1134"/>
        <w:rPr>
          <w:b/>
        </w:rPr>
      </w:pPr>
      <w:r w:rsidRPr="00B00263">
        <w:rPr>
          <w:b/>
        </w:rPr>
        <w:t>7.1.4.4</w:t>
      </w:r>
      <w:r w:rsidRPr="00B00263">
        <w:rPr>
          <w:b/>
        </w:rPr>
        <w:tab/>
        <w:t>Запрещение совместной погрузки (контейнеры, транспортные средства, вагоны)</w:t>
      </w:r>
    </w:p>
    <w:p w:rsidR="00B00263" w:rsidRPr="00B00263" w:rsidRDefault="00B00263" w:rsidP="00BE01C8">
      <w:pPr>
        <w:pStyle w:val="SingleTxtGR"/>
        <w:ind w:left="2835" w:hanging="1134"/>
      </w:pPr>
      <w:r w:rsidRPr="00B00263">
        <w:t>7.1.4.4.1</w:t>
      </w:r>
      <w:r w:rsidRPr="00B00263">
        <w:tab/>
        <w:t>Подраздел 7.1.4.3 не применяется к упаковкам, уложенным в контейнеры, транспортные средства или вагоны в соответствии с какими-либо международными правилами.</w:t>
      </w:r>
    </w:p>
    <w:p w:rsidR="00B00263" w:rsidRPr="00B00263" w:rsidRDefault="00B00263" w:rsidP="00BE01C8">
      <w:pPr>
        <w:pStyle w:val="SingleTxtGR"/>
        <w:ind w:left="2835" w:hanging="1134"/>
      </w:pPr>
      <w:r w:rsidRPr="00B00263">
        <w:t>7.1.4.4.2</w:t>
      </w:r>
      <w:r w:rsidRPr="00B00263">
        <w:tab/>
        <w:t>Подраздел 7.1.4.3 не применяется к:</w:t>
      </w:r>
    </w:p>
    <w:p w:rsidR="00B00263" w:rsidRPr="00B00263" w:rsidRDefault="00B00263" w:rsidP="00BE01C8">
      <w:pPr>
        <w:pStyle w:val="Bullet2GR"/>
        <w:ind w:left="2835" w:hanging="273"/>
      </w:pPr>
      <w:r w:rsidRPr="00B00263">
        <w:t>закрытым контейнерам со сплошными металлическими стенками;</w:t>
      </w:r>
    </w:p>
    <w:p w:rsidR="00B00263" w:rsidRPr="00B00263" w:rsidRDefault="00B00263" w:rsidP="00BE01C8">
      <w:pPr>
        <w:pStyle w:val="Bullet2GR"/>
        <w:ind w:left="2835" w:hanging="273"/>
      </w:pPr>
      <w:r w:rsidRPr="00B00263">
        <w:t>закрытым транспортным средствам и закрытым вагонам, имеющим сплошные металлические стенки;</w:t>
      </w:r>
    </w:p>
    <w:p w:rsidR="00B00263" w:rsidRPr="00B00263" w:rsidRDefault="00B00263" w:rsidP="00BE01C8">
      <w:pPr>
        <w:pStyle w:val="Bullet2GR"/>
        <w:ind w:firstLine="294"/>
      </w:pPr>
      <w:r w:rsidRPr="00B00263">
        <w:t>контейнерам-цистернам, переносным цистернам и МЭГК;</w:t>
      </w:r>
    </w:p>
    <w:p w:rsidR="00B00263" w:rsidRPr="00B00263" w:rsidRDefault="00B00263" w:rsidP="00BE01C8">
      <w:pPr>
        <w:pStyle w:val="Bullet2GR"/>
        <w:ind w:firstLine="294"/>
      </w:pPr>
      <w:r w:rsidRPr="00B00263">
        <w:t>автоцистернам и вагонам-цистернам.</w:t>
      </w:r>
    </w:p>
    <w:p w:rsidR="00B00263" w:rsidRPr="00B00263" w:rsidRDefault="00B00263" w:rsidP="00BE01C8">
      <w:pPr>
        <w:pStyle w:val="SingleTxtGR"/>
        <w:ind w:left="2835" w:hanging="1134"/>
      </w:pPr>
      <w:r w:rsidRPr="00B00263">
        <w:t>7.1.4.4.3</w:t>
      </w:r>
      <w:r w:rsidRPr="00B00263">
        <w:tab/>
        <w:t>Для контейнеров, не указанных в пунктах 7.1.4.4.1 и 7.1.4.4.2 выше, разделяющее их расстояние, требуемое в пункте</w:t>
      </w:r>
      <w:r w:rsidR="00DE3E58">
        <w:t> </w:t>
      </w:r>
      <w:r w:rsidRPr="00B00263">
        <w:t>7.1.4.3.1, может быть уменьшено до 2,40 м (ширина контейнера).</w:t>
      </w:r>
    </w:p>
    <w:p w:rsidR="00B00263" w:rsidRPr="00B00263" w:rsidRDefault="00B00263" w:rsidP="00BE01C8">
      <w:pPr>
        <w:pStyle w:val="SingleTxtGR"/>
        <w:ind w:left="1701"/>
        <w:rPr>
          <w:b/>
        </w:rPr>
      </w:pPr>
      <w:r w:rsidRPr="00B00263">
        <w:rPr>
          <w:b/>
        </w:rPr>
        <w:t>7.1.4.14</w:t>
      </w:r>
      <w:r w:rsidRPr="00B00263">
        <w:rPr>
          <w:b/>
        </w:rPr>
        <w:tab/>
        <w:t>Обработка и укладка груза</w:t>
      </w:r>
    </w:p>
    <w:p w:rsidR="00B00263" w:rsidRPr="00B00263" w:rsidRDefault="00B00263" w:rsidP="00BE01C8">
      <w:pPr>
        <w:pStyle w:val="SingleTxtGR"/>
        <w:ind w:left="2835" w:hanging="1134"/>
        <w:rPr>
          <w:u w:val="single"/>
        </w:rPr>
      </w:pPr>
      <w:r w:rsidRPr="00BE01C8">
        <w:rPr>
          <w:spacing w:val="0"/>
        </w:rPr>
        <w:t>7.1.4.14.1.1</w:t>
      </w:r>
      <w:r w:rsidRPr="00B00263">
        <w:tab/>
        <w:t>Упаковки, содержащие опасные вещества, и неупакованные опасные изделия должны закрепляться с помощью соответствующих средств, способных удерживать грузы (таких как крепежные ремни, передвижные перекладины, выдвижные кронштейны) таким образом, чтобы при перевозке не происходило каких-либо перемещений, способных изменить положение упаковок или вызвать их повреждение. Если опасные грузы перевозятся с другими грузами (например, тяжелое оборудование или обрешетки), все грузы должны прочно закрепляться или укладываться таким образом, чтобы предотвратить высвобождение опасных грузов. Перемещению упа</w:t>
      </w:r>
      <w:r w:rsidRPr="00B00263">
        <w:lastRenderedPageBreak/>
        <w:t xml:space="preserve">ковок можно также воспрепятствовать путем заполнения свободного пространства материалом для компактной укладки груза или путем блокировки или крепления. Если используются крепежные приспособления, такие как бандажные ленты или ремни, то их не следует затягивать слишком туго, чтобы не повредить или не деформировать упаковку. </w:t>
      </w:r>
      <w:r w:rsidRPr="00B00263">
        <w:rPr>
          <w:u w:val="single"/>
        </w:rPr>
        <w:t>Мягкие контейнеры для массовых грузов должны укладываться таким образом, чтобы между ними в трюме не было незаполненных пространств. Если мягкие контейнеры для массовых грузов не полностью заполняют трюм, должны быть приняты надлежащие меры для предотвращения перемещения груза.</w:t>
      </w:r>
    </w:p>
    <w:p w:rsidR="00E12C5F" w:rsidRDefault="00B00263" w:rsidP="00BE01C8">
      <w:pPr>
        <w:pStyle w:val="SingleTxtGR"/>
        <w:ind w:left="2835" w:hanging="1134"/>
        <w:rPr>
          <w:bCs/>
          <w:u w:val="single"/>
          <w:lang w:val="en-US"/>
        </w:rPr>
      </w:pPr>
      <w:r w:rsidRPr="00BE01C8">
        <w:rPr>
          <w:spacing w:val="0"/>
        </w:rPr>
        <w:t>7.1.4.14.1.2</w:t>
      </w:r>
      <w:r w:rsidRPr="00B00263">
        <w:tab/>
        <w:t xml:space="preserve">Упаковки не должны штабелироваться, если они не предназначены для этой цели. Если совместно грузятся упаковки различных типов конструкции, предназначенные для укладки в штабель, следует учитывать их совместимость для штабелирования. В случае необходимости следует использовать несущие приспособления во избежание повреждения упаковками верхнего яруса упаковок нижнего яруса. </w:t>
      </w:r>
      <w:r w:rsidRPr="00B00263">
        <w:rPr>
          <w:u w:val="single"/>
        </w:rPr>
        <w:t>Мягкие контейнеры для массовых грузов могут штабелироваться друг на друга в трюмах при условии, что</w:t>
      </w:r>
      <w:r w:rsidRPr="00B00263">
        <w:rPr>
          <w:bCs/>
          <w:u w:val="single"/>
        </w:rPr>
        <w:t xml:space="preserve"> высота штабеля не превышает трех ярусов.</w:t>
      </w:r>
      <w:r w:rsidRPr="00B00263">
        <w:rPr>
          <w:u w:val="single"/>
        </w:rPr>
        <w:t xml:space="preserve"> </w:t>
      </w:r>
      <w:r w:rsidRPr="00B00263">
        <w:rPr>
          <w:bCs/>
          <w:u w:val="single"/>
        </w:rPr>
        <w:t>В тех случаях, когда мягкие контейнеры для массовых грузов имеют вентиляционные устройства, укладка таких мягких контейнеров для массовых грузов не должна препятствовать выполнению этими устройствами своей функции.</w:t>
      </w:r>
    </w:p>
    <w:p w:rsidR="00B00263" w:rsidRPr="00B00263" w:rsidRDefault="00B00263" w:rsidP="00B00263">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B00263" w:rsidRPr="00B00263" w:rsidSect="00B002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F7" w:rsidRPr="00A312BC" w:rsidRDefault="00A854F7" w:rsidP="00A312BC"/>
  </w:endnote>
  <w:endnote w:type="continuationSeparator" w:id="0">
    <w:p w:rsidR="00A854F7" w:rsidRPr="00A312BC" w:rsidRDefault="00A854F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63" w:rsidRPr="00B00263" w:rsidRDefault="00B00263">
    <w:pPr>
      <w:pStyle w:val="Footer"/>
    </w:pPr>
    <w:r w:rsidRPr="00B00263">
      <w:rPr>
        <w:b/>
        <w:sz w:val="18"/>
      </w:rPr>
      <w:fldChar w:fldCharType="begin"/>
    </w:r>
    <w:r w:rsidRPr="00B00263">
      <w:rPr>
        <w:b/>
        <w:sz w:val="18"/>
      </w:rPr>
      <w:instrText xml:space="preserve"> PAGE  \* MERGEFORMAT </w:instrText>
    </w:r>
    <w:r w:rsidRPr="00B00263">
      <w:rPr>
        <w:b/>
        <w:sz w:val="18"/>
      </w:rPr>
      <w:fldChar w:fldCharType="separate"/>
    </w:r>
    <w:r w:rsidR="006A2DE5">
      <w:rPr>
        <w:b/>
        <w:noProof/>
        <w:sz w:val="18"/>
      </w:rPr>
      <w:t>2</w:t>
    </w:r>
    <w:r w:rsidRPr="00B00263">
      <w:rPr>
        <w:b/>
        <w:sz w:val="18"/>
      </w:rPr>
      <w:fldChar w:fldCharType="end"/>
    </w:r>
    <w:r>
      <w:rPr>
        <w:b/>
        <w:sz w:val="18"/>
      </w:rPr>
      <w:tab/>
    </w:r>
    <w:r>
      <w:t>GE.17-18580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63" w:rsidRPr="00B00263" w:rsidRDefault="00B00263" w:rsidP="00B00263">
    <w:pPr>
      <w:pStyle w:val="Footer"/>
      <w:tabs>
        <w:tab w:val="clear" w:pos="9639"/>
        <w:tab w:val="right" w:pos="9638"/>
      </w:tabs>
      <w:rPr>
        <w:b/>
        <w:sz w:val="18"/>
      </w:rPr>
    </w:pPr>
    <w:r>
      <w:t>GE.17-18580</w:t>
    </w:r>
    <w:r>
      <w:tab/>
    </w:r>
    <w:r w:rsidRPr="00B00263">
      <w:rPr>
        <w:b/>
        <w:sz w:val="18"/>
      </w:rPr>
      <w:fldChar w:fldCharType="begin"/>
    </w:r>
    <w:r w:rsidRPr="00B00263">
      <w:rPr>
        <w:b/>
        <w:sz w:val="18"/>
      </w:rPr>
      <w:instrText xml:space="preserve"> PAGE  \* MERGEFORMAT </w:instrText>
    </w:r>
    <w:r w:rsidRPr="00B00263">
      <w:rPr>
        <w:b/>
        <w:sz w:val="18"/>
      </w:rPr>
      <w:fldChar w:fldCharType="separate"/>
    </w:r>
    <w:r w:rsidR="006A2DE5">
      <w:rPr>
        <w:b/>
        <w:noProof/>
        <w:sz w:val="18"/>
      </w:rPr>
      <w:t>3</w:t>
    </w:r>
    <w:r w:rsidRPr="00B002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00263" w:rsidRDefault="00B00263" w:rsidP="00B00263">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6952F7D4" wp14:editId="2EFA6DA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17-18580  (R)</w:t>
    </w:r>
    <w:r>
      <w:rPr>
        <w:lang w:val="en-US"/>
      </w:rPr>
      <w:t xml:space="preserve">  301017  301017</w:t>
    </w:r>
    <w:r>
      <w:br/>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sidRPr="00B0026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F7" w:rsidRPr="001075E9" w:rsidRDefault="00A854F7" w:rsidP="001075E9">
      <w:pPr>
        <w:tabs>
          <w:tab w:val="right" w:pos="2155"/>
        </w:tabs>
        <w:spacing w:after="80" w:line="240" w:lineRule="auto"/>
        <w:ind w:left="680"/>
        <w:rPr>
          <w:u w:val="single"/>
        </w:rPr>
      </w:pPr>
      <w:r>
        <w:rPr>
          <w:u w:val="single"/>
        </w:rPr>
        <w:tab/>
      </w:r>
    </w:p>
  </w:footnote>
  <w:footnote w:type="continuationSeparator" w:id="0">
    <w:p w:rsidR="00A854F7" w:rsidRDefault="00A854F7" w:rsidP="00407B78">
      <w:pPr>
        <w:tabs>
          <w:tab w:val="right" w:pos="2155"/>
        </w:tabs>
        <w:spacing w:after="80"/>
        <w:ind w:left="680"/>
        <w:rPr>
          <w:u w:val="single"/>
        </w:rPr>
      </w:pPr>
      <w:r>
        <w:rPr>
          <w:u w:val="single"/>
        </w:rPr>
        <w:tab/>
      </w:r>
    </w:p>
  </w:footnote>
  <w:footnote w:id="1">
    <w:p w:rsidR="00B00263" w:rsidRPr="00B06676" w:rsidRDefault="00B00263" w:rsidP="00B00263">
      <w:pPr>
        <w:pStyle w:val="FootnoteText"/>
        <w:rPr>
          <w:lang w:val="ru-RU"/>
        </w:rPr>
      </w:pPr>
      <w:r>
        <w:rPr>
          <w:lang w:val="ru-RU"/>
        </w:rPr>
        <w:tab/>
      </w:r>
      <w:r w:rsidRPr="00F477F9">
        <w:rPr>
          <w:sz w:val="20"/>
          <w:lang w:val="ru-RU"/>
        </w:rPr>
        <w:t>*</w:t>
      </w:r>
      <w:r>
        <w:rPr>
          <w:lang w:val="ru-RU"/>
        </w:rPr>
        <w:tab/>
        <w:t>Распространено на немецком языке Центральной комиссией судоходства по Рейну (ЦКСР) в качестве документа CCNR-ZKR/ADN/WP.15/AC.2/2018/4.</w:t>
      </w:r>
    </w:p>
  </w:footnote>
  <w:footnote w:id="2">
    <w:p w:rsidR="00B00263" w:rsidRPr="00B06676" w:rsidRDefault="00B00263" w:rsidP="00B00263">
      <w:pPr>
        <w:pStyle w:val="FootnoteText"/>
        <w:rPr>
          <w:lang w:val="ru-RU"/>
        </w:rPr>
      </w:pPr>
      <w:r>
        <w:rPr>
          <w:lang w:val="ru-RU"/>
        </w:rPr>
        <w:tab/>
      </w:r>
      <w:r w:rsidRPr="00F477F9">
        <w:rPr>
          <w:sz w:val="20"/>
          <w:lang w:val="ru-RU"/>
        </w:rPr>
        <w:t>**</w:t>
      </w:r>
      <w:r>
        <w:rPr>
          <w:lang w:val="ru-RU"/>
        </w:rPr>
        <w:tab/>
        <w:t xml:space="preserve">В соответствии с программой работы Комитета по внутреннему транспорту </w:t>
      </w:r>
      <w:r w:rsidR="00F477F9" w:rsidRPr="00F477F9">
        <w:rPr>
          <w:lang w:val="ru-RU"/>
        </w:rPr>
        <w:br/>
      </w:r>
      <w:r>
        <w:rPr>
          <w:lang w:val="ru-RU"/>
        </w:rPr>
        <w:t>на 2017–2018 годы (ECE/TRANS/WP.15/237, приложение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63" w:rsidRPr="00B00263" w:rsidRDefault="00E05582">
    <w:pPr>
      <w:pStyle w:val="Header"/>
    </w:pPr>
    <w:fldSimple w:instr=" TITLE  \* MERGEFORMAT ">
      <w:r w:rsidR="006A2DE5">
        <w:t>ECE/TRANS/WP.15/AC.2/2018/4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63" w:rsidRPr="00B00263" w:rsidRDefault="00E05582" w:rsidP="00B00263">
    <w:pPr>
      <w:pStyle w:val="Header"/>
      <w:jc w:val="right"/>
    </w:pPr>
    <w:fldSimple w:instr=" TITLE  \* MERGEFORMAT ">
      <w:r w:rsidR="006A2DE5">
        <w:t>ECE/TRANS/WP.15/AC.2/2018/4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63" w:rsidRDefault="00B00263" w:rsidP="00B0026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F7"/>
    <w:rsid w:val="00033EE1"/>
    <w:rsid w:val="00042B72"/>
    <w:rsid w:val="000558BD"/>
    <w:rsid w:val="000B57E7"/>
    <w:rsid w:val="000B6373"/>
    <w:rsid w:val="000E4E5B"/>
    <w:rsid w:val="000F09DF"/>
    <w:rsid w:val="000F61B2"/>
    <w:rsid w:val="001075E9"/>
    <w:rsid w:val="0014152F"/>
    <w:rsid w:val="00141AFA"/>
    <w:rsid w:val="00180183"/>
    <w:rsid w:val="0018024D"/>
    <w:rsid w:val="0018649F"/>
    <w:rsid w:val="00196389"/>
    <w:rsid w:val="001B3EF6"/>
    <w:rsid w:val="001C7A89"/>
    <w:rsid w:val="00210D07"/>
    <w:rsid w:val="00255343"/>
    <w:rsid w:val="0027151D"/>
    <w:rsid w:val="002A2EFC"/>
    <w:rsid w:val="002B0106"/>
    <w:rsid w:val="002B74B1"/>
    <w:rsid w:val="002C0E18"/>
    <w:rsid w:val="002D5AAC"/>
    <w:rsid w:val="002E5067"/>
    <w:rsid w:val="002F405F"/>
    <w:rsid w:val="002F7EEC"/>
    <w:rsid w:val="00301299"/>
    <w:rsid w:val="00305C08"/>
    <w:rsid w:val="00307FB6"/>
    <w:rsid w:val="00312E5A"/>
    <w:rsid w:val="00317339"/>
    <w:rsid w:val="00322004"/>
    <w:rsid w:val="003402C2"/>
    <w:rsid w:val="00381C24"/>
    <w:rsid w:val="00387CD4"/>
    <w:rsid w:val="003958D0"/>
    <w:rsid w:val="003A0D43"/>
    <w:rsid w:val="003A48CE"/>
    <w:rsid w:val="003B00E5"/>
    <w:rsid w:val="00407B78"/>
    <w:rsid w:val="00424203"/>
    <w:rsid w:val="00442D93"/>
    <w:rsid w:val="00452493"/>
    <w:rsid w:val="00453318"/>
    <w:rsid w:val="00454AF2"/>
    <w:rsid w:val="00454E07"/>
    <w:rsid w:val="004717A8"/>
    <w:rsid w:val="00472C5C"/>
    <w:rsid w:val="004E05B7"/>
    <w:rsid w:val="0050108D"/>
    <w:rsid w:val="00513081"/>
    <w:rsid w:val="00517901"/>
    <w:rsid w:val="00526683"/>
    <w:rsid w:val="005639C1"/>
    <w:rsid w:val="00564ADA"/>
    <w:rsid w:val="005709E0"/>
    <w:rsid w:val="00572E19"/>
    <w:rsid w:val="005961C8"/>
    <w:rsid w:val="005966F1"/>
    <w:rsid w:val="005D7914"/>
    <w:rsid w:val="005E2B41"/>
    <w:rsid w:val="005F0B42"/>
    <w:rsid w:val="006345DB"/>
    <w:rsid w:val="006405EA"/>
    <w:rsid w:val="00640F49"/>
    <w:rsid w:val="00680D03"/>
    <w:rsid w:val="00681A10"/>
    <w:rsid w:val="006A1ED8"/>
    <w:rsid w:val="006A1FBA"/>
    <w:rsid w:val="006A2DE5"/>
    <w:rsid w:val="006C2031"/>
    <w:rsid w:val="006D461A"/>
    <w:rsid w:val="006F35EE"/>
    <w:rsid w:val="007021FF"/>
    <w:rsid w:val="00712895"/>
    <w:rsid w:val="00734ACB"/>
    <w:rsid w:val="0074792A"/>
    <w:rsid w:val="00757357"/>
    <w:rsid w:val="00771001"/>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73A7B"/>
    <w:rsid w:val="00A84021"/>
    <w:rsid w:val="00A84D35"/>
    <w:rsid w:val="00A854F7"/>
    <w:rsid w:val="00A917B3"/>
    <w:rsid w:val="00AB4B51"/>
    <w:rsid w:val="00B00263"/>
    <w:rsid w:val="00B10CC7"/>
    <w:rsid w:val="00B36DF7"/>
    <w:rsid w:val="00B41683"/>
    <w:rsid w:val="00B539E7"/>
    <w:rsid w:val="00B62458"/>
    <w:rsid w:val="00BC18B2"/>
    <w:rsid w:val="00BD33EE"/>
    <w:rsid w:val="00BE01C8"/>
    <w:rsid w:val="00BE1CC7"/>
    <w:rsid w:val="00C106D6"/>
    <w:rsid w:val="00C119AE"/>
    <w:rsid w:val="00C60F0C"/>
    <w:rsid w:val="00C67579"/>
    <w:rsid w:val="00C805C9"/>
    <w:rsid w:val="00C92939"/>
    <w:rsid w:val="00CA1679"/>
    <w:rsid w:val="00CB151C"/>
    <w:rsid w:val="00CE5A1A"/>
    <w:rsid w:val="00CF55F6"/>
    <w:rsid w:val="00D33D63"/>
    <w:rsid w:val="00D5253A"/>
    <w:rsid w:val="00D90028"/>
    <w:rsid w:val="00D90138"/>
    <w:rsid w:val="00DA728E"/>
    <w:rsid w:val="00DD78D1"/>
    <w:rsid w:val="00DE32CD"/>
    <w:rsid w:val="00DE3E58"/>
    <w:rsid w:val="00DF5767"/>
    <w:rsid w:val="00DF71B9"/>
    <w:rsid w:val="00E05582"/>
    <w:rsid w:val="00E12C5F"/>
    <w:rsid w:val="00E73F76"/>
    <w:rsid w:val="00EA2C9F"/>
    <w:rsid w:val="00EA420E"/>
    <w:rsid w:val="00ED0BDA"/>
    <w:rsid w:val="00EE142A"/>
    <w:rsid w:val="00EF1360"/>
    <w:rsid w:val="00EF3220"/>
    <w:rsid w:val="00F2523A"/>
    <w:rsid w:val="00F43903"/>
    <w:rsid w:val="00F477F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6C3F3BFE-9CCA-4EA0-9E8D-F3E49FDF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6966</Characters>
  <Application>Microsoft Office Word</Application>
  <DocSecurity>0</DocSecurity>
  <Lines>58</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ECE/TRANS/WP.15/AC.2/2018/4</vt:lpstr>
      <vt:lpstr>ECE/TRANS/WP.15/AC.2/2018/4</vt:lpstr>
      <vt:lpstr>A/</vt:lpstr>
    </vt:vector>
  </TitlesOfParts>
  <Company>DCM</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dc:title>
  <dc:subject/>
  <dc:creator>Ovchinnikova Olga</dc:creator>
  <cp:keywords/>
  <cp:lastModifiedBy>Marie-Claude Collet</cp:lastModifiedBy>
  <cp:revision>3</cp:revision>
  <cp:lastPrinted>2017-11-02T06:11:00Z</cp:lastPrinted>
  <dcterms:created xsi:type="dcterms:W3CDTF">2017-11-02T06:05:00Z</dcterms:created>
  <dcterms:modified xsi:type="dcterms:W3CDTF">2017-11-02T06:11:00Z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