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8C69C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F353B7">
              <w:rPr>
                <w:b/>
                <w:sz w:val="24"/>
                <w:szCs w:val="24"/>
              </w:rPr>
              <w:t>32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1411E8">
        <w:rPr>
          <w:b/>
        </w:rPr>
        <w:t>20</w:t>
      </w:r>
      <w:r w:rsidR="00BE7E4D">
        <w:rPr>
          <w:b/>
        </w:rPr>
        <w:t xml:space="preserve"> </w:t>
      </w:r>
      <w:r w:rsidR="00F962B7">
        <w:rPr>
          <w:b/>
        </w:rPr>
        <w:t>September</w:t>
      </w:r>
      <w:r w:rsidR="00F353B7">
        <w:rPr>
          <w:b/>
        </w:rPr>
        <w:t xml:space="preserve"> </w:t>
      </w:r>
      <w:r w:rsidR="00CE4B11">
        <w:rPr>
          <w:b/>
        </w:rPr>
        <w:t>201</w:t>
      </w:r>
      <w:r w:rsidR="003D2520">
        <w:rPr>
          <w:b/>
        </w:rPr>
        <w:t>8</w:t>
      </w:r>
    </w:p>
    <w:p w:rsidR="009D2A5B" w:rsidRDefault="00D0497E" w:rsidP="00BB7CD1">
      <w:r>
        <w:t>Geneva</w:t>
      </w:r>
      <w:r w:rsidR="00BB7CD1">
        <w:t xml:space="preserve">, </w:t>
      </w:r>
      <w:r w:rsidR="003D2520" w:rsidRPr="003D2520">
        <w:t>1</w:t>
      </w:r>
      <w:r>
        <w:t>7</w:t>
      </w:r>
      <w:r w:rsidR="003D2520" w:rsidRPr="003D2520">
        <w:t>-</w:t>
      </w:r>
      <w:r>
        <w:t>21</w:t>
      </w:r>
      <w:r w:rsidR="003D2520" w:rsidRPr="003D2520">
        <w:t xml:space="preserve"> </w:t>
      </w:r>
      <w:r>
        <w:t>September</w:t>
      </w:r>
      <w:r w:rsidR="003D2520" w:rsidRPr="003D2520">
        <w:t xml:space="preserve"> 2018</w:t>
      </w:r>
    </w:p>
    <w:p w:rsidR="003D2520" w:rsidRPr="00C97AC8" w:rsidRDefault="003D2520" w:rsidP="003D2520">
      <w:r w:rsidRPr="00C97AC8">
        <w:t xml:space="preserve">Item </w:t>
      </w:r>
      <w:r w:rsidR="001411E8">
        <w:t>6</w:t>
      </w:r>
      <w:r w:rsidRPr="00C97AC8">
        <w:t xml:space="preserve"> of the provisional agenda</w:t>
      </w:r>
    </w:p>
    <w:p w:rsidR="00C97AC8" w:rsidRPr="00BB7CD1" w:rsidRDefault="001411E8" w:rsidP="003D2520">
      <w:pPr>
        <w:rPr>
          <w:b/>
        </w:rPr>
      </w:pPr>
      <w:r w:rsidRPr="001411E8">
        <w:rPr>
          <w:b/>
          <w:bCs/>
        </w:rPr>
        <w:t>Reports of informal working groups</w:t>
      </w:r>
    </w:p>
    <w:p w:rsidR="00F353B7" w:rsidRPr="00F353B7" w:rsidRDefault="008C69CA" w:rsidP="00F353B7">
      <w:pPr>
        <w:pStyle w:val="HChG"/>
        <w:rPr>
          <w:lang w:val="fr-CH"/>
        </w:rPr>
      </w:pPr>
      <w:r w:rsidRPr="00F353B7">
        <w:tab/>
      </w:r>
      <w:r w:rsidR="00F353B7">
        <w:tab/>
      </w:r>
      <w:r w:rsidR="001411E8" w:rsidRPr="00F353B7">
        <w:t>Carriage of pressure receptacles approved by the Department of Transportation of the United States of America (DOT)</w:t>
      </w:r>
      <w:r w:rsidR="00F353B7" w:rsidRPr="00F353B7">
        <w:t xml:space="preserve">: Report of the lunchtime working group </w:t>
      </w:r>
      <w:r w:rsidR="00F353B7">
        <w:br/>
      </w:r>
      <w:r w:rsidR="00F353B7">
        <w:rPr>
          <w:lang w:val="fr-CH"/>
        </w:rPr>
        <w:t xml:space="preserve">(20 </w:t>
      </w:r>
      <w:proofErr w:type="spellStart"/>
      <w:r w:rsidR="00F353B7">
        <w:rPr>
          <w:lang w:val="fr-CH"/>
        </w:rPr>
        <w:t>September</w:t>
      </w:r>
      <w:proofErr w:type="spellEnd"/>
      <w:r w:rsidR="00F353B7">
        <w:rPr>
          <w:lang w:val="fr-CH"/>
        </w:rPr>
        <w:t xml:space="preserve"> </w:t>
      </w:r>
      <w:r w:rsidR="00F353B7" w:rsidRPr="00F353B7">
        <w:t>2018</w:t>
      </w:r>
      <w:r w:rsidR="00F353B7">
        <w:rPr>
          <w:lang w:val="fr-CH"/>
        </w:rPr>
        <w:t>)</w:t>
      </w:r>
    </w:p>
    <w:p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>Transmitted by the European Industrial Gases Association (EIGA)</w:t>
      </w:r>
    </w:p>
    <w:p w:rsidR="00B129BF" w:rsidRPr="00B129BF" w:rsidRDefault="00F353B7" w:rsidP="00F353B7">
      <w:pPr>
        <w:pStyle w:val="HChG"/>
      </w:pPr>
      <w:r>
        <w:tab/>
      </w:r>
      <w:r>
        <w:tab/>
      </w:r>
      <w:r w:rsidR="00B129BF" w:rsidRPr="00B129BF">
        <w:t>B</w:t>
      </w:r>
      <w:r>
        <w:t>ackground</w:t>
      </w:r>
    </w:p>
    <w:p w:rsidR="000B259B" w:rsidRPr="00203DDC" w:rsidRDefault="000B259B" w:rsidP="002E2940">
      <w:pPr>
        <w:pStyle w:val="SingleTxtG"/>
        <w:spacing w:before="120"/>
      </w:pPr>
      <w:r w:rsidRPr="00203DDC">
        <w:t>1.</w:t>
      </w:r>
      <w:r w:rsidRPr="00203DDC">
        <w:tab/>
      </w:r>
      <w:r w:rsidR="001411E8">
        <w:rPr>
          <w:lang w:val="en-GB"/>
        </w:rPr>
        <w:t>An informal meeting was held to discuss the c</w:t>
      </w:r>
      <w:r w:rsidR="001411E8" w:rsidRPr="001411E8">
        <w:rPr>
          <w:lang w:val="en-GB"/>
        </w:rPr>
        <w:t>arriage of pressure receptacles approved by the Department of Transportation of the United States of America (DOT)</w:t>
      </w:r>
      <w:r>
        <w:t>.</w:t>
      </w:r>
    </w:p>
    <w:p w:rsidR="000B259B" w:rsidRDefault="000B259B" w:rsidP="002E2940">
      <w:pPr>
        <w:pStyle w:val="SingleTxtG"/>
        <w:spacing w:before="120"/>
        <w:rPr>
          <w:lang w:val="en-IE"/>
        </w:rPr>
      </w:pPr>
      <w:r>
        <w:t>2</w:t>
      </w:r>
      <w:r w:rsidRPr="00203DDC">
        <w:t>.</w:t>
      </w:r>
      <w:r w:rsidRPr="00203DDC">
        <w:tab/>
      </w:r>
      <w:r w:rsidR="001411E8">
        <w:rPr>
          <w:lang w:val="en-IE"/>
        </w:rPr>
        <w:t xml:space="preserve">The intent of the meeting was to review text developed to cover both the import and export of </w:t>
      </w:r>
      <w:r w:rsidR="004F2BFF">
        <w:rPr>
          <w:lang w:val="en-IE"/>
        </w:rPr>
        <w:t xml:space="preserve">gases in </w:t>
      </w:r>
      <w:r w:rsidR="001411E8">
        <w:rPr>
          <w:lang w:val="en-IE"/>
        </w:rPr>
        <w:t xml:space="preserve">pressure receptacles </w:t>
      </w:r>
      <w:r w:rsidR="001411E8" w:rsidRPr="001411E8">
        <w:rPr>
          <w:lang w:val="en-IE"/>
        </w:rPr>
        <w:t xml:space="preserve">constructed in accordance with standards listed in Title 49, </w:t>
      </w:r>
      <w:r w:rsidR="001411E8" w:rsidRPr="001411E8">
        <w:rPr>
          <w:i/>
          <w:lang w:val="en-IE"/>
        </w:rPr>
        <w:t>Transportation,</w:t>
      </w:r>
      <w:r w:rsidR="001411E8" w:rsidRPr="001411E8">
        <w:rPr>
          <w:lang w:val="en-IE"/>
        </w:rPr>
        <w:t xml:space="preserve"> of the Code of Federal Regulations</w:t>
      </w:r>
    </w:p>
    <w:p w:rsidR="00EC42CB" w:rsidRDefault="00EC42CB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3.</w:t>
      </w:r>
      <w:r>
        <w:rPr>
          <w:lang w:val="en-IE"/>
        </w:rPr>
        <w:tab/>
      </w:r>
      <w:r w:rsidR="00967D89">
        <w:rPr>
          <w:lang w:val="en-IE"/>
        </w:rPr>
        <w:t xml:space="preserve">The meeting identified the principles for both the import and export of gases in pressure receptacles </w:t>
      </w:r>
      <w:r w:rsidR="00967D89" w:rsidRPr="00967D89">
        <w:rPr>
          <w:lang w:val="en-IE"/>
        </w:rPr>
        <w:t>constructed in accordance with standards listed in Title 49, Transportation, of the Code of Federal Regulations</w:t>
      </w:r>
      <w:r w:rsidR="00967D89">
        <w:rPr>
          <w:lang w:val="en-IE"/>
        </w:rPr>
        <w:t>.</w:t>
      </w:r>
    </w:p>
    <w:p w:rsidR="00967D89" w:rsidRDefault="00967D89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  <w:t>The principles identified were:</w:t>
      </w:r>
    </w:p>
    <w:p w:rsidR="00967D89" w:rsidRPr="00B129BF" w:rsidRDefault="00967D89" w:rsidP="007063F6">
      <w:pPr>
        <w:pStyle w:val="SingleTxtG"/>
        <w:spacing w:before="120"/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Pr="00B129BF">
        <w:rPr>
          <w:b/>
          <w:lang w:val="en-IE"/>
        </w:rPr>
        <w:t>Import of gases in DOT pressure receptacles</w:t>
      </w:r>
    </w:p>
    <w:p w:rsidR="002778F0" w:rsidRPr="002778F0" w:rsidRDefault="002778F0" w:rsidP="002778F0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>The text allows a land carriage from the end of a transport chain according to 1.1.4.2</w:t>
      </w:r>
      <w:r w:rsidR="00421D8E">
        <w:rPr>
          <w:lang w:val="en-IE"/>
        </w:rPr>
        <w:t xml:space="preserve"> to the user of the gas.</w:t>
      </w:r>
    </w:p>
    <w:p w:rsidR="00967D89" w:rsidRDefault="00967D89" w:rsidP="00967D89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 xml:space="preserve">Pressure receptacles shall be </w:t>
      </w:r>
      <w:r w:rsidRPr="00967D89">
        <w:rPr>
          <w:lang w:val="en-IE"/>
        </w:rPr>
        <w:t>constructed in accordance with standards listed in Title 49, Transportation, of the Code of Federal Regulations</w:t>
      </w:r>
      <w:r>
        <w:rPr>
          <w:lang w:val="en-IE"/>
        </w:rPr>
        <w:t>.</w:t>
      </w:r>
    </w:p>
    <w:p w:rsidR="00967D89" w:rsidRDefault="00967D89" w:rsidP="00967D89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>Periodic inspection and filling shall be in accordance with the requirements of Title 49.</w:t>
      </w:r>
    </w:p>
    <w:p w:rsidR="00967D89" w:rsidRDefault="00967D89" w:rsidP="00967D89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>The RID/ADR text needs to include the references in Title 49 of C</w:t>
      </w:r>
      <w:r w:rsidR="004F2BFF">
        <w:rPr>
          <w:lang w:val="en-IE"/>
        </w:rPr>
        <w:t>F</w:t>
      </w:r>
      <w:r>
        <w:rPr>
          <w:lang w:val="en-IE"/>
        </w:rPr>
        <w:t>R.</w:t>
      </w:r>
    </w:p>
    <w:p w:rsidR="002778F0" w:rsidRDefault="002778F0" w:rsidP="002778F0">
      <w:pPr>
        <w:pStyle w:val="SingleTxtG"/>
        <w:spacing w:before="120"/>
        <w:rPr>
          <w:lang w:val="en-IE"/>
        </w:rPr>
      </w:pPr>
    </w:p>
    <w:p w:rsidR="00967D89" w:rsidRPr="00B129BF" w:rsidRDefault="00967D89" w:rsidP="00967D89">
      <w:pPr>
        <w:pStyle w:val="SingleTxtG"/>
        <w:spacing w:before="120"/>
        <w:ind w:left="1701"/>
        <w:rPr>
          <w:b/>
          <w:lang w:val="en-IE"/>
        </w:rPr>
      </w:pPr>
      <w:r w:rsidRPr="00B129BF">
        <w:rPr>
          <w:b/>
          <w:lang w:val="en-IE"/>
        </w:rPr>
        <w:t>Export of gases in DOT pressure receptacles</w:t>
      </w:r>
    </w:p>
    <w:p w:rsidR="002778F0" w:rsidRPr="002778F0" w:rsidRDefault="002778F0" w:rsidP="002778F0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 xml:space="preserve">The text allows land carriage from the point of filling to the consignor of carriage according to 1.1.4.2 to countries which are not contracting parties/states of </w:t>
      </w:r>
      <w:r w:rsidR="004F2BFF">
        <w:rPr>
          <w:lang w:val="en-IE"/>
        </w:rPr>
        <w:t>RID/ADR/ADN.</w:t>
      </w:r>
    </w:p>
    <w:p w:rsidR="00967D89" w:rsidRDefault="00967D89" w:rsidP="00967D89">
      <w:pPr>
        <w:pStyle w:val="SingleTxtG"/>
        <w:numPr>
          <w:ilvl w:val="0"/>
          <w:numId w:val="21"/>
        </w:numPr>
        <w:spacing w:before="120"/>
        <w:rPr>
          <w:lang w:val="en-IE"/>
        </w:rPr>
      </w:pPr>
      <w:r>
        <w:rPr>
          <w:lang w:val="en-IE"/>
        </w:rPr>
        <w:t>4</w:t>
      </w:r>
      <w:r w:rsidR="002778F0">
        <w:rPr>
          <w:lang w:val="en-IE"/>
        </w:rPr>
        <w:t>b, 4c, and 4d</w:t>
      </w:r>
      <w:r>
        <w:rPr>
          <w:lang w:val="en-IE"/>
        </w:rPr>
        <w:t xml:space="preserve"> shall apply</w:t>
      </w:r>
      <w:bookmarkStart w:id="0" w:name="_GoBack"/>
      <w:bookmarkEnd w:id="0"/>
    </w:p>
    <w:p w:rsidR="003D2520" w:rsidRDefault="00F353B7" w:rsidP="00F353B7">
      <w:pPr>
        <w:pStyle w:val="HChG"/>
      </w:pPr>
      <w:r>
        <w:lastRenderedPageBreak/>
        <w:tab/>
      </w:r>
      <w:r>
        <w:tab/>
      </w:r>
      <w:r w:rsidR="00B129BF" w:rsidRPr="00B129BF">
        <w:t>Draft Text</w:t>
      </w:r>
    </w:p>
    <w:p w:rsidR="00B129BF" w:rsidRDefault="00B129BF" w:rsidP="00F353B7">
      <w:pPr>
        <w:pStyle w:val="SingleTxtG"/>
        <w:tabs>
          <w:tab w:val="left" w:pos="1701"/>
        </w:tabs>
        <w:spacing w:before="120"/>
        <w:rPr>
          <w:lang w:val="en-IE"/>
        </w:rPr>
      </w:pPr>
      <w:r>
        <w:rPr>
          <w:lang w:val="en-IE"/>
        </w:rPr>
        <w:t>5.</w:t>
      </w:r>
      <w:r>
        <w:rPr>
          <w:lang w:val="en-IE"/>
        </w:rPr>
        <w:tab/>
        <w:t xml:space="preserve">Based on (4), the draft text </w:t>
      </w:r>
      <w:proofErr w:type="gramStart"/>
      <w:r>
        <w:rPr>
          <w:lang w:val="en-IE"/>
        </w:rPr>
        <w:t>is :</w:t>
      </w:r>
      <w:proofErr w:type="gramEnd"/>
    </w:p>
    <w:p w:rsidR="00B129BF" w:rsidRPr="00F353B7" w:rsidRDefault="00F353B7" w:rsidP="00F353B7">
      <w:pPr>
        <w:tabs>
          <w:tab w:val="left" w:pos="1701"/>
        </w:tabs>
        <w:suppressAutoHyphens w:val="0"/>
        <w:spacing w:after="160" w:line="259" w:lineRule="auto"/>
        <w:ind w:left="1134" w:right="1134"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“</w:t>
      </w:r>
      <w:r w:rsidR="00B129BF" w:rsidRPr="00F353B7">
        <w:rPr>
          <w:rFonts w:asciiTheme="majorBidi" w:eastAsia="Calibri" w:hAnsiTheme="majorBidi" w:cstheme="majorBidi"/>
        </w:rPr>
        <w:t>1.1.4.7</w:t>
      </w:r>
      <w:r w:rsidR="00B129BF" w:rsidRPr="00F353B7">
        <w:rPr>
          <w:rFonts w:asciiTheme="majorBidi" w:eastAsia="Calibri" w:hAnsiTheme="majorBidi" w:cstheme="majorBidi"/>
        </w:rPr>
        <w:tab/>
      </w:r>
      <w:r w:rsidR="00B129BF" w:rsidRPr="00F353B7">
        <w:rPr>
          <w:rFonts w:asciiTheme="majorBidi" w:eastAsia="Calibri" w:hAnsiTheme="majorBidi" w:cstheme="majorBidi"/>
          <w:b/>
          <w:i/>
        </w:rPr>
        <w:t xml:space="preserve">Refillable pressure receptacles approved </w:t>
      </w:r>
      <w:bookmarkStart w:id="1" w:name="_Hlk525131534"/>
      <w:r w:rsidR="00B129BF" w:rsidRPr="00F353B7">
        <w:rPr>
          <w:rFonts w:asciiTheme="majorBidi" w:eastAsia="Calibri" w:hAnsiTheme="majorBidi" w:cstheme="majorBidi"/>
          <w:b/>
          <w:i/>
        </w:rPr>
        <w:t>by the United States of America Department of Transportation</w:t>
      </w:r>
    </w:p>
    <w:p w:rsidR="00B129BF" w:rsidRPr="00F353B7" w:rsidRDefault="00B129BF" w:rsidP="00F353B7">
      <w:pPr>
        <w:tabs>
          <w:tab w:val="left" w:pos="1701"/>
        </w:tabs>
        <w:suppressAutoHyphens w:val="0"/>
        <w:spacing w:after="160" w:line="259" w:lineRule="auto"/>
        <w:ind w:left="1134" w:right="1134"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 xml:space="preserve">1.1.4.7.1 </w:t>
      </w:r>
      <w:r w:rsidRPr="00F353B7">
        <w:rPr>
          <w:rFonts w:asciiTheme="majorBidi" w:eastAsia="Calibri" w:hAnsiTheme="majorBidi" w:cstheme="majorBidi"/>
        </w:rPr>
        <w:tab/>
      </w:r>
      <w:r w:rsidRPr="00F353B7">
        <w:rPr>
          <w:rFonts w:asciiTheme="majorBidi" w:eastAsia="Calibri" w:hAnsiTheme="majorBidi" w:cstheme="majorBidi"/>
          <w:b/>
        </w:rPr>
        <w:t>Import of gases</w:t>
      </w:r>
    </w:p>
    <w:p w:rsidR="00B129BF" w:rsidRPr="00F353B7" w:rsidRDefault="00F353B7" w:rsidP="00F353B7">
      <w:pPr>
        <w:tabs>
          <w:tab w:val="left" w:pos="2268"/>
        </w:tabs>
        <w:suppressAutoHyphens w:val="0"/>
        <w:spacing w:after="160" w:line="259" w:lineRule="auto"/>
        <w:ind w:left="1134" w:right="1134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ab/>
      </w:r>
      <w:r>
        <w:rPr>
          <w:rFonts w:asciiTheme="majorBidi" w:eastAsia="Calibri" w:hAnsiTheme="majorBidi" w:cstheme="majorBidi"/>
        </w:rPr>
        <w:tab/>
      </w:r>
      <w:r w:rsidR="00B129BF" w:rsidRPr="00F353B7">
        <w:rPr>
          <w:rFonts w:asciiTheme="majorBidi" w:eastAsia="Calibri" w:hAnsiTheme="majorBidi" w:cstheme="majorBidi"/>
        </w:rPr>
        <w:t xml:space="preserve">Refillable pressure receptacles approved by the United States of America Department of Transportation and constructed in accordance with standards listed in Title 49, </w:t>
      </w:r>
      <w:r w:rsidR="00B129BF" w:rsidRPr="00F353B7">
        <w:rPr>
          <w:rFonts w:asciiTheme="majorBidi" w:eastAsia="Calibri" w:hAnsiTheme="majorBidi" w:cstheme="majorBidi"/>
          <w:i/>
        </w:rPr>
        <w:t>Transportation</w:t>
      </w:r>
      <w:r w:rsidR="00B129BF" w:rsidRPr="00F353B7">
        <w:rPr>
          <w:rFonts w:asciiTheme="majorBidi" w:eastAsia="Calibri" w:hAnsiTheme="majorBidi" w:cstheme="majorBidi"/>
        </w:rPr>
        <w:t xml:space="preserve">, of the Code of Federal Regulations </w:t>
      </w:r>
      <w:bookmarkEnd w:id="1"/>
      <w:r w:rsidR="00B129BF" w:rsidRPr="00F353B7">
        <w:rPr>
          <w:rFonts w:asciiTheme="majorBidi" w:eastAsia="Calibri" w:hAnsiTheme="majorBidi" w:cstheme="majorBidi"/>
        </w:rPr>
        <w:t xml:space="preserve">accepted for carriage in a transport chain in accordance with 1.1.4.2 may be carried from the </w:t>
      </w:r>
      <w:proofErr w:type="gramStart"/>
      <w:r w:rsidR="00B129BF" w:rsidRPr="00F353B7">
        <w:rPr>
          <w:rFonts w:asciiTheme="majorBidi" w:eastAsia="Calibri" w:hAnsiTheme="majorBidi" w:cstheme="majorBidi"/>
        </w:rPr>
        <w:t>end point</w:t>
      </w:r>
      <w:proofErr w:type="gramEnd"/>
      <w:r w:rsidR="00B129BF" w:rsidRPr="00F353B7">
        <w:rPr>
          <w:rFonts w:asciiTheme="majorBidi" w:eastAsia="Calibri" w:hAnsiTheme="majorBidi" w:cstheme="majorBidi"/>
        </w:rPr>
        <w:t xml:space="preserve"> of the transport chain to the end user. </w:t>
      </w:r>
      <w:bookmarkStart w:id="2" w:name="_Hlk525218761"/>
      <w:r w:rsidR="00B129BF" w:rsidRPr="00F353B7">
        <w:rPr>
          <w:rFonts w:asciiTheme="majorBidi" w:eastAsia="Calibri" w:hAnsiTheme="majorBidi" w:cstheme="majorBidi"/>
        </w:rPr>
        <w:t>[Additional text to be added with references to CFR]</w:t>
      </w:r>
      <w:bookmarkEnd w:id="2"/>
    </w:p>
    <w:p w:rsidR="00B129BF" w:rsidRPr="00F353B7" w:rsidRDefault="00B129BF" w:rsidP="00F353B7">
      <w:pPr>
        <w:tabs>
          <w:tab w:val="left" w:pos="1701"/>
        </w:tabs>
        <w:suppressAutoHyphens w:val="0"/>
        <w:spacing w:after="160" w:line="259" w:lineRule="auto"/>
        <w:ind w:left="1134" w:right="1134"/>
        <w:jc w:val="both"/>
        <w:rPr>
          <w:rFonts w:asciiTheme="majorBidi" w:eastAsia="Calibri" w:hAnsiTheme="majorBidi" w:cstheme="majorBidi"/>
        </w:rPr>
      </w:pPr>
      <w:bookmarkStart w:id="3" w:name="_Hlk525132507"/>
      <w:r w:rsidRPr="00F353B7">
        <w:rPr>
          <w:rFonts w:asciiTheme="majorBidi" w:eastAsia="Calibri" w:hAnsiTheme="majorBidi" w:cstheme="majorBidi"/>
        </w:rPr>
        <w:t>The consignor for the RID/ADR/ADN carriage shall include the following entry in the transport document:</w:t>
      </w:r>
    </w:p>
    <w:p w:rsidR="00B129BF" w:rsidRPr="00F353B7" w:rsidRDefault="00B129BF" w:rsidP="00F353B7">
      <w:pPr>
        <w:tabs>
          <w:tab w:val="left" w:pos="1701"/>
        </w:tabs>
        <w:suppressAutoHyphens w:val="0"/>
        <w:spacing w:after="160" w:line="259" w:lineRule="auto"/>
        <w:ind w:left="1134" w:right="1134"/>
        <w:jc w:val="center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“Carriage in accordance with 1.1.4.7”</w:t>
      </w:r>
    </w:p>
    <w:bookmarkEnd w:id="3"/>
    <w:p w:rsidR="00B129BF" w:rsidRPr="00F353B7" w:rsidRDefault="00B129BF" w:rsidP="00F353B7">
      <w:pPr>
        <w:tabs>
          <w:tab w:val="left" w:pos="2268"/>
        </w:tabs>
        <w:suppressAutoHyphens w:val="0"/>
        <w:spacing w:after="120" w:line="240" w:lineRule="auto"/>
        <w:ind w:left="1134" w:right="1134"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1.1.4.7.2</w:t>
      </w:r>
      <w:r w:rsidR="00F353B7">
        <w:rPr>
          <w:rFonts w:asciiTheme="majorBidi" w:eastAsia="Calibri" w:hAnsiTheme="majorBidi" w:cstheme="majorBidi"/>
        </w:rPr>
        <w:t xml:space="preserve"> </w:t>
      </w:r>
      <w:r w:rsidR="00F353B7">
        <w:rPr>
          <w:rFonts w:asciiTheme="majorBidi" w:eastAsia="Calibri" w:hAnsiTheme="majorBidi" w:cstheme="majorBidi"/>
        </w:rPr>
        <w:tab/>
      </w:r>
      <w:r w:rsidRPr="00F353B7">
        <w:rPr>
          <w:rFonts w:asciiTheme="majorBidi" w:eastAsia="Calibri" w:hAnsiTheme="majorBidi" w:cstheme="majorBidi"/>
          <w:b/>
        </w:rPr>
        <w:t>Export of gases</w:t>
      </w:r>
    </w:p>
    <w:p w:rsidR="00B129BF" w:rsidRPr="00F353B7" w:rsidRDefault="00F353B7" w:rsidP="00F353B7">
      <w:pPr>
        <w:tabs>
          <w:tab w:val="left" w:pos="2268"/>
        </w:tabs>
        <w:suppressAutoHyphens w:val="0"/>
        <w:spacing w:after="120" w:line="240" w:lineRule="auto"/>
        <w:ind w:left="1134" w:right="1134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ab/>
      </w:r>
      <w:r w:rsidR="00B129BF" w:rsidRPr="00F353B7">
        <w:rPr>
          <w:rFonts w:asciiTheme="majorBidi" w:eastAsia="Calibri" w:hAnsiTheme="majorBidi" w:cstheme="majorBidi"/>
        </w:rPr>
        <w:t xml:space="preserve">Refillable pressure receptacles approved by the United States of America Department of Transportation and constructed in accordance with standards listed in Title 49, </w:t>
      </w:r>
      <w:r w:rsidR="00B129BF" w:rsidRPr="00F353B7">
        <w:rPr>
          <w:rFonts w:asciiTheme="majorBidi" w:eastAsia="Calibri" w:hAnsiTheme="majorBidi" w:cstheme="majorBidi"/>
          <w:i/>
        </w:rPr>
        <w:t>Transportation</w:t>
      </w:r>
      <w:r w:rsidR="00B129BF" w:rsidRPr="00F353B7">
        <w:rPr>
          <w:rFonts w:asciiTheme="majorBidi" w:eastAsia="Calibri" w:hAnsiTheme="majorBidi" w:cstheme="majorBidi"/>
        </w:rPr>
        <w:t>, of the Code of Federal Regulations may be filled and carried only for the purpose of exporting to countries which are not Contracting States of RID/ADR or ADN contracting parties provided the following are met: [Additional text to be added with references to CFR]</w:t>
      </w:r>
    </w:p>
    <w:p w:rsidR="00B129BF" w:rsidRPr="00F353B7" w:rsidRDefault="00B129BF" w:rsidP="00F353B7">
      <w:pPr>
        <w:suppressAutoHyphens w:val="0"/>
        <w:spacing w:after="120" w:line="240" w:lineRule="auto"/>
        <w:ind w:left="2694" w:right="1134" w:hanging="567"/>
        <w:contextualSpacing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a)</w:t>
      </w:r>
      <w:r w:rsidR="00F353B7">
        <w:rPr>
          <w:rFonts w:asciiTheme="majorBidi" w:eastAsia="Calibri" w:hAnsiTheme="majorBidi" w:cstheme="majorBidi"/>
        </w:rPr>
        <w:t xml:space="preserve"> </w:t>
      </w:r>
      <w:r w:rsidR="00F353B7">
        <w:rPr>
          <w:rFonts w:asciiTheme="majorBidi" w:eastAsia="Calibri" w:hAnsiTheme="majorBidi" w:cstheme="majorBidi"/>
        </w:rPr>
        <w:tab/>
      </w:r>
      <w:r w:rsidRPr="00F353B7">
        <w:rPr>
          <w:rFonts w:asciiTheme="majorBidi" w:eastAsia="Calibri" w:hAnsiTheme="majorBidi" w:cstheme="majorBidi"/>
        </w:rPr>
        <w:t>The pressure receptacle has been tested and is filled in accordance with the relevant requirements of Code of Federal Regulations of the United States of America.</w:t>
      </w:r>
    </w:p>
    <w:p w:rsidR="00B129BF" w:rsidRPr="00F353B7" w:rsidRDefault="00B129BF" w:rsidP="00F353B7">
      <w:pPr>
        <w:suppressAutoHyphens w:val="0"/>
        <w:spacing w:after="120" w:line="240" w:lineRule="auto"/>
        <w:ind w:left="2694" w:right="1134" w:hanging="567"/>
        <w:contextualSpacing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b)</w:t>
      </w:r>
      <w:r w:rsidR="00F353B7">
        <w:rPr>
          <w:rFonts w:asciiTheme="majorBidi" w:eastAsia="Calibri" w:hAnsiTheme="majorBidi" w:cstheme="majorBidi"/>
        </w:rPr>
        <w:t xml:space="preserve"> </w:t>
      </w:r>
      <w:r w:rsidR="00F353B7">
        <w:rPr>
          <w:rFonts w:asciiTheme="majorBidi" w:eastAsia="Calibri" w:hAnsiTheme="majorBidi" w:cstheme="majorBidi"/>
        </w:rPr>
        <w:tab/>
      </w:r>
      <w:r w:rsidRPr="00F353B7">
        <w:rPr>
          <w:rFonts w:asciiTheme="majorBidi" w:eastAsia="Calibri" w:hAnsiTheme="majorBidi" w:cstheme="majorBidi"/>
        </w:rPr>
        <w:t>The pressure receptacles shall be marked and labelled in accordance with Chapter 5.2 of RID/ADR/ADN.</w:t>
      </w:r>
    </w:p>
    <w:p w:rsidR="00B129BF" w:rsidRPr="00F353B7" w:rsidRDefault="00B129BF" w:rsidP="00F353B7">
      <w:pPr>
        <w:suppressAutoHyphens w:val="0"/>
        <w:spacing w:after="120" w:line="240" w:lineRule="auto"/>
        <w:ind w:left="2694" w:right="1134" w:hanging="567"/>
        <w:jc w:val="both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c)</w:t>
      </w:r>
      <w:r w:rsidR="00F353B7">
        <w:rPr>
          <w:rFonts w:asciiTheme="majorBidi" w:eastAsia="Calibri" w:hAnsiTheme="majorBidi" w:cstheme="majorBidi"/>
        </w:rPr>
        <w:t xml:space="preserve"> </w:t>
      </w:r>
      <w:r w:rsidR="00F353B7">
        <w:rPr>
          <w:rFonts w:asciiTheme="majorBidi" w:eastAsia="Calibri" w:hAnsiTheme="majorBidi" w:cstheme="majorBidi"/>
        </w:rPr>
        <w:tab/>
      </w:r>
      <w:r w:rsidRPr="00F353B7">
        <w:rPr>
          <w:rFonts w:asciiTheme="majorBidi" w:eastAsia="Calibri" w:hAnsiTheme="majorBidi" w:cstheme="majorBidi"/>
        </w:rPr>
        <w:t>The consignor for the RID/ADR/ADN carriage shall include the following entry in the transport document:</w:t>
      </w:r>
    </w:p>
    <w:p w:rsidR="00B129BF" w:rsidRDefault="00B129BF" w:rsidP="00F353B7">
      <w:pPr>
        <w:tabs>
          <w:tab w:val="left" w:pos="1701"/>
        </w:tabs>
        <w:suppressAutoHyphens w:val="0"/>
        <w:spacing w:after="120" w:line="240" w:lineRule="auto"/>
        <w:ind w:left="1134" w:right="1134"/>
        <w:jc w:val="center"/>
        <w:rPr>
          <w:rFonts w:asciiTheme="majorBidi" w:eastAsia="Calibri" w:hAnsiTheme="majorBidi" w:cstheme="majorBidi"/>
        </w:rPr>
      </w:pPr>
      <w:r w:rsidRPr="00F353B7">
        <w:rPr>
          <w:rFonts w:asciiTheme="majorBidi" w:eastAsia="Calibri" w:hAnsiTheme="majorBidi" w:cstheme="majorBidi"/>
        </w:rPr>
        <w:t>“Carriage in accordance with 1.1.4.7”</w:t>
      </w:r>
    </w:p>
    <w:p w:rsidR="00F353B7" w:rsidRPr="00F353B7" w:rsidRDefault="00F353B7" w:rsidP="00F353B7">
      <w:pPr>
        <w:tabs>
          <w:tab w:val="left" w:pos="1701"/>
        </w:tabs>
        <w:suppressAutoHyphens w:val="0"/>
        <w:spacing w:after="120" w:line="240" w:lineRule="auto"/>
        <w:ind w:left="1134" w:right="1134"/>
        <w:jc w:val="center"/>
        <w:rPr>
          <w:rFonts w:asciiTheme="majorBidi" w:eastAsia="Calibri" w:hAnsiTheme="majorBidi" w:cstheme="majorBidi"/>
        </w:rPr>
      </w:pPr>
    </w:p>
    <w:p w:rsidR="00B129BF" w:rsidRDefault="00F353B7" w:rsidP="00F353B7">
      <w:pPr>
        <w:pStyle w:val="HChG"/>
        <w:tabs>
          <w:tab w:val="left" w:pos="8505"/>
        </w:tabs>
      </w:pPr>
      <w:r>
        <w:tab/>
      </w:r>
      <w:r>
        <w:tab/>
      </w:r>
      <w:r w:rsidR="00B129BF" w:rsidRPr="00B129BF">
        <w:t>General</w:t>
      </w:r>
    </w:p>
    <w:p w:rsidR="00B129BF" w:rsidRPr="00B129BF" w:rsidRDefault="00B129BF" w:rsidP="00F353B7">
      <w:pPr>
        <w:pStyle w:val="SingleTxtG"/>
        <w:tabs>
          <w:tab w:val="left" w:pos="8505"/>
        </w:tabs>
        <w:spacing w:before="120"/>
        <w:rPr>
          <w:lang w:val="en-GB"/>
        </w:rPr>
      </w:pPr>
      <w:r w:rsidRPr="00B129BF">
        <w:rPr>
          <w:lang w:val="en-GB"/>
        </w:rPr>
        <w:t>6.</w:t>
      </w:r>
      <w:r w:rsidR="00F353B7">
        <w:rPr>
          <w:lang w:val="en-GB"/>
        </w:rPr>
        <w:t xml:space="preserve"> </w:t>
      </w:r>
      <w:r>
        <w:rPr>
          <w:lang w:val="en-GB"/>
        </w:rPr>
        <w:t xml:space="preserve">The intent is that the EIGA will work with the interested parties from Europe and the Expert </w:t>
      </w:r>
      <w:r w:rsidR="004F2BFF">
        <w:rPr>
          <w:lang w:val="en-GB"/>
        </w:rPr>
        <w:t>from</w:t>
      </w:r>
      <w:r>
        <w:rPr>
          <w:lang w:val="en-GB"/>
        </w:rPr>
        <w:t xml:space="preserve"> the United States in ensuring alignment of the draft text for ADR and as that proposed in the regulatory change in </w:t>
      </w:r>
      <w:r w:rsidR="00F353B7">
        <w:rPr>
          <w:lang w:val="en-GB"/>
        </w:rPr>
        <w:t>the Code of Federal Regulations.</w:t>
      </w:r>
    </w:p>
    <w:p w:rsidR="00B129BF" w:rsidRPr="00B129BF" w:rsidRDefault="00B129BF" w:rsidP="00F353B7">
      <w:pPr>
        <w:pStyle w:val="SingleTxtG"/>
        <w:tabs>
          <w:tab w:val="left" w:pos="8505"/>
        </w:tabs>
        <w:spacing w:before="120"/>
        <w:rPr>
          <w:b/>
          <w:lang w:val="en-IE"/>
        </w:rPr>
      </w:pPr>
    </w:p>
    <w:p w:rsidR="00C97AC8" w:rsidRPr="00C97AC8" w:rsidRDefault="00C97AC8" w:rsidP="00C97AC8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C97AC8" w:rsidRPr="00C97AC8" w:rsidSect="001714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65" w:rsidRDefault="00ED7A65"/>
  </w:endnote>
  <w:endnote w:type="continuationSeparator" w:id="0">
    <w:p w:rsidR="00ED7A65" w:rsidRDefault="00ED7A65"/>
  </w:endnote>
  <w:endnote w:type="continuationNotice" w:id="1">
    <w:p w:rsidR="00ED7A65" w:rsidRDefault="00ED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97AC8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65" w:rsidRPr="000B175B" w:rsidRDefault="00ED7A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7A65" w:rsidRPr="00FC68B7" w:rsidRDefault="00ED7A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7A65" w:rsidRDefault="00ED7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F353B7">
      <w:rPr>
        <w:lang w:val="fr-CH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3452856"/>
    <w:multiLevelType w:val="hybridMultilevel"/>
    <w:tmpl w:val="159EA828"/>
    <w:lvl w:ilvl="0" w:tplc="FD728E92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5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21559"/>
    <w:rsid w:val="00037F90"/>
    <w:rsid w:val="00046B1F"/>
    <w:rsid w:val="00047005"/>
    <w:rsid w:val="00050F6B"/>
    <w:rsid w:val="000531ED"/>
    <w:rsid w:val="000547A7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C2C03"/>
    <w:rsid w:val="000C2D2E"/>
    <w:rsid w:val="000C4D51"/>
    <w:rsid w:val="000C7F79"/>
    <w:rsid w:val="000E0415"/>
    <w:rsid w:val="000E4D44"/>
    <w:rsid w:val="0010391C"/>
    <w:rsid w:val="00104CDA"/>
    <w:rsid w:val="001103AA"/>
    <w:rsid w:val="0011666B"/>
    <w:rsid w:val="00125117"/>
    <w:rsid w:val="001411E8"/>
    <w:rsid w:val="00155068"/>
    <w:rsid w:val="00165F3A"/>
    <w:rsid w:val="0017141F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2F6A"/>
    <w:rsid w:val="00224287"/>
    <w:rsid w:val="0024023A"/>
    <w:rsid w:val="00243217"/>
    <w:rsid w:val="00252290"/>
    <w:rsid w:val="00267F5F"/>
    <w:rsid w:val="002778F0"/>
    <w:rsid w:val="00280FE8"/>
    <w:rsid w:val="00286B4D"/>
    <w:rsid w:val="002A3C85"/>
    <w:rsid w:val="002A603B"/>
    <w:rsid w:val="002C0F95"/>
    <w:rsid w:val="002C657C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609C9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21D8E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4F2BFF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3D04"/>
    <w:rsid w:val="005B3DB3"/>
    <w:rsid w:val="005B4E13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67D89"/>
    <w:rsid w:val="009760F3"/>
    <w:rsid w:val="0098203C"/>
    <w:rsid w:val="00992058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29BF"/>
    <w:rsid w:val="00B2046E"/>
    <w:rsid w:val="00B22BC2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2681"/>
    <w:rsid w:val="00BA6AF3"/>
    <w:rsid w:val="00BB2232"/>
    <w:rsid w:val="00BB7CD1"/>
    <w:rsid w:val="00BB7FE9"/>
    <w:rsid w:val="00BC0129"/>
    <w:rsid w:val="00BC3FA0"/>
    <w:rsid w:val="00BC74E9"/>
    <w:rsid w:val="00BD55A0"/>
    <w:rsid w:val="00BE7E4D"/>
    <w:rsid w:val="00BF15A1"/>
    <w:rsid w:val="00BF68A8"/>
    <w:rsid w:val="00C10FE6"/>
    <w:rsid w:val="00C11A03"/>
    <w:rsid w:val="00C22C0C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31B"/>
    <w:rsid w:val="00D25FE2"/>
    <w:rsid w:val="00D43252"/>
    <w:rsid w:val="00D4519C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63E9D"/>
    <w:rsid w:val="00E71BC8"/>
    <w:rsid w:val="00E72245"/>
    <w:rsid w:val="00E7260F"/>
    <w:rsid w:val="00E73F5D"/>
    <w:rsid w:val="00E77E4E"/>
    <w:rsid w:val="00E96630"/>
    <w:rsid w:val="00EC106A"/>
    <w:rsid w:val="00EC32A0"/>
    <w:rsid w:val="00EC42CB"/>
    <w:rsid w:val="00EC5A86"/>
    <w:rsid w:val="00ED7A2A"/>
    <w:rsid w:val="00ED7A65"/>
    <w:rsid w:val="00EE1694"/>
    <w:rsid w:val="00EE31F7"/>
    <w:rsid w:val="00EE663D"/>
    <w:rsid w:val="00EE6B3A"/>
    <w:rsid w:val="00EF1D7F"/>
    <w:rsid w:val="00F227A6"/>
    <w:rsid w:val="00F31E5F"/>
    <w:rsid w:val="00F353B7"/>
    <w:rsid w:val="00F36F0D"/>
    <w:rsid w:val="00F4272A"/>
    <w:rsid w:val="00F6100A"/>
    <w:rsid w:val="00F64E8A"/>
    <w:rsid w:val="00F66565"/>
    <w:rsid w:val="00F6714D"/>
    <w:rsid w:val="00F93781"/>
    <w:rsid w:val="00F962B7"/>
    <w:rsid w:val="00FA3772"/>
    <w:rsid w:val="00FB3DD7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FBC83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02CB-697A-45D7-9190-5855D980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Rosa Garcia Couto</cp:lastModifiedBy>
  <cp:revision>3</cp:revision>
  <cp:lastPrinted>2018-09-05T07:41:00Z</cp:lastPrinted>
  <dcterms:created xsi:type="dcterms:W3CDTF">2018-09-20T13:27:00Z</dcterms:created>
  <dcterms:modified xsi:type="dcterms:W3CDTF">2018-09-20T13:33:00Z</dcterms:modified>
</cp:coreProperties>
</file>