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134F8B">
            <w:pPr>
              <w:suppressAutoHyphens w:val="0"/>
              <w:spacing w:after="20"/>
              <w:jc w:val="right"/>
            </w:pPr>
            <w:r w:rsidRPr="00B11BB4">
              <w:rPr>
                <w:sz w:val="40"/>
              </w:rPr>
              <w:t>ECE</w:t>
            </w:r>
            <w:r>
              <w:t>/TRANS/WP.15/AC.1/201</w:t>
            </w:r>
            <w:r w:rsidR="00951774">
              <w:t>8</w:t>
            </w:r>
            <w:r>
              <w:t>/</w:t>
            </w:r>
            <w:r w:rsidR="00134F8B">
              <w:t>6</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B64B83" w:rsidP="00B11BB4">
            <w:pPr>
              <w:suppressAutoHyphens w:val="0"/>
            </w:pPr>
            <w:r>
              <w:t>21</w:t>
            </w:r>
            <w:r w:rsidR="00F65AE4">
              <w:t xml:space="preserve"> </w:t>
            </w:r>
            <w:r w:rsidR="00381D8E">
              <w:t xml:space="preserve">December </w:t>
            </w:r>
            <w:r w:rsidR="001B13A5">
              <w:t>201</w:t>
            </w:r>
            <w:r w:rsidR="001208E2">
              <w:t>7</w:t>
            </w:r>
          </w:p>
          <w:p w:rsidR="009D2A5B" w:rsidRDefault="009D2A5B" w:rsidP="00B11BB4">
            <w:pPr>
              <w:suppressAutoHyphens w:val="0"/>
            </w:pPr>
          </w:p>
          <w:p w:rsidR="00B56E9C" w:rsidRDefault="009D2A5B" w:rsidP="00C3172E">
            <w:pPr>
              <w:suppressAutoHyphens w:val="0"/>
            </w:pPr>
            <w:r>
              <w:t xml:space="preserve">Original: </w:t>
            </w:r>
            <w:r w:rsidR="0094558F">
              <w:t xml:space="preserve"> English</w:t>
            </w:r>
            <w:r w:rsidR="00B734ED">
              <w:t xml:space="preserve"> </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Pr="00F8739D" w:rsidRDefault="009D2A5B" w:rsidP="009D2A5B">
      <w:pPr>
        <w:rPr>
          <w:b/>
        </w:rPr>
      </w:pPr>
      <w:r w:rsidRPr="00F8739D">
        <w:rPr>
          <w:b/>
        </w:rPr>
        <w:t>Working Party on the Transport of Dangerous Goods</w:t>
      </w:r>
    </w:p>
    <w:p w:rsidR="009D2A5B" w:rsidRPr="00F8739D" w:rsidRDefault="008408CA" w:rsidP="00BB7CD1">
      <w:r w:rsidRPr="00F8739D">
        <w:t>Bern</w:t>
      </w:r>
      <w:r w:rsidR="00BB7CD1" w:rsidRPr="00F8739D">
        <w:t xml:space="preserve">, </w:t>
      </w:r>
      <w:r w:rsidR="00AE08DA" w:rsidRPr="00F8739D">
        <w:t>1</w:t>
      </w:r>
      <w:r w:rsidR="00381D8E" w:rsidRPr="00F8739D">
        <w:t>2</w:t>
      </w:r>
      <w:r w:rsidR="00F65AE4" w:rsidRPr="00F8739D">
        <w:t>-</w:t>
      </w:r>
      <w:r w:rsidR="00381D8E" w:rsidRPr="00F8739D">
        <w:t xml:space="preserve">16 March </w:t>
      </w:r>
      <w:r w:rsidR="00BB7CD1" w:rsidRPr="00F8739D">
        <w:t>201</w:t>
      </w:r>
      <w:r w:rsidR="00381D8E" w:rsidRPr="00F8739D">
        <w:t>8</w:t>
      </w:r>
    </w:p>
    <w:p w:rsidR="00B175D8" w:rsidRPr="00F8739D" w:rsidRDefault="000D640A" w:rsidP="00B175D8">
      <w:r w:rsidRPr="00F8739D">
        <w:t xml:space="preserve">Item </w:t>
      </w:r>
      <w:r w:rsidR="00B9354D" w:rsidRPr="00F8739D">
        <w:t>2</w:t>
      </w:r>
      <w:r w:rsidRPr="00F8739D">
        <w:t xml:space="preserve"> of the provisional agenda</w:t>
      </w:r>
    </w:p>
    <w:p w:rsidR="00FA6DA6" w:rsidRPr="00C563BF" w:rsidRDefault="00B9354D" w:rsidP="00B175D8">
      <w:pPr>
        <w:rPr>
          <w:b/>
        </w:rPr>
      </w:pPr>
      <w:r w:rsidRPr="00F8739D">
        <w:rPr>
          <w:b/>
        </w:rPr>
        <w:t>Tanks</w:t>
      </w:r>
      <w:r w:rsidR="000D640A">
        <w:rPr>
          <w:b/>
        </w:rPr>
        <w:t xml:space="preserve"> </w:t>
      </w:r>
    </w:p>
    <w:p w:rsidR="00C3172E" w:rsidRPr="00EE168C" w:rsidRDefault="00C3172E" w:rsidP="00C3172E">
      <w:pPr>
        <w:pStyle w:val="HChG"/>
      </w:pPr>
      <w:r>
        <w:tab/>
      </w:r>
      <w:r>
        <w:tab/>
      </w:r>
      <w:r w:rsidR="005927B4" w:rsidRPr="005927B4">
        <w:t>Qualification of welding procedures – Welding according to 6.8.2.1.23</w:t>
      </w:r>
    </w:p>
    <w:p w:rsidR="00C3172E" w:rsidRDefault="00C3172E" w:rsidP="00C3172E">
      <w:pPr>
        <w:pStyle w:val="H1G"/>
        <w:rPr>
          <w:b w:val="0"/>
          <w:sz w:val="20"/>
        </w:rPr>
      </w:pPr>
      <w:r>
        <w:tab/>
      </w:r>
      <w:r>
        <w:tab/>
      </w:r>
      <w:r w:rsidR="002E7E8E">
        <w:t>T</w:t>
      </w:r>
      <w:r>
        <w:t xml:space="preserve">ransmitted by </w:t>
      </w:r>
      <w:r w:rsidR="002E7E8E">
        <w:t xml:space="preserve">the Government of </w:t>
      </w:r>
      <w:r w:rsidR="00A158FB">
        <w:t>Poland</w:t>
      </w:r>
      <w:r w:rsidR="00C563BF" w:rsidRPr="00C563BF">
        <w:rPr>
          <w:rStyle w:val="FootnoteReference"/>
          <w:sz w:val="20"/>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074915" w:rsidRPr="008137C6" w:rsidTr="00315EE9">
        <w:trPr>
          <w:jc w:val="center"/>
        </w:trPr>
        <w:tc>
          <w:tcPr>
            <w:tcW w:w="9082" w:type="dxa"/>
            <w:shd w:val="clear" w:color="auto" w:fill="auto"/>
          </w:tcPr>
          <w:p w:rsidR="00074915" w:rsidRPr="008137C6" w:rsidRDefault="00074915" w:rsidP="00315EE9">
            <w:pPr>
              <w:spacing w:before="240" w:after="120"/>
              <w:ind w:left="255"/>
              <w:rPr>
                <w:i/>
                <w:sz w:val="24"/>
              </w:rPr>
            </w:pPr>
            <w:r w:rsidRPr="008137C6">
              <w:rPr>
                <w:i/>
                <w:sz w:val="24"/>
              </w:rPr>
              <w:t>Summary</w:t>
            </w:r>
          </w:p>
        </w:tc>
      </w:tr>
      <w:tr w:rsidR="00074915" w:rsidRPr="008137C6" w:rsidTr="00315EE9">
        <w:trPr>
          <w:jc w:val="center"/>
        </w:trPr>
        <w:tc>
          <w:tcPr>
            <w:tcW w:w="9082" w:type="dxa"/>
            <w:shd w:val="clear" w:color="auto" w:fill="auto"/>
          </w:tcPr>
          <w:p w:rsidR="00074915" w:rsidRPr="008137C6" w:rsidRDefault="00074915" w:rsidP="001B28C2">
            <w:pPr>
              <w:tabs>
                <w:tab w:val="left" w:pos="3260"/>
              </w:tabs>
              <w:spacing w:after="120"/>
              <w:ind w:left="3260" w:right="1134" w:hanging="2126"/>
              <w:jc w:val="both"/>
            </w:pPr>
            <w:r w:rsidRPr="008137C6">
              <w:rPr>
                <w:b/>
              </w:rPr>
              <w:t>Executive summary:</w:t>
            </w:r>
            <w:r w:rsidRPr="008137C6">
              <w:tab/>
            </w:r>
            <w:r w:rsidRPr="00B56B4E">
              <w:rPr>
                <w:rFonts w:eastAsia="Calibri"/>
              </w:rPr>
              <w:t xml:space="preserve">The aim of this proposal is to </w:t>
            </w:r>
            <w:r w:rsidRPr="00905974">
              <w:rPr>
                <w:rFonts w:eastAsia="Calibri"/>
              </w:rPr>
              <w:t>clar</w:t>
            </w:r>
            <w:r w:rsidRPr="00B56B4E">
              <w:rPr>
                <w:rFonts w:eastAsia="Calibri"/>
              </w:rPr>
              <w:t xml:space="preserve">ify </w:t>
            </w:r>
            <w:r w:rsidR="005927B4">
              <w:rPr>
                <w:rFonts w:eastAsia="Calibri"/>
              </w:rPr>
              <w:t xml:space="preserve">which level of </w:t>
            </w:r>
            <w:r w:rsidR="005927B4" w:rsidRPr="005927B4">
              <w:rPr>
                <w:rFonts w:eastAsia="Calibri"/>
              </w:rPr>
              <w:t>welding procedure tests described in EN ISO 15614-1:2017 should be used</w:t>
            </w:r>
            <w:r w:rsidR="005927B4">
              <w:rPr>
                <w:rFonts w:eastAsia="Calibri"/>
              </w:rPr>
              <w:t>.</w:t>
            </w:r>
            <w:r w:rsidR="005060EC">
              <w:rPr>
                <w:rFonts w:eastAsia="Calibri"/>
              </w:rPr>
              <w:t xml:space="preserve"> </w:t>
            </w:r>
            <w:r w:rsidR="005060EC" w:rsidRPr="005060EC">
              <w:rPr>
                <w:rFonts w:eastAsia="Calibri"/>
              </w:rPr>
              <w:t xml:space="preserve">This standard is referenced in standards EN 14025:2013 and EN 14025:2013 + A1:2016, which </w:t>
            </w:r>
            <w:r w:rsidR="001E5B26">
              <w:rPr>
                <w:rFonts w:eastAsia="Calibri"/>
              </w:rPr>
              <w:t xml:space="preserve">are </w:t>
            </w:r>
            <w:r w:rsidR="005060EC">
              <w:rPr>
                <w:rFonts w:eastAsia="Calibri"/>
              </w:rPr>
              <w:t xml:space="preserve">included in </w:t>
            </w:r>
            <w:r w:rsidR="001B28C2">
              <w:rPr>
                <w:rFonts w:eastAsia="Calibri"/>
              </w:rPr>
              <w:t>the T</w:t>
            </w:r>
            <w:r w:rsidR="005060EC">
              <w:rPr>
                <w:rFonts w:eastAsia="Calibri"/>
              </w:rPr>
              <w:t xml:space="preserve">able </w:t>
            </w:r>
            <w:r w:rsidR="005060EC" w:rsidRPr="005060EC">
              <w:rPr>
                <w:rFonts w:eastAsia="Calibri"/>
              </w:rPr>
              <w:t>in 6.8.2.6.1</w:t>
            </w:r>
            <w:r w:rsidR="001E5B26">
              <w:rPr>
                <w:rFonts w:eastAsia="Calibri"/>
              </w:rPr>
              <w:t>.</w:t>
            </w:r>
            <w:r w:rsidR="00566590">
              <w:rPr>
                <w:rFonts w:eastAsia="Calibri"/>
              </w:rPr>
              <w:t xml:space="preserve"> </w:t>
            </w:r>
            <w:r w:rsidR="00CF6912">
              <w:rPr>
                <w:rFonts w:eastAsia="Calibri"/>
              </w:rPr>
              <w:t xml:space="preserve"> </w:t>
            </w:r>
          </w:p>
        </w:tc>
      </w:tr>
      <w:tr w:rsidR="00074915" w:rsidRPr="008137C6" w:rsidTr="00315EE9">
        <w:trPr>
          <w:jc w:val="center"/>
        </w:trPr>
        <w:tc>
          <w:tcPr>
            <w:tcW w:w="9082" w:type="dxa"/>
            <w:shd w:val="clear" w:color="auto" w:fill="auto"/>
          </w:tcPr>
          <w:p w:rsidR="00074915" w:rsidRDefault="00074915" w:rsidP="00CF6912">
            <w:pPr>
              <w:tabs>
                <w:tab w:val="left" w:pos="3260"/>
              </w:tabs>
              <w:spacing w:after="120"/>
              <w:ind w:left="3260" w:right="1134" w:hanging="2126"/>
              <w:jc w:val="both"/>
              <w:rPr>
                <w:rFonts w:eastAsia="Calibri"/>
              </w:rPr>
            </w:pPr>
            <w:r w:rsidRPr="008137C6">
              <w:rPr>
                <w:b/>
              </w:rPr>
              <w:t>Action to be taken:</w:t>
            </w:r>
            <w:r w:rsidRPr="008137C6">
              <w:rPr>
                <w:b/>
              </w:rPr>
              <w:tab/>
            </w:r>
            <w:r w:rsidR="00BE24A4">
              <w:rPr>
                <w:rFonts w:eastAsia="Calibri"/>
              </w:rPr>
              <w:t xml:space="preserve">Amend </w:t>
            </w:r>
            <w:r w:rsidR="001B28C2">
              <w:rPr>
                <w:rFonts w:eastAsia="Calibri"/>
              </w:rPr>
              <w:t xml:space="preserve">the </w:t>
            </w:r>
            <w:r w:rsidR="00BE24A4">
              <w:rPr>
                <w:rFonts w:eastAsia="Calibri"/>
              </w:rPr>
              <w:t xml:space="preserve">relevant regulations to indicate </w:t>
            </w:r>
            <w:r w:rsidR="001B28C2">
              <w:rPr>
                <w:rFonts w:eastAsia="Calibri"/>
              </w:rPr>
              <w:t xml:space="preserve">the </w:t>
            </w:r>
            <w:r w:rsidR="00BE24A4">
              <w:rPr>
                <w:rFonts w:eastAsia="Calibri"/>
              </w:rPr>
              <w:t>applicable level of welding procedure tests</w:t>
            </w:r>
            <w:r w:rsidR="001B28C2">
              <w:rPr>
                <w:rFonts w:eastAsia="Calibri"/>
              </w:rPr>
              <w:t>,</w:t>
            </w:r>
            <w:r w:rsidR="00BE24A4">
              <w:rPr>
                <w:rFonts w:eastAsia="Calibri"/>
              </w:rPr>
              <w:t xml:space="preserve"> if necessary.</w:t>
            </w:r>
          </w:p>
          <w:p w:rsidR="00CF6912" w:rsidRPr="008137C6" w:rsidRDefault="00CF6912" w:rsidP="00CF6912">
            <w:pPr>
              <w:tabs>
                <w:tab w:val="left" w:pos="3260"/>
              </w:tabs>
              <w:spacing w:after="120"/>
              <w:ind w:left="3260" w:right="1134" w:hanging="2126"/>
              <w:jc w:val="both"/>
            </w:pPr>
          </w:p>
        </w:tc>
      </w:tr>
    </w:tbl>
    <w:p w:rsidR="00A158FB" w:rsidRPr="004D5C2B" w:rsidRDefault="00A158FB" w:rsidP="00A158FB">
      <w:pPr>
        <w:pStyle w:val="HChG"/>
        <w:ind w:firstLine="0"/>
      </w:pPr>
      <w:r w:rsidRPr="004D5C2B">
        <w:t>Introduction</w:t>
      </w:r>
    </w:p>
    <w:p w:rsidR="00C3172E" w:rsidRDefault="002E7E8E" w:rsidP="00C3172E">
      <w:pPr>
        <w:pStyle w:val="SingleTxtG"/>
      </w:pPr>
      <w:r>
        <w:t>1.</w:t>
      </w:r>
      <w:r>
        <w:tab/>
      </w:r>
      <w:r w:rsidR="00BE24A4" w:rsidRPr="00BE24A4">
        <w:t>According to 6.8.2.1.4 "Shells shall be designed and constr</w:t>
      </w:r>
      <w:r w:rsidR="00BE24A4">
        <w:t>ucted in accordance with the re</w:t>
      </w:r>
      <w:r w:rsidR="00BE24A4" w:rsidRPr="00BE24A4">
        <w:t xml:space="preserve">quirements of standards listed in 6.8.2.6 or of a technical code recognized by the competent authority, in accordance with 6.8.2.7 (...)". The Table in 6.8.2.6.1 under the heading "For design and construction" includes two standards EN 14025 "Tanks for the </w:t>
      </w:r>
      <w:r w:rsidR="00BE24A4" w:rsidRPr="00BE24A4">
        <w:lastRenderedPageBreak/>
        <w:t>transport of dangerous goods – Metallic pressure tanks – Design and construction" which are still applicable. One of them is EN 14025:2013 applicable to new type approvals or to renewals between 1 January 2015 and 31 December 2018 and the other is EN 14025:2013 + A1:2016 (except Annex B). The relevant part of the Table listing the standards is reproduced below.</w:t>
      </w:r>
    </w:p>
    <w:tbl>
      <w:tblPr>
        <w:tblStyle w:val="TableGrid"/>
        <w:tblW w:w="0" w:type="auto"/>
        <w:jc w:val="center"/>
        <w:tblCellMar>
          <w:top w:w="28" w:type="dxa"/>
          <w:bottom w:w="28" w:type="dxa"/>
        </w:tblCellMar>
        <w:tblLook w:val="04A0" w:firstRow="1" w:lastRow="0" w:firstColumn="1" w:lastColumn="0" w:noHBand="0" w:noVBand="1"/>
      </w:tblPr>
      <w:tblGrid>
        <w:gridCol w:w="1418"/>
        <w:gridCol w:w="2268"/>
        <w:gridCol w:w="1134"/>
        <w:gridCol w:w="1559"/>
        <w:gridCol w:w="1418"/>
      </w:tblGrid>
      <w:tr w:rsidR="00BE24A4" w:rsidRPr="0088047E" w:rsidTr="00F83836">
        <w:trPr>
          <w:jc w:val="center"/>
        </w:trPr>
        <w:tc>
          <w:tcPr>
            <w:tcW w:w="1418" w:type="dxa"/>
          </w:tcPr>
          <w:p w:rsidR="00BE24A4" w:rsidRPr="00746BB0" w:rsidRDefault="00BE24A4" w:rsidP="00177E51">
            <w:pPr>
              <w:tabs>
                <w:tab w:val="left" w:pos="1418"/>
                <w:tab w:val="left" w:pos="2977"/>
                <w:tab w:val="left" w:pos="4395"/>
              </w:tabs>
              <w:jc w:val="center"/>
              <w:rPr>
                <w:sz w:val="18"/>
                <w:szCs w:val="18"/>
              </w:rPr>
            </w:pPr>
            <w:r w:rsidRPr="00746BB0">
              <w:rPr>
                <w:b/>
                <w:bCs/>
                <w:sz w:val="18"/>
                <w:szCs w:val="18"/>
                <w:lang w:val="pl-PL"/>
              </w:rPr>
              <w:t>Reference</w:t>
            </w:r>
          </w:p>
        </w:tc>
        <w:tc>
          <w:tcPr>
            <w:tcW w:w="2268" w:type="dxa"/>
          </w:tcPr>
          <w:p w:rsidR="00BE24A4" w:rsidRPr="00746BB0" w:rsidRDefault="00BE24A4" w:rsidP="00177E51">
            <w:pPr>
              <w:tabs>
                <w:tab w:val="left" w:pos="1418"/>
                <w:tab w:val="left" w:pos="2977"/>
                <w:tab w:val="left" w:pos="4395"/>
              </w:tabs>
              <w:jc w:val="center"/>
              <w:rPr>
                <w:sz w:val="18"/>
                <w:szCs w:val="18"/>
              </w:rPr>
            </w:pPr>
            <w:r w:rsidRPr="00746BB0">
              <w:rPr>
                <w:b/>
                <w:bCs/>
                <w:sz w:val="18"/>
                <w:szCs w:val="18"/>
                <w:lang w:val="pl-PL"/>
              </w:rPr>
              <w:t>Title of document</w:t>
            </w:r>
          </w:p>
        </w:tc>
        <w:tc>
          <w:tcPr>
            <w:tcW w:w="1134" w:type="dxa"/>
          </w:tcPr>
          <w:p w:rsidR="00BE24A4" w:rsidRPr="00746BB0" w:rsidRDefault="00BE24A4" w:rsidP="00177E51">
            <w:pPr>
              <w:tabs>
                <w:tab w:val="left" w:pos="1418"/>
                <w:tab w:val="left" w:pos="2977"/>
                <w:tab w:val="left" w:pos="4395"/>
              </w:tabs>
              <w:jc w:val="center"/>
              <w:rPr>
                <w:sz w:val="18"/>
                <w:szCs w:val="18"/>
              </w:rPr>
            </w:pPr>
            <w:r w:rsidRPr="00746BB0">
              <w:rPr>
                <w:b/>
                <w:bCs/>
                <w:sz w:val="18"/>
                <w:szCs w:val="18"/>
              </w:rPr>
              <w:t>Applicable sub-sections and para-graphs</w:t>
            </w:r>
          </w:p>
        </w:tc>
        <w:tc>
          <w:tcPr>
            <w:tcW w:w="1559" w:type="dxa"/>
          </w:tcPr>
          <w:p w:rsidR="00BE24A4" w:rsidRPr="00746BB0" w:rsidRDefault="00BE24A4" w:rsidP="00177E51">
            <w:pPr>
              <w:tabs>
                <w:tab w:val="left" w:pos="1418"/>
                <w:tab w:val="left" w:pos="2977"/>
                <w:tab w:val="left" w:pos="4395"/>
              </w:tabs>
              <w:jc w:val="center"/>
              <w:rPr>
                <w:sz w:val="18"/>
                <w:szCs w:val="18"/>
              </w:rPr>
            </w:pPr>
            <w:r w:rsidRPr="00746BB0">
              <w:rPr>
                <w:b/>
                <w:bCs/>
                <w:sz w:val="18"/>
                <w:szCs w:val="18"/>
              </w:rPr>
              <w:t>Applicable to new type approvals or to renewals</w:t>
            </w:r>
          </w:p>
        </w:tc>
        <w:tc>
          <w:tcPr>
            <w:tcW w:w="1418" w:type="dxa"/>
          </w:tcPr>
          <w:p w:rsidR="00BE24A4" w:rsidRPr="00CE1092" w:rsidRDefault="00BE24A4" w:rsidP="00177E51">
            <w:pPr>
              <w:tabs>
                <w:tab w:val="left" w:pos="1418"/>
                <w:tab w:val="left" w:pos="2977"/>
                <w:tab w:val="left" w:pos="4395"/>
              </w:tabs>
              <w:jc w:val="center"/>
              <w:rPr>
                <w:sz w:val="18"/>
                <w:szCs w:val="18"/>
              </w:rPr>
            </w:pPr>
            <w:r w:rsidRPr="00B24E38">
              <w:rPr>
                <w:b/>
                <w:bCs/>
                <w:sz w:val="18"/>
                <w:szCs w:val="18"/>
              </w:rPr>
              <w:t>Latest date for withdrawal of existing type approvals</w:t>
            </w:r>
          </w:p>
        </w:tc>
      </w:tr>
      <w:tr w:rsidR="00BE24A4" w:rsidRPr="00746BB0" w:rsidTr="00F83836">
        <w:trPr>
          <w:jc w:val="center"/>
        </w:trPr>
        <w:tc>
          <w:tcPr>
            <w:tcW w:w="1418" w:type="dxa"/>
          </w:tcPr>
          <w:p w:rsidR="00BE24A4" w:rsidRPr="00746BB0" w:rsidRDefault="00BE24A4" w:rsidP="00177E51">
            <w:pPr>
              <w:tabs>
                <w:tab w:val="left" w:pos="1418"/>
                <w:tab w:val="left" w:pos="2977"/>
                <w:tab w:val="left" w:pos="4395"/>
              </w:tabs>
              <w:jc w:val="center"/>
              <w:rPr>
                <w:sz w:val="18"/>
                <w:szCs w:val="18"/>
              </w:rPr>
            </w:pPr>
            <w:r w:rsidRPr="00746BB0">
              <w:rPr>
                <w:sz w:val="18"/>
                <w:szCs w:val="18"/>
              </w:rPr>
              <w:t>(1)</w:t>
            </w:r>
          </w:p>
        </w:tc>
        <w:tc>
          <w:tcPr>
            <w:tcW w:w="2268" w:type="dxa"/>
          </w:tcPr>
          <w:p w:rsidR="00BE24A4" w:rsidRPr="00746BB0" w:rsidRDefault="00BE24A4" w:rsidP="00177E51">
            <w:pPr>
              <w:tabs>
                <w:tab w:val="left" w:pos="1418"/>
                <w:tab w:val="left" w:pos="2977"/>
                <w:tab w:val="left" w:pos="4395"/>
              </w:tabs>
              <w:jc w:val="center"/>
              <w:rPr>
                <w:sz w:val="18"/>
                <w:szCs w:val="18"/>
              </w:rPr>
            </w:pPr>
            <w:r w:rsidRPr="00746BB0">
              <w:rPr>
                <w:sz w:val="18"/>
                <w:szCs w:val="18"/>
              </w:rPr>
              <w:t>(2)</w:t>
            </w:r>
          </w:p>
        </w:tc>
        <w:tc>
          <w:tcPr>
            <w:tcW w:w="1134" w:type="dxa"/>
          </w:tcPr>
          <w:p w:rsidR="00BE24A4" w:rsidRPr="00746BB0" w:rsidRDefault="00BE24A4" w:rsidP="00177E51">
            <w:pPr>
              <w:tabs>
                <w:tab w:val="left" w:pos="1418"/>
                <w:tab w:val="left" w:pos="2977"/>
                <w:tab w:val="left" w:pos="4395"/>
              </w:tabs>
              <w:jc w:val="center"/>
              <w:rPr>
                <w:sz w:val="18"/>
                <w:szCs w:val="18"/>
              </w:rPr>
            </w:pPr>
            <w:r w:rsidRPr="00746BB0">
              <w:rPr>
                <w:sz w:val="18"/>
                <w:szCs w:val="18"/>
              </w:rPr>
              <w:t>(3)</w:t>
            </w:r>
          </w:p>
        </w:tc>
        <w:tc>
          <w:tcPr>
            <w:tcW w:w="1559" w:type="dxa"/>
          </w:tcPr>
          <w:p w:rsidR="00BE24A4" w:rsidRPr="00746BB0" w:rsidRDefault="00BE24A4" w:rsidP="00177E51">
            <w:pPr>
              <w:tabs>
                <w:tab w:val="left" w:pos="1418"/>
                <w:tab w:val="left" w:pos="2977"/>
                <w:tab w:val="left" w:pos="4395"/>
              </w:tabs>
              <w:jc w:val="center"/>
              <w:rPr>
                <w:sz w:val="18"/>
                <w:szCs w:val="18"/>
              </w:rPr>
            </w:pPr>
            <w:r w:rsidRPr="00746BB0">
              <w:rPr>
                <w:sz w:val="18"/>
                <w:szCs w:val="18"/>
              </w:rPr>
              <w:t>(4)</w:t>
            </w:r>
          </w:p>
        </w:tc>
        <w:tc>
          <w:tcPr>
            <w:tcW w:w="1418" w:type="dxa"/>
          </w:tcPr>
          <w:p w:rsidR="00BE24A4" w:rsidRPr="00746BB0" w:rsidRDefault="00BE24A4" w:rsidP="00177E51">
            <w:pPr>
              <w:tabs>
                <w:tab w:val="left" w:pos="1418"/>
                <w:tab w:val="left" w:pos="2977"/>
                <w:tab w:val="left" w:pos="4395"/>
              </w:tabs>
              <w:jc w:val="center"/>
            </w:pPr>
            <w:r w:rsidRPr="00746BB0">
              <w:t>(5)</w:t>
            </w:r>
          </w:p>
        </w:tc>
      </w:tr>
      <w:tr w:rsidR="00BE24A4" w:rsidRPr="0088047E" w:rsidTr="00F83836">
        <w:trPr>
          <w:jc w:val="center"/>
        </w:trPr>
        <w:tc>
          <w:tcPr>
            <w:tcW w:w="7797" w:type="dxa"/>
            <w:gridSpan w:val="5"/>
          </w:tcPr>
          <w:p w:rsidR="00BE24A4" w:rsidRPr="00746BB0" w:rsidRDefault="00BE24A4" w:rsidP="00177E51">
            <w:pPr>
              <w:tabs>
                <w:tab w:val="left" w:pos="1418"/>
                <w:tab w:val="left" w:pos="2977"/>
                <w:tab w:val="left" w:pos="4395"/>
              </w:tabs>
              <w:rPr>
                <w:sz w:val="18"/>
                <w:szCs w:val="18"/>
              </w:rPr>
            </w:pPr>
            <w:r w:rsidRPr="00746BB0">
              <w:rPr>
                <w:b/>
                <w:bCs/>
                <w:i/>
                <w:iCs/>
                <w:sz w:val="18"/>
                <w:szCs w:val="18"/>
              </w:rPr>
              <w:t xml:space="preserve">For design and construction of tanks </w:t>
            </w:r>
          </w:p>
        </w:tc>
      </w:tr>
      <w:tr w:rsidR="00BE24A4" w:rsidRPr="00746BB0" w:rsidTr="00F83836">
        <w:trPr>
          <w:jc w:val="center"/>
        </w:trPr>
        <w:tc>
          <w:tcPr>
            <w:tcW w:w="7797" w:type="dxa"/>
            <w:gridSpan w:val="5"/>
          </w:tcPr>
          <w:p w:rsidR="00BE24A4" w:rsidRPr="00746BB0" w:rsidRDefault="00BE24A4" w:rsidP="00177E51">
            <w:pPr>
              <w:tabs>
                <w:tab w:val="left" w:pos="1418"/>
                <w:tab w:val="left" w:pos="2977"/>
                <w:tab w:val="left" w:pos="4395"/>
              </w:tabs>
              <w:rPr>
                <w:sz w:val="18"/>
                <w:szCs w:val="18"/>
              </w:rPr>
            </w:pPr>
            <w:r w:rsidRPr="00746BB0">
              <w:rPr>
                <w:sz w:val="18"/>
                <w:szCs w:val="18"/>
              </w:rPr>
              <w:t>(...)</w:t>
            </w:r>
          </w:p>
        </w:tc>
      </w:tr>
      <w:tr w:rsidR="00BE24A4" w:rsidRPr="00746BB0" w:rsidTr="00F83836">
        <w:trPr>
          <w:jc w:val="center"/>
        </w:trPr>
        <w:tc>
          <w:tcPr>
            <w:tcW w:w="1418" w:type="dxa"/>
          </w:tcPr>
          <w:p w:rsidR="00BE24A4" w:rsidRPr="00746BB0" w:rsidRDefault="00BE24A4" w:rsidP="00177E51">
            <w:pPr>
              <w:tabs>
                <w:tab w:val="left" w:pos="1418"/>
                <w:tab w:val="left" w:pos="2977"/>
                <w:tab w:val="left" w:pos="4395"/>
              </w:tabs>
              <w:rPr>
                <w:sz w:val="18"/>
                <w:szCs w:val="18"/>
                <w:lang w:val="pl-PL"/>
              </w:rPr>
            </w:pPr>
            <w:r w:rsidRPr="00746BB0">
              <w:rPr>
                <w:sz w:val="18"/>
                <w:szCs w:val="18"/>
                <w:lang w:val="pl-PL"/>
              </w:rPr>
              <w:t>EN 14025:2013</w:t>
            </w:r>
          </w:p>
        </w:tc>
        <w:tc>
          <w:tcPr>
            <w:tcW w:w="2268" w:type="dxa"/>
          </w:tcPr>
          <w:p w:rsidR="00BE24A4" w:rsidRPr="00746BB0" w:rsidRDefault="00BE24A4" w:rsidP="00177E51">
            <w:pPr>
              <w:tabs>
                <w:tab w:val="left" w:pos="1418"/>
                <w:tab w:val="left" w:pos="2977"/>
                <w:tab w:val="left" w:pos="4395"/>
              </w:tabs>
              <w:rPr>
                <w:sz w:val="18"/>
                <w:szCs w:val="18"/>
              </w:rPr>
            </w:pPr>
            <w:r w:rsidRPr="00746BB0">
              <w:rPr>
                <w:sz w:val="18"/>
                <w:szCs w:val="18"/>
              </w:rPr>
              <w:t xml:space="preserve">Tanks for the transport of dangerous goods – Metallic pressure tanks – Design and construction </w:t>
            </w:r>
          </w:p>
        </w:tc>
        <w:tc>
          <w:tcPr>
            <w:tcW w:w="1134" w:type="dxa"/>
          </w:tcPr>
          <w:p w:rsidR="00BE24A4" w:rsidRPr="00746BB0" w:rsidRDefault="00BE24A4" w:rsidP="00177E51">
            <w:pPr>
              <w:tabs>
                <w:tab w:val="left" w:pos="1418"/>
                <w:tab w:val="left" w:pos="2977"/>
                <w:tab w:val="left" w:pos="4395"/>
              </w:tabs>
              <w:rPr>
                <w:sz w:val="18"/>
                <w:szCs w:val="18"/>
                <w:lang w:val="pl-PL"/>
              </w:rPr>
            </w:pPr>
            <w:r w:rsidRPr="00746BB0">
              <w:rPr>
                <w:sz w:val="18"/>
                <w:szCs w:val="18"/>
                <w:lang w:val="pl-PL"/>
              </w:rPr>
              <w:t xml:space="preserve">6.8.2.1 and 6.8.3.1 </w:t>
            </w:r>
          </w:p>
        </w:tc>
        <w:tc>
          <w:tcPr>
            <w:tcW w:w="1559" w:type="dxa"/>
          </w:tcPr>
          <w:p w:rsidR="00BE24A4" w:rsidRPr="00746BB0" w:rsidRDefault="00BE24A4" w:rsidP="00177E51">
            <w:pPr>
              <w:tabs>
                <w:tab w:val="left" w:pos="1418"/>
                <w:tab w:val="left" w:pos="2977"/>
                <w:tab w:val="left" w:pos="4395"/>
              </w:tabs>
              <w:jc w:val="center"/>
              <w:rPr>
                <w:sz w:val="18"/>
                <w:szCs w:val="18"/>
                <w:lang w:val="pl-PL"/>
              </w:rPr>
            </w:pPr>
            <w:r w:rsidRPr="00746BB0">
              <w:rPr>
                <w:sz w:val="18"/>
                <w:szCs w:val="18"/>
                <w:lang w:val="pl-PL"/>
              </w:rPr>
              <w:t>Between</w:t>
            </w:r>
          </w:p>
          <w:p w:rsidR="00BE24A4" w:rsidRPr="00746BB0" w:rsidRDefault="00BE24A4" w:rsidP="00177E51">
            <w:pPr>
              <w:tabs>
                <w:tab w:val="left" w:pos="1418"/>
                <w:tab w:val="left" w:pos="2977"/>
                <w:tab w:val="left" w:pos="4395"/>
              </w:tabs>
              <w:jc w:val="center"/>
              <w:rPr>
                <w:sz w:val="18"/>
                <w:szCs w:val="18"/>
                <w:lang w:val="pl-PL"/>
              </w:rPr>
            </w:pPr>
            <w:r w:rsidRPr="00746BB0">
              <w:rPr>
                <w:sz w:val="18"/>
                <w:szCs w:val="18"/>
                <w:lang w:val="pl-PL"/>
              </w:rPr>
              <w:t>1 January 2015 and 31 December 2018</w:t>
            </w:r>
          </w:p>
        </w:tc>
        <w:tc>
          <w:tcPr>
            <w:tcW w:w="1418" w:type="dxa"/>
          </w:tcPr>
          <w:p w:rsidR="00BE24A4" w:rsidRPr="00746BB0" w:rsidRDefault="00BE24A4" w:rsidP="00177E51">
            <w:pPr>
              <w:tabs>
                <w:tab w:val="left" w:pos="1418"/>
                <w:tab w:val="left" w:pos="2977"/>
                <w:tab w:val="left" w:pos="4395"/>
              </w:tabs>
            </w:pPr>
          </w:p>
        </w:tc>
      </w:tr>
      <w:tr w:rsidR="00BE24A4" w:rsidRPr="00746BB0" w:rsidTr="00F83836">
        <w:trPr>
          <w:jc w:val="center"/>
        </w:trPr>
        <w:tc>
          <w:tcPr>
            <w:tcW w:w="1418" w:type="dxa"/>
          </w:tcPr>
          <w:p w:rsidR="00BE24A4" w:rsidRPr="00746BB0" w:rsidRDefault="00BE24A4" w:rsidP="00177E51">
            <w:pPr>
              <w:tabs>
                <w:tab w:val="left" w:pos="1418"/>
                <w:tab w:val="left" w:pos="2977"/>
                <w:tab w:val="left" w:pos="4395"/>
              </w:tabs>
              <w:rPr>
                <w:sz w:val="18"/>
                <w:szCs w:val="18"/>
                <w:lang w:val="fr-FR"/>
              </w:rPr>
            </w:pPr>
            <w:r w:rsidRPr="00746BB0">
              <w:rPr>
                <w:sz w:val="18"/>
                <w:szCs w:val="18"/>
                <w:lang w:val="fr-FR"/>
              </w:rPr>
              <w:t xml:space="preserve">EN 14025:2013 + A1:2016 (except Annex B) </w:t>
            </w:r>
          </w:p>
        </w:tc>
        <w:tc>
          <w:tcPr>
            <w:tcW w:w="2268" w:type="dxa"/>
          </w:tcPr>
          <w:p w:rsidR="00BE24A4" w:rsidRPr="00746BB0" w:rsidRDefault="00BE24A4" w:rsidP="00177E51">
            <w:pPr>
              <w:tabs>
                <w:tab w:val="left" w:pos="1418"/>
                <w:tab w:val="left" w:pos="2977"/>
                <w:tab w:val="left" w:pos="4395"/>
              </w:tabs>
              <w:rPr>
                <w:sz w:val="18"/>
                <w:szCs w:val="18"/>
              </w:rPr>
            </w:pPr>
            <w:r w:rsidRPr="00746BB0">
              <w:rPr>
                <w:sz w:val="18"/>
                <w:szCs w:val="18"/>
              </w:rPr>
              <w:t xml:space="preserve">Tanks for the transport of dangerous goods – Metallic pressure tanks – Design and construction </w:t>
            </w:r>
          </w:p>
        </w:tc>
        <w:tc>
          <w:tcPr>
            <w:tcW w:w="1134" w:type="dxa"/>
          </w:tcPr>
          <w:p w:rsidR="00BE24A4" w:rsidRPr="00746BB0" w:rsidRDefault="00BE24A4" w:rsidP="00177E51">
            <w:pPr>
              <w:tabs>
                <w:tab w:val="left" w:pos="1418"/>
                <w:tab w:val="left" w:pos="2977"/>
                <w:tab w:val="left" w:pos="4395"/>
              </w:tabs>
              <w:rPr>
                <w:sz w:val="18"/>
                <w:szCs w:val="18"/>
                <w:lang w:val="pl-PL"/>
              </w:rPr>
            </w:pPr>
            <w:r w:rsidRPr="00746BB0">
              <w:rPr>
                <w:sz w:val="18"/>
                <w:szCs w:val="18"/>
                <w:lang w:val="pl-PL"/>
              </w:rPr>
              <w:t xml:space="preserve">6.8.2.1 and 6.8.3.1 </w:t>
            </w:r>
          </w:p>
        </w:tc>
        <w:tc>
          <w:tcPr>
            <w:tcW w:w="1559" w:type="dxa"/>
          </w:tcPr>
          <w:p w:rsidR="00BE24A4" w:rsidRPr="00746BB0" w:rsidRDefault="00BE24A4" w:rsidP="00177E51">
            <w:pPr>
              <w:tabs>
                <w:tab w:val="left" w:pos="1418"/>
                <w:tab w:val="left" w:pos="2977"/>
                <w:tab w:val="left" w:pos="4395"/>
              </w:tabs>
              <w:jc w:val="center"/>
              <w:rPr>
                <w:sz w:val="18"/>
                <w:szCs w:val="18"/>
              </w:rPr>
            </w:pPr>
            <w:r w:rsidRPr="00746BB0">
              <w:rPr>
                <w:sz w:val="18"/>
                <w:szCs w:val="18"/>
                <w:lang w:val="pl-PL"/>
              </w:rPr>
              <w:t>Until further notice</w:t>
            </w:r>
          </w:p>
        </w:tc>
        <w:tc>
          <w:tcPr>
            <w:tcW w:w="1418" w:type="dxa"/>
          </w:tcPr>
          <w:p w:rsidR="00BE24A4" w:rsidRPr="00746BB0" w:rsidRDefault="00BE24A4" w:rsidP="00177E51">
            <w:pPr>
              <w:tabs>
                <w:tab w:val="left" w:pos="1418"/>
                <w:tab w:val="left" w:pos="2977"/>
                <w:tab w:val="left" w:pos="4395"/>
              </w:tabs>
            </w:pPr>
          </w:p>
        </w:tc>
      </w:tr>
    </w:tbl>
    <w:p w:rsidR="00BE24A4" w:rsidRPr="0062712B" w:rsidRDefault="00BE24A4" w:rsidP="00C3172E">
      <w:pPr>
        <w:pStyle w:val="SingleTxtG"/>
      </w:pPr>
    </w:p>
    <w:p w:rsidR="00C3172E" w:rsidRPr="0062712B" w:rsidRDefault="00C3172E" w:rsidP="00C3172E">
      <w:pPr>
        <w:pStyle w:val="SingleTxtG"/>
      </w:pPr>
      <w:bookmarkStart w:id="0" w:name="_GoBack"/>
      <w:bookmarkEnd w:id="0"/>
      <w:r>
        <w:t>2.</w:t>
      </w:r>
      <w:r>
        <w:tab/>
      </w:r>
      <w:r w:rsidR="00BE24A4">
        <w:t>Both EN </w:t>
      </w:r>
      <w:r w:rsidR="00BE24A4" w:rsidRPr="00746BB0">
        <w:t>14025 standards contain references</w:t>
      </w:r>
      <w:r w:rsidR="00BE24A4">
        <w:t xml:space="preserve"> to standard EN </w:t>
      </w:r>
      <w:r w:rsidR="00BE24A4" w:rsidRPr="00746BB0">
        <w:t xml:space="preserve">ISO 15614-1 </w:t>
      </w:r>
      <w:r w:rsidR="00BE24A4" w:rsidRPr="00746BB0">
        <w:rPr>
          <w:i/>
        </w:rPr>
        <w:t>Specification and qualification of welding procedures for metallic materials — Welding procedure test — Part 1: Arc and gas welding of steels and arc welding of nickel and nickel alloys</w:t>
      </w:r>
      <w:r w:rsidR="00BE24A4" w:rsidRPr="00746BB0">
        <w:t xml:space="preserve"> (ISO</w:t>
      </w:r>
      <w:r w:rsidR="00BE24A4">
        <w:t> </w:t>
      </w:r>
      <w:r w:rsidR="00BE24A4" w:rsidRPr="00746BB0">
        <w:t xml:space="preserve">15614-1). </w:t>
      </w:r>
      <w:r w:rsidR="00BE24A4">
        <w:t>C</w:t>
      </w:r>
      <w:r w:rsidR="00BE24A4" w:rsidRPr="00746BB0">
        <w:t xml:space="preserve">hapter 7.4 </w:t>
      </w:r>
      <w:r w:rsidR="00BE24A4">
        <w:t>of EN 14025</w:t>
      </w:r>
      <w:r w:rsidR="00BE24A4" w:rsidRPr="00746BB0">
        <w:t xml:space="preserve"> stipulate</w:t>
      </w:r>
      <w:r w:rsidR="00BE24A4">
        <w:t>s</w:t>
      </w:r>
      <w:r w:rsidR="00BE24A4" w:rsidRPr="00746BB0">
        <w:t xml:space="preserve"> that the welding procedures </w:t>
      </w:r>
      <w:r w:rsidR="00BE24A4">
        <w:t>must</w:t>
      </w:r>
      <w:r w:rsidR="00BE24A4" w:rsidRPr="00746BB0">
        <w:t xml:space="preserve"> be approved </w:t>
      </w:r>
      <w:r w:rsidR="00BE24A4">
        <w:t>in accordance with EN ISO </w:t>
      </w:r>
      <w:r w:rsidR="00BE24A4" w:rsidRPr="00746BB0">
        <w:t>15614-1</w:t>
      </w:r>
      <w:r w:rsidR="00BE24A4">
        <w:t>,</w:t>
      </w:r>
      <w:r w:rsidR="00BE24A4" w:rsidRPr="00CE1092">
        <w:t xml:space="preserve"> </w:t>
      </w:r>
      <w:r w:rsidR="00BE24A4" w:rsidRPr="00746BB0">
        <w:t>amo</w:t>
      </w:r>
      <w:r w:rsidR="00BE24A4">
        <w:t>ng others</w:t>
      </w:r>
      <w:r w:rsidR="00BE24A4" w:rsidRPr="00746BB0">
        <w:t xml:space="preserve">. </w:t>
      </w:r>
      <w:r w:rsidR="00BE24A4">
        <w:t>C</w:t>
      </w:r>
      <w:r w:rsidR="00BE24A4" w:rsidRPr="00746BB0">
        <w:t xml:space="preserve">hapter 8 on repairs </w:t>
      </w:r>
      <w:r w:rsidR="00BE24A4">
        <w:t>requires</w:t>
      </w:r>
      <w:r w:rsidR="00BE24A4" w:rsidRPr="00746BB0">
        <w:t xml:space="preserve"> repairs</w:t>
      </w:r>
      <w:r w:rsidR="00BE24A4">
        <w:t>,</w:t>
      </w:r>
      <w:r w:rsidR="00BE24A4" w:rsidRPr="00746BB0">
        <w:t xml:space="preserve"> including </w:t>
      </w:r>
      <w:r w:rsidR="00BE24A4">
        <w:t xml:space="preserve">the </w:t>
      </w:r>
      <w:r w:rsidR="00BE24A4" w:rsidRPr="00746BB0">
        <w:t>depositing of weld metal</w:t>
      </w:r>
      <w:r w:rsidR="00BE24A4">
        <w:t>,</w:t>
      </w:r>
      <w:r w:rsidR="00BE24A4" w:rsidRPr="00746BB0">
        <w:t xml:space="preserve"> </w:t>
      </w:r>
      <w:r w:rsidR="00BE24A4">
        <w:t>to</w:t>
      </w:r>
      <w:r w:rsidR="00BE24A4" w:rsidRPr="00746BB0">
        <w:t xml:space="preserve"> be carried out in accordance with a procedure qualified among others in accordance with EN</w:t>
      </w:r>
      <w:r w:rsidR="00BE24A4">
        <w:t> </w:t>
      </w:r>
      <w:r w:rsidR="00BE24A4" w:rsidRPr="00746BB0">
        <w:t>ISO</w:t>
      </w:r>
      <w:r w:rsidR="00BE24A4">
        <w:t> </w:t>
      </w:r>
      <w:r w:rsidR="00BE24A4" w:rsidRPr="00746BB0">
        <w:t>15614-1.</w:t>
      </w:r>
    </w:p>
    <w:p w:rsidR="00C3172E" w:rsidRDefault="00C3172E" w:rsidP="00C3172E">
      <w:pPr>
        <w:pStyle w:val="SingleTxtG"/>
      </w:pPr>
      <w:r>
        <w:t>3.</w:t>
      </w:r>
      <w:r>
        <w:tab/>
      </w:r>
      <w:r w:rsidR="00BE24A4" w:rsidRPr="00746BB0">
        <w:t xml:space="preserve">The reference to </w:t>
      </w:r>
      <w:r w:rsidR="00BE24A4">
        <w:t>EN </w:t>
      </w:r>
      <w:r w:rsidR="00BE24A4" w:rsidRPr="00746BB0">
        <w:t xml:space="preserve">ISO 15614-1 </w:t>
      </w:r>
      <w:r w:rsidR="00BE24A4">
        <w:t>included in the EN </w:t>
      </w:r>
      <w:r w:rsidR="00BE24A4" w:rsidRPr="00746BB0">
        <w:t xml:space="preserve">14025 standards is undated. </w:t>
      </w:r>
      <w:r w:rsidR="00BE24A4">
        <w:t>A</w:t>
      </w:r>
      <w:r w:rsidR="00BE24A4" w:rsidRPr="00746BB0">
        <w:t xml:space="preserve">ccording to </w:t>
      </w:r>
      <w:r w:rsidR="00BE24A4">
        <w:t xml:space="preserve">the </w:t>
      </w:r>
      <w:r w:rsidR="00BE24A4" w:rsidRPr="00746BB0">
        <w:t xml:space="preserve">general rule which governs </w:t>
      </w:r>
      <w:r w:rsidR="00BE24A4">
        <w:t xml:space="preserve">references to standards, it can therefore be assumed that it is </w:t>
      </w:r>
      <w:r w:rsidR="00BE24A4" w:rsidRPr="00746BB0">
        <w:t xml:space="preserve">the latest edition of the referenced document (including any amendments) </w:t>
      </w:r>
      <w:r w:rsidR="00BE24A4">
        <w:t xml:space="preserve">that </w:t>
      </w:r>
      <w:r w:rsidR="00BE24A4" w:rsidRPr="00746BB0">
        <w:t>should be applied.</w:t>
      </w:r>
    </w:p>
    <w:p w:rsidR="00A158FB" w:rsidRDefault="00A158FB" w:rsidP="00C3172E">
      <w:pPr>
        <w:pStyle w:val="SingleTxtG"/>
      </w:pPr>
      <w:r>
        <w:t>4.</w:t>
      </w:r>
      <w:r>
        <w:tab/>
      </w:r>
      <w:r w:rsidR="00BE24A4" w:rsidRPr="00746BB0">
        <w:t>The ISO 15614-1 standard ha</w:t>
      </w:r>
      <w:r w:rsidR="00BE24A4">
        <w:t>s</w:t>
      </w:r>
      <w:r w:rsidR="00BE24A4" w:rsidRPr="00746BB0">
        <w:t xml:space="preserve"> been recently revised by Technical Committee ISO/TC44 </w:t>
      </w:r>
      <w:r w:rsidR="00BE24A4">
        <w:t>"</w:t>
      </w:r>
      <w:r w:rsidR="00BE24A4" w:rsidRPr="00746BB0">
        <w:t>Welding and allied processes</w:t>
      </w:r>
      <w:r w:rsidR="00BE24A4">
        <w:t>"</w:t>
      </w:r>
      <w:r w:rsidR="00BE24A4" w:rsidRPr="00746BB0">
        <w:t xml:space="preserve"> and Technical Committee CEN/TC121 </w:t>
      </w:r>
      <w:r w:rsidR="00BE24A4">
        <w:t>"</w:t>
      </w:r>
      <w:r w:rsidR="00BE24A4" w:rsidRPr="00746BB0">
        <w:t>Welding and allied processes</w:t>
      </w:r>
      <w:r w:rsidR="00BE24A4">
        <w:t>"</w:t>
      </w:r>
      <w:r w:rsidR="00BE24A4" w:rsidRPr="00746BB0">
        <w:t xml:space="preserve">. </w:t>
      </w:r>
      <w:r w:rsidR="00BE24A4">
        <w:t>The</w:t>
      </w:r>
      <w:r w:rsidR="00BE24A4" w:rsidRPr="00746BB0">
        <w:t xml:space="preserve"> new version was published in June 2017 as </w:t>
      </w:r>
      <w:r w:rsidR="00BE24A4">
        <w:t>EN ISO </w:t>
      </w:r>
      <w:r w:rsidR="00BE24A4" w:rsidRPr="00746BB0">
        <w:t>15614-1:2017. As stipulated in the standard concerned</w:t>
      </w:r>
      <w:r w:rsidR="00BE24A4">
        <w:t>,</w:t>
      </w:r>
      <w:r w:rsidR="00BE24A4" w:rsidRPr="00746BB0">
        <w:t xml:space="preserve"> it </w:t>
      </w:r>
      <w:r w:rsidR="00BE24A4">
        <w:t>must be</w:t>
      </w:r>
      <w:r w:rsidR="00BE24A4" w:rsidRPr="00746BB0">
        <w:t xml:space="preserve"> given the status of a national standard by December 2017 at the latest (by CEN members).</w:t>
      </w:r>
    </w:p>
    <w:p w:rsidR="00A158FB" w:rsidRDefault="00A158FB" w:rsidP="00C3172E">
      <w:pPr>
        <w:pStyle w:val="SingleTxtG"/>
      </w:pPr>
      <w:r>
        <w:t>5.</w:t>
      </w:r>
      <w:r>
        <w:tab/>
      </w:r>
      <w:r w:rsidR="00BE24A4" w:rsidRPr="00746BB0">
        <w:t xml:space="preserve">The main change to </w:t>
      </w:r>
      <w:r w:rsidR="00BE24A4">
        <w:t>EN ISO </w:t>
      </w:r>
      <w:r w:rsidR="00BE24A4" w:rsidRPr="00746BB0">
        <w:t>15614-1 includes introducing two l</w:t>
      </w:r>
      <w:r w:rsidR="00BE24A4">
        <w:t>evels of welding procedure tests</w:t>
      </w:r>
      <w:r w:rsidR="00BE24A4" w:rsidRPr="00746BB0">
        <w:t xml:space="preserve"> designated by levels 1 and 2. Level 1 is based on </w:t>
      </w:r>
      <w:r w:rsidR="00BE24A4">
        <w:t xml:space="preserve">the </w:t>
      </w:r>
      <w:r w:rsidR="00BE24A4" w:rsidRPr="00746BB0">
        <w:t>requirements of Section IX of the ASME Boiler and Pressure Vessel Code (ASME IX) and Level 2 is based on the previous issues of ISO 15614-1.</w:t>
      </w:r>
    </w:p>
    <w:p w:rsidR="005060EC" w:rsidRDefault="00A158FB" w:rsidP="00A158FB">
      <w:pPr>
        <w:pStyle w:val="SingleTxtG"/>
      </w:pPr>
      <w:r>
        <w:t>6.</w:t>
      </w:r>
      <w:r>
        <w:tab/>
      </w:r>
      <w:r w:rsidR="00BE24A4" w:rsidRPr="00746BB0">
        <w:t>Poland is of the opinion that to avoid different practice</w:t>
      </w:r>
      <w:r w:rsidR="00BE24A4">
        <w:t>s</w:t>
      </w:r>
      <w:r w:rsidR="00BE24A4" w:rsidRPr="00746BB0">
        <w:t xml:space="preserve"> in </w:t>
      </w:r>
      <w:r w:rsidR="00BE24A4">
        <w:t>applying the requirements of EN ISO </w:t>
      </w:r>
      <w:r w:rsidR="00BE24A4" w:rsidRPr="00746BB0">
        <w:t>15614-1 to welding procedure</w:t>
      </w:r>
      <w:r w:rsidR="00BE24A4">
        <w:t>s,</w:t>
      </w:r>
      <w:r w:rsidR="00BE24A4" w:rsidRPr="00746BB0">
        <w:t xml:space="preserve"> it would be advisable to clarify which level of welding procedure test</w:t>
      </w:r>
      <w:r w:rsidR="00BE24A4">
        <w:t>s</w:t>
      </w:r>
      <w:r w:rsidR="00BE24A4" w:rsidRPr="00746BB0">
        <w:t xml:space="preserve"> </w:t>
      </w:r>
      <w:r w:rsidR="00BE24A4">
        <w:t>described in EN ISO </w:t>
      </w:r>
      <w:r w:rsidR="00BE24A4" w:rsidRPr="00746BB0">
        <w:t>15614-1:2017 should be used</w:t>
      </w:r>
      <w:r w:rsidR="00BE24A4">
        <w:t xml:space="preserve">. </w:t>
      </w:r>
    </w:p>
    <w:p w:rsidR="005060EC" w:rsidRPr="00F8739D" w:rsidRDefault="005060EC" w:rsidP="00A158FB">
      <w:pPr>
        <w:pStyle w:val="SingleTxtG"/>
      </w:pPr>
      <w:r>
        <w:t>7.</w:t>
      </w:r>
      <w:r>
        <w:tab/>
      </w:r>
      <w:r w:rsidRPr="00746BB0">
        <w:t>In Poland</w:t>
      </w:r>
      <w:r>
        <w:t>’s view,</w:t>
      </w:r>
      <w:r w:rsidRPr="00746BB0">
        <w:t xml:space="preserve"> level 2 should be applied. First</w:t>
      </w:r>
      <w:r>
        <w:t>ly, because</w:t>
      </w:r>
      <w:r w:rsidRPr="00746BB0">
        <w:t xml:space="preserve"> it is ba</w:t>
      </w:r>
      <w:r>
        <w:t>sed on the previous issue of EN ISO </w:t>
      </w:r>
      <w:r w:rsidRPr="00746BB0">
        <w:t>15614-1. It follows from the standard that if no specific requirements are mentioned, level 2 should apply and last but not least</w:t>
      </w:r>
      <w:r>
        <w:t>,</w:t>
      </w:r>
      <w:r w:rsidRPr="00746BB0">
        <w:t xml:space="preserve"> level 2 ensures </w:t>
      </w:r>
      <w:r>
        <w:t xml:space="preserve">a </w:t>
      </w:r>
      <w:r w:rsidRPr="00746BB0">
        <w:t xml:space="preserve">higher level of safety </w:t>
      </w:r>
      <w:r w:rsidRPr="00746BB0">
        <w:lastRenderedPageBreak/>
        <w:t xml:space="preserve">than level 1. </w:t>
      </w:r>
      <w:r>
        <w:t>Secondly,</w:t>
      </w:r>
      <w:r w:rsidRPr="00746BB0">
        <w:t xml:space="preserve"> in the informative Annex ZA </w:t>
      </w:r>
      <w:r>
        <w:t xml:space="preserve">for </w:t>
      </w:r>
      <w:r w:rsidR="00B64B83">
        <w:t xml:space="preserve">European union </w:t>
      </w:r>
      <w:r w:rsidRPr="00746BB0">
        <w:t>Directive 2014/</w:t>
      </w:r>
      <w:r w:rsidRPr="00F8739D">
        <w:t>68/EU (PED), level 2 is indicated.</w:t>
      </w:r>
    </w:p>
    <w:p w:rsidR="00A158FB" w:rsidRDefault="00A73E32" w:rsidP="00A158FB">
      <w:pPr>
        <w:pStyle w:val="SingleTxtG"/>
      </w:pPr>
      <w:r w:rsidRPr="00F8739D">
        <w:t>8.</w:t>
      </w:r>
      <w:r w:rsidRPr="00F8739D">
        <w:tab/>
        <w:t xml:space="preserve">The issue concerned was already raised at the </w:t>
      </w:r>
      <w:r w:rsidR="00B64B83">
        <w:t>eighth s</w:t>
      </w:r>
      <w:r w:rsidRPr="00F8739D">
        <w:t>ession of the RID Committee of Experts' standing working group (Utrecht, 20 to 24 November 2017). As the subject is relevant both for RID and ADR t</w:t>
      </w:r>
      <w:r w:rsidR="005060EC" w:rsidRPr="00F8739D">
        <w:t xml:space="preserve">he standing working group asked the representative of Poland to submit her document to the Joint Meeting’s working group on tanks. </w:t>
      </w:r>
      <w:r w:rsidRPr="00F8739D">
        <w:t>The standing working group also suggested that t</w:t>
      </w:r>
      <w:r w:rsidR="005060EC" w:rsidRPr="00F8739D">
        <w:t>he Joint Meeting’s standards working group should check whether it would be expedient to refer directly to standard EN ISO 15614-1:2017, indicating the test level.</w:t>
      </w:r>
    </w:p>
    <w:p w:rsidR="00D3033C" w:rsidRDefault="00A73E32" w:rsidP="00A158FB">
      <w:pPr>
        <w:pStyle w:val="SingleTxtG"/>
      </w:pPr>
      <w:r>
        <w:t>9.</w:t>
      </w:r>
      <w:r>
        <w:tab/>
        <w:t xml:space="preserve">In view of the above </w:t>
      </w:r>
      <w:r w:rsidR="005060EC">
        <w:t xml:space="preserve">Poland would </w:t>
      </w:r>
      <w:r>
        <w:t xml:space="preserve">like to ask </w:t>
      </w:r>
      <w:r w:rsidR="005060EC">
        <w:t xml:space="preserve">the Joint Meeting </w:t>
      </w:r>
      <w:r>
        <w:t xml:space="preserve">to refer the document to the working group on tanks for consideration and possibly to the </w:t>
      </w:r>
      <w:r w:rsidR="00D55061">
        <w:t xml:space="preserve">standards working group as suggested by the </w:t>
      </w:r>
      <w:r w:rsidR="00D55061" w:rsidRPr="00A73E32">
        <w:t>RID Committee of Experts' standing working group</w:t>
      </w:r>
      <w:r w:rsidR="00D3033C">
        <w:t>.</w:t>
      </w:r>
    </w:p>
    <w:p w:rsidR="005060EC" w:rsidRDefault="00D3033C" w:rsidP="00D3033C">
      <w:pPr>
        <w:pStyle w:val="SingleTxtG"/>
        <w:jc w:val="center"/>
      </w:pPr>
      <w:r w:rsidRPr="00B44E1B">
        <w:t>__________</w:t>
      </w:r>
    </w:p>
    <w:p w:rsidR="00A158FB" w:rsidRDefault="00A158FB" w:rsidP="00A158FB">
      <w:pPr>
        <w:pStyle w:val="SingleTxtG"/>
      </w:pPr>
    </w:p>
    <w:sectPr w:rsidR="00A158FB" w:rsidSect="00134F8B">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575" w:rsidRDefault="00E83575"/>
  </w:endnote>
  <w:endnote w:type="continuationSeparator" w:id="0">
    <w:p w:rsidR="00E83575" w:rsidRDefault="00E83575"/>
  </w:endnote>
  <w:endnote w:type="continuationNotice" w:id="1">
    <w:p w:rsidR="00E83575" w:rsidRDefault="00E83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946784"/>
      <w:docPartObj>
        <w:docPartGallery w:val="Page Numbers (Bottom of Page)"/>
        <w:docPartUnique/>
      </w:docPartObj>
    </w:sdtPr>
    <w:sdtEndPr>
      <w:rPr>
        <w:b/>
        <w:noProof/>
        <w:sz w:val="18"/>
        <w:szCs w:val="18"/>
      </w:rPr>
    </w:sdtEndPr>
    <w:sdtContent>
      <w:p w:rsidR="00134F8B" w:rsidRPr="00134F8B" w:rsidRDefault="00134F8B">
        <w:pPr>
          <w:pStyle w:val="Footer"/>
          <w:rPr>
            <w:b/>
            <w:sz w:val="18"/>
            <w:szCs w:val="18"/>
          </w:rPr>
        </w:pPr>
        <w:r w:rsidRPr="00134F8B">
          <w:rPr>
            <w:b/>
            <w:sz w:val="18"/>
            <w:szCs w:val="18"/>
          </w:rPr>
          <w:fldChar w:fldCharType="begin"/>
        </w:r>
        <w:r w:rsidRPr="00134F8B">
          <w:rPr>
            <w:b/>
            <w:sz w:val="18"/>
            <w:szCs w:val="18"/>
          </w:rPr>
          <w:instrText xml:space="preserve"> PAGE   \* MERGEFORMAT </w:instrText>
        </w:r>
        <w:r w:rsidRPr="00134F8B">
          <w:rPr>
            <w:b/>
            <w:sz w:val="18"/>
            <w:szCs w:val="18"/>
          </w:rPr>
          <w:fldChar w:fldCharType="separate"/>
        </w:r>
        <w:r w:rsidR="00F83836">
          <w:rPr>
            <w:b/>
            <w:noProof/>
            <w:sz w:val="18"/>
            <w:szCs w:val="18"/>
          </w:rPr>
          <w:t>2</w:t>
        </w:r>
        <w:r w:rsidRPr="00134F8B">
          <w:rPr>
            <w:b/>
            <w:noProof/>
            <w:sz w:val="18"/>
            <w:szCs w:val="18"/>
          </w:rPr>
          <w:fldChar w:fldCharType="end"/>
        </w:r>
      </w:p>
    </w:sdtContent>
  </w:sdt>
  <w:p w:rsidR="00134F8B" w:rsidRDefault="00134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679189"/>
      <w:docPartObj>
        <w:docPartGallery w:val="Page Numbers (Bottom of Page)"/>
        <w:docPartUnique/>
      </w:docPartObj>
    </w:sdtPr>
    <w:sdtEndPr>
      <w:rPr>
        <w:noProof/>
      </w:rPr>
    </w:sdtEndPr>
    <w:sdtContent>
      <w:p w:rsidR="00134F8B" w:rsidRDefault="00134F8B">
        <w:pPr>
          <w:pStyle w:val="Footer"/>
          <w:jc w:val="right"/>
        </w:pPr>
        <w:r w:rsidRPr="00134F8B">
          <w:rPr>
            <w:b/>
            <w:sz w:val="18"/>
            <w:szCs w:val="18"/>
          </w:rPr>
          <w:fldChar w:fldCharType="begin"/>
        </w:r>
        <w:r w:rsidRPr="00134F8B">
          <w:rPr>
            <w:b/>
            <w:sz w:val="18"/>
            <w:szCs w:val="18"/>
          </w:rPr>
          <w:instrText xml:space="preserve"> PAGE   \* MERGEFORMAT </w:instrText>
        </w:r>
        <w:r w:rsidRPr="00134F8B">
          <w:rPr>
            <w:b/>
            <w:sz w:val="18"/>
            <w:szCs w:val="18"/>
          </w:rPr>
          <w:fldChar w:fldCharType="separate"/>
        </w:r>
        <w:r w:rsidR="00F83836">
          <w:rPr>
            <w:b/>
            <w:noProof/>
            <w:sz w:val="18"/>
            <w:szCs w:val="18"/>
          </w:rPr>
          <w:t>3</w:t>
        </w:r>
        <w:r w:rsidRPr="00134F8B">
          <w:rPr>
            <w:b/>
            <w:noProof/>
            <w:sz w:val="18"/>
            <w:szCs w:val="18"/>
          </w:rPr>
          <w:fldChar w:fldCharType="end"/>
        </w:r>
      </w:p>
    </w:sdtContent>
  </w:sdt>
  <w:p w:rsidR="00134F8B" w:rsidRDefault="00134F8B" w:rsidP="00134F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575" w:rsidRPr="000B175B" w:rsidRDefault="00E83575" w:rsidP="000B175B">
      <w:pPr>
        <w:tabs>
          <w:tab w:val="right" w:pos="2155"/>
        </w:tabs>
        <w:spacing w:after="80"/>
        <w:ind w:left="680"/>
        <w:rPr>
          <w:u w:val="single"/>
        </w:rPr>
      </w:pPr>
      <w:r>
        <w:rPr>
          <w:u w:val="single"/>
        </w:rPr>
        <w:tab/>
      </w:r>
    </w:p>
  </w:footnote>
  <w:footnote w:type="continuationSeparator" w:id="0">
    <w:p w:rsidR="00E83575" w:rsidRPr="00FC68B7" w:rsidRDefault="00E83575" w:rsidP="00FC68B7">
      <w:pPr>
        <w:tabs>
          <w:tab w:val="left" w:pos="2155"/>
        </w:tabs>
        <w:spacing w:after="80"/>
        <w:ind w:left="680"/>
        <w:rPr>
          <w:u w:val="single"/>
        </w:rPr>
      </w:pPr>
      <w:r>
        <w:rPr>
          <w:u w:val="single"/>
        </w:rPr>
        <w:tab/>
      </w:r>
    </w:p>
  </w:footnote>
  <w:footnote w:type="continuationNotice" w:id="1">
    <w:p w:rsidR="00E83575" w:rsidRDefault="00E83575"/>
  </w:footnote>
  <w:footnote w:id="2">
    <w:p w:rsidR="00134F8B" w:rsidRPr="00897362" w:rsidRDefault="00134F8B" w:rsidP="00134F8B">
      <w:pPr>
        <w:pStyle w:val="FootnoteText"/>
        <w:rPr>
          <w:lang w:val="fr-CH"/>
        </w:rPr>
      </w:pPr>
      <w:r>
        <w:tab/>
      </w:r>
      <w:r w:rsidR="00C563BF" w:rsidRPr="00C563BF">
        <w:rPr>
          <w:rStyle w:val="FootnoteReference"/>
          <w:sz w:val="20"/>
        </w:rPr>
        <w:footnoteRef/>
      </w:r>
      <w:r w:rsidR="00C563BF">
        <w:tab/>
      </w:r>
      <w:r>
        <w:rPr>
          <w:color w:val="000000"/>
          <w:lang w:val="en-US" w:eastAsia="en-GB"/>
        </w:rPr>
        <w:t xml:space="preserve">In accordance with the draft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(9.2)).</w:t>
      </w:r>
    </w:p>
    <w:p w:rsidR="00C563BF" w:rsidRPr="001B28C2" w:rsidRDefault="00C563BF" w:rsidP="00C563BF">
      <w:pPr>
        <w:pStyle w:val="FootnoteText"/>
        <w:ind w:left="1418" w:hanging="284"/>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99" w:rsidRDefault="00C33699">
    <w:pPr>
      <w:pStyle w:val="Header"/>
    </w:pPr>
    <w:r w:rsidRPr="009D2A5B">
      <w:t>ECE/TRANS/WP.15/AC.1/20</w:t>
    </w:r>
    <w:r>
      <w:t>18</w:t>
    </w:r>
    <w:r w:rsidRPr="009D2A5B">
      <w:t>/</w:t>
    </w:r>
    <w:r w:rsidR="00134F8B">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99" w:rsidRPr="009D2A5B" w:rsidRDefault="00C33699" w:rsidP="00C33699">
    <w:pPr>
      <w:pStyle w:val="Header"/>
      <w:jc w:val="right"/>
    </w:pPr>
    <w:r w:rsidRPr="009D2A5B">
      <w:t>ECE/TRANS/WP.15/AC.1/20</w:t>
    </w:r>
    <w:r>
      <w:t>18</w:t>
    </w:r>
    <w:r w:rsidRPr="009D2A5B">
      <w:t>/</w:t>
    </w:r>
    <w:r w:rsidR="00134F8B">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10AFB"/>
    <w:rsid w:val="00034A36"/>
    <w:rsid w:val="00037F90"/>
    <w:rsid w:val="00046B1F"/>
    <w:rsid w:val="000509A7"/>
    <w:rsid w:val="00050F6B"/>
    <w:rsid w:val="0005583C"/>
    <w:rsid w:val="00057E97"/>
    <w:rsid w:val="00072C8C"/>
    <w:rsid w:val="000733B5"/>
    <w:rsid w:val="00074915"/>
    <w:rsid w:val="00080491"/>
    <w:rsid w:val="0008179C"/>
    <w:rsid w:val="00081815"/>
    <w:rsid w:val="000931C0"/>
    <w:rsid w:val="00097AE9"/>
    <w:rsid w:val="000B0595"/>
    <w:rsid w:val="000B1333"/>
    <w:rsid w:val="000B175B"/>
    <w:rsid w:val="000B3A0F"/>
    <w:rsid w:val="000B4EF7"/>
    <w:rsid w:val="000C2C03"/>
    <w:rsid w:val="000C2D2E"/>
    <w:rsid w:val="000C4D51"/>
    <w:rsid w:val="000D640A"/>
    <w:rsid w:val="000E0415"/>
    <w:rsid w:val="00107A0C"/>
    <w:rsid w:val="001103AA"/>
    <w:rsid w:val="0011666B"/>
    <w:rsid w:val="001208E2"/>
    <w:rsid w:val="00134F8B"/>
    <w:rsid w:val="00155068"/>
    <w:rsid w:val="0016363E"/>
    <w:rsid w:val="00165F3A"/>
    <w:rsid w:val="0017587F"/>
    <w:rsid w:val="001B13A5"/>
    <w:rsid w:val="001B28C2"/>
    <w:rsid w:val="001B4B04"/>
    <w:rsid w:val="001C6663"/>
    <w:rsid w:val="001C7895"/>
    <w:rsid w:val="001D0C8C"/>
    <w:rsid w:val="001D1419"/>
    <w:rsid w:val="001D26DF"/>
    <w:rsid w:val="001D3A03"/>
    <w:rsid w:val="001D7F46"/>
    <w:rsid w:val="001E0B9E"/>
    <w:rsid w:val="001E5B26"/>
    <w:rsid w:val="001E7B67"/>
    <w:rsid w:val="001F7435"/>
    <w:rsid w:val="00202DA8"/>
    <w:rsid w:val="0020679A"/>
    <w:rsid w:val="0021157B"/>
    <w:rsid w:val="00211E0B"/>
    <w:rsid w:val="00267F5F"/>
    <w:rsid w:val="00277C12"/>
    <w:rsid w:val="00286B4D"/>
    <w:rsid w:val="002A603B"/>
    <w:rsid w:val="002D4643"/>
    <w:rsid w:val="002D4B6C"/>
    <w:rsid w:val="002E7E8E"/>
    <w:rsid w:val="002F175C"/>
    <w:rsid w:val="00302E18"/>
    <w:rsid w:val="00312506"/>
    <w:rsid w:val="003229D8"/>
    <w:rsid w:val="00352709"/>
    <w:rsid w:val="00371178"/>
    <w:rsid w:val="00381475"/>
    <w:rsid w:val="00381D8E"/>
    <w:rsid w:val="003A6810"/>
    <w:rsid w:val="003C2CC4"/>
    <w:rsid w:val="003D4B23"/>
    <w:rsid w:val="0040066D"/>
    <w:rsid w:val="004059B4"/>
    <w:rsid w:val="00410C89"/>
    <w:rsid w:val="00422E03"/>
    <w:rsid w:val="00426B9B"/>
    <w:rsid w:val="00430EFE"/>
    <w:rsid w:val="004325CB"/>
    <w:rsid w:val="004405A8"/>
    <w:rsid w:val="00441896"/>
    <w:rsid w:val="00442A83"/>
    <w:rsid w:val="00443AB5"/>
    <w:rsid w:val="004476D9"/>
    <w:rsid w:val="0045269E"/>
    <w:rsid w:val="0045495B"/>
    <w:rsid w:val="00466417"/>
    <w:rsid w:val="0048397A"/>
    <w:rsid w:val="004A12F2"/>
    <w:rsid w:val="004A7F69"/>
    <w:rsid w:val="004C2461"/>
    <w:rsid w:val="004C7462"/>
    <w:rsid w:val="004C7F54"/>
    <w:rsid w:val="004D4E04"/>
    <w:rsid w:val="004D5426"/>
    <w:rsid w:val="004D6404"/>
    <w:rsid w:val="004E0C05"/>
    <w:rsid w:val="004E77B2"/>
    <w:rsid w:val="00503DEB"/>
    <w:rsid w:val="00504B2D"/>
    <w:rsid w:val="005060EC"/>
    <w:rsid w:val="00511A9B"/>
    <w:rsid w:val="0052136D"/>
    <w:rsid w:val="00522B58"/>
    <w:rsid w:val="0052775E"/>
    <w:rsid w:val="00535C90"/>
    <w:rsid w:val="00540F2B"/>
    <w:rsid w:val="005420F2"/>
    <w:rsid w:val="00543785"/>
    <w:rsid w:val="00545927"/>
    <w:rsid w:val="00546993"/>
    <w:rsid w:val="00546AD4"/>
    <w:rsid w:val="005628B6"/>
    <w:rsid w:val="00566590"/>
    <w:rsid w:val="00581F74"/>
    <w:rsid w:val="005850FA"/>
    <w:rsid w:val="005927B4"/>
    <w:rsid w:val="00597EDC"/>
    <w:rsid w:val="005A575C"/>
    <w:rsid w:val="005B3DB3"/>
    <w:rsid w:val="005B4E13"/>
    <w:rsid w:val="005D103B"/>
    <w:rsid w:val="005E6A77"/>
    <w:rsid w:val="005F7B75"/>
    <w:rsid w:val="006001EE"/>
    <w:rsid w:val="00605042"/>
    <w:rsid w:val="00605A9A"/>
    <w:rsid w:val="006079E4"/>
    <w:rsid w:val="00611FC4"/>
    <w:rsid w:val="006176FB"/>
    <w:rsid w:val="00624249"/>
    <w:rsid w:val="00640B26"/>
    <w:rsid w:val="006478D9"/>
    <w:rsid w:val="00652D0A"/>
    <w:rsid w:val="00653C81"/>
    <w:rsid w:val="00656B98"/>
    <w:rsid w:val="006623D5"/>
    <w:rsid w:val="00662BB6"/>
    <w:rsid w:val="00667F8F"/>
    <w:rsid w:val="00684C21"/>
    <w:rsid w:val="0069232B"/>
    <w:rsid w:val="006A2530"/>
    <w:rsid w:val="006C3589"/>
    <w:rsid w:val="006D37AF"/>
    <w:rsid w:val="006D51D0"/>
    <w:rsid w:val="006E5117"/>
    <w:rsid w:val="006E564B"/>
    <w:rsid w:val="006E7191"/>
    <w:rsid w:val="00703577"/>
    <w:rsid w:val="00705894"/>
    <w:rsid w:val="00717402"/>
    <w:rsid w:val="0072632A"/>
    <w:rsid w:val="00731FF0"/>
    <w:rsid w:val="007327D5"/>
    <w:rsid w:val="007611CF"/>
    <w:rsid w:val="007629C8"/>
    <w:rsid w:val="0077047D"/>
    <w:rsid w:val="007A7662"/>
    <w:rsid w:val="007B6BA5"/>
    <w:rsid w:val="007C3390"/>
    <w:rsid w:val="007C4F4B"/>
    <w:rsid w:val="007D46D5"/>
    <w:rsid w:val="007E01E9"/>
    <w:rsid w:val="007E63F3"/>
    <w:rsid w:val="007F6611"/>
    <w:rsid w:val="007F7106"/>
    <w:rsid w:val="00811920"/>
    <w:rsid w:val="00815AD0"/>
    <w:rsid w:val="008242D7"/>
    <w:rsid w:val="008257B1"/>
    <w:rsid w:val="008408CA"/>
    <w:rsid w:val="00843767"/>
    <w:rsid w:val="008521A5"/>
    <w:rsid w:val="008679D9"/>
    <w:rsid w:val="00871389"/>
    <w:rsid w:val="00874CB6"/>
    <w:rsid w:val="00881C0C"/>
    <w:rsid w:val="00883999"/>
    <w:rsid w:val="008856F5"/>
    <w:rsid w:val="008878DE"/>
    <w:rsid w:val="008979B1"/>
    <w:rsid w:val="008A6B25"/>
    <w:rsid w:val="008A6C4F"/>
    <w:rsid w:val="008B2335"/>
    <w:rsid w:val="008B717B"/>
    <w:rsid w:val="008E0678"/>
    <w:rsid w:val="008E7526"/>
    <w:rsid w:val="00901B81"/>
    <w:rsid w:val="0092212D"/>
    <w:rsid w:val="009223CA"/>
    <w:rsid w:val="00930BEA"/>
    <w:rsid w:val="0093288B"/>
    <w:rsid w:val="00940F93"/>
    <w:rsid w:val="0094176E"/>
    <w:rsid w:val="0094558F"/>
    <w:rsid w:val="00951774"/>
    <w:rsid w:val="00961690"/>
    <w:rsid w:val="009760F3"/>
    <w:rsid w:val="009A0E8D"/>
    <w:rsid w:val="009B1518"/>
    <w:rsid w:val="009B26E7"/>
    <w:rsid w:val="009B6669"/>
    <w:rsid w:val="009C3EED"/>
    <w:rsid w:val="009C454F"/>
    <w:rsid w:val="009C4F9A"/>
    <w:rsid w:val="009D2A5B"/>
    <w:rsid w:val="00A00A3F"/>
    <w:rsid w:val="00A01489"/>
    <w:rsid w:val="00A158FB"/>
    <w:rsid w:val="00A3009E"/>
    <w:rsid w:val="00A3026E"/>
    <w:rsid w:val="00A338F1"/>
    <w:rsid w:val="00A43545"/>
    <w:rsid w:val="00A67690"/>
    <w:rsid w:val="00A72F22"/>
    <w:rsid w:val="00A7360F"/>
    <w:rsid w:val="00A73E32"/>
    <w:rsid w:val="00A748A6"/>
    <w:rsid w:val="00A769F4"/>
    <w:rsid w:val="00A776B4"/>
    <w:rsid w:val="00A81407"/>
    <w:rsid w:val="00A82D36"/>
    <w:rsid w:val="00A9093D"/>
    <w:rsid w:val="00A9142D"/>
    <w:rsid w:val="00A94361"/>
    <w:rsid w:val="00AA293C"/>
    <w:rsid w:val="00AA46AD"/>
    <w:rsid w:val="00AE08DA"/>
    <w:rsid w:val="00AE6935"/>
    <w:rsid w:val="00AF3993"/>
    <w:rsid w:val="00B11BB4"/>
    <w:rsid w:val="00B123EF"/>
    <w:rsid w:val="00B175D8"/>
    <w:rsid w:val="00B22BC2"/>
    <w:rsid w:val="00B30179"/>
    <w:rsid w:val="00B36283"/>
    <w:rsid w:val="00B421C1"/>
    <w:rsid w:val="00B42658"/>
    <w:rsid w:val="00B46740"/>
    <w:rsid w:val="00B55C71"/>
    <w:rsid w:val="00B56E4A"/>
    <w:rsid w:val="00B56E9C"/>
    <w:rsid w:val="00B61320"/>
    <w:rsid w:val="00B64B1F"/>
    <w:rsid w:val="00B64B83"/>
    <w:rsid w:val="00B6553F"/>
    <w:rsid w:val="00B70F1E"/>
    <w:rsid w:val="00B734ED"/>
    <w:rsid w:val="00B77D05"/>
    <w:rsid w:val="00B81206"/>
    <w:rsid w:val="00B81E12"/>
    <w:rsid w:val="00B857E8"/>
    <w:rsid w:val="00B9354D"/>
    <w:rsid w:val="00B94224"/>
    <w:rsid w:val="00BB7CD1"/>
    <w:rsid w:val="00BC3FA0"/>
    <w:rsid w:val="00BC74E9"/>
    <w:rsid w:val="00BD4443"/>
    <w:rsid w:val="00BE24A4"/>
    <w:rsid w:val="00BF68A8"/>
    <w:rsid w:val="00C072A4"/>
    <w:rsid w:val="00C10FE6"/>
    <w:rsid w:val="00C11A03"/>
    <w:rsid w:val="00C22C0C"/>
    <w:rsid w:val="00C255AF"/>
    <w:rsid w:val="00C30C61"/>
    <w:rsid w:val="00C3172E"/>
    <w:rsid w:val="00C33699"/>
    <w:rsid w:val="00C35502"/>
    <w:rsid w:val="00C40B11"/>
    <w:rsid w:val="00C4527F"/>
    <w:rsid w:val="00C463DD"/>
    <w:rsid w:val="00C4724C"/>
    <w:rsid w:val="00C563BF"/>
    <w:rsid w:val="00C629A0"/>
    <w:rsid w:val="00C64629"/>
    <w:rsid w:val="00C745C3"/>
    <w:rsid w:val="00C76F8B"/>
    <w:rsid w:val="00C86F79"/>
    <w:rsid w:val="00C92461"/>
    <w:rsid w:val="00CA49A1"/>
    <w:rsid w:val="00CB3E03"/>
    <w:rsid w:val="00CC6BEF"/>
    <w:rsid w:val="00CE4A8F"/>
    <w:rsid w:val="00CF6912"/>
    <w:rsid w:val="00D2031B"/>
    <w:rsid w:val="00D25FE2"/>
    <w:rsid w:val="00D3033C"/>
    <w:rsid w:val="00D43252"/>
    <w:rsid w:val="00D47EEA"/>
    <w:rsid w:val="00D55061"/>
    <w:rsid w:val="00D550D4"/>
    <w:rsid w:val="00D773DF"/>
    <w:rsid w:val="00D872AC"/>
    <w:rsid w:val="00D9255F"/>
    <w:rsid w:val="00D95303"/>
    <w:rsid w:val="00D978C6"/>
    <w:rsid w:val="00DA3C1C"/>
    <w:rsid w:val="00DD29BD"/>
    <w:rsid w:val="00DE1D53"/>
    <w:rsid w:val="00DF0F1A"/>
    <w:rsid w:val="00E046DF"/>
    <w:rsid w:val="00E06754"/>
    <w:rsid w:val="00E15557"/>
    <w:rsid w:val="00E17677"/>
    <w:rsid w:val="00E240D2"/>
    <w:rsid w:val="00E2598F"/>
    <w:rsid w:val="00E27346"/>
    <w:rsid w:val="00E71610"/>
    <w:rsid w:val="00E71BC8"/>
    <w:rsid w:val="00E7260F"/>
    <w:rsid w:val="00E73F5D"/>
    <w:rsid w:val="00E77E4E"/>
    <w:rsid w:val="00E83575"/>
    <w:rsid w:val="00E8771C"/>
    <w:rsid w:val="00E96630"/>
    <w:rsid w:val="00EC106A"/>
    <w:rsid w:val="00EC1E8A"/>
    <w:rsid w:val="00ED7A2A"/>
    <w:rsid w:val="00EE6B3A"/>
    <w:rsid w:val="00EF1D7F"/>
    <w:rsid w:val="00F00FEB"/>
    <w:rsid w:val="00F10DBE"/>
    <w:rsid w:val="00F31E5F"/>
    <w:rsid w:val="00F32BB7"/>
    <w:rsid w:val="00F47EDC"/>
    <w:rsid w:val="00F6100A"/>
    <w:rsid w:val="00F63C9D"/>
    <w:rsid w:val="00F65AE4"/>
    <w:rsid w:val="00F66565"/>
    <w:rsid w:val="00F75A16"/>
    <w:rsid w:val="00F80A3C"/>
    <w:rsid w:val="00F83836"/>
    <w:rsid w:val="00F8739D"/>
    <w:rsid w:val="00F922EF"/>
    <w:rsid w:val="00F92A22"/>
    <w:rsid w:val="00F93781"/>
    <w:rsid w:val="00FA6DA6"/>
    <w:rsid w:val="00FB613B"/>
    <w:rsid w:val="00FC68B7"/>
    <w:rsid w:val="00FC7BC0"/>
    <w:rsid w:val="00FE106A"/>
    <w:rsid w:val="00FE3513"/>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408A8"/>
  <w15:docId w15:val="{10926E46-F09F-4707-951C-3E84B756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45269E"/>
    <w:pPr>
      <w:spacing w:line="240" w:lineRule="auto"/>
      <w:outlineLvl w:val="1"/>
    </w:pPr>
  </w:style>
  <w:style w:type="paragraph" w:styleId="Heading3">
    <w:name w:val="heading 3"/>
    <w:basedOn w:val="Normal"/>
    <w:next w:val="Normal"/>
    <w:qFormat/>
    <w:rsid w:val="0045269E"/>
    <w:pPr>
      <w:spacing w:line="240" w:lineRule="auto"/>
      <w:outlineLvl w:val="2"/>
    </w:pPr>
  </w:style>
  <w:style w:type="paragraph" w:styleId="Heading4">
    <w:name w:val="heading 4"/>
    <w:basedOn w:val="Normal"/>
    <w:next w:val="Normal"/>
    <w:qFormat/>
    <w:rsid w:val="0045269E"/>
    <w:pPr>
      <w:spacing w:line="240" w:lineRule="auto"/>
      <w:outlineLvl w:val="3"/>
    </w:pPr>
  </w:style>
  <w:style w:type="paragraph" w:styleId="Heading5">
    <w:name w:val="heading 5"/>
    <w:basedOn w:val="Normal"/>
    <w:next w:val="Normal"/>
    <w:qFormat/>
    <w:rsid w:val="0045269E"/>
    <w:pPr>
      <w:spacing w:line="240" w:lineRule="auto"/>
      <w:outlineLvl w:val="4"/>
    </w:pPr>
  </w:style>
  <w:style w:type="paragraph" w:styleId="Heading6">
    <w:name w:val="heading 6"/>
    <w:basedOn w:val="Normal"/>
    <w:next w:val="Normal"/>
    <w:qFormat/>
    <w:rsid w:val="0045269E"/>
    <w:pPr>
      <w:spacing w:line="240" w:lineRule="auto"/>
      <w:outlineLvl w:val="5"/>
    </w:pPr>
  </w:style>
  <w:style w:type="paragraph" w:styleId="Heading7">
    <w:name w:val="heading 7"/>
    <w:basedOn w:val="Normal"/>
    <w:next w:val="Normal"/>
    <w:qFormat/>
    <w:rsid w:val="0045269E"/>
    <w:pPr>
      <w:spacing w:line="240" w:lineRule="auto"/>
      <w:outlineLvl w:val="6"/>
    </w:pPr>
  </w:style>
  <w:style w:type="paragraph" w:styleId="Heading8">
    <w:name w:val="heading 8"/>
    <w:basedOn w:val="Normal"/>
    <w:next w:val="Normal"/>
    <w:qFormat/>
    <w:rsid w:val="0045269E"/>
    <w:pPr>
      <w:spacing w:line="240" w:lineRule="auto"/>
      <w:outlineLvl w:val="7"/>
    </w:pPr>
  </w:style>
  <w:style w:type="paragraph" w:styleId="Heading9">
    <w:name w:val="heading 9"/>
    <w:basedOn w:val="Normal"/>
    <w:next w:val="Normal"/>
    <w:qFormat/>
    <w:rsid w:val="0045269E"/>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5269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5269E"/>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45269E"/>
    <w:pPr>
      <w:numPr>
        <w:numId w:val="13"/>
      </w:numPr>
      <w:tabs>
        <w:tab w:val="clear" w:pos="1494"/>
        <w:tab w:val="num" w:pos="360"/>
      </w:tabs>
    </w:pPr>
  </w:style>
  <w:style w:type="paragraph" w:customStyle="1" w:styleId="SingleTxtG">
    <w:name w:val="_ Single Txt_G"/>
    <w:basedOn w:val="Normal"/>
    <w:link w:val="SingleTxtGChar"/>
    <w:rsid w:val="0045269E"/>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45269E"/>
    <w:rPr>
      <w:rFonts w:cs="Courier New"/>
    </w:rPr>
  </w:style>
  <w:style w:type="paragraph" w:styleId="BodyText">
    <w:name w:val="Body Text"/>
    <w:basedOn w:val="Normal"/>
    <w:next w:val="Normal"/>
    <w:semiHidden/>
    <w:rsid w:val="0045269E"/>
  </w:style>
  <w:style w:type="paragraph" w:styleId="BodyTextIndent">
    <w:name w:val="Body Text Indent"/>
    <w:basedOn w:val="Normal"/>
    <w:semiHidden/>
    <w:rsid w:val="0045269E"/>
    <w:pPr>
      <w:spacing w:after="120"/>
      <w:ind w:left="283"/>
    </w:pPr>
  </w:style>
  <w:style w:type="paragraph" w:styleId="BlockText">
    <w:name w:val="Block Text"/>
    <w:basedOn w:val="Normal"/>
    <w:semiHidden/>
    <w:rsid w:val="0045269E"/>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45269E"/>
    <w:rPr>
      <w:sz w:val="6"/>
    </w:rPr>
  </w:style>
  <w:style w:type="paragraph" w:styleId="CommentText">
    <w:name w:val="annotation text"/>
    <w:basedOn w:val="Normal"/>
    <w:semiHidden/>
    <w:rsid w:val="0045269E"/>
  </w:style>
  <w:style w:type="character" w:styleId="LineNumber">
    <w:name w:val="line number"/>
    <w:semiHidden/>
    <w:rsid w:val="0045269E"/>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45269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5269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5269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5269E"/>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character" w:customStyle="1" w:styleId="FooterChar">
    <w:name w:val="Footer Char"/>
    <w:aliases w:val="3_G Char"/>
    <w:basedOn w:val="DefaultParagraphFont"/>
    <w:link w:val="Footer"/>
    <w:uiPriority w:val="99"/>
    <w:rsid w:val="00134F8B"/>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D938-28E0-48ED-A5AC-9878B033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788</Words>
  <Characters>4497</Characters>
  <Application>Microsoft Office Word</Application>
  <DocSecurity>0</DocSecurity>
  <Lines>37</Lines>
  <Paragraphs>10</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2017-12-15T07:38:00Z</cp:lastPrinted>
  <dcterms:created xsi:type="dcterms:W3CDTF">2017-12-15T08:20:00Z</dcterms:created>
  <dcterms:modified xsi:type="dcterms:W3CDTF">2017-12-21T14:09:00Z</dcterms:modified>
</cp:coreProperties>
</file>