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6C7574" w:rsidRDefault="00051289" w:rsidP="00051289">
            <w:pPr>
              <w:jc w:val="right"/>
              <w:rPr>
                <w:highlight w:val="yellow"/>
                <w:lang w:val="fr-FR"/>
              </w:rPr>
            </w:pPr>
            <w:r w:rsidRPr="007D1CDB">
              <w:rPr>
                <w:sz w:val="40"/>
                <w:lang w:val="fr-FR"/>
              </w:rPr>
              <w:t>ECE</w:t>
            </w:r>
            <w:r w:rsidRPr="007D1CDB">
              <w:rPr>
                <w:lang w:val="fr-FR"/>
              </w:rPr>
              <w:t>/TRANS/WP.15/AC.1/2018/</w:t>
            </w:r>
            <w:r w:rsidR="003A29A6">
              <w:rPr>
                <w:lang w:val="fr-FR"/>
              </w:rPr>
              <w:t>2</w:t>
            </w:r>
            <w:r w:rsidR="00F16902">
              <w:rPr>
                <w:lang w:val="fr-FR"/>
              </w:rPr>
              <w:t>9</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051289" w:rsidP="00051289">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051289" w:rsidRDefault="003A29A6" w:rsidP="00051289">
            <w:pPr>
              <w:spacing w:line="240" w:lineRule="exact"/>
              <w:rPr>
                <w:lang w:val="fr-FR"/>
              </w:rPr>
            </w:pPr>
            <w:r>
              <w:rPr>
                <w:lang w:val="fr-FR"/>
              </w:rPr>
              <w:t>2</w:t>
            </w:r>
            <w:r w:rsidR="00FB53C9">
              <w:rPr>
                <w:lang w:val="fr-FR"/>
              </w:rPr>
              <w:t>7</w:t>
            </w:r>
            <w:r>
              <w:rPr>
                <w:lang w:val="fr-FR"/>
              </w:rPr>
              <w:t xml:space="preserve"> juin 2018</w:t>
            </w:r>
          </w:p>
          <w:p w:rsidR="00051289" w:rsidRDefault="00051289" w:rsidP="00051289">
            <w:pPr>
              <w:spacing w:line="240" w:lineRule="exact"/>
              <w:rPr>
                <w:lang w:val="fr-FR"/>
              </w:rPr>
            </w:pPr>
          </w:p>
          <w:p w:rsidR="00051289" w:rsidRPr="00367E6A" w:rsidRDefault="00051289" w:rsidP="00051289">
            <w:pPr>
              <w:spacing w:line="240" w:lineRule="exact"/>
              <w:rPr>
                <w:lang w:val="fr-FR"/>
              </w:rPr>
            </w:pPr>
            <w:proofErr w:type="gramStart"/>
            <w:r>
              <w:rPr>
                <w:lang w:val="fr-FR"/>
              </w:rPr>
              <w:t>Original:</w:t>
            </w:r>
            <w:proofErr w:type="gramEnd"/>
            <w:r>
              <w:rPr>
                <w:lang w:val="fr-FR"/>
              </w:rPr>
              <w:t xml:space="preserve">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B93E72" w:rsidRPr="00367E6A" w:rsidRDefault="00B93E72" w:rsidP="00B93E72">
      <w:pPr>
        <w:spacing w:before="120"/>
        <w:rPr>
          <w:b/>
          <w:lang w:val="fr-FR"/>
        </w:rPr>
      </w:pPr>
      <w:r w:rsidRPr="00367E6A">
        <w:rPr>
          <w:b/>
          <w:lang w:val="fr-FR"/>
        </w:rPr>
        <w:t>Réunion commune de la Commission d’experts</w:t>
      </w:r>
      <w:r w:rsidR="006049FD" w:rsidRPr="00367E6A">
        <w:rPr>
          <w:b/>
          <w:lang w:val="fr-FR"/>
        </w:rPr>
        <w:br/>
      </w:r>
      <w:r w:rsidRPr="00367E6A">
        <w:rPr>
          <w:b/>
          <w:lang w:val="fr-FR"/>
        </w:rPr>
        <w:t>du RID</w:t>
      </w:r>
      <w:r w:rsidR="00926E87" w:rsidRPr="00367E6A">
        <w:rPr>
          <w:b/>
          <w:lang w:val="fr-FR"/>
        </w:rPr>
        <w:t xml:space="preserve"> </w:t>
      </w:r>
      <w:r w:rsidRPr="00367E6A">
        <w:rPr>
          <w:b/>
          <w:lang w:val="fr-FR"/>
        </w:rPr>
        <w:t>et</w:t>
      </w:r>
      <w:r w:rsidR="006049FD" w:rsidRPr="00367E6A">
        <w:rPr>
          <w:b/>
          <w:lang w:val="fr-FR"/>
        </w:rPr>
        <w:t xml:space="preserve"> </w:t>
      </w:r>
      <w:r w:rsidRPr="00367E6A">
        <w:rPr>
          <w:b/>
          <w:lang w:val="fr-FR"/>
        </w:rPr>
        <w:t>du Groupe de travail</w:t>
      </w:r>
      <w:r w:rsidR="003D76E4" w:rsidRPr="00367E6A">
        <w:rPr>
          <w:b/>
          <w:lang w:val="fr-FR"/>
        </w:rPr>
        <w:t xml:space="preserve"> </w:t>
      </w:r>
      <w:r w:rsidRPr="00367E6A">
        <w:rPr>
          <w:b/>
          <w:lang w:val="fr-FR"/>
        </w:rPr>
        <w:t>des transports</w:t>
      </w:r>
      <w:r w:rsidR="006049FD" w:rsidRPr="00367E6A">
        <w:rPr>
          <w:b/>
          <w:lang w:val="fr-FR"/>
        </w:rPr>
        <w:br/>
      </w:r>
      <w:r w:rsidRPr="00367E6A">
        <w:rPr>
          <w:b/>
          <w:lang w:val="fr-FR"/>
        </w:rPr>
        <w:t>de marchandises dangereuses</w:t>
      </w:r>
    </w:p>
    <w:p w:rsidR="00B93E72" w:rsidRPr="00367E6A" w:rsidRDefault="00414425" w:rsidP="00BF06B0">
      <w:pPr>
        <w:rPr>
          <w:lang w:val="fr-FR"/>
        </w:rPr>
      </w:pPr>
      <w:r w:rsidRPr="00367E6A">
        <w:rPr>
          <w:lang w:val="fr-FR"/>
        </w:rPr>
        <w:t xml:space="preserve">Genève, </w:t>
      </w:r>
      <w:r w:rsidR="00051289">
        <w:rPr>
          <w:lang w:val="fr-FR"/>
        </w:rPr>
        <w:t>17-21 septembre</w:t>
      </w:r>
      <w:r w:rsidRPr="00367E6A">
        <w:rPr>
          <w:lang w:val="fr-FR"/>
        </w:rPr>
        <w:t xml:space="preserve"> 201</w:t>
      </w:r>
      <w:r w:rsidR="00051289">
        <w:rPr>
          <w:lang w:val="fr-FR"/>
        </w:rPr>
        <w:t>8</w:t>
      </w:r>
    </w:p>
    <w:p w:rsidR="000312C0" w:rsidRDefault="00B93E72" w:rsidP="00B93E72">
      <w:pPr>
        <w:rPr>
          <w:lang w:val="fr-FR"/>
        </w:rPr>
      </w:pPr>
      <w:r w:rsidRPr="00367E6A">
        <w:rPr>
          <w:lang w:val="fr-FR"/>
        </w:rPr>
        <w:t xml:space="preserve">Point </w:t>
      </w:r>
      <w:r w:rsidR="00A5701E">
        <w:rPr>
          <w:lang w:val="fr-FR"/>
        </w:rPr>
        <w:t>3</w:t>
      </w:r>
      <w:r w:rsidRPr="00367E6A">
        <w:rPr>
          <w:lang w:val="fr-FR"/>
        </w:rPr>
        <w:t xml:space="preserve"> de l’ordre du jour provisoire</w:t>
      </w:r>
    </w:p>
    <w:p w:rsidR="00051289" w:rsidRDefault="00A5701E" w:rsidP="00B93E72">
      <w:pPr>
        <w:rPr>
          <w:b/>
          <w:bCs/>
          <w:lang w:val="fr-FR"/>
        </w:rPr>
      </w:pPr>
      <w:r>
        <w:rPr>
          <w:b/>
          <w:bCs/>
          <w:lang w:val="fr-FR"/>
        </w:rPr>
        <w:t>Normes</w:t>
      </w:r>
    </w:p>
    <w:p w:rsidR="006C7574" w:rsidRDefault="006C7574" w:rsidP="006C7574">
      <w:pPr>
        <w:pStyle w:val="HChG"/>
        <w:rPr>
          <w:lang w:val="fr-FR"/>
        </w:rPr>
      </w:pPr>
      <w:r>
        <w:tab/>
      </w:r>
      <w:r>
        <w:tab/>
      </w:r>
      <w:r w:rsidR="00DE7524">
        <w:t>Amendements relatifs aux normes concernant les citernes</w:t>
      </w:r>
    </w:p>
    <w:p w:rsidR="006C7574" w:rsidRDefault="006C7574" w:rsidP="006C7574">
      <w:pPr>
        <w:pStyle w:val="H1G"/>
        <w:rPr>
          <w:sz w:val="20"/>
        </w:rPr>
      </w:pPr>
      <w:r>
        <w:rPr>
          <w:lang w:val="fr-FR"/>
        </w:rPr>
        <w:tab/>
      </w:r>
      <w:r>
        <w:rPr>
          <w:lang w:val="fr-FR"/>
        </w:rPr>
        <w:tab/>
        <w:t>Communication du Gouvernement de la France</w:t>
      </w:r>
      <w:r w:rsidRPr="007D1CDB">
        <w:rPr>
          <w:rStyle w:val="FootnoteReference"/>
          <w:b w:val="0"/>
          <w:bCs/>
          <w:sz w:val="20"/>
        </w:rPr>
        <w:footnoteReference w:customMarkFollows="1" w:id="2"/>
        <w:t>*</w:t>
      </w:r>
      <w:r w:rsidRPr="007D1CDB">
        <w:rPr>
          <w:b w:val="0"/>
          <w:bCs/>
          <w:sz w:val="20"/>
          <w:vertAlign w:val="superscript"/>
        </w:rPr>
        <w:t>,</w:t>
      </w:r>
      <w:r w:rsidR="007D1CDB">
        <w:rPr>
          <w:b w:val="0"/>
          <w:bCs/>
          <w:sz w:val="20"/>
          <w:vertAlign w:val="superscript"/>
        </w:rPr>
        <w:t xml:space="preserve"> </w:t>
      </w:r>
      <w:r w:rsidRPr="007D1CDB">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DE7524" w:rsidTr="00D85C6F">
        <w:trPr>
          <w:jc w:val="center"/>
        </w:trPr>
        <w:tc>
          <w:tcPr>
            <w:tcW w:w="9637" w:type="dxa"/>
          </w:tcPr>
          <w:p w:rsidR="00DE7524" w:rsidRDefault="00DE7524" w:rsidP="00D85C6F">
            <w:pPr>
              <w:pStyle w:val="SingleTxtG"/>
              <w:tabs>
                <w:tab w:val="left" w:pos="3544"/>
              </w:tabs>
              <w:ind w:left="3544" w:hanging="2268"/>
            </w:pPr>
            <w:r>
              <w:rPr>
                <w:b/>
              </w:rPr>
              <w:t>Résumé analytique :</w:t>
            </w:r>
            <w:r>
              <w:rPr>
                <w:b/>
              </w:rPr>
              <w:tab/>
            </w:r>
            <w:r w:rsidRPr="009B022B">
              <w:t>Clarifier l</w:t>
            </w:r>
            <w:r>
              <w:t>a situation pour l’application d</w:t>
            </w:r>
            <w:r w:rsidRPr="009B022B">
              <w:t xml:space="preserve">es </w:t>
            </w:r>
            <w:r>
              <w:t>normes</w:t>
            </w:r>
            <w:r w:rsidRPr="009B022B">
              <w:t xml:space="preserve"> concerna</w:t>
            </w:r>
            <w:r>
              <w:t>nt les</w:t>
            </w:r>
            <w:r w:rsidRPr="009B022B">
              <w:t xml:space="preserve"> citernes</w:t>
            </w:r>
            <w:r>
              <w:t>.</w:t>
            </w:r>
          </w:p>
        </w:tc>
      </w:tr>
      <w:tr w:rsidR="00DE7524" w:rsidTr="00D85C6F">
        <w:trPr>
          <w:jc w:val="center"/>
        </w:trPr>
        <w:tc>
          <w:tcPr>
            <w:tcW w:w="9637" w:type="dxa"/>
          </w:tcPr>
          <w:p w:rsidR="00DE7524" w:rsidRDefault="00DE7524" w:rsidP="00D85C6F">
            <w:pPr>
              <w:pStyle w:val="SingleTxtG"/>
              <w:tabs>
                <w:tab w:val="left" w:pos="3544"/>
              </w:tabs>
              <w:ind w:left="3544" w:hanging="2268"/>
            </w:pPr>
            <w:r>
              <w:rPr>
                <w:b/>
              </w:rPr>
              <w:t xml:space="preserve">Mesures à </w:t>
            </w:r>
            <w:r w:rsidRPr="00F541A5">
              <w:rPr>
                <w:b/>
              </w:rPr>
              <w:t>prendre :</w:t>
            </w:r>
            <w:r>
              <w:rPr>
                <w:b/>
              </w:rPr>
              <w:t xml:space="preserve"> </w:t>
            </w:r>
            <w:r>
              <w:rPr>
                <w:b/>
              </w:rPr>
              <w:tab/>
            </w:r>
            <w:r w:rsidRPr="00B44E17">
              <w:t>C</w:t>
            </w:r>
            <w:r>
              <w:t>oordonner l’application volontaire des normes les plus adaptées.</w:t>
            </w:r>
          </w:p>
        </w:tc>
      </w:tr>
      <w:tr w:rsidR="00DE7524" w:rsidTr="00D85C6F">
        <w:trPr>
          <w:trHeight w:val="424"/>
          <w:jc w:val="center"/>
        </w:trPr>
        <w:tc>
          <w:tcPr>
            <w:tcW w:w="9637" w:type="dxa"/>
            <w:tcBorders>
              <w:bottom w:val="single" w:sz="4" w:space="0" w:color="auto"/>
            </w:tcBorders>
          </w:tcPr>
          <w:p w:rsidR="00DE7524" w:rsidRDefault="00DE7524" w:rsidP="00D85C6F">
            <w:pPr>
              <w:pStyle w:val="SingleTxtG"/>
              <w:tabs>
                <w:tab w:val="left" w:pos="3544"/>
              </w:tabs>
              <w:spacing w:after="0"/>
              <w:ind w:left="3544" w:hanging="2268"/>
            </w:pPr>
            <w:r>
              <w:rPr>
                <w:b/>
              </w:rPr>
              <w:t>Documents de référence :</w:t>
            </w:r>
            <w:r>
              <w:rPr>
                <w:b/>
              </w:rPr>
              <w:tab/>
            </w:r>
            <w:r w:rsidRPr="0007387E">
              <w:rPr>
                <w:bCs/>
              </w:rPr>
              <w:t>ECE</w:t>
            </w:r>
            <w:r>
              <w:rPr>
                <w:b/>
              </w:rPr>
              <w:t>/</w:t>
            </w:r>
            <w:r>
              <w:t>TRANS/WP.15/AC.1/150, Paragraphe 9 et Annexe II</w:t>
            </w:r>
          </w:p>
          <w:p w:rsidR="00DE7524" w:rsidRDefault="00DE7524" w:rsidP="00D85C6F">
            <w:pPr>
              <w:pStyle w:val="SingleTxtG"/>
              <w:tabs>
                <w:tab w:val="left" w:pos="3544"/>
              </w:tabs>
              <w:spacing w:after="0"/>
              <w:ind w:left="3544"/>
            </w:pPr>
            <w:r>
              <w:t>ECE/TRANS/WP.15/139, Paragraphe 25</w:t>
            </w:r>
          </w:p>
          <w:p w:rsidR="00DE7524" w:rsidRDefault="00DE7524" w:rsidP="00D85C6F">
            <w:pPr>
              <w:pStyle w:val="SingleTxtG"/>
              <w:tabs>
                <w:tab w:val="left" w:pos="3260"/>
              </w:tabs>
              <w:ind w:left="3544"/>
            </w:pPr>
            <w:r>
              <w:t xml:space="preserve">ECE/TRANS/WP.15/142, Annexes III et IV </w:t>
            </w:r>
          </w:p>
        </w:tc>
      </w:tr>
    </w:tbl>
    <w:p w:rsidR="00DE7524" w:rsidRPr="003D0CE3" w:rsidRDefault="00DE7524" w:rsidP="003D0CE3">
      <w:pPr>
        <w:pStyle w:val="SingleTxtG"/>
        <w:spacing w:before="120"/>
      </w:pPr>
      <w:r w:rsidRPr="003D0CE3">
        <w:t>1.</w:t>
      </w:r>
      <w:r w:rsidRPr="003D0CE3">
        <w:tab/>
        <w:t>La Réunion commune a adopté à sa session de mars 2018 les propositions du Groupe de travail sur les normes visant à ajouter aux 6.8.2.6.1 et 6.8.2.6.2 du RID/ADR les références aux normes EN </w:t>
      </w:r>
      <w:proofErr w:type="gramStart"/>
      <w:r w:rsidRPr="003D0CE3">
        <w:t>12972:</w:t>
      </w:r>
      <w:proofErr w:type="gramEnd"/>
      <w:r w:rsidRPr="003D0CE3">
        <w:t>2018 et EN 14025:2018, sous réserve qu’elles soient publiées avant le 1er juin 2018.</w:t>
      </w:r>
    </w:p>
    <w:p w:rsidR="00DE7524" w:rsidRPr="003D0CE3" w:rsidRDefault="00DE7524" w:rsidP="003D0CE3">
      <w:pPr>
        <w:pStyle w:val="SingleTxtG"/>
        <w:spacing w:before="120"/>
      </w:pPr>
      <w:r w:rsidRPr="003D0CE3">
        <w:t>2.</w:t>
      </w:r>
      <w:r w:rsidRPr="003D0CE3">
        <w:tab/>
        <w:t>De même le WP.15 a précisé, lors de sa session de novembre 2017, que les références aux normes, dont la norme EN </w:t>
      </w:r>
      <w:proofErr w:type="gramStart"/>
      <w:r w:rsidRPr="003D0CE3">
        <w:t>13317:</w:t>
      </w:r>
      <w:proofErr w:type="gramEnd"/>
      <w:r w:rsidRPr="003D0CE3">
        <w:t xml:space="preserve">2018, seront supprimées si elles ne sont pas publiées à temps. </w:t>
      </w:r>
    </w:p>
    <w:p w:rsidR="00DE7524" w:rsidRDefault="00DE7524" w:rsidP="003D0CE3">
      <w:pPr>
        <w:pStyle w:val="SingleTxtG"/>
        <w:spacing w:before="120"/>
      </w:pPr>
      <w:r w:rsidRPr="003D0CE3">
        <w:t>3.</w:t>
      </w:r>
      <w:r w:rsidRPr="003D0CE3">
        <w:tab/>
        <w:t>Malhe</w:t>
      </w:r>
      <w:r>
        <w:t xml:space="preserve">ureusement, malgré l’important travail effectué par les groupes de normalisation chargés de la révision de ces normes pour respecter les délais, ces trois normes </w:t>
      </w:r>
      <w:r>
        <w:lastRenderedPageBreak/>
        <w:t>relatives aux citernes n’étaient pas disponibles à la date du 1</w:t>
      </w:r>
      <w:r w:rsidRPr="00FA669A">
        <w:rPr>
          <w:vertAlign w:val="superscript"/>
        </w:rPr>
        <w:t>er</w:t>
      </w:r>
      <w:r>
        <w:t xml:space="preserve"> juin 2018. En conséquence les amendements les concernant ont été retirés de la liste des amendements notifiés pour une entrée en vigueur le 1</w:t>
      </w:r>
      <w:r w:rsidRPr="006E0776">
        <w:rPr>
          <w:vertAlign w:val="superscript"/>
        </w:rPr>
        <w:t>er</w:t>
      </w:r>
      <w:r>
        <w:t xml:space="preserve"> janvier 2019.</w:t>
      </w:r>
    </w:p>
    <w:p w:rsidR="00DE7524" w:rsidRDefault="00DE7524" w:rsidP="00DE7524">
      <w:pPr>
        <w:pStyle w:val="SingleTxtG"/>
      </w:pPr>
      <w:r>
        <w:t>4.</w:t>
      </w:r>
      <w:r>
        <w:tab/>
        <w:t xml:space="preserve">Cette situation regrettable n’est pas sans conséquence pour les autorités compétentes, les organismes de contrôles et les constructeurs de citernes, et pose d’importantes difficultés d’application compte tenu notamment des évolutions règlementaires adoptées ces dernières années. </w:t>
      </w:r>
    </w:p>
    <w:p w:rsidR="00DE7524" w:rsidRDefault="00DE7524" w:rsidP="00DE7524">
      <w:pPr>
        <w:pStyle w:val="SingleTxtG"/>
      </w:pPr>
      <w:r>
        <w:t>5.</w:t>
      </w:r>
      <w:r>
        <w:tab/>
        <w:t xml:space="preserve">Par exemple, le RID/ADR cite la norme EN </w:t>
      </w:r>
      <w:proofErr w:type="gramStart"/>
      <w:r>
        <w:t>12972:</w:t>
      </w:r>
      <w:proofErr w:type="gramEnd"/>
      <w:r>
        <w:t>2007 pour les contrôles initiaux, intermédiaires et périodiques des citernes. La suppression dans la règlementation de la notion de pression maximale de service pour les citernes à vidange par gravité, qui représentent près de 80% des citernes routières, rend complètement inadaptées les dispositions de cette norme pour la réalisation des épreuves hydrauliques et des épreuves d’étanchéité. En conséquence la norme actuellement citée, d’application obligatoire, ne peut plus être utilisée pour ces cas, ce qui crée une insécurité juridique certaine.</w:t>
      </w:r>
    </w:p>
    <w:p w:rsidR="00DE7524" w:rsidRDefault="00DE7524" w:rsidP="00DE7524">
      <w:pPr>
        <w:pStyle w:val="SingleTxtG"/>
      </w:pPr>
      <w:r>
        <w:t>6.</w:t>
      </w:r>
      <w:r>
        <w:tab/>
        <w:t xml:space="preserve">Toujours à titre d’exemple, la norme EN </w:t>
      </w:r>
      <w:proofErr w:type="gramStart"/>
      <w:r>
        <w:t>12972:</w:t>
      </w:r>
      <w:proofErr w:type="gramEnd"/>
      <w:r>
        <w:t>2018 définit de façon détaillée les contrôles non destructifs (CND) à réaliser sur les soudures des citernes. Un report de l’application de ces dispositions visant à améliorer la construction des citernes</w:t>
      </w:r>
      <w:r w:rsidRPr="00CE6B82">
        <w:t xml:space="preserve"> </w:t>
      </w:r>
      <w:r>
        <w:t>est tout à fait préjudiciable.</w:t>
      </w:r>
    </w:p>
    <w:p w:rsidR="00DE7524" w:rsidRDefault="00DE7524" w:rsidP="00DE7524">
      <w:pPr>
        <w:pStyle w:val="SingleTxtG"/>
      </w:pPr>
      <w:r>
        <w:t>7.</w:t>
      </w:r>
      <w:r>
        <w:tab/>
        <w:t>D’autre part, les différents utilisateurs du RID/ADR ont des difficultés à comprendre que des normes fondamentales élaborées en 2017, examinées par le Groupe de travail sur les normes, puis adoptées par la Réunion commune en mars 2018 et par le WP.15 en mai 2018, publiées au cours de l’été 2018 ne soient d’application obligatoire qu’en 2023 (si l’on suit la procédure habituelle).</w:t>
      </w:r>
    </w:p>
    <w:p w:rsidR="00DE7524" w:rsidRDefault="00DE7524" w:rsidP="00DE7524">
      <w:pPr>
        <w:pStyle w:val="SingleTxtG"/>
        <w:rPr>
          <w:bCs/>
          <w:iCs/>
        </w:rPr>
      </w:pPr>
      <w:r>
        <w:rPr>
          <w:bCs/>
          <w:iCs/>
        </w:rPr>
        <w:t>8.</w:t>
      </w:r>
      <w:r>
        <w:rPr>
          <w:bCs/>
          <w:iCs/>
        </w:rPr>
        <w:tab/>
        <w:t>Ces normes publiées à l’été 2018 même si elles ne sont pas citées dans le RID/ADR 2019, pourront être utilisées conformément au</w:t>
      </w:r>
      <w:r>
        <w:t xml:space="preserve"> 6.8.2.7 du RID/ADR qui précise « qu’une </w:t>
      </w:r>
      <w:r w:rsidRPr="004154CD">
        <w:rPr>
          <w:bCs/>
          <w:iCs/>
        </w:rPr>
        <w:t>norme qui a été adoptée pour être citée en référence dans une édition future d</w:t>
      </w:r>
      <w:r>
        <w:rPr>
          <w:bCs/>
          <w:iCs/>
        </w:rPr>
        <w:t>u RID/</w:t>
      </w:r>
      <w:r w:rsidRPr="004154CD">
        <w:rPr>
          <w:bCs/>
          <w:iCs/>
        </w:rPr>
        <w:t>ADR peut être approuvée par l’autorité compétente en vue de son utilisation</w:t>
      </w:r>
      <w:r>
        <w:rPr>
          <w:bCs/>
          <w:iCs/>
        </w:rPr>
        <w:t xml:space="preserve"> ». </w:t>
      </w:r>
    </w:p>
    <w:p w:rsidR="00DE7524" w:rsidRDefault="00DE7524" w:rsidP="00DE7524">
      <w:pPr>
        <w:pStyle w:val="SingleTxtG"/>
        <w:rPr>
          <w:bCs/>
          <w:iCs/>
        </w:rPr>
      </w:pPr>
      <w:r>
        <w:rPr>
          <w:bCs/>
          <w:iCs/>
        </w:rPr>
        <w:t>9.</w:t>
      </w:r>
      <w:r>
        <w:rPr>
          <w:bCs/>
          <w:iCs/>
        </w:rPr>
        <w:tab/>
        <w:t xml:space="preserve">Mais il est à craindre alors que cela ne crée encore plus de confusion pendant la période à venir de 5 ans pendant laquelle 2 versions de chacune de ces normes (dont l’une est pour partie en inadéquation avec les exigences essentielles de la règlementation) pourront être utilisées. De plus sur certains points les normes </w:t>
      </w:r>
      <w:r w:rsidRPr="00FE6628">
        <w:t>EN</w:t>
      </w:r>
      <w:r>
        <w:t> </w:t>
      </w:r>
      <w:proofErr w:type="gramStart"/>
      <w:r w:rsidRPr="00FE6628">
        <w:t>12972</w:t>
      </w:r>
      <w:r>
        <w:rPr>
          <w:bCs/>
          <w:iCs/>
        </w:rPr>
        <w:t>:</w:t>
      </w:r>
      <w:proofErr w:type="gramEnd"/>
      <w:r>
        <w:rPr>
          <w:bCs/>
          <w:iCs/>
        </w:rPr>
        <w:t>2018 et EN 14025:2018 se réfèrent l’une à l’autre, la cohérence globale du système serait alors complètement perdue.</w:t>
      </w:r>
    </w:p>
    <w:p w:rsidR="00DE7524" w:rsidRDefault="00DE7524" w:rsidP="00DE7524">
      <w:pPr>
        <w:pStyle w:val="SingleTxtG"/>
        <w:rPr>
          <w:bCs/>
          <w:iCs/>
        </w:rPr>
      </w:pPr>
      <w:r>
        <w:rPr>
          <w:bCs/>
          <w:iCs/>
        </w:rPr>
        <w:t>10.</w:t>
      </w:r>
      <w:r>
        <w:rPr>
          <w:bCs/>
          <w:iCs/>
        </w:rPr>
        <w:tab/>
        <w:t>Pour une application harmonisée de la norme EN </w:t>
      </w:r>
      <w:proofErr w:type="gramStart"/>
      <w:r>
        <w:rPr>
          <w:bCs/>
          <w:iCs/>
        </w:rPr>
        <w:t>12972:</w:t>
      </w:r>
      <w:proofErr w:type="gramEnd"/>
      <w:r>
        <w:rPr>
          <w:bCs/>
          <w:iCs/>
        </w:rPr>
        <w:t>2018 sur la base du 6.8.2.7, il serait alors souhaitable que l’ensemble des autorités compétentes s’engagent non seulement à approuver l’utilisation de cette norme, mais aussi à encourager son utilisation dès le 1</w:t>
      </w:r>
      <w:r w:rsidRPr="00265013">
        <w:rPr>
          <w:bCs/>
          <w:iCs/>
          <w:vertAlign w:val="superscript"/>
        </w:rPr>
        <w:t>er</w:t>
      </w:r>
      <w:r>
        <w:rPr>
          <w:bCs/>
          <w:iCs/>
        </w:rPr>
        <w:t xml:space="preserve"> juillet 2019 sachant que l’utilisation de sa version de 2007 est susceptible de conduire à des non conformités règlementaires. Cela pourra éventuellement être clarifié par des lignes directrices</w:t>
      </w:r>
      <w:r w:rsidRPr="0054368A">
        <w:t xml:space="preserve"> </w:t>
      </w:r>
      <w:r>
        <w:t>sur les sites web de l’OTIF et de la CEE/ONU.</w:t>
      </w:r>
    </w:p>
    <w:p w:rsidR="00DE7524" w:rsidRPr="004154CD" w:rsidRDefault="00DE7524" w:rsidP="00DE7524">
      <w:pPr>
        <w:pStyle w:val="SingleTxtG"/>
        <w:rPr>
          <w:bCs/>
          <w:iCs/>
        </w:rPr>
      </w:pPr>
      <w:r>
        <w:rPr>
          <w:bCs/>
          <w:iCs/>
        </w:rPr>
        <w:t>11.</w:t>
      </w:r>
      <w:r>
        <w:rPr>
          <w:bCs/>
          <w:iCs/>
        </w:rPr>
        <w:tab/>
        <w:t xml:space="preserve">Pour les autres normes, il conviendra d’adopter </w:t>
      </w:r>
      <w:r>
        <w:t>la référence à ces normes dans les amendements pour une entrée en vigueur le 1</w:t>
      </w:r>
      <w:r w:rsidRPr="002F16A6">
        <w:rPr>
          <w:vertAlign w:val="superscript"/>
        </w:rPr>
        <w:t>er</w:t>
      </w:r>
      <w:r>
        <w:t xml:space="preserve"> janvier 2021 avec une période transitoire jusqu’au 1</w:t>
      </w:r>
      <w:r w:rsidRPr="00772555">
        <w:rPr>
          <w:vertAlign w:val="superscript"/>
        </w:rPr>
        <w:t>er</w:t>
      </w:r>
      <w:r>
        <w:t xml:space="preserve"> juillet 2021 seulement.</w:t>
      </w:r>
    </w:p>
    <w:p w:rsidR="003D0CE3" w:rsidRDefault="00DE7524" w:rsidP="00DE7524">
      <w:pPr>
        <w:pStyle w:val="SingleTxtG"/>
      </w:pPr>
      <w:r>
        <w:t>12.</w:t>
      </w:r>
      <w:r>
        <w:tab/>
        <w:t>La Réunion commune est invitée à se prononcer sur les propositions figurant aux points 10 et 11 ci-dessus.</w:t>
      </w:r>
    </w:p>
    <w:p w:rsidR="003D0CE3" w:rsidRDefault="003D0CE3">
      <w:pPr>
        <w:suppressAutoHyphens w:val="0"/>
        <w:spacing w:line="240" w:lineRule="auto"/>
      </w:pPr>
      <w:r>
        <w:br w:type="page"/>
      </w:r>
    </w:p>
    <w:p w:rsidR="00DE7524" w:rsidRDefault="003D0CE3" w:rsidP="003D0CE3">
      <w:pPr>
        <w:pStyle w:val="HChG"/>
      </w:pPr>
      <w:r>
        <w:lastRenderedPageBreak/>
        <w:tab/>
      </w:r>
      <w:r>
        <w:tab/>
      </w:r>
      <w:r w:rsidR="00DE7524">
        <w:t>A</w:t>
      </w:r>
      <w:r w:rsidR="00FB53C9">
        <w:t>nnexe</w:t>
      </w:r>
      <w:bookmarkStart w:id="0" w:name="_GoBack"/>
      <w:bookmarkEnd w:id="0"/>
    </w:p>
    <w:p w:rsidR="00DE7524" w:rsidRDefault="00DE7524" w:rsidP="00DE7524">
      <w:pPr>
        <w:pStyle w:val="SingleTxtG"/>
        <w:ind w:left="1080"/>
        <w:jc w:val="center"/>
        <w:rPr>
          <w:iCs/>
        </w:rPr>
      </w:pPr>
      <w:r>
        <w:rPr>
          <w:iCs/>
        </w:rPr>
        <w:t>Projet d’amendements au RID/ADR adoptés par la Réunion commune et le WP.15</w:t>
      </w:r>
    </w:p>
    <w:p w:rsidR="00DE7524" w:rsidRPr="00314E4D" w:rsidRDefault="00DE7524" w:rsidP="00DE7524">
      <w:pPr>
        <w:pStyle w:val="SingleTxtG"/>
        <w:rPr>
          <w:i/>
          <w:lang w:val="fr-FR"/>
        </w:rPr>
      </w:pPr>
      <w:r w:rsidRPr="00314E4D">
        <w:rPr>
          <w:lang w:val="fr-FR"/>
        </w:rPr>
        <w:t>6.8.2.6.1</w:t>
      </w:r>
      <w:r w:rsidRPr="00314E4D">
        <w:rPr>
          <w:lang w:val="fr-FR"/>
        </w:rPr>
        <w:tab/>
        <w:t>Dans le tableau, sous « </w:t>
      </w:r>
      <w:r w:rsidRPr="00B42C71">
        <w:rPr>
          <w:i/>
          <w:lang w:val="fr-FR"/>
        </w:rPr>
        <w:t>Pour la conception et la construction des citernes</w:t>
      </w:r>
      <w:r w:rsidRPr="00314E4D">
        <w:rPr>
          <w:lang w:val="fr-FR"/>
        </w:rPr>
        <w:t> » :</w:t>
      </w:r>
    </w:p>
    <w:p w:rsidR="00DE7524" w:rsidRPr="00314E4D" w:rsidRDefault="00DE7524" w:rsidP="00DE7524">
      <w:pPr>
        <w:pStyle w:val="SingleTxtG"/>
        <w:rPr>
          <w:lang w:val="fr-FR"/>
        </w:rPr>
      </w:pPr>
      <w:r w:rsidRPr="00314E4D">
        <w:rPr>
          <w:lang w:val="fr-FR"/>
        </w:rPr>
        <w:t>–</w:t>
      </w:r>
      <w:r w:rsidRPr="00314E4D">
        <w:rPr>
          <w:lang w:val="fr-FR"/>
        </w:rPr>
        <w:tab/>
        <w:t>Pour la norme « EN </w:t>
      </w:r>
      <w:proofErr w:type="gramStart"/>
      <w:r w:rsidRPr="00314E4D">
        <w:rPr>
          <w:lang w:val="fr-FR"/>
        </w:rPr>
        <w:t>14025:</w:t>
      </w:r>
      <w:proofErr w:type="gramEnd"/>
      <w:r w:rsidRPr="00314E4D">
        <w:rPr>
          <w:lang w:val="fr-FR"/>
        </w:rPr>
        <w:t>2013 + A1:2016 », dans la colonne (4), remplacer « Jusqu’à nouvel ordre » par : « Entre le 1er janvier 2017 et le 31 décembre 2020 ».</w:t>
      </w:r>
    </w:p>
    <w:p w:rsidR="00DE7524" w:rsidRPr="00314E4D" w:rsidRDefault="00DE7524" w:rsidP="00DE7524">
      <w:pPr>
        <w:pStyle w:val="SingleTxtG"/>
        <w:rPr>
          <w:lang w:val="fr-FR"/>
        </w:rPr>
      </w:pPr>
      <w:r w:rsidRPr="00314E4D">
        <w:rPr>
          <w:lang w:val="fr-FR"/>
        </w:rPr>
        <w:t>–</w:t>
      </w:r>
      <w:r w:rsidRPr="00314E4D">
        <w:rPr>
          <w:lang w:val="fr-FR"/>
        </w:rPr>
        <w:tab/>
        <w:t>Après la ligne pour la norme « EN </w:t>
      </w:r>
      <w:proofErr w:type="gramStart"/>
      <w:r w:rsidRPr="00314E4D">
        <w:rPr>
          <w:lang w:val="fr-FR"/>
        </w:rPr>
        <w:t>14025:</w:t>
      </w:r>
      <w:proofErr w:type="gramEnd"/>
      <w:r w:rsidRPr="00314E4D">
        <w:rPr>
          <w:lang w:val="fr-FR"/>
        </w:rPr>
        <w:t>2013 + A1:2016 », insérer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DE7524" w:rsidRPr="00314E4D" w:rsidTr="00D85C6F">
        <w:tc>
          <w:tcPr>
            <w:tcW w:w="1724" w:type="dxa"/>
            <w:vAlign w:val="center"/>
          </w:tcPr>
          <w:p w:rsidR="00DE7524" w:rsidRPr="00314E4D" w:rsidRDefault="00DE7524" w:rsidP="00D85C6F">
            <w:pPr>
              <w:widowControl w:val="0"/>
              <w:rPr>
                <w:rFonts w:cs="Arial"/>
                <w:lang w:val="fr-FR"/>
              </w:rPr>
            </w:pPr>
            <w:r w:rsidRPr="00314E4D">
              <w:rPr>
                <w:rFonts w:cs="Arial"/>
                <w:lang w:val="fr-FR"/>
              </w:rPr>
              <w:t>EN </w:t>
            </w:r>
            <w:proofErr w:type="gramStart"/>
            <w:r w:rsidRPr="00314E4D">
              <w:rPr>
                <w:rFonts w:cs="Arial"/>
                <w:lang w:val="fr-FR"/>
              </w:rPr>
              <w:t>14025:</w:t>
            </w:r>
            <w:proofErr w:type="gramEnd"/>
            <w:r w:rsidRPr="00314E4D">
              <w:rPr>
                <w:rFonts w:cs="Arial"/>
                <w:lang w:val="fr-FR"/>
              </w:rPr>
              <w:t>2018</w:t>
            </w:r>
          </w:p>
        </w:tc>
        <w:tc>
          <w:tcPr>
            <w:tcW w:w="3805" w:type="dxa"/>
            <w:vAlign w:val="center"/>
          </w:tcPr>
          <w:p w:rsidR="00DE7524" w:rsidRPr="00314E4D" w:rsidRDefault="00DE7524" w:rsidP="00D85C6F">
            <w:pPr>
              <w:widowControl w:val="0"/>
              <w:rPr>
                <w:rFonts w:cs="Arial"/>
                <w:lang w:val="fr-FR"/>
              </w:rPr>
            </w:pPr>
            <w:r w:rsidRPr="00314E4D">
              <w:rPr>
                <w:rFonts w:cs="Arial"/>
                <w:bCs/>
                <w:lang w:val="fr-FR"/>
              </w:rPr>
              <w:t>Citernes destinées au transport de matières dangereuses – citernes métalliques sous pression – conception et fabrication</w:t>
            </w:r>
          </w:p>
        </w:tc>
        <w:tc>
          <w:tcPr>
            <w:tcW w:w="850" w:type="dxa"/>
            <w:vAlign w:val="center"/>
          </w:tcPr>
          <w:p w:rsidR="00DE7524" w:rsidRPr="00314E4D" w:rsidRDefault="00DE7524" w:rsidP="00D85C6F">
            <w:pPr>
              <w:widowControl w:val="0"/>
              <w:rPr>
                <w:rFonts w:cs="Arial"/>
                <w:lang w:val="fr-FR"/>
              </w:rPr>
            </w:pPr>
            <w:r w:rsidRPr="00314E4D">
              <w:rPr>
                <w:rFonts w:cs="Arial"/>
                <w:lang w:val="fr-FR"/>
              </w:rPr>
              <w:t>6.8.2.1 et 6.8.3.1</w:t>
            </w:r>
          </w:p>
        </w:tc>
        <w:tc>
          <w:tcPr>
            <w:tcW w:w="1559" w:type="dxa"/>
            <w:vAlign w:val="center"/>
          </w:tcPr>
          <w:p w:rsidR="00DE7524" w:rsidRPr="00314E4D" w:rsidRDefault="00DE7524" w:rsidP="00D85C6F">
            <w:pPr>
              <w:widowControl w:val="0"/>
              <w:jc w:val="center"/>
              <w:rPr>
                <w:rFonts w:cs="Arial"/>
                <w:lang w:val="fr-FR"/>
              </w:rPr>
            </w:pPr>
            <w:r w:rsidRPr="00314E4D">
              <w:rPr>
                <w:rFonts w:cs="Arial"/>
                <w:lang w:val="fr-FR"/>
              </w:rPr>
              <w:t>Jusqu’à nouvel ordre</w:t>
            </w:r>
          </w:p>
        </w:tc>
        <w:tc>
          <w:tcPr>
            <w:tcW w:w="567" w:type="dxa"/>
            <w:vAlign w:val="center"/>
          </w:tcPr>
          <w:p w:rsidR="00DE7524" w:rsidRPr="00314E4D" w:rsidRDefault="00DE7524" w:rsidP="00D85C6F">
            <w:pPr>
              <w:widowControl w:val="0"/>
              <w:rPr>
                <w:rFonts w:cs="Arial"/>
                <w:lang w:val="fr-FR"/>
              </w:rPr>
            </w:pPr>
          </w:p>
        </w:tc>
      </w:tr>
    </w:tbl>
    <w:p w:rsidR="00DE7524" w:rsidRPr="00314E4D" w:rsidRDefault="00DE7524" w:rsidP="00DE7524">
      <w:pPr>
        <w:pStyle w:val="SingleTxtG"/>
        <w:spacing w:before="240"/>
        <w:rPr>
          <w:lang w:val="fr-FR"/>
        </w:rPr>
      </w:pPr>
      <w:r>
        <w:rPr>
          <w:lang w:val="fr-FR"/>
        </w:rPr>
        <w:t>-</w:t>
      </w:r>
      <w:r w:rsidRPr="00314E4D">
        <w:rPr>
          <w:lang w:val="fr-FR"/>
        </w:rPr>
        <w:tab/>
        <w:t>Après la ligne pour la nouvelle norme « </w:t>
      </w:r>
      <w:r w:rsidRPr="00314E4D">
        <w:rPr>
          <w:rFonts w:cs="Arial"/>
          <w:lang w:val="fr-FR"/>
        </w:rPr>
        <w:t>EN </w:t>
      </w:r>
      <w:proofErr w:type="gramStart"/>
      <w:r w:rsidRPr="00314E4D">
        <w:rPr>
          <w:rFonts w:cs="Arial"/>
          <w:lang w:val="fr-FR"/>
        </w:rPr>
        <w:t>14025:</w:t>
      </w:r>
      <w:proofErr w:type="gramEnd"/>
      <w:r w:rsidRPr="00314E4D">
        <w:rPr>
          <w:rFonts w:cs="Arial"/>
          <w:lang w:val="fr-FR"/>
        </w:rPr>
        <w:t>2018</w:t>
      </w:r>
      <w:r w:rsidRPr="00314E4D">
        <w:rPr>
          <w:lang w:val="fr-FR"/>
        </w:rPr>
        <w:t xml:space="preserve"> », insérer la nouvelle </w:t>
      </w:r>
      <w:r>
        <w:rPr>
          <w:lang w:val="fr-FR"/>
        </w:rPr>
        <w:t>ligne</w:t>
      </w:r>
      <w:r w:rsidRPr="00314E4D">
        <w:rPr>
          <w:lang w:val="fr-FR"/>
        </w:rPr>
        <w:t xml:space="preserv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DE7524" w:rsidRPr="00314E4D" w:rsidTr="00D85C6F">
        <w:tc>
          <w:tcPr>
            <w:tcW w:w="1724" w:type="dxa"/>
            <w:vAlign w:val="center"/>
          </w:tcPr>
          <w:p w:rsidR="00DE7524" w:rsidRPr="00314E4D" w:rsidRDefault="00DE7524" w:rsidP="00D85C6F">
            <w:pPr>
              <w:widowControl w:val="0"/>
              <w:rPr>
                <w:rFonts w:cs="Arial"/>
                <w:lang w:val="fr-FR"/>
              </w:rPr>
            </w:pPr>
            <w:r w:rsidRPr="00314E4D">
              <w:rPr>
                <w:rFonts w:cs="Arial"/>
                <w:lang w:val="fr-FR"/>
              </w:rPr>
              <w:t>EN </w:t>
            </w:r>
            <w:proofErr w:type="gramStart"/>
            <w:r w:rsidRPr="00314E4D">
              <w:rPr>
                <w:rFonts w:cs="Arial"/>
                <w:lang w:val="fr-FR"/>
              </w:rPr>
              <w:t>12972:</w:t>
            </w:r>
            <w:proofErr w:type="gramEnd"/>
            <w:r w:rsidRPr="00314E4D">
              <w:rPr>
                <w:rFonts w:cs="Arial"/>
                <w:lang w:val="fr-FR"/>
              </w:rPr>
              <w:t>2018</w:t>
            </w:r>
          </w:p>
        </w:tc>
        <w:tc>
          <w:tcPr>
            <w:tcW w:w="3805" w:type="dxa"/>
            <w:vAlign w:val="center"/>
          </w:tcPr>
          <w:p w:rsidR="00DE7524" w:rsidRPr="00314E4D" w:rsidRDefault="00DE7524" w:rsidP="00D85C6F">
            <w:pPr>
              <w:widowControl w:val="0"/>
              <w:rPr>
                <w:rFonts w:cs="Arial"/>
                <w:lang w:val="fr-FR"/>
              </w:rPr>
            </w:pPr>
            <w:r w:rsidRPr="00314E4D">
              <w:rPr>
                <w:rFonts w:cs="Arial"/>
                <w:bCs/>
                <w:lang w:val="fr-FR"/>
              </w:rPr>
              <w:t xml:space="preserve">Citernes destinées au transport de matières dangereuses – </w:t>
            </w:r>
            <w:r w:rsidRPr="00314E4D">
              <w:rPr>
                <w:rStyle w:val="st"/>
                <w:lang w:val="fr-FR"/>
              </w:rPr>
              <w:t>épreuve, contrôle et marquage des citernes métalliques</w:t>
            </w:r>
          </w:p>
        </w:tc>
        <w:tc>
          <w:tcPr>
            <w:tcW w:w="850" w:type="dxa"/>
            <w:vAlign w:val="center"/>
          </w:tcPr>
          <w:p w:rsidR="00DE7524" w:rsidRPr="00314E4D" w:rsidRDefault="00DE7524" w:rsidP="00D85C6F">
            <w:pPr>
              <w:widowControl w:val="0"/>
              <w:rPr>
                <w:rFonts w:cs="Arial"/>
                <w:lang w:val="fr-FR"/>
              </w:rPr>
            </w:pPr>
            <w:r w:rsidRPr="00314E4D">
              <w:rPr>
                <w:rFonts w:cs="Arial"/>
                <w:lang w:val="fr-FR"/>
              </w:rPr>
              <w:t>6.8.2.3</w:t>
            </w:r>
          </w:p>
        </w:tc>
        <w:tc>
          <w:tcPr>
            <w:tcW w:w="1559" w:type="dxa"/>
            <w:vAlign w:val="center"/>
          </w:tcPr>
          <w:p w:rsidR="00DE7524" w:rsidRPr="00314E4D" w:rsidRDefault="00DE7524" w:rsidP="00D85C6F">
            <w:pPr>
              <w:widowControl w:val="0"/>
              <w:jc w:val="center"/>
              <w:rPr>
                <w:rFonts w:cs="Arial"/>
                <w:lang w:val="fr-FR"/>
              </w:rPr>
            </w:pPr>
            <w:r w:rsidRPr="00314E4D">
              <w:rPr>
                <w:rFonts w:cs="Arial"/>
                <w:lang w:val="fr-FR"/>
              </w:rPr>
              <w:t>Obligatoirement à partir du 1</w:t>
            </w:r>
            <w:r w:rsidRPr="00314E4D">
              <w:rPr>
                <w:rFonts w:cs="Arial"/>
                <w:vertAlign w:val="superscript"/>
                <w:lang w:val="fr-FR"/>
              </w:rPr>
              <w:t>er</w:t>
            </w:r>
            <w:r w:rsidRPr="00314E4D">
              <w:rPr>
                <w:rFonts w:cs="Arial"/>
                <w:lang w:val="fr-FR"/>
              </w:rPr>
              <w:t xml:space="preserve"> janvier 2021</w:t>
            </w:r>
          </w:p>
        </w:tc>
        <w:tc>
          <w:tcPr>
            <w:tcW w:w="567" w:type="dxa"/>
            <w:vAlign w:val="center"/>
          </w:tcPr>
          <w:p w:rsidR="00DE7524" w:rsidRPr="00314E4D" w:rsidRDefault="00DE7524" w:rsidP="00D85C6F">
            <w:pPr>
              <w:widowControl w:val="0"/>
              <w:rPr>
                <w:rFonts w:cs="Arial"/>
                <w:lang w:val="fr-FR"/>
              </w:rPr>
            </w:pPr>
          </w:p>
        </w:tc>
      </w:tr>
    </w:tbl>
    <w:p w:rsidR="00DE7524" w:rsidRDefault="00DE7524" w:rsidP="003D0CE3">
      <w:pPr>
        <w:pStyle w:val="SingleTxtG"/>
        <w:spacing w:before="120"/>
      </w:pPr>
      <w:r>
        <w:t>(ADR seulement)</w:t>
      </w:r>
    </w:p>
    <w:p w:rsidR="00DE7524" w:rsidRDefault="00DE7524" w:rsidP="00DE7524">
      <w:pPr>
        <w:pStyle w:val="SingleTxtG"/>
      </w:pPr>
      <w:r w:rsidRPr="00805662">
        <w:t>6.8.2.6.1</w:t>
      </w:r>
      <w:r w:rsidRPr="00805662">
        <w:tab/>
      </w:r>
      <w:r>
        <w:rPr>
          <w:lang w:val="fr-FR"/>
        </w:rPr>
        <w:t>Dans</w:t>
      </w:r>
      <w:r w:rsidRPr="004C2793">
        <w:rPr>
          <w:lang w:val="fr-FR"/>
        </w:rPr>
        <w:t xml:space="preserve"> le tableau sous</w:t>
      </w:r>
      <w:r w:rsidRPr="00805662" w:rsidDel="00F541B4">
        <w:t xml:space="preserve"> </w:t>
      </w:r>
      <w:r w:rsidRPr="00805662">
        <w:t>« </w:t>
      </w:r>
      <w:r w:rsidRPr="00F541B4">
        <w:rPr>
          <w:i/>
        </w:rPr>
        <w:t>Pour les équipements</w:t>
      </w:r>
      <w:r w:rsidRPr="00805662">
        <w:t xml:space="preserve"> », </w:t>
      </w:r>
    </w:p>
    <w:p w:rsidR="00DE7524" w:rsidRDefault="00DE7524" w:rsidP="00DE7524">
      <w:pPr>
        <w:pStyle w:val="SingleTxtG"/>
      </w:pPr>
      <w:r w:rsidRPr="00314E4D">
        <w:rPr>
          <w:lang w:val="fr-FR"/>
        </w:rPr>
        <w:t>–</w:t>
      </w:r>
      <w:r w:rsidRPr="00314E4D">
        <w:rPr>
          <w:lang w:val="fr-FR"/>
        </w:rPr>
        <w:tab/>
        <w:t xml:space="preserve">Pour </w:t>
      </w:r>
      <w:r w:rsidRPr="00805662">
        <w:t xml:space="preserve">la norme « EN </w:t>
      </w:r>
      <w:proofErr w:type="gramStart"/>
      <w:r w:rsidRPr="00805662">
        <w:t>13317:</w:t>
      </w:r>
      <w:proofErr w:type="gramEnd"/>
      <w:r w:rsidRPr="00805662">
        <w:t xml:space="preserve">2002 + A1:2006 », en colonne 4), remplacer « Jusqu’à nouvel ordre » par </w:t>
      </w:r>
      <w:r w:rsidRPr="00805662">
        <w:rPr>
          <w:lang w:val="fr-FR"/>
        </w:rPr>
        <w:t>« Entre le 1</w:t>
      </w:r>
      <w:r w:rsidRPr="009040ED">
        <w:rPr>
          <w:lang w:val="fr-FR"/>
        </w:rPr>
        <w:t>er</w:t>
      </w:r>
      <w:r w:rsidRPr="00805662">
        <w:rPr>
          <w:lang w:val="fr-FR"/>
        </w:rPr>
        <w:t> janvier 2009 et le 31 décembre 2020 »</w:t>
      </w:r>
      <w:r w:rsidRPr="00805662">
        <w:t xml:space="preserve">. </w:t>
      </w:r>
    </w:p>
    <w:p w:rsidR="00DE7524" w:rsidRPr="00805662" w:rsidRDefault="00DE7524" w:rsidP="00DE7524">
      <w:pPr>
        <w:pStyle w:val="SingleTxtG"/>
        <w:rPr>
          <w:lang w:val="fr-FR"/>
        </w:rPr>
      </w:pPr>
      <w:r>
        <w:rPr>
          <w:lang w:val="fr-FR"/>
        </w:rPr>
        <w:t>–</w:t>
      </w:r>
      <w:r>
        <w:rPr>
          <w:lang w:val="fr-FR"/>
        </w:rPr>
        <w:tab/>
      </w:r>
      <w:r w:rsidRPr="00805662">
        <w:rPr>
          <w:lang w:val="fr-FR"/>
        </w:rPr>
        <w:t xml:space="preserve">Après la norme </w:t>
      </w:r>
      <w:r w:rsidRPr="00805662">
        <w:t xml:space="preserve">« EN </w:t>
      </w:r>
      <w:proofErr w:type="gramStart"/>
      <w:r w:rsidRPr="00805662">
        <w:t>13317:</w:t>
      </w:r>
      <w:proofErr w:type="gramEnd"/>
      <w:r w:rsidRPr="00805662">
        <w:t>2002 + A1:2006 »</w:t>
      </w:r>
      <w:r w:rsidRPr="00805662">
        <w:rPr>
          <w:lang w:val="fr-FR"/>
        </w:rPr>
        <w:t xml:space="preserve">, ajouter la nouvelle </w:t>
      </w:r>
      <w:r>
        <w:rPr>
          <w:lang w:val="fr-FR"/>
        </w:rPr>
        <w:t>ligne</w:t>
      </w:r>
      <w:r w:rsidRPr="00805662">
        <w:rPr>
          <w:lang w:val="fr-FR"/>
        </w:rPr>
        <w:t xml:space="preserv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3780"/>
        <w:gridCol w:w="960"/>
        <w:gridCol w:w="1560"/>
        <w:gridCol w:w="526"/>
      </w:tblGrid>
      <w:tr w:rsidR="00DE7524" w:rsidRPr="00805662" w:rsidTr="00D85C6F">
        <w:trPr>
          <w:cantSplit/>
        </w:trPr>
        <w:tc>
          <w:tcPr>
            <w:tcW w:w="1679" w:type="dxa"/>
          </w:tcPr>
          <w:p w:rsidR="00DE7524" w:rsidRDefault="00DE7524" w:rsidP="00D85C6F">
            <w:pPr>
              <w:tabs>
                <w:tab w:val="left" w:pos="1418"/>
              </w:tabs>
              <w:rPr>
                <w:lang w:val="fr-FR"/>
              </w:rPr>
            </w:pPr>
          </w:p>
          <w:p w:rsidR="00DE7524" w:rsidRPr="00805662" w:rsidRDefault="00DE7524" w:rsidP="00D85C6F">
            <w:pPr>
              <w:tabs>
                <w:tab w:val="left" w:pos="1418"/>
              </w:tabs>
              <w:rPr>
                <w:lang w:val="fr-FR"/>
              </w:rPr>
            </w:pPr>
            <w:r w:rsidRPr="00805662">
              <w:rPr>
                <w:lang w:val="fr-FR"/>
              </w:rPr>
              <w:t xml:space="preserve">EN </w:t>
            </w:r>
            <w:proofErr w:type="gramStart"/>
            <w:r w:rsidRPr="00805662">
              <w:rPr>
                <w:lang w:val="fr-FR"/>
              </w:rPr>
              <w:t>13317:</w:t>
            </w:r>
            <w:proofErr w:type="gramEnd"/>
            <w:r w:rsidRPr="00805662">
              <w:rPr>
                <w:lang w:val="fr-FR"/>
              </w:rPr>
              <w:t>2018</w:t>
            </w:r>
          </w:p>
        </w:tc>
        <w:tc>
          <w:tcPr>
            <w:tcW w:w="3780" w:type="dxa"/>
            <w:vAlign w:val="center"/>
          </w:tcPr>
          <w:p w:rsidR="00DE7524" w:rsidRPr="00805662" w:rsidRDefault="00DE7524" w:rsidP="00D85C6F">
            <w:pPr>
              <w:rPr>
                <w:lang w:val="fr-FR"/>
              </w:rPr>
            </w:pPr>
            <w:r w:rsidRPr="00805662">
              <w:rPr>
                <w:bCs/>
                <w:lang w:val="fr-FR"/>
              </w:rPr>
              <w:t>Citernes destinées au transport de matières dangereuses - Équipements de service pour citernes - Couvercles de trou d'homme</w:t>
            </w:r>
          </w:p>
        </w:tc>
        <w:tc>
          <w:tcPr>
            <w:tcW w:w="960" w:type="dxa"/>
            <w:vAlign w:val="center"/>
          </w:tcPr>
          <w:p w:rsidR="00DE7524" w:rsidRPr="00805662" w:rsidRDefault="00DE7524" w:rsidP="00D85C6F">
            <w:pPr>
              <w:rPr>
                <w:lang w:val="fr-FR"/>
              </w:rPr>
            </w:pPr>
            <w:r w:rsidRPr="00805662">
              <w:rPr>
                <w:bCs/>
                <w:lang w:val="fr-FR"/>
              </w:rPr>
              <w:t>6.8.2.2 et 6.8.2.4.1</w:t>
            </w:r>
          </w:p>
        </w:tc>
        <w:tc>
          <w:tcPr>
            <w:tcW w:w="1560" w:type="dxa"/>
            <w:vAlign w:val="center"/>
          </w:tcPr>
          <w:p w:rsidR="00DE7524" w:rsidRPr="00805662" w:rsidRDefault="00DE7524" w:rsidP="00D85C6F">
            <w:pPr>
              <w:jc w:val="center"/>
              <w:rPr>
                <w:lang w:val="fr-FR"/>
              </w:rPr>
            </w:pPr>
            <w:r w:rsidRPr="00805662">
              <w:rPr>
                <w:bCs/>
                <w:lang w:val="fr-FR"/>
              </w:rPr>
              <w:t>Jusqu’à nouvel ordre</w:t>
            </w:r>
          </w:p>
        </w:tc>
        <w:tc>
          <w:tcPr>
            <w:tcW w:w="526" w:type="dxa"/>
          </w:tcPr>
          <w:p w:rsidR="00DE7524" w:rsidRPr="00805662" w:rsidRDefault="00DE7524" w:rsidP="00D85C6F">
            <w:pPr>
              <w:tabs>
                <w:tab w:val="left" w:pos="1418"/>
              </w:tabs>
              <w:rPr>
                <w:lang w:val="fr-FR"/>
              </w:rPr>
            </w:pPr>
          </w:p>
        </w:tc>
      </w:tr>
    </w:tbl>
    <w:p w:rsidR="00DE7524" w:rsidRPr="00803CB6" w:rsidRDefault="00DE7524" w:rsidP="00DE7524">
      <w:pPr>
        <w:pStyle w:val="SingleTxtG"/>
        <w:spacing w:before="240"/>
        <w:rPr>
          <w:lang w:val="fr-FR"/>
        </w:rPr>
      </w:pPr>
      <w:r w:rsidRPr="00803CB6">
        <w:rPr>
          <w:lang w:val="fr-FR"/>
        </w:rPr>
        <w:t>6.8.2.6.2</w:t>
      </w:r>
      <w:r w:rsidRPr="00803CB6">
        <w:rPr>
          <w:lang w:val="fr-FR"/>
        </w:rPr>
        <w:tab/>
        <w:t>Modifier le tableau comme suit</w:t>
      </w:r>
      <w:r>
        <w:rPr>
          <w:lang w:val="fr-FR"/>
        </w:rPr>
        <w:t xml:space="preserve"> </w:t>
      </w:r>
      <w:r w:rsidRPr="00803CB6">
        <w:rPr>
          <w:lang w:val="fr-FR"/>
        </w:rPr>
        <w:t>:</w:t>
      </w:r>
    </w:p>
    <w:p w:rsidR="00DE7524" w:rsidRPr="00803CB6" w:rsidRDefault="00DE7524" w:rsidP="00DE7524">
      <w:pPr>
        <w:pStyle w:val="SingleTxtG"/>
        <w:rPr>
          <w:lang w:val="fr-FR"/>
        </w:rPr>
      </w:pPr>
      <w:r w:rsidRPr="00803CB6">
        <w:rPr>
          <w:lang w:val="fr-FR"/>
        </w:rPr>
        <w:t>–</w:t>
      </w:r>
      <w:r w:rsidRPr="00803CB6">
        <w:rPr>
          <w:lang w:val="fr-FR"/>
        </w:rPr>
        <w:tab/>
        <w:t>Pour la norme « EN </w:t>
      </w:r>
      <w:proofErr w:type="gramStart"/>
      <w:r w:rsidRPr="00803CB6">
        <w:rPr>
          <w:lang w:val="fr-FR"/>
        </w:rPr>
        <w:t>12972:</w:t>
      </w:r>
      <w:proofErr w:type="gramEnd"/>
      <w:r w:rsidRPr="00803CB6">
        <w:rPr>
          <w:lang w:val="fr-FR"/>
        </w:rPr>
        <w:t>2007 », dans la colonne (4), remplacer « Jusqu’à nouvel ordre » par : « Jusqu’au 30 juin 2019 ».</w:t>
      </w:r>
    </w:p>
    <w:p w:rsidR="00DE7524" w:rsidRPr="00803CB6" w:rsidRDefault="00DE7524" w:rsidP="00DE7524">
      <w:pPr>
        <w:pStyle w:val="SingleTxtG"/>
        <w:rPr>
          <w:lang w:val="fr-FR"/>
        </w:rPr>
      </w:pPr>
      <w:r w:rsidRPr="00803CB6">
        <w:rPr>
          <w:lang w:val="fr-FR"/>
        </w:rPr>
        <w:t>–</w:t>
      </w:r>
      <w:r w:rsidRPr="00803CB6">
        <w:rPr>
          <w:lang w:val="fr-FR"/>
        </w:rPr>
        <w:tab/>
        <w:t>Après la ligne pour la norme « EN </w:t>
      </w:r>
      <w:proofErr w:type="gramStart"/>
      <w:r w:rsidRPr="00803CB6">
        <w:rPr>
          <w:lang w:val="fr-FR"/>
        </w:rPr>
        <w:t>12972:</w:t>
      </w:r>
      <w:proofErr w:type="gramEnd"/>
      <w:r w:rsidRPr="00803CB6">
        <w:rPr>
          <w:lang w:val="fr-FR"/>
        </w:rPr>
        <w:t xml:space="preserve">2007 », insérer la nouvelle </w:t>
      </w:r>
      <w:r>
        <w:rPr>
          <w:lang w:val="fr-FR"/>
        </w:rPr>
        <w:t>ligne</w:t>
      </w:r>
      <w:r w:rsidRPr="00803CB6">
        <w:rPr>
          <w:lang w:val="fr-FR"/>
        </w:rPr>
        <w:t xml:space="preserv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521"/>
        <w:gridCol w:w="992"/>
        <w:gridCol w:w="2268"/>
      </w:tblGrid>
      <w:tr w:rsidR="00DE7524" w:rsidRPr="00361536" w:rsidTr="00D85C6F">
        <w:tc>
          <w:tcPr>
            <w:tcW w:w="1724" w:type="dxa"/>
            <w:vAlign w:val="center"/>
          </w:tcPr>
          <w:p w:rsidR="00DE7524" w:rsidRPr="00803CB6" w:rsidRDefault="00DE7524" w:rsidP="00D85C6F">
            <w:pPr>
              <w:widowControl w:val="0"/>
              <w:rPr>
                <w:rFonts w:cs="Arial"/>
                <w:lang w:val="fr-FR"/>
              </w:rPr>
            </w:pPr>
            <w:r w:rsidRPr="00803CB6">
              <w:rPr>
                <w:rFonts w:cs="Arial"/>
                <w:lang w:val="fr-FR"/>
              </w:rPr>
              <w:t>EN </w:t>
            </w:r>
            <w:proofErr w:type="gramStart"/>
            <w:r w:rsidRPr="00803CB6">
              <w:rPr>
                <w:rFonts w:cs="Arial"/>
                <w:lang w:val="fr-FR"/>
              </w:rPr>
              <w:t>12972:</w:t>
            </w:r>
            <w:proofErr w:type="gramEnd"/>
            <w:r w:rsidRPr="00803CB6">
              <w:rPr>
                <w:rFonts w:cs="Arial"/>
                <w:lang w:val="fr-FR"/>
              </w:rPr>
              <w:t>2018</w:t>
            </w:r>
          </w:p>
        </w:tc>
        <w:tc>
          <w:tcPr>
            <w:tcW w:w="3521" w:type="dxa"/>
            <w:vAlign w:val="center"/>
          </w:tcPr>
          <w:p w:rsidR="00DE7524" w:rsidRPr="00803CB6" w:rsidRDefault="00DE7524" w:rsidP="00D85C6F">
            <w:pPr>
              <w:widowControl w:val="0"/>
              <w:rPr>
                <w:rFonts w:cs="Arial"/>
                <w:lang w:val="fr-FR"/>
              </w:rPr>
            </w:pPr>
            <w:r w:rsidRPr="00803CB6">
              <w:rPr>
                <w:rFonts w:cs="Arial"/>
                <w:bCs/>
                <w:lang w:val="fr-FR"/>
              </w:rPr>
              <w:t xml:space="preserve">Citernes destinées au transport de matières dangereuses – </w:t>
            </w:r>
            <w:r w:rsidRPr="00803CB6">
              <w:rPr>
                <w:rStyle w:val="st"/>
                <w:lang w:val="fr-FR"/>
              </w:rPr>
              <w:t>épreuve, contrôle et marquage des citernes métalliques.</w:t>
            </w:r>
          </w:p>
        </w:tc>
        <w:tc>
          <w:tcPr>
            <w:tcW w:w="992" w:type="dxa"/>
            <w:vAlign w:val="center"/>
          </w:tcPr>
          <w:p w:rsidR="00DE7524" w:rsidRPr="00803CB6" w:rsidRDefault="00DE7524" w:rsidP="00D85C6F">
            <w:pPr>
              <w:widowControl w:val="0"/>
              <w:rPr>
                <w:rFonts w:cs="Arial"/>
                <w:lang w:val="fr-FR"/>
              </w:rPr>
            </w:pPr>
            <w:r w:rsidRPr="00803CB6">
              <w:rPr>
                <w:rFonts w:cs="Arial"/>
                <w:lang w:val="fr-FR"/>
              </w:rPr>
              <w:t>6.8.2.4 et 6.8.3.4</w:t>
            </w:r>
          </w:p>
        </w:tc>
        <w:tc>
          <w:tcPr>
            <w:tcW w:w="2268" w:type="dxa"/>
            <w:vAlign w:val="center"/>
          </w:tcPr>
          <w:p w:rsidR="00DE7524" w:rsidRPr="00803CB6" w:rsidRDefault="00DE7524" w:rsidP="00D85C6F">
            <w:pPr>
              <w:widowControl w:val="0"/>
              <w:jc w:val="both"/>
              <w:rPr>
                <w:rFonts w:cs="Arial"/>
                <w:lang w:val="fr-FR"/>
              </w:rPr>
            </w:pPr>
            <w:r w:rsidRPr="00803CB6">
              <w:rPr>
                <w:rFonts w:cs="Arial"/>
                <w:lang w:val="fr-FR"/>
              </w:rPr>
              <w:t>Obligatoirement à partir du 1</w:t>
            </w:r>
            <w:r>
              <w:rPr>
                <w:rFonts w:cs="Arial"/>
                <w:lang w:val="fr-FR"/>
              </w:rPr>
              <w:t>er</w:t>
            </w:r>
            <w:r w:rsidRPr="00803CB6">
              <w:rPr>
                <w:rFonts w:cs="Arial"/>
                <w:lang w:val="fr-FR"/>
              </w:rPr>
              <w:t xml:space="preserve"> juillet 2019</w:t>
            </w:r>
          </w:p>
        </w:tc>
      </w:tr>
    </w:tbl>
    <w:p w:rsidR="00DE7524" w:rsidRDefault="00DE7524" w:rsidP="003D0CE3">
      <w:pPr>
        <w:pStyle w:val="SingleTxtG"/>
        <w:spacing w:before="120"/>
      </w:pPr>
      <w:r>
        <w:t>(ADR seulement)</w:t>
      </w:r>
    </w:p>
    <w:p w:rsidR="00DE7524" w:rsidRPr="00314E4D" w:rsidRDefault="00DE7524" w:rsidP="00DE7524">
      <w:pPr>
        <w:pStyle w:val="SingleTxtG"/>
        <w:rPr>
          <w:rStyle w:val="SingleTxtGChar"/>
        </w:rPr>
      </w:pPr>
      <w:r w:rsidRPr="00805662">
        <w:t>6.</w:t>
      </w:r>
      <w:r>
        <w:t>8.4</w:t>
      </w:r>
      <w:r w:rsidRPr="00803CB6">
        <w:rPr>
          <w:rStyle w:val="SingleTxtGChar"/>
        </w:rPr>
        <w:t xml:space="preserve"> d), TT11</w:t>
      </w:r>
      <w:r w:rsidRPr="00803CB6">
        <w:rPr>
          <w:rStyle w:val="SingleTxtGChar"/>
        </w:rPr>
        <w:tab/>
        <w:t xml:space="preserve">Dans le paragraphe après le tableau, remplacer « EN </w:t>
      </w:r>
      <w:proofErr w:type="gramStart"/>
      <w:r w:rsidRPr="00803CB6">
        <w:rPr>
          <w:rStyle w:val="SingleTxtGChar"/>
        </w:rPr>
        <w:t>14025:</w:t>
      </w:r>
      <w:proofErr w:type="gramEnd"/>
      <w:r w:rsidRPr="00803CB6">
        <w:rPr>
          <w:rStyle w:val="SingleTxtGChar"/>
        </w:rPr>
        <w:t>2013 + A1:2016 » par : « EN 14025:2018 ».</w:t>
      </w:r>
    </w:p>
    <w:p w:rsidR="00DE7524" w:rsidRPr="00EE3F98" w:rsidRDefault="00DE7524" w:rsidP="00DE7524">
      <w:pPr>
        <w:pStyle w:val="SingleTxtG"/>
        <w:spacing w:before="240" w:after="0"/>
        <w:jc w:val="center"/>
        <w:rPr>
          <w:lang w:val="fr-FR"/>
        </w:rPr>
      </w:pPr>
      <w:r w:rsidRPr="00EE3F98">
        <w:rPr>
          <w:u w:val="single"/>
          <w:lang w:val="fr-FR"/>
        </w:rPr>
        <w:tab/>
      </w:r>
      <w:r w:rsidRPr="00EE3F98">
        <w:rPr>
          <w:u w:val="single"/>
          <w:lang w:val="fr-FR"/>
        </w:rPr>
        <w:tab/>
      </w:r>
      <w:r w:rsidRPr="00EE3F98">
        <w:rPr>
          <w:u w:val="single"/>
          <w:lang w:val="fr-FR"/>
        </w:rPr>
        <w:tab/>
      </w:r>
    </w:p>
    <w:p w:rsidR="00DE7524" w:rsidRPr="00EE3F98" w:rsidRDefault="00DE7524" w:rsidP="00DE7524">
      <w:pPr>
        <w:rPr>
          <w:sz w:val="8"/>
          <w:lang w:val="fr-FR"/>
        </w:rPr>
      </w:pPr>
    </w:p>
    <w:sectPr w:rsidR="00DE7524" w:rsidRPr="00EE3F98" w:rsidSect="0005128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289" w:rsidRDefault="00051289"/>
  </w:endnote>
  <w:endnote w:type="continuationSeparator" w:id="0">
    <w:p w:rsidR="00051289" w:rsidRDefault="00051289"/>
  </w:endnote>
  <w:endnote w:type="continuationNotice" w:id="1">
    <w:p w:rsidR="00051289" w:rsidRDefault="0005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89" w:rsidRPr="00051289" w:rsidRDefault="00051289" w:rsidP="00051289">
    <w:pPr>
      <w:pStyle w:val="Footer"/>
      <w:tabs>
        <w:tab w:val="right" w:pos="9638"/>
      </w:tabs>
      <w:rPr>
        <w:sz w:val="18"/>
      </w:rPr>
    </w:pPr>
    <w:r w:rsidRPr="00051289">
      <w:rPr>
        <w:b/>
        <w:sz w:val="18"/>
      </w:rPr>
      <w:fldChar w:fldCharType="begin"/>
    </w:r>
    <w:r w:rsidRPr="00051289">
      <w:rPr>
        <w:b/>
        <w:sz w:val="18"/>
      </w:rPr>
      <w:instrText xml:space="preserve"> PAGE  \* MERGEFORMAT </w:instrText>
    </w:r>
    <w:r w:rsidRPr="00051289">
      <w:rPr>
        <w:b/>
        <w:sz w:val="18"/>
      </w:rPr>
      <w:fldChar w:fldCharType="separate"/>
    </w:r>
    <w:r w:rsidR="00FB53C9">
      <w:rPr>
        <w:b/>
        <w:noProof/>
        <w:sz w:val="18"/>
      </w:rPr>
      <w:t>2</w:t>
    </w:r>
    <w:r w:rsidRPr="0005128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7" w:rsidRPr="00051289" w:rsidRDefault="00051289" w:rsidP="00051289">
    <w:pPr>
      <w:pStyle w:val="Footer"/>
      <w:tabs>
        <w:tab w:val="right" w:pos="9638"/>
      </w:tabs>
      <w:rPr>
        <w:sz w:val="18"/>
      </w:rPr>
    </w:pPr>
    <w:r>
      <w:tab/>
    </w:r>
    <w:r w:rsidRPr="00051289">
      <w:rPr>
        <w:b/>
        <w:sz w:val="18"/>
      </w:rPr>
      <w:fldChar w:fldCharType="begin"/>
    </w:r>
    <w:r w:rsidRPr="00051289">
      <w:rPr>
        <w:b/>
        <w:sz w:val="18"/>
      </w:rPr>
      <w:instrText xml:space="preserve"> PAGE  \* MERGEFORMAT </w:instrText>
    </w:r>
    <w:r w:rsidRPr="00051289">
      <w:rPr>
        <w:b/>
        <w:sz w:val="18"/>
      </w:rPr>
      <w:fldChar w:fldCharType="separate"/>
    </w:r>
    <w:r w:rsidR="00FB53C9">
      <w:rPr>
        <w:b/>
        <w:noProof/>
        <w:sz w:val="18"/>
      </w:rPr>
      <w:t>3</w:t>
    </w:r>
    <w:r w:rsidRPr="000512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289" w:rsidRPr="00D27D5E" w:rsidRDefault="00051289" w:rsidP="00D27D5E">
      <w:pPr>
        <w:tabs>
          <w:tab w:val="right" w:pos="2155"/>
        </w:tabs>
        <w:spacing w:after="80"/>
        <w:ind w:left="680"/>
        <w:rPr>
          <w:u w:val="single"/>
        </w:rPr>
      </w:pPr>
      <w:r>
        <w:rPr>
          <w:u w:val="single"/>
        </w:rPr>
        <w:tab/>
      </w:r>
    </w:p>
  </w:footnote>
  <w:footnote w:type="continuationSeparator" w:id="0">
    <w:p w:rsidR="00051289" w:rsidRPr="00A80554" w:rsidRDefault="00051289" w:rsidP="00A80554">
      <w:pPr>
        <w:tabs>
          <w:tab w:val="left" w:pos="2155"/>
        </w:tabs>
        <w:spacing w:after="80"/>
        <w:ind w:left="680"/>
        <w:rPr>
          <w:u w:val="single"/>
        </w:rPr>
      </w:pPr>
      <w:r w:rsidRPr="00A80554">
        <w:rPr>
          <w:u w:val="single"/>
        </w:rPr>
        <w:tab/>
      </w:r>
    </w:p>
  </w:footnote>
  <w:footnote w:type="continuationNotice" w:id="1">
    <w:p w:rsidR="00051289" w:rsidRDefault="00051289"/>
  </w:footnote>
  <w:footnote w:id="2">
    <w:p w:rsidR="006C7574" w:rsidRDefault="006C7574">
      <w:pPr>
        <w:pStyle w:val="FootnoteText"/>
      </w:pPr>
      <w:r>
        <w:tab/>
      </w:r>
      <w:r w:rsidRPr="005E2C36">
        <w:rPr>
          <w:rStyle w:val="FootnoteReference"/>
          <w:sz w:val="20"/>
        </w:rPr>
        <w:t>*</w:t>
      </w:r>
      <w:r>
        <w:t xml:space="preserve"> </w:t>
      </w:r>
      <w:r>
        <w:tab/>
      </w:r>
      <w:r w:rsidRPr="004809ED">
        <w:rPr>
          <w:szCs w:val="18"/>
        </w:rPr>
        <w:t>Conformément au programme de travail du Comité des</w:t>
      </w:r>
      <w:r>
        <w:rPr>
          <w:szCs w:val="18"/>
        </w:rPr>
        <w:t xml:space="preserve"> transports intérieurs pour 2018-2019 (ECE/TRANS</w:t>
      </w:r>
      <w:r w:rsidRPr="004809ED">
        <w:rPr>
          <w:szCs w:val="18"/>
        </w:rPr>
        <w:t>/</w:t>
      </w:r>
      <w:r>
        <w:rPr>
          <w:szCs w:val="18"/>
        </w:rPr>
        <w:t xml:space="preserve">2018/21/Add.1, Module 9, </w:t>
      </w:r>
      <w:proofErr w:type="gramStart"/>
      <w:r>
        <w:rPr>
          <w:szCs w:val="18"/>
        </w:rPr>
        <w:t>(</w:t>
      </w:r>
      <w:r w:rsidRPr="004809ED">
        <w:rPr>
          <w:szCs w:val="18"/>
        </w:rPr>
        <w:t> 9.2</w:t>
      </w:r>
      <w:proofErr w:type="gramEnd"/>
      <w:r w:rsidRPr="004809ED">
        <w:rPr>
          <w:szCs w:val="18"/>
        </w:rPr>
        <w:t>)</w:t>
      </w:r>
      <w:r>
        <w:rPr>
          <w:szCs w:val="18"/>
        </w:rPr>
        <w:t>)</w:t>
      </w:r>
      <w:r w:rsidRPr="004809ED">
        <w:rPr>
          <w:szCs w:val="18"/>
        </w:rPr>
        <w:t>.</w:t>
      </w:r>
    </w:p>
  </w:footnote>
  <w:footnote w:id="3">
    <w:p w:rsidR="006C7574" w:rsidRDefault="006C7574">
      <w:pPr>
        <w:pStyle w:val="FootnoteText"/>
      </w:pPr>
      <w:r>
        <w:tab/>
      </w:r>
      <w:r w:rsidRPr="005E2C36">
        <w:rPr>
          <w:rStyle w:val="FootnoteReference"/>
          <w:sz w:val="20"/>
        </w:rPr>
        <w:t>**</w:t>
      </w:r>
      <w:r>
        <w:t xml:space="preserve"> </w:t>
      </w:r>
      <w:r>
        <w:tab/>
        <w:t xml:space="preserve">Diffusé par l’Organisation intergouvernementale pour les transports internationaux ferroviaires (OTIF) </w:t>
      </w:r>
      <w:r w:rsidRPr="007D1CDB">
        <w:t xml:space="preserve">sous la cote </w:t>
      </w:r>
      <w:r w:rsidR="00F16902">
        <w:t>OTIF/RID/RC/2018/29</w:t>
      </w:r>
      <w:r w:rsidR="007D1C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89" w:rsidRPr="00051289" w:rsidRDefault="007D1CDB">
    <w:pPr>
      <w:pStyle w:val="Header"/>
    </w:pPr>
    <w:r>
      <w:t>ECE/TRANS/WP.15/AC.1/2018/2</w:t>
    </w:r>
    <w:r w:rsidR="00F1690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89" w:rsidRPr="00051289" w:rsidRDefault="00051289" w:rsidP="00051289">
    <w:pPr>
      <w:pStyle w:val="Header"/>
      <w:jc w:val="right"/>
    </w:pPr>
    <w:r>
      <w:t>ECE/TRANS/WP.15/AC.1/2018/</w:t>
    </w:r>
    <w:r w:rsidR="003D0CE3">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9"/>
    <w:rsid w:val="00016AC5"/>
    <w:rsid w:val="00030ADE"/>
    <w:rsid w:val="000312C0"/>
    <w:rsid w:val="00051289"/>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659F1"/>
    <w:rsid w:val="00271C7C"/>
    <w:rsid w:val="00287E79"/>
    <w:rsid w:val="002928F9"/>
    <w:rsid w:val="002A5D07"/>
    <w:rsid w:val="003016B7"/>
    <w:rsid w:val="00330F9C"/>
    <w:rsid w:val="00340C35"/>
    <w:rsid w:val="003515AA"/>
    <w:rsid w:val="003610F3"/>
    <w:rsid w:val="00367E6A"/>
    <w:rsid w:val="00370E0F"/>
    <w:rsid w:val="00374106"/>
    <w:rsid w:val="003976D5"/>
    <w:rsid w:val="003A29A6"/>
    <w:rsid w:val="003D0CE3"/>
    <w:rsid w:val="003D1DF3"/>
    <w:rsid w:val="003D46A7"/>
    <w:rsid w:val="003D6C68"/>
    <w:rsid w:val="003D76E4"/>
    <w:rsid w:val="00414425"/>
    <w:rsid w:val="004159D0"/>
    <w:rsid w:val="004249E7"/>
    <w:rsid w:val="00426DA1"/>
    <w:rsid w:val="00434168"/>
    <w:rsid w:val="00497A70"/>
    <w:rsid w:val="004D53B7"/>
    <w:rsid w:val="00543D5E"/>
    <w:rsid w:val="00571F41"/>
    <w:rsid w:val="0059410B"/>
    <w:rsid w:val="00595BE4"/>
    <w:rsid w:val="005B738F"/>
    <w:rsid w:val="005B76A3"/>
    <w:rsid w:val="005E2C36"/>
    <w:rsid w:val="005E5D1F"/>
    <w:rsid w:val="00603391"/>
    <w:rsid w:val="006049FD"/>
    <w:rsid w:val="00611D43"/>
    <w:rsid w:val="00612D48"/>
    <w:rsid w:val="00616B45"/>
    <w:rsid w:val="00630D9B"/>
    <w:rsid w:val="00631953"/>
    <w:rsid w:val="006439EC"/>
    <w:rsid w:val="006A047B"/>
    <w:rsid w:val="006B4590"/>
    <w:rsid w:val="006C340C"/>
    <w:rsid w:val="006C7574"/>
    <w:rsid w:val="006E5FC7"/>
    <w:rsid w:val="0070347C"/>
    <w:rsid w:val="007176C1"/>
    <w:rsid w:val="00783F37"/>
    <w:rsid w:val="00790F2F"/>
    <w:rsid w:val="007A6076"/>
    <w:rsid w:val="007D1CDB"/>
    <w:rsid w:val="007F55CB"/>
    <w:rsid w:val="00812C1A"/>
    <w:rsid w:val="008317F6"/>
    <w:rsid w:val="00844750"/>
    <w:rsid w:val="008B44C4"/>
    <w:rsid w:val="008B7879"/>
    <w:rsid w:val="008C2211"/>
    <w:rsid w:val="008D3919"/>
    <w:rsid w:val="008E7FAE"/>
    <w:rsid w:val="00911BF7"/>
    <w:rsid w:val="00926E87"/>
    <w:rsid w:val="00952FDB"/>
    <w:rsid w:val="00977EC8"/>
    <w:rsid w:val="009B18A3"/>
    <w:rsid w:val="009D3A8C"/>
    <w:rsid w:val="009E01B8"/>
    <w:rsid w:val="009E7956"/>
    <w:rsid w:val="00A1547F"/>
    <w:rsid w:val="00A2492E"/>
    <w:rsid w:val="00A31F07"/>
    <w:rsid w:val="00A41235"/>
    <w:rsid w:val="00A5701E"/>
    <w:rsid w:val="00A70163"/>
    <w:rsid w:val="00A80554"/>
    <w:rsid w:val="00AA72C3"/>
    <w:rsid w:val="00AC67A1"/>
    <w:rsid w:val="00AC7977"/>
    <w:rsid w:val="00AE352C"/>
    <w:rsid w:val="00B32E2D"/>
    <w:rsid w:val="00B4466B"/>
    <w:rsid w:val="00B61990"/>
    <w:rsid w:val="00B6602A"/>
    <w:rsid w:val="00B85D99"/>
    <w:rsid w:val="00B93E72"/>
    <w:rsid w:val="00B94939"/>
    <w:rsid w:val="00BF0556"/>
    <w:rsid w:val="00BF06B0"/>
    <w:rsid w:val="00C24B53"/>
    <w:rsid w:val="00C261F8"/>
    <w:rsid w:val="00C33100"/>
    <w:rsid w:val="00C940E9"/>
    <w:rsid w:val="00CB6267"/>
    <w:rsid w:val="00CD1A71"/>
    <w:rsid w:val="00CD1FBB"/>
    <w:rsid w:val="00D016B5"/>
    <w:rsid w:val="00D034F1"/>
    <w:rsid w:val="00D11B17"/>
    <w:rsid w:val="00D27D5E"/>
    <w:rsid w:val="00D60301"/>
    <w:rsid w:val="00DA57D4"/>
    <w:rsid w:val="00DB4793"/>
    <w:rsid w:val="00DE01E3"/>
    <w:rsid w:val="00DE6D90"/>
    <w:rsid w:val="00DE7524"/>
    <w:rsid w:val="00DF002F"/>
    <w:rsid w:val="00E0244D"/>
    <w:rsid w:val="00E35984"/>
    <w:rsid w:val="00E55D71"/>
    <w:rsid w:val="00E81E94"/>
    <w:rsid w:val="00E82607"/>
    <w:rsid w:val="00EA31C2"/>
    <w:rsid w:val="00EE2EA3"/>
    <w:rsid w:val="00F01516"/>
    <w:rsid w:val="00F16902"/>
    <w:rsid w:val="00F57129"/>
    <w:rsid w:val="00FA5A79"/>
    <w:rsid w:val="00FA6422"/>
    <w:rsid w:val="00FB00CB"/>
    <w:rsid w:val="00FB0BFE"/>
    <w:rsid w:val="00FB4C51"/>
    <w:rsid w:val="00FB53C9"/>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619D6AA"/>
  <w15:docId w15:val="{022FB984-8BE8-405C-ABCD-F28262C1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uiPriority w:val="99"/>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FootnoteTextChar">
    <w:name w:val="Footnote Text Char"/>
    <w:aliases w:val="5_G Char"/>
    <w:basedOn w:val="DefaultParagraphFont"/>
    <w:link w:val="FootnoteText"/>
    <w:uiPriority w:val="99"/>
    <w:rsid w:val="006C7574"/>
    <w:rPr>
      <w:sz w:val="18"/>
      <w:lang w:val="fr-CH" w:eastAsia="en-US"/>
    </w:rPr>
  </w:style>
  <w:style w:type="paragraph" w:customStyle="1" w:styleId="SingleTxt">
    <w:name w:val="__Single Txt"/>
    <w:basedOn w:val="Normal"/>
    <w:uiPriority w:val="99"/>
    <w:rsid w:val="006C757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character" w:customStyle="1" w:styleId="HChGChar">
    <w:name w:val="_ H _Ch_G Char"/>
    <w:link w:val="HChG"/>
    <w:uiPriority w:val="99"/>
    <w:locked/>
    <w:rsid w:val="006C7574"/>
    <w:rPr>
      <w:b/>
      <w:sz w:val="28"/>
      <w:lang w:val="fr-CH" w:eastAsia="en-US"/>
    </w:rPr>
  </w:style>
  <w:style w:type="character" w:customStyle="1" w:styleId="SingleTxtGChar">
    <w:name w:val="_ Single Txt_G Char"/>
    <w:link w:val="SingleTxtG"/>
    <w:uiPriority w:val="99"/>
    <w:locked/>
    <w:rsid w:val="006C7574"/>
    <w:rPr>
      <w:lang w:val="fr-CH" w:eastAsia="en-US"/>
    </w:rPr>
  </w:style>
  <w:style w:type="character" w:customStyle="1" w:styleId="st">
    <w:name w:val="st"/>
    <w:basedOn w:val="DefaultParagraphFont"/>
    <w:uiPriority w:val="99"/>
    <w:rsid w:val="00DE75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7594-696B-437F-9655-96464E71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8</TotalTime>
  <Pages>3</Pages>
  <Words>1030</Words>
  <Characters>5875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Rosa Garcia-Couto</dc:creator>
  <cp:lastModifiedBy>Christine Barrio-Champeau</cp:lastModifiedBy>
  <cp:revision>5</cp:revision>
  <cp:lastPrinted>2009-10-06T13:35:00Z</cp:lastPrinted>
  <dcterms:created xsi:type="dcterms:W3CDTF">2018-06-26T06:48:00Z</dcterms:created>
  <dcterms:modified xsi:type="dcterms:W3CDTF">2018-06-27T08:52:00Z</dcterms:modified>
</cp:coreProperties>
</file>