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A85DFF">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A85DFF" w:rsidP="00A85DFF">
            <w:pPr>
              <w:jc w:val="right"/>
            </w:pPr>
            <w:r w:rsidRPr="00A85DFF">
              <w:rPr>
                <w:sz w:val="40"/>
              </w:rPr>
              <w:t>ECE</w:t>
            </w:r>
            <w:r>
              <w:t>/TRANS/WP.15/AC.1/2018/24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A85DFF" w:rsidP="00295CCA">
            <w:pPr>
              <w:spacing w:before="240"/>
            </w:pPr>
            <w:r>
              <w:t>Distr. générale</w:t>
            </w:r>
          </w:p>
          <w:p w:rsidR="00A85DFF" w:rsidRDefault="00A85DFF" w:rsidP="00A85DFF">
            <w:pPr>
              <w:spacing w:line="240" w:lineRule="exact"/>
            </w:pPr>
            <w:r>
              <w:t>27 juin 2018</w:t>
            </w:r>
          </w:p>
          <w:p w:rsidR="00A85DFF" w:rsidRDefault="00A85DFF" w:rsidP="00A85DFF">
            <w:pPr>
              <w:spacing w:line="240" w:lineRule="exact"/>
            </w:pPr>
            <w:r>
              <w:t>Français</w:t>
            </w:r>
          </w:p>
          <w:p w:rsidR="00A85DFF" w:rsidRPr="00DB58B5" w:rsidRDefault="00A85DFF" w:rsidP="00A85DFF">
            <w:pPr>
              <w:spacing w:line="240" w:lineRule="exact"/>
            </w:pPr>
            <w:r>
              <w:t>Original : russe</w:t>
            </w:r>
          </w:p>
        </w:tc>
      </w:tr>
    </w:tbl>
    <w:p w:rsidR="005316B0" w:rsidRPr="000312C0" w:rsidRDefault="005316B0" w:rsidP="005316B0">
      <w:pPr>
        <w:spacing w:before="120"/>
        <w:rPr>
          <w:b/>
          <w:sz w:val="28"/>
          <w:szCs w:val="28"/>
        </w:rPr>
      </w:pPr>
      <w:r w:rsidRPr="000312C0">
        <w:rPr>
          <w:b/>
          <w:sz w:val="28"/>
          <w:szCs w:val="28"/>
        </w:rPr>
        <w:t>Commission économique pour l</w:t>
      </w:r>
      <w:r w:rsidR="00450736">
        <w:rPr>
          <w:b/>
          <w:sz w:val="28"/>
          <w:szCs w:val="28"/>
        </w:rPr>
        <w:t>’</w:t>
      </w:r>
      <w:r w:rsidRPr="000312C0">
        <w:rPr>
          <w:b/>
          <w:sz w:val="28"/>
          <w:szCs w:val="28"/>
        </w:rPr>
        <w:t>Europe</w:t>
      </w:r>
    </w:p>
    <w:p w:rsidR="00A85DFF" w:rsidRPr="00AE5D59" w:rsidRDefault="00A85DFF" w:rsidP="00F2663A">
      <w:pPr>
        <w:spacing w:before="120"/>
        <w:rPr>
          <w:sz w:val="28"/>
          <w:szCs w:val="28"/>
        </w:rPr>
      </w:pPr>
      <w:r w:rsidRPr="00AE5D59">
        <w:rPr>
          <w:sz w:val="28"/>
          <w:szCs w:val="28"/>
        </w:rPr>
        <w:t>Comité des transports intérieurs</w:t>
      </w:r>
    </w:p>
    <w:p w:rsidR="00A85DFF" w:rsidRPr="00F2663A" w:rsidRDefault="00A85DFF" w:rsidP="00F2663A">
      <w:pPr>
        <w:spacing w:before="120"/>
        <w:rPr>
          <w:b/>
          <w:sz w:val="24"/>
          <w:szCs w:val="24"/>
        </w:rPr>
      </w:pPr>
      <w:r w:rsidRPr="00F2663A">
        <w:rPr>
          <w:b/>
          <w:sz w:val="24"/>
          <w:szCs w:val="24"/>
        </w:rPr>
        <w:t>Groupe de travail du transport des marchandises dangereuses</w:t>
      </w:r>
    </w:p>
    <w:p w:rsidR="00A85DFF" w:rsidRPr="00F2663A" w:rsidRDefault="00A85DFF" w:rsidP="00F2663A">
      <w:pPr>
        <w:spacing w:before="120"/>
        <w:rPr>
          <w:b/>
        </w:rPr>
      </w:pPr>
      <w:r w:rsidRPr="00F2663A">
        <w:rPr>
          <w:b/>
        </w:rPr>
        <w:t>Réunion commune de la Commission d</w:t>
      </w:r>
      <w:r w:rsidR="00450736">
        <w:rPr>
          <w:b/>
        </w:rPr>
        <w:t>’</w:t>
      </w:r>
      <w:r w:rsidRPr="00F2663A">
        <w:rPr>
          <w:b/>
        </w:rPr>
        <w:t xml:space="preserve">experts du RID et </w:t>
      </w:r>
      <w:r w:rsidR="00F2663A">
        <w:rPr>
          <w:b/>
        </w:rPr>
        <w:br/>
      </w:r>
      <w:r w:rsidRPr="00F2663A">
        <w:rPr>
          <w:b/>
        </w:rPr>
        <w:t>du Groupe de travail des transports de marchandises dangereuses</w:t>
      </w:r>
    </w:p>
    <w:p w:rsidR="00A85DFF" w:rsidRPr="00F2663A" w:rsidRDefault="00A85DFF" w:rsidP="00A85DFF">
      <w:r w:rsidRPr="00F2663A">
        <w:t>Genève, 17</w:t>
      </w:r>
      <w:r w:rsidR="00F2663A">
        <w:t>-</w:t>
      </w:r>
      <w:r w:rsidRPr="00F2663A">
        <w:t>21 septembre 2018</w:t>
      </w:r>
    </w:p>
    <w:p w:rsidR="00A85DFF" w:rsidRPr="00F2663A" w:rsidRDefault="00A85DFF" w:rsidP="00A85DFF">
      <w:r w:rsidRPr="00F2663A">
        <w:t>Point 5 b) de l</w:t>
      </w:r>
      <w:r w:rsidR="00450736">
        <w:t>’</w:t>
      </w:r>
      <w:r w:rsidRPr="00F2663A">
        <w:t>ordre du jour provisoire</w:t>
      </w:r>
    </w:p>
    <w:p w:rsidR="00A85DFF" w:rsidRPr="00F2663A" w:rsidRDefault="00A85DFF" w:rsidP="00A85DFF">
      <w:pPr>
        <w:rPr>
          <w:b/>
        </w:rPr>
      </w:pPr>
      <w:r w:rsidRPr="00F2663A">
        <w:rPr>
          <w:b/>
        </w:rPr>
        <w:t>Propositions divers</w:t>
      </w:r>
      <w:r w:rsidR="00F2663A">
        <w:rPr>
          <w:b/>
        </w:rPr>
        <w:t>es d</w:t>
      </w:r>
      <w:r w:rsidR="00450736">
        <w:rPr>
          <w:b/>
        </w:rPr>
        <w:t>’</w:t>
      </w:r>
      <w:r w:rsidR="00F2663A">
        <w:rPr>
          <w:b/>
        </w:rPr>
        <w:t>amendements au RID/ADR/ADN </w:t>
      </w:r>
      <w:r w:rsidRPr="00F2663A">
        <w:rPr>
          <w:b/>
        </w:rPr>
        <w:t>:</w:t>
      </w:r>
    </w:p>
    <w:p w:rsidR="00A85DFF" w:rsidRPr="00F2663A" w:rsidRDefault="00A85DFF" w:rsidP="00A85DFF">
      <w:pPr>
        <w:rPr>
          <w:b/>
          <w:bCs/>
        </w:rPr>
      </w:pPr>
      <w:r w:rsidRPr="00F2663A">
        <w:rPr>
          <w:b/>
        </w:rPr>
        <w:t>nouvelles propositions</w:t>
      </w:r>
    </w:p>
    <w:p w:rsidR="00A85DFF" w:rsidRPr="00AE5D59" w:rsidRDefault="00A85DFF" w:rsidP="00F2663A">
      <w:pPr>
        <w:pStyle w:val="HChG"/>
        <w:rPr>
          <w:lang w:eastAsia="ru-RU"/>
        </w:rPr>
      </w:pPr>
      <w:r w:rsidRPr="00AE5D59">
        <w:tab/>
      </w:r>
      <w:r w:rsidRPr="00AE5D59">
        <w:tab/>
      </w:r>
      <w:r w:rsidRPr="00AE5D59">
        <w:rPr>
          <w:lang w:eastAsia="ru-RU"/>
        </w:rPr>
        <w:t xml:space="preserve">Proposition de modification du chapitre 6.2 </w:t>
      </w:r>
      <w:r w:rsidR="00F2663A">
        <w:rPr>
          <w:lang w:eastAsia="ru-RU"/>
        </w:rPr>
        <w:br/>
      </w:r>
      <w:r>
        <w:rPr>
          <w:lang w:eastAsia="ru-RU"/>
        </w:rPr>
        <w:t xml:space="preserve">du </w:t>
      </w:r>
      <w:r w:rsidRPr="00AE5D59">
        <w:rPr>
          <w:lang w:eastAsia="ru-RU"/>
        </w:rPr>
        <w:t>RID/ADR/ADN</w:t>
      </w:r>
    </w:p>
    <w:p w:rsidR="00A85DFF" w:rsidRPr="00AE5D59" w:rsidRDefault="00A85DFF" w:rsidP="00F2663A">
      <w:pPr>
        <w:pStyle w:val="H1G"/>
      </w:pPr>
      <w:r w:rsidRPr="00AE5D59">
        <w:tab/>
      </w:r>
      <w:r w:rsidRPr="00AE5D59">
        <w:tab/>
        <w:t>Communication du Gouvernement de la Fédération de Russie</w:t>
      </w:r>
      <w:r w:rsidR="00CF76A0" w:rsidRPr="00CF76A0">
        <w:rPr>
          <w:rStyle w:val="FootnoteReference"/>
          <w:b w:val="0"/>
          <w:sz w:val="20"/>
          <w:vertAlign w:val="baseline"/>
        </w:rPr>
        <w:footnoteReference w:customMarkFollows="1" w:id="2"/>
        <w:t>*</w:t>
      </w:r>
      <w:r w:rsidRPr="0008302D">
        <w:rPr>
          <w:b w:val="0"/>
          <w:position w:val="-4"/>
          <w:vertAlign w:val="superscript"/>
        </w:rPr>
        <w:t>,</w:t>
      </w:r>
      <w:r w:rsidRPr="00CF76A0">
        <w:rPr>
          <w:b w:val="0"/>
          <w:vertAlign w:val="superscript"/>
        </w:rPr>
        <w:t xml:space="preserve"> </w:t>
      </w:r>
      <w:r w:rsidR="00CF76A0" w:rsidRPr="00CF76A0">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85DFF" w:rsidTr="00216E0F">
        <w:trPr>
          <w:jc w:val="center"/>
        </w:trPr>
        <w:tc>
          <w:tcPr>
            <w:tcW w:w="9637" w:type="dxa"/>
            <w:shd w:val="clear" w:color="auto" w:fill="auto"/>
          </w:tcPr>
          <w:p w:rsidR="00A85DFF" w:rsidRPr="000001E7" w:rsidRDefault="00A85DFF" w:rsidP="00216E0F">
            <w:pPr>
              <w:spacing w:before="240" w:after="120"/>
              <w:ind w:left="255"/>
              <w:rPr>
                <w:i/>
                <w:sz w:val="24"/>
              </w:rPr>
            </w:pPr>
            <w:r w:rsidRPr="000001E7">
              <w:rPr>
                <w:i/>
                <w:sz w:val="24"/>
              </w:rPr>
              <w:t>Résumé</w:t>
            </w:r>
          </w:p>
        </w:tc>
      </w:tr>
      <w:tr w:rsidR="00A85DFF" w:rsidTr="00216E0F">
        <w:trPr>
          <w:jc w:val="center"/>
        </w:trPr>
        <w:tc>
          <w:tcPr>
            <w:tcW w:w="9637" w:type="dxa"/>
            <w:shd w:val="clear" w:color="auto" w:fill="auto"/>
          </w:tcPr>
          <w:p w:rsidR="00A85DFF" w:rsidRDefault="00F2663A" w:rsidP="00CF76A0">
            <w:pPr>
              <w:pStyle w:val="SingleTxtG"/>
              <w:tabs>
                <w:tab w:val="left" w:pos="1701"/>
              </w:tabs>
              <w:spacing w:after="0"/>
              <w:ind w:left="3544" w:hanging="2410"/>
              <w:jc w:val="left"/>
            </w:pPr>
            <w:r>
              <w:rPr>
                <w:b/>
                <w:lang w:val="en-US"/>
              </w:rPr>
              <w:t>Documents :</w:t>
            </w:r>
            <w:r>
              <w:rPr>
                <w:b/>
                <w:lang w:val="en-US"/>
              </w:rPr>
              <w:tab/>
            </w:r>
            <w:r w:rsidR="004A2372" w:rsidRPr="00A85DFF">
              <w:rPr>
                <w:lang w:val="en-US"/>
              </w:rPr>
              <w:t>ECE/TRANS/WP.15/AC.1-18-BE-inf12</w:t>
            </w:r>
            <w:r w:rsidR="00CF76A0">
              <w:rPr>
                <w:lang w:val="en-US"/>
              </w:rPr>
              <w:br/>
            </w:r>
            <w:r w:rsidR="004A2372" w:rsidRPr="00A85DFF">
              <w:t>ECE/TRANS/WP.15/150, paragraphes 36 à 38</w:t>
            </w:r>
            <w:r w:rsidR="00CF76A0">
              <w:br/>
              <w:t>ECE/TRANS/WP.15/AC.1/122</w:t>
            </w:r>
            <w:r w:rsidR="004A2372" w:rsidRPr="00A85DFF">
              <w:t>, paragraphes 20 et 21</w:t>
            </w:r>
          </w:p>
        </w:tc>
      </w:tr>
      <w:tr w:rsidR="00A85DFF" w:rsidTr="00216E0F">
        <w:trPr>
          <w:jc w:val="center"/>
        </w:trPr>
        <w:tc>
          <w:tcPr>
            <w:tcW w:w="9637" w:type="dxa"/>
            <w:shd w:val="clear" w:color="auto" w:fill="auto"/>
          </w:tcPr>
          <w:p w:rsidR="00A85DFF" w:rsidRDefault="00A85DFF" w:rsidP="00216E0F"/>
        </w:tc>
      </w:tr>
    </w:tbl>
    <w:p w:rsidR="00B74E45" w:rsidRPr="00A85DFF" w:rsidRDefault="004A2372" w:rsidP="00CF76A0">
      <w:pPr>
        <w:pStyle w:val="HChG"/>
      </w:pPr>
      <w:r w:rsidRPr="00A85DFF">
        <w:tab/>
      </w:r>
      <w:r w:rsidRPr="00A85DFF">
        <w:tab/>
        <w:t>Introduction</w:t>
      </w:r>
    </w:p>
    <w:p w:rsidR="00B74E45" w:rsidRPr="00A85DFF" w:rsidRDefault="004A2372" w:rsidP="00450736">
      <w:pPr>
        <w:pStyle w:val="SingleTxtG"/>
      </w:pPr>
      <w:r w:rsidRPr="00A85DFF">
        <w:t>1.</w:t>
      </w:r>
      <w:r w:rsidRPr="00A85DFF">
        <w:tab/>
        <w:t>Dans le c</w:t>
      </w:r>
      <w:r w:rsidR="00CF76A0">
        <w:t>adre de l</w:t>
      </w:r>
      <w:r w:rsidR="00450736">
        <w:t>’</w:t>
      </w:r>
      <w:r w:rsidR="00CF76A0">
        <w:t>examen des Règlements </w:t>
      </w:r>
      <w:r w:rsidRPr="00A85DFF">
        <w:t>RID/ADR/ADN tels qu</w:t>
      </w:r>
      <w:r w:rsidR="00450736">
        <w:t>’</w:t>
      </w:r>
      <w:r w:rsidRPr="00A85DFF">
        <w:t xml:space="preserve">amendés en 2017, les experts de la Fédération de Russie ont effectué un contrôle des normes et documents juridiques </w:t>
      </w:r>
      <w:r w:rsidR="00CF76A0">
        <w:t xml:space="preserve">cités au chapitre 6.2. </w:t>
      </w:r>
      <w:r w:rsidRPr="00A85DFF">
        <w:t xml:space="preserve">Au </w:t>
      </w:r>
      <w:r w:rsidR="00CF76A0">
        <w:t xml:space="preserve">paragraphe 6.2.4.1 </w:t>
      </w:r>
      <w:r w:rsidRPr="00A85DFF">
        <w:t>(Conception, fabrication, et contrôle et épreuve initiaux), il est indiqué que le champ d</w:t>
      </w:r>
      <w:r w:rsidR="00450736">
        <w:t>’</w:t>
      </w:r>
      <w:r w:rsidRPr="00A85DFF">
        <w:t>application de chaque norme est défini dans l</w:t>
      </w:r>
      <w:r w:rsidR="00450736">
        <w:t>’</w:t>
      </w:r>
      <w:r w:rsidRPr="00A85DFF">
        <w:t>article de champ d</w:t>
      </w:r>
      <w:r w:rsidR="00450736">
        <w:t>’</w:t>
      </w:r>
      <w:r w:rsidRPr="00A85DFF">
        <w:t>application de la norme à moins qu</w:t>
      </w:r>
      <w:r w:rsidR="00450736">
        <w:t>’</w:t>
      </w:r>
      <w:r w:rsidRPr="00A85DFF">
        <w:t>il n</w:t>
      </w:r>
      <w:r w:rsidR="00450736">
        <w:t>’</w:t>
      </w:r>
      <w:r w:rsidRPr="00A85DFF">
        <w:t xml:space="preserve">en soit spécifié autrement dans le tableau figurant au </w:t>
      </w:r>
      <w:r w:rsidR="00CF76A0">
        <w:t xml:space="preserve">paragraphe 6.2.4.1. </w:t>
      </w:r>
      <w:r w:rsidRPr="00A85DFF">
        <w:t>Dans la colonne des références, ce tableau cite trois directives du Conseil européen concernant le rapprochement des législations des États membres relatives</w:t>
      </w:r>
      <w:r w:rsidR="00CF76A0">
        <w:t> </w:t>
      </w:r>
      <w:r w:rsidRPr="00A85DFF">
        <w:t>:</w:t>
      </w:r>
    </w:p>
    <w:p w:rsidR="00B74E45" w:rsidRPr="00A85DFF" w:rsidRDefault="004A2372" w:rsidP="00CF76A0">
      <w:pPr>
        <w:pStyle w:val="Bullet1G"/>
      </w:pPr>
      <w:r w:rsidRPr="00A85DFF">
        <w:t>aux bouteilles à gaz en acier sans soudure</w:t>
      </w:r>
      <w:r w:rsidR="00CF76A0">
        <w:t> </w:t>
      </w:r>
      <w:r w:rsidRPr="00A85DFF">
        <w:t>;</w:t>
      </w:r>
    </w:p>
    <w:p w:rsidR="00B74E45" w:rsidRPr="005C2581" w:rsidRDefault="004A2372" w:rsidP="008F4AF9">
      <w:pPr>
        <w:pStyle w:val="Bullet1G"/>
        <w:keepNext/>
        <w:keepLines/>
        <w:rPr>
          <w:spacing w:val="-2"/>
        </w:rPr>
      </w:pPr>
      <w:r w:rsidRPr="005C2581">
        <w:rPr>
          <w:spacing w:val="-2"/>
        </w:rPr>
        <w:lastRenderedPageBreak/>
        <w:t>aux bouteilles à gaz sans soudure en aluminium non allié et en alliage d</w:t>
      </w:r>
      <w:r w:rsidR="00450736" w:rsidRPr="005C2581">
        <w:rPr>
          <w:spacing w:val="-2"/>
        </w:rPr>
        <w:t>’</w:t>
      </w:r>
      <w:r w:rsidRPr="005C2581">
        <w:rPr>
          <w:spacing w:val="-2"/>
        </w:rPr>
        <w:t>aluminium ; et</w:t>
      </w:r>
    </w:p>
    <w:p w:rsidR="00B74E45" w:rsidRPr="00A85DFF" w:rsidRDefault="004A2372" w:rsidP="008F4AF9">
      <w:pPr>
        <w:pStyle w:val="Bullet1G"/>
        <w:keepNext/>
        <w:keepLines/>
      </w:pPr>
      <w:r w:rsidRPr="00A85DFF">
        <w:t>aux bouteilles à gaz soudées en acier non allié.</w:t>
      </w:r>
    </w:p>
    <w:p w:rsidR="00B74E45" w:rsidRPr="00A85DFF" w:rsidRDefault="004A2372" w:rsidP="00A85DFF">
      <w:pPr>
        <w:pStyle w:val="SingleTxtG"/>
      </w:pPr>
      <w:r w:rsidRPr="00A85DFF">
        <w:t>2.</w:t>
      </w:r>
      <w:r w:rsidRPr="00A85DFF">
        <w:tab/>
        <w:t>Il est établi que :</w:t>
      </w:r>
    </w:p>
    <w:p w:rsidR="00B74E45" w:rsidRPr="00A85DFF" w:rsidRDefault="004A2372" w:rsidP="00450736">
      <w:pPr>
        <w:pStyle w:val="SingleTxtG"/>
        <w:ind w:firstLine="567"/>
      </w:pPr>
      <w:r w:rsidRPr="00A85DFF">
        <w:t xml:space="preserve">Une </w:t>
      </w:r>
      <w:r w:rsidRPr="00450736">
        <w:rPr>
          <w:b/>
          <w:bCs/>
        </w:rPr>
        <w:t>directive</w:t>
      </w:r>
      <w:r w:rsidR="00450736">
        <w:t xml:space="preserve"> </w:t>
      </w:r>
      <w:r w:rsidRPr="00A85DFF">
        <w:t>est un type d</w:t>
      </w:r>
      <w:r w:rsidR="00450736">
        <w:t>’</w:t>
      </w:r>
      <w:r w:rsidRPr="00A85DFF">
        <w:t>acte juridique (</w:t>
      </w:r>
      <w:r w:rsidR="00C95EE2">
        <w:t>d</w:t>
      </w:r>
      <w:r w:rsidRPr="00A85DFF">
        <w:t>e l</w:t>
      </w:r>
      <w:r w:rsidR="00450736">
        <w:t>’</w:t>
      </w:r>
      <w:r w:rsidRPr="00A85DFF">
        <w:t>Union européenne en l</w:t>
      </w:r>
      <w:r w:rsidR="00450736">
        <w:t>’</w:t>
      </w:r>
      <w:r w:rsidRPr="00A85DFF">
        <w:t>occurrence</w:t>
      </w:r>
      <w:r w:rsidR="00CF76A0">
        <w:t>) ;</w:t>
      </w:r>
    </w:p>
    <w:p w:rsidR="00B74E45" w:rsidRPr="00A85DFF" w:rsidRDefault="004A2372" w:rsidP="00450736">
      <w:pPr>
        <w:pStyle w:val="SingleTxtG"/>
        <w:ind w:firstLine="567"/>
      </w:pPr>
      <w:r w:rsidRPr="00A85DFF">
        <w:t xml:space="preserve">Une </w:t>
      </w:r>
      <w:r w:rsidRPr="00450736">
        <w:rPr>
          <w:b/>
        </w:rPr>
        <w:t>norme</w:t>
      </w:r>
      <w:r w:rsidRPr="00A85DFF">
        <w:t xml:space="preserve"> est un </w:t>
      </w:r>
      <w:r w:rsidRPr="00450736">
        <w:t>document normatif (prescrivant une règle)</w:t>
      </w:r>
      <w:r w:rsidRPr="00A85DFF">
        <w:t xml:space="preserve"> dans lequel sont définies les caractéristiques que présentent la conception, la validation et les méthodes d</w:t>
      </w:r>
      <w:r w:rsidR="00450736">
        <w:t>’</w:t>
      </w:r>
      <w:r w:rsidRPr="00A85DFF">
        <w:t>utilisation en mettant l</w:t>
      </w:r>
      <w:r w:rsidR="00450736">
        <w:t>’</w:t>
      </w:r>
      <w:r w:rsidRPr="00A85DFF">
        <w:t xml:space="preserve">accent sur un objectif donné.  </w:t>
      </w:r>
    </w:p>
    <w:p w:rsidR="00B74E45" w:rsidRPr="00A85DFF" w:rsidRDefault="004A2372" w:rsidP="00A85DFF">
      <w:pPr>
        <w:pStyle w:val="SingleTxtG"/>
      </w:pPr>
      <w:r w:rsidRPr="00A85DFF">
        <w:t>3.</w:t>
      </w:r>
      <w:r w:rsidRPr="00A85DFF">
        <w:tab/>
        <w:t>Il semble à la Fédération de Russie que l</w:t>
      </w:r>
      <w:r w:rsidR="00450736">
        <w:t>’</w:t>
      </w:r>
      <w:r w:rsidRPr="00A85DFF">
        <w:t>incorporation de ces directives dans les sections des Règlements RID/ADR/ADN consacrées aux prescriptions applicables n</w:t>
      </w:r>
      <w:r w:rsidR="00450736">
        <w:t>’</w:t>
      </w:r>
      <w:r w:rsidRPr="00A85DFF">
        <w:t xml:space="preserve">est pas justifiée sur le plan juridique. </w:t>
      </w:r>
    </w:p>
    <w:p w:rsidR="00B74E45" w:rsidRPr="00A85DFF" w:rsidRDefault="00F9554C" w:rsidP="00A85DFF">
      <w:pPr>
        <w:pStyle w:val="SingleTxtG"/>
      </w:pPr>
      <w:r>
        <w:t>4.</w:t>
      </w:r>
      <w:r>
        <w:tab/>
      </w:r>
      <w:r w:rsidR="004A2372" w:rsidRPr="00A85DFF">
        <w:t>Une vérification de la pertinence des documents juridiques cités au paragraphe</w:t>
      </w:r>
      <w:r w:rsidR="00450736">
        <w:t> </w:t>
      </w:r>
      <w:r w:rsidR="004A2372" w:rsidRPr="00A85DFF">
        <w:t>6.2.</w:t>
      </w:r>
      <w:r w:rsidR="00450736">
        <w:t>4.1 a révélé que les directives </w:t>
      </w:r>
      <w:r w:rsidR="004A2372" w:rsidRPr="00A85DFF">
        <w:t>84/525/CEE, 84/526/CEE, 84/527/CEE du Conseil de l</w:t>
      </w:r>
      <w:r w:rsidR="00450736">
        <w:t>’</w:t>
      </w:r>
      <w:r w:rsidR="004A2372" w:rsidRPr="00A85DFF">
        <w:t>Union européenne concernant le rapprochement des législations des États membres n</w:t>
      </w:r>
      <w:r w:rsidR="00450736">
        <w:t>’</w:t>
      </w:r>
      <w:r w:rsidR="004A2372" w:rsidRPr="00A85DFF">
        <w:t>étaient plus en vigueur.</w:t>
      </w:r>
    </w:p>
    <w:p w:rsidR="00B74E45" w:rsidRPr="00A85DFF" w:rsidRDefault="004A2372" w:rsidP="00A85DFF">
      <w:pPr>
        <w:pStyle w:val="SingleTxtG"/>
      </w:pPr>
      <w:r w:rsidRPr="00A85DFF">
        <w:t>5.</w:t>
      </w:r>
      <w:r w:rsidRPr="00A85DFF">
        <w:tab/>
        <w:t>Selon les experts de la Fédération de Russie, non seulement cette référence à des documents qui n</w:t>
      </w:r>
      <w:r w:rsidR="00450736">
        <w:t>’</w:t>
      </w:r>
      <w:r w:rsidRPr="00A85DFF">
        <w:t>ont pas force de loi enfreint les principes de la technique juridique mais elle crée de la confusion chez les parties prenantes aux opérations de transport, ce qui peut entraîner des erreurs d</w:t>
      </w:r>
      <w:r w:rsidR="00450736">
        <w:t>’</w:t>
      </w:r>
      <w:r w:rsidRPr="00A85DFF">
        <w:t>interprétation du document en question et une application incorrecte des normes. Si les parties prenantes qui appliquent des directives de l</w:t>
      </w:r>
      <w:r w:rsidR="00450736">
        <w:t>’</w:t>
      </w:r>
      <w:r w:rsidRPr="00A85DFF">
        <w:t>UE considèrent que seules les annexes aux directives publiées avant l</w:t>
      </w:r>
      <w:r w:rsidR="00450736">
        <w:t>’</w:t>
      </w:r>
      <w:r w:rsidRPr="00A85DFF">
        <w:t>entrée en vigueur de la directive pertinente devraient être appliquées, les Règlements RID/ADR/ADN devraient se référer expressément à ces annexes (plutôt qu</w:t>
      </w:r>
      <w:r w:rsidR="00450736">
        <w:t>’</w:t>
      </w:r>
      <w:r w:rsidRPr="00A85DFF">
        <w:t>aux directives) en précisant la base juridique sur laquelle repose la possibilité de les appliquer directement, à savoir les références des documents qui leur donnent effet et, ainsi, rendent leur utilisation obligatoire. À défaut, l</w:t>
      </w:r>
      <w:r w:rsidR="00450736">
        <w:t>’</w:t>
      </w:r>
      <w:r w:rsidRPr="00A85DFF">
        <w:t>application des instructions données dans ces documents (chapitres, annexes</w:t>
      </w:r>
      <w:r w:rsidR="00F9554C">
        <w:t>,</w:t>
      </w:r>
      <w:r w:rsidRPr="00A85DFF">
        <w:t xml:space="preserve"> etc.) ne serait pas fondée juridiquement. En elle-même, une référence à un document dont la validité n</w:t>
      </w:r>
      <w:r w:rsidR="00450736">
        <w:t>’</w:t>
      </w:r>
      <w:r w:rsidRPr="00A85DFF">
        <w:t>est pas établie ne crée pas d</w:t>
      </w:r>
      <w:r w:rsidR="00450736">
        <w:t>’</w:t>
      </w:r>
      <w:r w:rsidRPr="00A85DFF">
        <w:t xml:space="preserve">obligation légale pour les parties prenantes aux opérations de transport, et elle les induit en erreur.  </w:t>
      </w:r>
    </w:p>
    <w:p w:rsidR="00B74E45" w:rsidRPr="00A85DFF" w:rsidRDefault="004A2372" w:rsidP="00450736">
      <w:pPr>
        <w:pStyle w:val="H1G"/>
      </w:pPr>
      <w:r w:rsidRPr="00A85DFF">
        <w:tab/>
      </w:r>
      <w:r w:rsidRPr="00A85DFF">
        <w:tab/>
        <w:t>Proposition</w:t>
      </w:r>
    </w:p>
    <w:p w:rsidR="00B74E45" w:rsidRPr="00A85DFF" w:rsidRDefault="004A2372" w:rsidP="00A85DFF">
      <w:pPr>
        <w:pStyle w:val="SingleTxtG"/>
      </w:pPr>
      <w:r w:rsidRPr="00A85DFF">
        <w:t>6.</w:t>
      </w:r>
      <w:r w:rsidRPr="00A85DFF">
        <w:tab/>
        <w:t>Afin que seules des références à des documents en cours de validité figurent au chapitre 6.2, et pour mettre fin à une infraction à la pratique juridique, il est proposé de supprimer les références aux directives 84/525/CEE, 84/526/CEE et 84/527/CEE du Conseil de l</w:t>
      </w:r>
      <w:r w:rsidR="00450736">
        <w:t>’</w:t>
      </w:r>
      <w:r w:rsidRPr="00A85DFF">
        <w:t>Union européenne.</w:t>
      </w:r>
    </w:p>
    <w:p w:rsidR="00B74E45" w:rsidRPr="00A85DFF" w:rsidRDefault="004A2372" w:rsidP="00450736">
      <w:pPr>
        <w:pStyle w:val="H1G"/>
      </w:pPr>
      <w:r w:rsidRPr="00A85DFF">
        <w:tab/>
      </w:r>
      <w:r w:rsidRPr="00A85DFF">
        <w:tab/>
        <w:t>Justification</w:t>
      </w:r>
    </w:p>
    <w:p w:rsidR="00B74E45" w:rsidRPr="00A85DFF" w:rsidRDefault="004A2372" w:rsidP="00A85DFF">
      <w:pPr>
        <w:pStyle w:val="SingleTxtG"/>
      </w:pPr>
      <w:r w:rsidRPr="00A85DFF">
        <w:t>7.</w:t>
      </w:r>
      <w:r w:rsidRPr="00A85DFF">
        <w:tab/>
        <w:t>Cette modification supprime des références à des documents juridiques qui n</w:t>
      </w:r>
      <w:r w:rsidR="00450736">
        <w:t>’</w:t>
      </w:r>
      <w:r w:rsidRPr="00A85DFF">
        <w:t>ont plus force de loi et met fin à des violations des règles de la pratique juridique.</w:t>
      </w:r>
    </w:p>
    <w:p w:rsidR="00B74E45" w:rsidRPr="00A85DFF" w:rsidRDefault="004A2372" w:rsidP="00450736">
      <w:pPr>
        <w:pStyle w:val="H1G"/>
      </w:pPr>
      <w:r w:rsidRPr="00A85DFF">
        <w:tab/>
      </w:r>
      <w:r w:rsidRPr="00A85DFF">
        <w:tab/>
        <w:t>Mise œuvre</w:t>
      </w:r>
    </w:p>
    <w:p w:rsidR="00B74E45" w:rsidRPr="00A85DFF" w:rsidRDefault="004A2372" w:rsidP="00A85DFF">
      <w:pPr>
        <w:pStyle w:val="SingleTxtG"/>
      </w:pPr>
      <w:r w:rsidRPr="00A85DFF">
        <w:t>8.</w:t>
      </w:r>
      <w:r w:rsidRPr="00A85DFF">
        <w:tab/>
        <w:t>La mise en œuvre de la modification proposée ne devrait o</w:t>
      </w:r>
      <w:r w:rsidR="00450736">
        <w:t>ccasionner aucune difficulté.</w:t>
      </w:r>
    </w:p>
    <w:p w:rsidR="00446FE5" w:rsidRPr="00450736" w:rsidRDefault="00450736" w:rsidP="00450736">
      <w:pPr>
        <w:pStyle w:val="SingleTxtG"/>
        <w:spacing w:before="240" w:after="0"/>
        <w:jc w:val="center"/>
        <w:rPr>
          <w:u w:val="single"/>
        </w:rPr>
      </w:pPr>
      <w:r>
        <w:rPr>
          <w:u w:val="single"/>
        </w:rPr>
        <w:tab/>
      </w:r>
      <w:r>
        <w:rPr>
          <w:u w:val="single"/>
        </w:rPr>
        <w:tab/>
      </w:r>
      <w:r>
        <w:rPr>
          <w:u w:val="single"/>
        </w:rPr>
        <w:tab/>
      </w:r>
    </w:p>
    <w:sectPr w:rsidR="00446FE5" w:rsidRPr="00450736" w:rsidSect="00A85D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3E" w:rsidRDefault="00B15E3E" w:rsidP="00F95C08">
      <w:pPr>
        <w:spacing w:line="240" w:lineRule="auto"/>
      </w:pPr>
    </w:p>
  </w:endnote>
  <w:endnote w:type="continuationSeparator" w:id="0">
    <w:p w:rsidR="00B15E3E" w:rsidRPr="00AC3823" w:rsidRDefault="00B15E3E" w:rsidP="00AC3823">
      <w:pPr>
        <w:pStyle w:val="Footer"/>
      </w:pPr>
    </w:p>
  </w:endnote>
  <w:endnote w:type="continuationNotice" w:id="1">
    <w:p w:rsidR="00B15E3E" w:rsidRDefault="00B15E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FF" w:rsidRPr="00A85DFF" w:rsidRDefault="00A85DFF" w:rsidP="00A85DFF">
    <w:pPr>
      <w:pStyle w:val="Footer"/>
      <w:tabs>
        <w:tab w:val="right" w:pos="9638"/>
      </w:tabs>
    </w:pPr>
    <w:r w:rsidRPr="00A85DFF">
      <w:rPr>
        <w:b/>
        <w:sz w:val="18"/>
      </w:rPr>
      <w:fldChar w:fldCharType="begin"/>
    </w:r>
    <w:r w:rsidRPr="00A85DFF">
      <w:rPr>
        <w:b/>
        <w:sz w:val="18"/>
      </w:rPr>
      <w:instrText xml:space="preserve"> PAGE  \* MERGEFORMAT </w:instrText>
    </w:r>
    <w:r w:rsidRPr="00A85DFF">
      <w:rPr>
        <w:b/>
        <w:sz w:val="18"/>
      </w:rPr>
      <w:fldChar w:fldCharType="separate"/>
    </w:r>
    <w:r w:rsidR="00DA03A4">
      <w:rPr>
        <w:b/>
        <w:noProof/>
        <w:sz w:val="18"/>
      </w:rPr>
      <w:t>2</w:t>
    </w:r>
    <w:r w:rsidRPr="00A85DFF">
      <w:rPr>
        <w:b/>
        <w:sz w:val="18"/>
      </w:rPr>
      <w:fldChar w:fldCharType="end"/>
    </w:r>
    <w:r>
      <w:rPr>
        <w:b/>
        <w:sz w:val="18"/>
      </w:rPr>
      <w:tab/>
    </w:r>
    <w:r>
      <w:t>GE.18-10526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FF" w:rsidRPr="00A85DFF" w:rsidRDefault="00A85DFF" w:rsidP="00A85DFF">
    <w:pPr>
      <w:pStyle w:val="Footer"/>
      <w:tabs>
        <w:tab w:val="right" w:pos="9638"/>
      </w:tabs>
      <w:rPr>
        <w:b/>
        <w:sz w:val="18"/>
      </w:rPr>
    </w:pPr>
    <w:r>
      <w:t>GE.18-10526</w:t>
    </w:r>
    <w:r>
      <w:tab/>
    </w:r>
    <w:r w:rsidRPr="00A85DFF">
      <w:rPr>
        <w:b/>
        <w:sz w:val="18"/>
      </w:rPr>
      <w:fldChar w:fldCharType="begin"/>
    </w:r>
    <w:r w:rsidRPr="00A85DFF">
      <w:rPr>
        <w:b/>
        <w:sz w:val="18"/>
      </w:rPr>
      <w:instrText xml:space="preserve"> PAGE  \* MERGEFORMAT </w:instrText>
    </w:r>
    <w:r w:rsidRPr="00A85DFF">
      <w:rPr>
        <w:b/>
        <w:sz w:val="18"/>
      </w:rPr>
      <w:fldChar w:fldCharType="separate"/>
    </w:r>
    <w:r w:rsidR="008F4AF9">
      <w:rPr>
        <w:b/>
        <w:noProof/>
        <w:sz w:val="18"/>
      </w:rPr>
      <w:t>2</w:t>
    </w:r>
    <w:r w:rsidRPr="00A85D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A85DFF" w:rsidRDefault="00A85DFF" w:rsidP="00A85DFF">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18-10526  (F)</w:t>
    </w:r>
    <w:r w:rsidR="00450736">
      <w:rPr>
        <w:sz w:val="20"/>
      </w:rPr>
      <w:t xml:space="preserve">    190718    300718</w:t>
    </w:r>
    <w:r>
      <w:rPr>
        <w:sz w:val="20"/>
      </w:rPr>
      <w:br/>
    </w:r>
    <w:r w:rsidRPr="00A85DFF">
      <w:rPr>
        <w:rFonts w:ascii="C39T30Lfz" w:hAnsi="C39T30Lfz"/>
        <w:sz w:val="56"/>
      </w:rPr>
      <w:t></w:t>
    </w:r>
    <w:r w:rsidRPr="00A85DFF">
      <w:rPr>
        <w:rFonts w:ascii="C39T30Lfz" w:hAnsi="C39T30Lfz"/>
        <w:sz w:val="56"/>
      </w:rPr>
      <w:t></w:t>
    </w:r>
    <w:r w:rsidRPr="00A85DFF">
      <w:rPr>
        <w:rFonts w:ascii="C39T30Lfz" w:hAnsi="C39T30Lfz"/>
        <w:sz w:val="56"/>
      </w:rPr>
      <w:t></w:t>
    </w:r>
    <w:r w:rsidRPr="00A85DFF">
      <w:rPr>
        <w:rFonts w:ascii="C39T30Lfz" w:hAnsi="C39T30Lfz"/>
        <w:sz w:val="56"/>
      </w:rPr>
      <w:t></w:t>
    </w:r>
    <w:r w:rsidRPr="00A85DFF">
      <w:rPr>
        <w:rFonts w:ascii="C39T30Lfz" w:hAnsi="C39T30Lfz"/>
        <w:sz w:val="56"/>
      </w:rPr>
      <w:t></w:t>
    </w:r>
    <w:r w:rsidRPr="00A85DFF">
      <w:rPr>
        <w:rFonts w:ascii="C39T30Lfz" w:hAnsi="C39T30Lfz"/>
        <w:sz w:val="56"/>
      </w:rPr>
      <w:t></w:t>
    </w:r>
    <w:r w:rsidRPr="00A85DFF">
      <w:rPr>
        <w:rFonts w:ascii="C39T30Lfz" w:hAnsi="C39T30Lfz"/>
        <w:sz w:val="56"/>
      </w:rPr>
      <w:t></w:t>
    </w:r>
    <w:r w:rsidRPr="00A85DFF">
      <w:rPr>
        <w:rFonts w:ascii="C39T30Lfz" w:hAnsi="C39T30Lfz"/>
        <w:sz w:val="56"/>
      </w:rPr>
      <w:t></w:t>
    </w:r>
    <w:r w:rsidRPr="00A85DF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15/AC.1/2018/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3E" w:rsidRPr="00AC3823" w:rsidRDefault="00B15E3E" w:rsidP="00AC3823">
      <w:pPr>
        <w:pStyle w:val="Footer"/>
        <w:tabs>
          <w:tab w:val="right" w:pos="2155"/>
        </w:tabs>
        <w:spacing w:after="80" w:line="240" w:lineRule="atLeast"/>
        <w:ind w:left="680"/>
        <w:rPr>
          <w:u w:val="single"/>
        </w:rPr>
      </w:pPr>
      <w:r>
        <w:rPr>
          <w:u w:val="single"/>
        </w:rPr>
        <w:tab/>
      </w:r>
    </w:p>
  </w:footnote>
  <w:footnote w:type="continuationSeparator" w:id="0">
    <w:p w:rsidR="00B15E3E" w:rsidRPr="00AC3823" w:rsidRDefault="00B15E3E" w:rsidP="00AC3823">
      <w:pPr>
        <w:pStyle w:val="Footer"/>
        <w:tabs>
          <w:tab w:val="right" w:pos="2155"/>
        </w:tabs>
        <w:spacing w:after="80" w:line="240" w:lineRule="atLeast"/>
        <w:ind w:left="680"/>
        <w:rPr>
          <w:u w:val="single"/>
        </w:rPr>
      </w:pPr>
      <w:r>
        <w:rPr>
          <w:u w:val="single"/>
        </w:rPr>
        <w:tab/>
      </w:r>
    </w:p>
  </w:footnote>
  <w:footnote w:type="continuationNotice" w:id="1">
    <w:p w:rsidR="00B15E3E" w:rsidRPr="00AC3823" w:rsidRDefault="00B15E3E">
      <w:pPr>
        <w:spacing w:line="240" w:lineRule="auto"/>
        <w:rPr>
          <w:sz w:val="2"/>
          <w:szCs w:val="2"/>
        </w:rPr>
      </w:pPr>
    </w:p>
  </w:footnote>
  <w:footnote w:id="2">
    <w:p w:rsidR="00CF76A0" w:rsidRPr="00CF76A0" w:rsidRDefault="00CF76A0">
      <w:pPr>
        <w:pStyle w:val="FootnoteText"/>
      </w:pPr>
      <w:r>
        <w:rPr>
          <w:rStyle w:val="FootnoteReference"/>
        </w:rPr>
        <w:tab/>
      </w:r>
      <w:r w:rsidRPr="00CF76A0">
        <w:rPr>
          <w:rStyle w:val="FootnoteReference"/>
          <w:sz w:val="20"/>
          <w:vertAlign w:val="baseline"/>
        </w:rPr>
        <w:t>*</w:t>
      </w:r>
      <w:r>
        <w:rPr>
          <w:rStyle w:val="FootnoteReference"/>
          <w:sz w:val="20"/>
          <w:vertAlign w:val="baseline"/>
        </w:rPr>
        <w:tab/>
      </w:r>
      <w:r w:rsidRPr="00AE5D59">
        <w:t xml:space="preserve">Conformément au programme de travail du Comité des transports </w:t>
      </w:r>
      <w:r>
        <w:t>intérieurs pour la période 2018</w:t>
      </w:r>
      <w:r>
        <w:noBreakHyphen/>
        <w:t>2019, (</w:t>
      </w:r>
      <w:r w:rsidRPr="00AE5D59">
        <w:t>EC</w:t>
      </w:r>
      <w:r>
        <w:t>E/TRANS/2018/21/Add.1, module 9</w:t>
      </w:r>
      <w:r w:rsidRPr="00AE5D59">
        <w:t xml:space="preserve"> (9.2)</w:t>
      </w:r>
      <w:r>
        <w:t>)</w:t>
      </w:r>
      <w:r w:rsidRPr="00AE5D59">
        <w:t>.</w:t>
      </w:r>
    </w:p>
  </w:footnote>
  <w:footnote w:id="3">
    <w:p w:rsidR="00CF76A0" w:rsidRPr="00CF76A0" w:rsidRDefault="00CF76A0">
      <w:pPr>
        <w:pStyle w:val="FootnoteText"/>
      </w:pPr>
      <w:r>
        <w:rPr>
          <w:rStyle w:val="FootnoteReference"/>
        </w:rPr>
        <w:tab/>
      </w:r>
      <w:r w:rsidRPr="00CF76A0">
        <w:rPr>
          <w:rStyle w:val="FootnoteReference"/>
          <w:sz w:val="20"/>
          <w:vertAlign w:val="baseline"/>
        </w:rPr>
        <w:t>**</w:t>
      </w:r>
      <w:r>
        <w:rPr>
          <w:rStyle w:val="FootnoteReference"/>
          <w:sz w:val="20"/>
          <w:vertAlign w:val="baseline"/>
        </w:rPr>
        <w:tab/>
      </w:r>
      <w:r w:rsidRPr="00AE5D59">
        <w:t>Diffusée par l</w:t>
      </w:r>
      <w:r w:rsidR="00450736">
        <w:t>’</w:t>
      </w:r>
      <w:r w:rsidRPr="00AE5D59">
        <w:t>Organisation intergouvernementale pour les transports internationaux ferroviaires (OTIF) sous la cote OTIF/RID/RC/2018/24.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FF" w:rsidRPr="00A85DFF" w:rsidRDefault="00DA03A4">
    <w:pPr>
      <w:pStyle w:val="Header"/>
    </w:pPr>
    <w:fldSimple w:instr=" TITLE  \* MERGEFORMAT ">
      <w:r>
        <w:t>ECE/TRANS/WP.15/AC.1/2018/24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FF" w:rsidRPr="00A85DFF" w:rsidRDefault="00DA03A4" w:rsidP="00A85DFF">
    <w:pPr>
      <w:pStyle w:val="Header"/>
      <w:jc w:val="right"/>
    </w:pPr>
    <w:fldSimple w:instr=" TITLE  \* MERGEFORMAT ">
      <w:r>
        <w:t>ECE/TRANS/WP.15/AC.1/2018/24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3E"/>
    <w:rsid w:val="00017F94"/>
    <w:rsid w:val="00023842"/>
    <w:rsid w:val="000334F9"/>
    <w:rsid w:val="000427B8"/>
    <w:rsid w:val="0007796D"/>
    <w:rsid w:val="0008302D"/>
    <w:rsid w:val="000A35A8"/>
    <w:rsid w:val="000B7790"/>
    <w:rsid w:val="000D3EE9"/>
    <w:rsid w:val="00111F2F"/>
    <w:rsid w:val="001433FD"/>
    <w:rsid w:val="0014365E"/>
    <w:rsid w:val="001541D3"/>
    <w:rsid w:val="00176178"/>
    <w:rsid w:val="001F525A"/>
    <w:rsid w:val="00223272"/>
    <w:rsid w:val="0024779E"/>
    <w:rsid w:val="002832AC"/>
    <w:rsid w:val="00295CCA"/>
    <w:rsid w:val="002D7C93"/>
    <w:rsid w:val="00441C3B"/>
    <w:rsid w:val="00446B0A"/>
    <w:rsid w:val="00446FE5"/>
    <w:rsid w:val="00450736"/>
    <w:rsid w:val="00452396"/>
    <w:rsid w:val="004A2372"/>
    <w:rsid w:val="004E468C"/>
    <w:rsid w:val="00506BE1"/>
    <w:rsid w:val="005316B0"/>
    <w:rsid w:val="005505B7"/>
    <w:rsid w:val="00573BE5"/>
    <w:rsid w:val="00586ED3"/>
    <w:rsid w:val="00596AA9"/>
    <w:rsid w:val="005C2581"/>
    <w:rsid w:val="005F2353"/>
    <w:rsid w:val="006E222D"/>
    <w:rsid w:val="00706363"/>
    <w:rsid w:val="0071601D"/>
    <w:rsid w:val="0074674C"/>
    <w:rsid w:val="007A62E6"/>
    <w:rsid w:val="0080684C"/>
    <w:rsid w:val="00871C75"/>
    <w:rsid w:val="008776DC"/>
    <w:rsid w:val="008F4AF9"/>
    <w:rsid w:val="009705C8"/>
    <w:rsid w:val="009C1CF4"/>
    <w:rsid w:val="00A30353"/>
    <w:rsid w:val="00A85DFF"/>
    <w:rsid w:val="00AA113A"/>
    <w:rsid w:val="00AC3823"/>
    <w:rsid w:val="00AE323C"/>
    <w:rsid w:val="00B00181"/>
    <w:rsid w:val="00B00B0D"/>
    <w:rsid w:val="00B15E3E"/>
    <w:rsid w:val="00B765F7"/>
    <w:rsid w:val="00BA0CA9"/>
    <w:rsid w:val="00C02897"/>
    <w:rsid w:val="00C95EE2"/>
    <w:rsid w:val="00CF76A0"/>
    <w:rsid w:val="00D3439C"/>
    <w:rsid w:val="00DA03A4"/>
    <w:rsid w:val="00DB1831"/>
    <w:rsid w:val="00DD3BFD"/>
    <w:rsid w:val="00DF6678"/>
    <w:rsid w:val="00EF2E22"/>
    <w:rsid w:val="00F2663A"/>
    <w:rsid w:val="00F660DF"/>
    <w:rsid w:val="00F9554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058203-A1D6-4194-BBC7-207E3ECE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A85DF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ECE/TRANS/WP.15/AC.1/2018/24</vt:lpstr>
      <vt:lpstr>ECE/TRANS/WP.15/AC.1/2018/24</vt:lpstr>
    </vt:vector>
  </TitlesOfParts>
  <Company>DCM</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ECE/TRANS/WP.15/AC.1/2018/24</dc:title>
  <dc:subject/>
  <dc:creator>ROY</dc:creator>
  <cp:keywords/>
  <cp:lastModifiedBy>Christine Barrio-Champeau</cp:lastModifiedBy>
  <cp:revision>2</cp:revision>
  <cp:lastPrinted>2018-07-30T10:13:00Z</cp:lastPrinted>
  <dcterms:created xsi:type="dcterms:W3CDTF">2018-07-30T12:01:00Z</dcterms:created>
  <dcterms:modified xsi:type="dcterms:W3CDTF">2018-07-30T12:01:00Z</dcterms:modified>
</cp:coreProperties>
</file>