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C60CE5" w:rsidP="006F3607">
            <w:pPr>
              <w:suppressAutoHyphens w:val="0"/>
              <w:spacing w:after="20"/>
              <w:jc w:val="right"/>
            </w:pPr>
            <w:r w:rsidRPr="00CB0D82">
              <w:rPr>
                <w:b/>
                <w:sz w:val="28"/>
                <w:szCs w:val="28"/>
              </w:rPr>
              <w:t>INF.</w:t>
            </w:r>
            <w:r w:rsidR="006F3607">
              <w:rPr>
                <w:b/>
                <w:sz w:val="28"/>
                <w:szCs w:val="28"/>
              </w:rPr>
              <w:t>34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  <w:r w:rsidR="00823895">
        <w:rPr>
          <w:b/>
        </w:rPr>
        <w:tab/>
      </w:r>
      <w:r w:rsidR="00823895">
        <w:rPr>
          <w:b/>
        </w:rPr>
        <w:tab/>
      </w:r>
      <w:r w:rsidR="00823895">
        <w:rPr>
          <w:b/>
        </w:rPr>
        <w:tab/>
        <w:t>0</w:t>
      </w:r>
      <w:r w:rsidR="006F3607">
        <w:rPr>
          <w:b/>
        </w:rPr>
        <w:t>6</w:t>
      </w:r>
      <w:r w:rsidR="00823895">
        <w:rPr>
          <w:b/>
        </w:rPr>
        <w:t xml:space="preserve"> </w:t>
      </w:r>
      <w:r w:rsidR="006F3607">
        <w:rPr>
          <w:b/>
        </w:rPr>
        <w:t>Marh</w:t>
      </w:r>
      <w:r w:rsidR="00823895">
        <w:rPr>
          <w:b/>
        </w:rPr>
        <w:t xml:space="preserve"> </w:t>
      </w:r>
      <w:r w:rsidR="006F3607">
        <w:rPr>
          <w:b/>
        </w:rPr>
        <w:t>2018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6F3607" w:rsidP="00BB7CD1">
      <w:r>
        <w:t>Bern</w:t>
      </w:r>
      <w:r w:rsidR="00BB7CD1">
        <w:t xml:space="preserve">, </w:t>
      </w:r>
      <w:r w:rsidR="00AE08DA">
        <w:t>1</w:t>
      </w:r>
      <w:r>
        <w:t>2</w:t>
      </w:r>
      <w:r w:rsidR="00BB7CD1">
        <w:t>–</w:t>
      </w:r>
      <w:r>
        <w:t>16</w:t>
      </w:r>
      <w:r w:rsidR="00F66565">
        <w:t xml:space="preserve"> </w:t>
      </w:r>
      <w:r>
        <w:t>March</w:t>
      </w:r>
      <w:r w:rsidR="002528A2">
        <w:t xml:space="preserve"> </w:t>
      </w:r>
      <w:r w:rsidR="00BB7CD1">
        <w:t>201</w:t>
      </w:r>
      <w:r>
        <w:t>8</w:t>
      </w:r>
    </w:p>
    <w:p w:rsidR="00BF42CB" w:rsidRDefault="00E2166B" w:rsidP="00BF42CB">
      <w:pPr>
        <w:rPr>
          <w:lang w:val="en-US"/>
        </w:rPr>
      </w:pPr>
      <w:r>
        <w:rPr>
          <w:lang w:val="en-US"/>
        </w:rPr>
        <w:t>Item 6</w:t>
      </w:r>
      <w:r w:rsidR="00BF42CB">
        <w:rPr>
          <w:lang w:val="en-US"/>
        </w:rPr>
        <w:t xml:space="preserve"> of the provisional agenda</w:t>
      </w:r>
    </w:p>
    <w:p w:rsidR="00BB7CD1" w:rsidRPr="00E2166B" w:rsidRDefault="00E2166B" w:rsidP="00BF42CB">
      <w:pPr>
        <w:rPr>
          <w:b/>
        </w:rPr>
      </w:pPr>
      <w:r w:rsidRPr="00E2166B">
        <w:rPr>
          <w:b/>
        </w:rPr>
        <w:t>Reports of informal working groups</w:t>
      </w:r>
    </w:p>
    <w:p w:rsidR="00BF42CB" w:rsidRPr="006F3607" w:rsidRDefault="009B1518" w:rsidP="006F3607">
      <w:pPr>
        <w:pStyle w:val="HChG"/>
      </w:pPr>
      <w:r>
        <w:tab/>
      </w:r>
      <w:r>
        <w:tab/>
      </w:r>
      <w:r w:rsidR="006F3607">
        <w:t>Report</w:t>
      </w:r>
      <w:r w:rsidR="006F3607" w:rsidRPr="002D26C4">
        <w:t xml:space="preserve"> of the Working Group (</w:t>
      </w:r>
      <w:r w:rsidR="006F3607">
        <w:t>Bonn</w:t>
      </w:r>
      <w:r w:rsidR="006F3607" w:rsidRPr="002D26C4">
        <w:t xml:space="preserve">, </w:t>
      </w:r>
      <w:r w:rsidR="00D24B99">
        <w:t xml:space="preserve">20.-21 November </w:t>
      </w:r>
      <w:r w:rsidR="006F3607" w:rsidRPr="002D26C4">
        <w:t>2017)</w:t>
      </w:r>
    </w:p>
    <w:p w:rsidR="00BF42CB" w:rsidRDefault="00BF42CB" w:rsidP="00BF42CB">
      <w:pPr>
        <w:pStyle w:val="H1G"/>
        <w:rPr>
          <w:b w:val="0"/>
          <w:sz w:val="18"/>
          <w:szCs w:val="18"/>
        </w:rPr>
      </w:pPr>
      <w:r>
        <w:tab/>
      </w:r>
      <w:r>
        <w:tab/>
      </w:r>
      <w:r w:rsidRPr="009C74F9">
        <w:t xml:space="preserve">Transmitted by the </w:t>
      </w:r>
      <w:r w:rsidR="00FE7FA1">
        <w:t>Secretaria</w:t>
      </w:r>
      <w:r w:rsidR="006F3607">
        <w:t>t</w:t>
      </w:r>
    </w:p>
    <w:p w:rsidR="006F3607" w:rsidRPr="002D26C4" w:rsidRDefault="006F3607" w:rsidP="006F3607">
      <w:pPr>
        <w:pStyle w:val="HChG"/>
      </w:pPr>
      <w:r>
        <w:tab/>
      </w:r>
      <w:r>
        <w:tab/>
      </w:r>
      <w:r w:rsidRPr="002D26C4">
        <w:t>1)</w:t>
      </w:r>
      <w:r w:rsidRPr="002D26C4">
        <w:tab/>
        <w:t>Participants: see enclosed list</w:t>
      </w:r>
    </w:p>
    <w:p w:rsidR="006F3607" w:rsidRPr="002D26C4" w:rsidRDefault="006F3607" w:rsidP="006F3607">
      <w:pPr>
        <w:pStyle w:val="HChG"/>
      </w:pPr>
      <w:r>
        <w:tab/>
      </w:r>
      <w:r>
        <w:tab/>
      </w:r>
      <w:r w:rsidRPr="002D26C4">
        <w:t>2)</w:t>
      </w:r>
      <w:r w:rsidRPr="002D26C4">
        <w:tab/>
        <w:t>Introduction – state of play</w:t>
      </w:r>
    </w:p>
    <w:p w:rsidR="006F3607" w:rsidRPr="002D26C4" w:rsidRDefault="006F3607" w:rsidP="006F3607">
      <w:pPr>
        <w:pStyle w:val="SingleTxtG"/>
      </w:pPr>
      <w:r w:rsidRPr="002D26C4">
        <w:t>Mr Rein welcomed the participants and explained that this working group meeting was a follow-up to the meeting</w:t>
      </w:r>
      <w:r>
        <w:t>s</w:t>
      </w:r>
      <w:r w:rsidRPr="002D26C4">
        <w:t xml:space="preserve"> held in Brussels</w:t>
      </w:r>
      <w:r>
        <w:t>, Munich and Rome</w:t>
      </w:r>
      <w:r w:rsidRPr="002D26C4">
        <w:t xml:space="preserve"> 2017</w:t>
      </w:r>
      <w:r>
        <w:t>.</w:t>
      </w:r>
      <w:r w:rsidRPr="002D26C4">
        <w:t xml:space="preserve"> The principle objective of </w:t>
      </w:r>
      <w:r>
        <w:t>all the</w:t>
      </w:r>
      <w:r w:rsidRPr="002D26C4">
        <w:t xml:space="preserve"> meetings is to examine the framework for telematics architecture with various TP1s </w:t>
      </w:r>
      <w:r>
        <w:t xml:space="preserve">and TP 2s </w:t>
      </w:r>
      <w:r w:rsidRPr="002D26C4">
        <w:t xml:space="preserve">that cooperate in a </w:t>
      </w:r>
      <w:r>
        <w:t xml:space="preserve">transboundary </w:t>
      </w:r>
      <w:r w:rsidRPr="002D26C4">
        <w:t>coordinated manner.</w:t>
      </w:r>
      <w:r>
        <w:t xml:space="preserve"> The group supported the idea to arrange a Memorandum of Understanding between interested States to agree on common understanding and use of the already existing options mentioned under 5.4.0.2 ADR/RID/ADN. A proposal of a MoU will be drafted by Germany in spring 2018 on the basis of the following principles. The MoU will be discussed in a further meeting of the group. The next meeting will be organized in UK (foreseen 4. to 5.June 2018)</w:t>
      </w:r>
    </w:p>
    <w:p w:rsidR="006F3607" w:rsidRPr="002D26C4" w:rsidRDefault="006F3607" w:rsidP="006F3607">
      <w:pPr>
        <w:pStyle w:val="HChG"/>
      </w:pPr>
      <w:r>
        <w:tab/>
      </w:r>
      <w:r>
        <w:tab/>
      </w:r>
      <w:r w:rsidRPr="002D26C4">
        <w:t>3)</w:t>
      </w:r>
      <w:r w:rsidRPr="002D26C4">
        <w:tab/>
      </w:r>
      <w:r>
        <w:t>Principles for the</w:t>
      </w:r>
      <w:r w:rsidRPr="002D26C4">
        <w:t xml:space="preserve"> communication between various TP1s</w:t>
      </w:r>
      <w:r>
        <w:t xml:space="preserve"> and TP 2s on transport documents</w:t>
      </w:r>
      <w:r w:rsidRPr="002D26C4">
        <w:t>:</w:t>
      </w:r>
    </w:p>
    <w:p w:rsidR="006F3607" w:rsidRPr="002D26C4" w:rsidRDefault="006F3607" w:rsidP="006F3607">
      <w:pPr>
        <w:pStyle w:val="SingleTxtG"/>
        <w:ind w:firstLine="567"/>
      </w:pPr>
      <w:r>
        <w:t>(a)</w:t>
      </w:r>
      <w:r>
        <w:tab/>
      </w:r>
      <w:r w:rsidRPr="002D26C4">
        <w:t xml:space="preserve">A TP1 can be publicly or privately operated. </w:t>
      </w:r>
      <w:r>
        <w:t>T</w:t>
      </w:r>
      <w:r w:rsidRPr="002D26C4">
        <w:t xml:space="preserve">he </w:t>
      </w:r>
      <w:r>
        <w:t xml:space="preserve">TP1 </w:t>
      </w:r>
      <w:r w:rsidRPr="002D26C4">
        <w:t xml:space="preserve">operator has to work under </w:t>
      </w:r>
      <w:r>
        <w:t xml:space="preserve">conditions of certification. Access to information provided by </w:t>
      </w:r>
      <w:r w:rsidRPr="002D26C4">
        <w:t>TP1s shall be free of charge</w:t>
      </w:r>
      <w:r>
        <w:t xml:space="preserve"> to other TP1s and authorities</w:t>
      </w:r>
      <w:r w:rsidRPr="002D26C4">
        <w:t>. There can be one or more TP1 in a state</w:t>
      </w:r>
      <w:r>
        <w:t>. A</w:t>
      </w:r>
      <w:r w:rsidRPr="002D26C4">
        <w:t xml:space="preserve"> state is not obliged to </w:t>
      </w:r>
      <w:r>
        <w:t>establish</w:t>
      </w:r>
      <w:r w:rsidRPr="002D26C4">
        <w:t xml:space="preserve"> a TP1 as it can decide to rely on the functions/services provided by foreign TP1(s). </w:t>
      </w:r>
      <w:r w:rsidRPr="0097408A">
        <w:t>TP1s with no registered TP2s are also accepted.</w:t>
      </w:r>
    </w:p>
    <w:p w:rsidR="006F3607" w:rsidRPr="002D26C4" w:rsidRDefault="006F3607" w:rsidP="00842E00">
      <w:pPr>
        <w:pStyle w:val="SingleTxtG"/>
        <w:ind w:firstLine="567"/>
      </w:pPr>
      <w:r>
        <w:t>(</w:t>
      </w:r>
      <w:r w:rsidRPr="002D26C4">
        <w:t>b)</w:t>
      </w:r>
      <w:r w:rsidRPr="002D26C4">
        <w:tab/>
        <w:t>Qualified TP1 entities (“TP1 certification”):</w:t>
      </w:r>
    </w:p>
    <w:p w:rsidR="006F3607" w:rsidRPr="0097408A" w:rsidRDefault="00842E00" w:rsidP="00842E00">
      <w:pPr>
        <w:pStyle w:val="SingleTxtG"/>
        <w:ind w:left="2835" w:hanging="567"/>
      </w:pPr>
      <w:r>
        <w:t>(i.)</w:t>
      </w:r>
      <w:r>
        <w:tab/>
      </w:r>
      <w:r w:rsidR="006F3607" w:rsidRPr="002D26C4">
        <w:t xml:space="preserve">France, Italy and Germany </w:t>
      </w:r>
      <w:r w:rsidR="006F3607">
        <w:t xml:space="preserve">have already identified an initial set of TP1s </w:t>
      </w:r>
      <w:r w:rsidR="006F3607" w:rsidRPr="002D26C4">
        <w:t xml:space="preserve">(currently GBK as </w:t>
      </w:r>
      <w:r w:rsidR="006F3607">
        <w:t xml:space="preserve">future </w:t>
      </w:r>
      <w:r w:rsidR="006F3607" w:rsidRPr="002D26C4">
        <w:t xml:space="preserve">TP1 in Germany, Geoloc Systems and Novacom Services as </w:t>
      </w:r>
      <w:r w:rsidR="006F3607">
        <w:t xml:space="preserve">future </w:t>
      </w:r>
      <w:r w:rsidR="006F3607" w:rsidRPr="002D26C4">
        <w:t xml:space="preserve">TP1s in France, Italy’s Ministry of Transport and UIRNet as </w:t>
      </w:r>
      <w:r w:rsidR="006F3607">
        <w:t xml:space="preserve">future </w:t>
      </w:r>
      <w:r w:rsidR="006F3607" w:rsidRPr="002D26C4">
        <w:t>TP1s in Italy)</w:t>
      </w:r>
      <w:r w:rsidR="006F3607">
        <w:t xml:space="preserve">. </w:t>
      </w:r>
      <w:r w:rsidR="006F3607" w:rsidRPr="002D26C4">
        <w:t xml:space="preserve">During the ongoing initial phase, </w:t>
      </w:r>
      <w:r w:rsidR="006F3607">
        <w:t xml:space="preserve">it is planned to extend this through a development of a MoU with a number of other interested states, who want to participate. </w:t>
      </w:r>
      <w:r w:rsidR="006F3607" w:rsidRPr="0097408A">
        <w:t xml:space="preserve">With this MoU it is intended to introduce a harmonised system for an electronic transport document fulfilling the conditions of 5.4.0.1 </w:t>
      </w:r>
    </w:p>
    <w:p w:rsidR="006F3607" w:rsidRPr="002D26C4" w:rsidRDefault="00842E00" w:rsidP="00842E00">
      <w:pPr>
        <w:pStyle w:val="SingleTxtG"/>
        <w:ind w:left="2835" w:hanging="567"/>
      </w:pPr>
      <w:r>
        <w:t>(ii)</w:t>
      </w:r>
      <w:r>
        <w:tab/>
      </w:r>
      <w:r w:rsidR="006F3607" w:rsidRPr="002D26C4">
        <w:t>For future operations, this list of qualified TP1 entities (TP1 Trust</w:t>
      </w:r>
      <w:r w:rsidR="006F3607">
        <w:t>ed</w:t>
      </w:r>
      <w:r w:rsidR="006F3607" w:rsidRPr="002D26C4">
        <w:t xml:space="preserve"> List) including all relevant information</w:t>
      </w:r>
      <w:r w:rsidR="006F3607">
        <w:t xml:space="preserve"> for identification</w:t>
      </w:r>
      <w:r w:rsidR="006F3607" w:rsidRPr="002D26C4">
        <w:t xml:space="preserve"> should be deposited with UNECE for road transport and inland navigation, possibly ERA</w:t>
      </w:r>
      <w:r w:rsidR="006F3607">
        <w:t>/OTIF</w:t>
      </w:r>
      <w:r w:rsidR="006F3607" w:rsidRPr="002D26C4">
        <w:t xml:space="preserve"> for rail transport; UNECE</w:t>
      </w:r>
      <w:r w:rsidR="006F3607">
        <w:t>/ERA/OTIF</w:t>
      </w:r>
      <w:r w:rsidR="006F3607" w:rsidRPr="002D26C4">
        <w:t xml:space="preserve"> should also manage this list and publish extracts from it to the extent necessary for the system. As a consequence, these institutions would assume the responsibility of a Trusted List Manager.</w:t>
      </w:r>
    </w:p>
    <w:p w:rsidR="006F3607" w:rsidRPr="002D26C4" w:rsidRDefault="00842E00" w:rsidP="00842E00">
      <w:pPr>
        <w:pStyle w:val="SingleTxtG"/>
        <w:ind w:left="2835" w:hanging="567"/>
      </w:pPr>
      <w:r>
        <w:t>(iii)</w:t>
      </w:r>
      <w:r>
        <w:tab/>
      </w:r>
      <w:r w:rsidR="006F3607" w:rsidRPr="002D26C4">
        <w:t>All qualified TP1 entities are informed/updated about the TP1 Trust</w:t>
      </w:r>
      <w:r w:rsidR="006F3607">
        <w:t>ed</w:t>
      </w:r>
      <w:r w:rsidR="006F3607" w:rsidRPr="002D26C4">
        <w:t xml:space="preserve"> List (i.e. they know which are the other qualified TP1 entities)</w:t>
      </w:r>
      <w:r w:rsidR="006F3607">
        <w:t xml:space="preserve"> by the trusted list managers</w:t>
      </w:r>
      <w:r w:rsidR="006F3607" w:rsidRPr="002D26C4">
        <w:t>.</w:t>
      </w:r>
    </w:p>
    <w:p w:rsidR="006F3607" w:rsidRPr="002D26C4" w:rsidRDefault="00842E00" w:rsidP="00842E00">
      <w:pPr>
        <w:pStyle w:val="SingleTxtG"/>
        <w:ind w:left="2835" w:hanging="567"/>
      </w:pPr>
      <w:r>
        <w:t>(iv)</w:t>
      </w:r>
      <w:r>
        <w:tab/>
      </w:r>
      <w:r w:rsidR="006F3607" w:rsidRPr="002D26C4">
        <w:t>More detailed requirements that are to be met by a TP1 still need to be defined and described and will be added in the future. To lay a sound foundation for defining these requirements, the aforementioned companies/entities are to d</w:t>
      </w:r>
      <w:r w:rsidR="006F3607">
        <w:t xml:space="preserve">evelop rules and submit reports. </w:t>
      </w:r>
      <w:r w:rsidR="006F3607" w:rsidRPr="002D26C4">
        <w:t>These requirements for recognition would then need to be applied to other interested companies. As a recognition procedure for including the recognized classification societies in a list (of the ADN Administrative Committee) has already been introduced in ADN, it would be possible to use this procedure also in the given context with some adaptations.</w:t>
      </w:r>
    </w:p>
    <w:p w:rsidR="006F3607" w:rsidRPr="002D26C4" w:rsidRDefault="00842E00" w:rsidP="00842E00">
      <w:pPr>
        <w:pStyle w:val="SingleTxtG"/>
        <w:ind w:firstLine="567"/>
      </w:pPr>
      <w:r>
        <w:t>(</w:t>
      </w:r>
      <w:r w:rsidR="006F3607" w:rsidRPr="002D26C4">
        <w:t>c)</w:t>
      </w:r>
      <w:r w:rsidR="006F3607" w:rsidRPr="002D26C4">
        <w:tab/>
      </w:r>
      <w:r w:rsidR="006F3607" w:rsidRPr="002D26C4">
        <w:rPr>
          <w:u w:val="single"/>
        </w:rPr>
        <w:t>For a start, the following “Rules of Procedure” have been identified:</w:t>
      </w:r>
    </w:p>
    <w:p w:rsidR="006F3607" w:rsidRPr="006135CC" w:rsidRDefault="00842E00" w:rsidP="00842E00">
      <w:pPr>
        <w:pStyle w:val="SingleTxtG"/>
        <w:ind w:left="2835" w:hanging="567"/>
      </w:pPr>
      <w:r>
        <w:t>(i)</w:t>
      </w:r>
      <w:r>
        <w:tab/>
      </w:r>
      <w:r w:rsidR="006F3607" w:rsidRPr="006135CC">
        <w:t>All qualified TP1 entities must support the entire XSD schema of the Dangerous Goods UML Data Model for the data exchange.</w:t>
      </w:r>
    </w:p>
    <w:p w:rsidR="006F3607" w:rsidRPr="0037301F" w:rsidRDefault="006F3607" w:rsidP="00842E00">
      <w:pPr>
        <w:ind w:left="2574" w:firstLine="261"/>
        <w:rPr>
          <w:highlight w:val="yellow"/>
        </w:rPr>
      </w:pPr>
      <w:r w:rsidRPr="006135CC">
        <w:t>(To be explained in the Annex of the MoU (Content of Data Model)</w:t>
      </w:r>
      <w:r>
        <w:t>)</w:t>
      </w:r>
    </w:p>
    <w:p w:rsidR="006F3607" w:rsidRPr="002D26C4" w:rsidRDefault="00842E00" w:rsidP="00842E00">
      <w:pPr>
        <w:pStyle w:val="SingleTxtG"/>
        <w:ind w:left="2835" w:hanging="567"/>
      </w:pPr>
      <w:r>
        <w:t>(ii)</w:t>
      </w:r>
      <w:r>
        <w:tab/>
      </w:r>
      <w:r w:rsidR="006F3607" w:rsidRPr="002D26C4">
        <w:t xml:space="preserve">TP1s must </w:t>
      </w:r>
      <w:r w:rsidR="006F3607">
        <w:t>accept</w:t>
      </w:r>
      <w:r w:rsidR="006F3607" w:rsidRPr="002D26C4">
        <w:t xml:space="preserve"> requests from other TP1s.</w:t>
      </w:r>
    </w:p>
    <w:p w:rsidR="006F3607" w:rsidRPr="002D26C4" w:rsidRDefault="00842E00" w:rsidP="00842E00">
      <w:pPr>
        <w:pStyle w:val="SingleTxtG"/>
        <w:ind w:left="2835" w:hanging="567"/>
      </w:pPr>
      <w:r>
        <w:t>(iii)</w:t>
      </w:r>
      <w:r>
        <w:tab/>
      </w:r>
      <w:r w:rsidR="006F3607" w:rsidRPr="002D26C4">
        <w:t xml:space="preserve">TP1s must </w:t>
      </w:r>
      <w:r w:rsidR="006F3607">
        <w:t xml:space="preserve">accept </w:t>
      </w:r>
      <w:r w:rsidR="006F3607" w:rsidRPr="002D26C4">
        <w:t xml:space="preserve">registrations from TP2 entities. </w:t>
      </w:r>
    </w:p>
    <w:p w:rsidR="006F3607" w:rsidRPr="002D26C4" w:rsidRDefault="00842E00" w:rsidP="00842E00">
      <w:pPr>
        <w:pStyle w:val="SingleTxtG"/>
        <w:ind w:left="2835" w:hanging="567"/>
      </w:pPr>
      <w:r>
        <w:t>(iv)</w:t>
      </w:r>
      <w:r>
        <w:tab/>
      </w:r>
      <w:r w:rsidR="006F3607" w:rsidRPr="002D26C4">
        <w:t xml:space="preserve">TP1s must </w:t>
      </w:r>
      <w:r w:rsidR="006F3607">
        <w:t>accept</w:t>
      </w:r>
      <w:r w:rsidR="006F3607" w:rsidRPr="002D26C4">
        <w:t xml:space="preserve"> requests from competent authorities that are registered with it. </w:t>
      </w:r>
    </w:p>
    <w:p w:rsidR="006F3607" w:rsidRPr="002D26C4" w:rsidRDefault="00842E00" w:rsidP="00842E00">
      <w:pPr>
        <w:pStyle w:val="SingleTxtG"/>
        <w:ind w:left="2835" w:hanging="567"/>
      </w:pPr>
      <w:r>
        <w:t>(v)</w:t>
      </w:r>
      <w:r>
        <w:tab/>
      </w:r>
      <w:r w:rsidR="006F3607" w:rsidRPr="002D26C4">
        <w:t>After having been included in the Trusted List, new TP1s need to register with every existing TP1 providing all mandatory contact details.</w:t>
      </w:r>
    </w:p>
    <w:p w:rsidR="006F3607" w:rsidRPr="0097408A" w:rsidRDefault="00842E00" w:rsidP="00842E00">
      <w:pPr>
        <w:pStyle w:val="SingleTxtG"/>
        <w:ind w:left="2835" w:hanging="567"/>
      </w:pPr>
      <w:r>
        <w:t>(vi)</w:t>
      </w:r>
      <w:r>
        <w:tab/>
      </w:r>
      <w:r w:rsidR="006F3607" w:rsidRPr="0097408A">
        <w:t>The TP1 has discretion to determine its pricing policy, but has to follow a non-discriminating approach.</w:t>
      </w:r>
    </w:p>
    <w:p w:rsidR="006F3607" w:rsidRPr="002D26C4" w:rsidRDefault="00842E00" w:rsidP="00842E00">
      <w:pPr>
        <w:pStyle w:val="HChG"/>
      </w:pPr>
      <w:r>
        <w:tab/>
      </w:r>
      <w:r>
        <w:tab/>
      </w:r>
      <w:r w:rsidR="006F3607" w:rsidRPr="002D26C4">
        <w:t>4)</w:t>
      </w:r>
      <w:r w:rsidR="006F3607" w:rsidRPr="002D26C4">
        <w:tab/>
        <w:t>Requirements to be met by TP1s with regard to their operation</w:t>
      </w:r>
    </w:p>
    <w:p w:rsidR="006F3607" w:rsidRPr="002D26C4" w:rsidRDefault="00842E00" w:rsidP="00842E00">
      <w:pPr>
        <w:pStyle w:val="SingleTxtG"/>
        <w:ind w:firstLine="567"/>
      </w:pPr>
      <w:r>
        <w:t>(</w:t>
      </w:r>
      <w:r w:rsidR="006F3607" w:rsidRPr="002D26C4">
        <w:t>a)</w:t>
      </w:r>
      <w:r w:rsidR="006F3607" w:rsidRPr="002D26C4">
        <w:tab/>
        <w:t>National procedure to define authorities entitled to submit queries:</w:t>
      </w:r>
    </w:p>
    <w:p w:rsidR="006F3607" w:rsidRPr="002D26C4" w:rsidRDefault="00842E00" w:rsidP="00842E00">
      <w:pPr>
        <w:pStyle w:val="SingleTxtG"/>
        <w:ind w:left="2835" w:hanging="567"/>
      </w:pPr>
      <w:r>
        <w:t>(i)</w:t>
      </w:r>
      <w:r>
        <w:tab/>
      </w:r>
      <w:r w:rsidR="006F3607" w:rsidRPr="002D26C4">
        <w:t xml:space="preserve">Every </w:t>
      </w:r>
      <w:r w:rsidR="006F3607">
        <w:t>participating</w:t>
      </w:r>
      <w:r w:rsidR="006F3607" w:rsidRPr="002D26C4">
        <w:t xml:space="preserve"> State compiles its own list of authorities</w:t>
      </w:r>
      <w:r w:rsidR="006F3607">
        <w:t xml:space="preserve"> (e.g. enforcement bodies, emergency services)</w:t>
      </w:r>
      <w:r w:rsidR="006F3607" w:rsidRPr="002D26C4">
        <w:t xml:space="preserve"> that are entitled to submit queries</w:t>
      </w:r>
      <w:r w:rsidR="006F3607">
        <w:t xml:space="preserve"> to a TP 1. </w:t>
      </w:r>
      <w:r w:rsidR="006F3607" w:rsidRPr="002D26C4">
        <w:t xml:space="preserve">The </w:t>
      </w:r>
      <w:r w:rsidR="006F3607">
        <w:t>participating State must also ensure that it includes t</w:t>
      </w:r>
      <w:r w:rsidR="006F3607" w:rsidRPr="002D26C4">
        <w:t>he authorities’ relevant certificate</w:t>
      </w:r>
      <w:r w:rsidR="006F3607">
        <w:t xml:space="preserve"> as set out in 4 c)</w:t>
      </w:r>
      <w:r w:rsidR="006F3607" w:rsidRPr="002D26C4">
        <w:t xml:space="preserve">. Only authorities on this list are entitled to register with a TP1. </w:t>
      </w:r>
    </w:p>
    <w:p w:rsidR="006F3607" w:rsidRPr="002D26C4" w:rsidRDefault="00842E00" w:rsidP="00842E00">
      <w:pPr>
        <w:pStyle w:val="SingleTxtG"/>
        <w:ind w:left="2835" w:hanging="567"/>
      </w:pPr>
      <w:r>
        <w:t>(ii)</w:t>
      </w:r>
      <w:r>
        <w:tab/>
      </w:r>
      <w:r w:rsidR="006F3607" w:rsidRPr="002D26C4">
        <w:t xml:space="preserve">The </w:t>
      </w:r>
      <w:r w:rsidR="006F3607">
        <w:t>participating</w:t>
      </w:r>
      <w:r w:rsidR="006F3607" w:rsidRPr="002D26C4">
        <w:t xml:space="preserve"> State is responsible for </w:t>
      </w:r>
      <w:r w:rsidR="006F3607">
        <w:t xml:space="preserve">updating and </w:t>
      </w:r>
      <w:r w:rsidR="006F3607" w:rsidRPr="002D26C4">
        <w:t>managing the list.</w:t>
      </w:r>
    </w:p>
    <w:p w:rsidR="006F3607" w:rsidRPr="002D26C4" w:rsidRDefault="00842E00" w:rsidP="00842E00">
      <w:pPr>
        <w:pStyle w:val="SingleTxtG"/>
        <w:ind w:firstLine="567"/>
      </w:pPr>
      <w:r>
        <w:t>(</w:t>
      </w:r>
      <w:r w:rsidR="006F3607" w:rsidRPr="002D26C4">
        <w:t>b)</w:t>
      </w:r>
      <w:r w:rsidR="006F3607" w:rsidRPr="002D26C4">
        <w:tab/>
        <w:t xml:space="preserve">TP1 services </w:t>
      </w:r>
    </w:p>
    <w:p w:rsidR="006F3607" w:rsidRPr="002D26C4" w:rsidRDefault="00842E00" w:rsidP="00842E00">
      <w:pPr>
        <w:pStyle w:val="SingleTxtG"/>
        <w:ind w:left="2835" w:hanging="567"/>
      </w:pPr>
      <w:r>
        <w:t>(i)</w:t>
      </w:r>
      <w:r>
        <w:tab/>
      </w:r>
      <w:r w:rsidR="006F3607" w:rsidRPr="002D26C4">
        <w:t>TP1 and TP2 services are described using the Web Service Description Language (WSDL). Mainly, services accessible from the outside are described together with their parameters and return values.</w:t>
      </w:r>
    </w:p>
    <w:p w:rsidR="006F3607" w:rsidRPr="002D26C4" w:rsidRDefault="00842E00" w:rsidP="00842E00">
      <w:pPr>
        <w:pStyle w:val="SingleTxtG"/>
        <w:ind w:left="2835" w:hanging="567"/>
      </w:pPr>
      <w:r>
        <w:t>(ii)</w:t>
      </w:r>
      <w:r>
        <w:tab/>
      </w:r>
      <w:r w:rsidR="006F3607" w:rsidRPr="002D26C4">
        <w:t>The TP1 service getDGTDocument procures a specific transport document from a specific TP2. The parameters for identifying the TP2 and the specific transport document are described in 5a). This service is only available to emergency services and enforcement authorities</w:t>
      </w:r>
      <w:r w:rsidR="006F3607">
        <w:t xml:space="preserve"> (see 4. a) i.)</w:t>
      </w:r>
      <w:r w:rsidR="006F3607" w:rsidRPr="002D26C4">
        <w:t>.</w:t>
      </w:r>
    </w:p>
    <w:p w:rsidR="006F3607" w:rsidRPr="002D26C4" w:rsidRDefault="00842E00" w:rsidP="00842E00">
      <w:pPr>
        <w:pStyle w:val="SingleTxtG"/>
        <w:ind w:left="2835" w:hanging="567"/>
      </w:pPr>
      <w:r>
        <w:t>(iii)</w:t>
      </w:r>
      <w:r>
        <w:tab/>
      </w:r>
      <w:r w:rsidR="006F3607" w:rsidRPr="002D26C4">
        <w:t>If required, the TP1 service getDGTDocumentWithReason can be defined in addition for other authorities entitled to submit queries</w:t>
      </w:r>
      <w:r w:rsidR="006F3607">
        <w:t xml:space="preserve"> </w:t>
      </w:r>
      <w:r w:rsidR="006F3607" w:rsidRPr="003B0484">
        <w:t>(see 4. a) i.)</w:t>
      </w:r>
      <w:r w:rsidR="006F3607" w:rsidRPr="002D26C4">
        <w:t>. This service procures a specific transport document from a specific TP2. The parameters for identifying the TP2 and the specific transport document are described in 5a). The reason for seeking access must be specified by choosing from a predefined list.</w:t>
      </w:r>
    </w:p>
    <w:p w:rsidR="006F3607" w:rsidRPr="002D26C4" w:rsidRDefault="00842E00" w:rsidP="00842E00">
      <w:pPr>
        <w:pStyle w:val="SingleTxtG"/>
        <w:ind w:left="2835" w:hanging="567"/>
      </w:pPr>
      <w:r>
        <w:t>(iv)</w:t>
      </w:r>
      <w:r>
        <w:tab/>
      </w:r>
      <w:r w:rsidR="006F3607" w:rsidRPr="002D26C4">
        <w:t xml:space="preserve">Every access must be logged for </w:t>
      </w:r>
      <w:r w:rsidR="006F3607">
        <w:t>a minimum period of 3 months</w:t>
      </w:r>
      <w:r w:rsidR="006F3607" w:rsidRPr="002D26C4">
        <w:t>.</w:t>
      </w:r>
    </w:p>
    <w:p w:rsidR="006F3607" w:rsidRPr="002D26C4" w:rsidRDefault="00842E00" w:rsidP="00842E00">
      <w:pPr>
        <w:pStyle w:val="SingleTxtG"/>
        <w:ind w:left="2835" w:hanging="567"/>
      </w:pPr>
      <w:r>
        <w:t>(v)</w:t>
      </w:r>
      <w:r>
        <w:tab/>
      </w:r>
      <w:r w:rsidR="006F3607" w:rsidRPr="002D26C4">
        <w:t xml:space="preserve">TP1 must record </w:t>
      </w:r>
      <w:r w:rsidR="006F3607">
        <w:t xml:space="preserve">the journey </w:t>
      </w:r>
      <w:r w:rsidR="006F3607" w:rsidRPr="002D26C4">
        <w:t xml:space="preserve">from the start to the end of the </w:t>
      </w:r>
      <w:r w:rsidR="006F3607">
        <w:t>carriage as set out in 5 a)</w:t>
      </w:r>
      <w:r w:rsidR="006F3607" w:rsidRPr="002D26C4">
        <w:t xml:space="preserve">. </w:t>
      </w:r>
    </w:p>
    <w:p w:rsidR="006F3607" w:rsidRPr="002D26C4" w:rsidRDefault="006F3607" w:rsidP="00842E00">
      <w:pPr>
        <w:pStyle w:val="SingleTxtG"/>
        <w:ind w:firstLine="567"/>
      </w:pPr>
      <w:r w:rsidRPr="002D26C4">
        <w:t>c)</w:t>
      </w:r>
      <w:r w:rsidRPr="002D26C4">
        <w:tab/>
      </w:r>
      <w:r w:rsidRPr="002D26C4">
        <w:rPr>
          <w:u w:val="single"/>
        </w:rPr>
        <w:t>Certificates</w:t>
      </w:r>
    </w:p>
    <w:p w:rsidR="006F3607" w:rsidRPr="002D26C4" w:rsidRDefault="00842E00" w:rsidP="00842E00">
      <w:pPr>
        <w:pStyle w:val="SingleTxtG"/>
        <w:ind w:left="2835" w:hanging="567"/>
      </w:pPr>
      <w:r>
        <w:t>(i)</w:t>
      </w:r>
      <w:r>
        <w:tab/>
      </w:r>
      <w:r w:rsidR="006F3607" w:rsidRPr="002D26C4">
        <w:t xml:space="preserve">TP1s must use an HTTPS </w:t>
      </w:r>
      <w:r w:rsidR="006F3607">
        <w:t>protocol</w:t>
      </w:r>
      <w:r w:rsidR="006F3607" w:rsidRPr="002D26C4">
        <w:t xml:space="preserve">. TP1s must have a static IP address and an X509 </w:t>
      </w:r>
      <w:r w:rsidR="006F3607">
        <w:t xml:space="preserve">V3 </w:t>
      </w:r>
      <w:r w:rsidR="006F3607" w:rsidRPr="002D26C4">
        <w:t xml:space="preserve">certificate, which will be included in the Trusted List: authentication must take place by checking both IP address and certificate. Data protection must be achieved using http over TLS cryptographic protocol. Certificates </w:t>
      </w:r>
      <w:r w:rsidR="006F3607">
        <w:t>have to be issued in accordance with national rules of the participating states</w:t>
      </w:r>
      <w:r w:rsidR="006F3607" w:rsidRPr="002D26C4">
        <w:t xml:space="preserve"> </w:t>
      </w:r>
      <w:r w:rsidR="006F3607">
        <w:t>C</w:t>
      </w:r>
      <w:r w:rsidR="006F3607" w:rsidRPr="002D26C4">
        <w:t xml:space="preserve">ertificates </w:t>
      </w:r>
      <w:r w:rsidR="006F3607">
        <w:t>must be</w:t>
      </w:r>
      <w:r w:rsidR="006F3607" w:rsidRPr="002D26C4">
        <w:t xml:space="preserve"> directly exchanged through secure channels.</w:t>
      </w:r>
    </w:p>
    <w:p w:rsidR="006F3607" w:rsidRPr="002D26C4" w:rsidRDefault="006F3607" w:rsidP="00842E00">
      <w:pPr>
        <w:pStyle w:val="SingleTxtG"/>
        <w:ind w:firstLine="567"/>
      </w:pPr>
      <w:r w:rsidRPr="002D26C4">
        <w:t>d)</w:t>
      </w:r>
      <w:r w:rsidRPr="002D26C4">
        <w:tab/>
      </w:r>
      <w:r w:rsidRPr="002D26C4">
        <w:rPr>
          <w:u w:val="single"/>
        </w:rPr>
        <w:t>Registering with a TP1 entity (authorities, TP2)</w:t>
      </w:r>
    </w:p>
    <w:p w:rsidR="006F3607" w:rsidRPr="006135CC" w:rsidRDefault="00842E00" w:rsidP="00842E00">
      <w:pPr>
        <w:pStyle w:val="SingleTxtG"/>
        <w:ind w:left="2835" w:hanging="567"/>
      </w:pPr>
      <w:r>
        <w:t>(ii)</w:t>
      </w:r>
      <w:r>
        <w:tab/>
      </w:r>
      <w:r w:rsidR="006F3607" w:rsidRPr="006135CC">
        <w:t xml:space="preserve">A registration service was specified in GEOTRANSMD (document D3.3, chap. 2.3). </w:t>
      </w:r>
    </w:p>
    <w:p w:rsidR="006F3607" w:rsidRPr="002401D0" w:rsidRDefault="006F3607" w:rsidP="00842E00">
      <w:pPr>
        <w:ind w:left="2574" w:firstLine="261"/>
        <w:rPr>
          <w:highlight w:val="yellow"/>
        </w:rPr>
      </w:pPr>
      <w:r w:rsidRPr="006135CC">
        <w:t>(Appropriate annex to be developed by France and Italy</w:t>
      </w:r>
      <w:r>
        <w:t>)</w:t>
      </w:r>
    </w:p>
    <w:p w:rsidR="006F3607" w:rsidRPr="002D26C4" w:rsidRDefault="00842E00" w:rsidP="00842E00">
      <w:pPr>
        <w:pStyle w:val="SingleTxtG"/>
        <w:spacing w:before="120"/>
        <w:ind w:left="2835" w:hanging="567"/>
      </w:pPr>
      <w:r>
        <w:t>(iii)</w:t>
      </w:r>
      <w:r>
        <w:tab/>
      </w:r>
      <w:r w:rsidR="006F3607" w:rsidRPr="002D26C4">
        <w:t>The registration procedure for TP2 is to be specified by the TP1 (availability of data, in particular).</w:t>
      </w:r>
    </w:p>
    <w:p w:rsidR="006F3607" w:rsidRPr="002D26C4" w:rsidRDefault="00842E00" w:rsidP="00842E00">
      <w:pPr>
        <w:pStyle w:val="SingleTxtG"/>
        <w:ind w:left="2835" w:hanging="567"/>
      </w:pPr>
      <w:r>
        <w:t>(iv)</w:t>
      </w:r>
      <w:r>
        <w:tab/>
      </w:r>
      <w:r w:rsidR="006F3607" w:rsidRPr="002D26C4">
        <w:t xml:space="preserve">To begin with, the </w:t>
      </w:r>
      <w:r w:rsidR="006F3607">
        <w:t>future</w:t>
      </w:r>
      <w:r w:rsidR="006F3607" w:rsidRPr="002D26C4">
        <w:t xml:space="preserve"> TP1 partners (GBK, Novacom Services, Geoloc Systems, Italy’s’ Ministry of Transport and UIRNet) could agree on a joint approach. Therefore, they are asked to clarify the process of registering with a TP1 and make a corresponding proposal. During the 19 July’s meeting, the aforementioned companies/entities agreed to adopt the procedure described here</w:t>
      </w:r>
      <w:r w:rsidR="006F3607">
        <w:t xml:space="preserve"> </w:t>
      </w:r>
      <w:r w:rsidR="006F3607" w:rsidRPr="002D26C4">
        <w:t>below in the next point.</w:t>
      </w:r>
    </w:p>
    <w:p w:rsidR="006F3607" w:rsidRPr="0037301F" w:rsidRDefault="00842E00" w:rsidP="00842E00">
      <w:pPr>
        <w:pStyle w:val="SingleTxtG"/>
        <w:ind w:left="2835" w:hanging="567"/>
      </w:pPr>
      <w:r>
        <w:t>(v)</w:t>
      </w:r>
      <w:r>
        <w:tab/>
      </w:r>
      <w:r w:rsidR="006F3607" w:rsidRPr="002D26C4">
        <w:t>I</w:t>
      </w:r>
      <w:r w:rsidR="006F3607" w:rsidRPr="0037301F">
        <w:t xml:space="preserve">n </w:t>
      </w:r>
      <w:r w:rsidR="006F3607" w:rsidRPr="002D26C4">
        <w:t xml:space="preserve">the </w:t>
      </w:r>
      <w:r w:rsidR="006F3607" w:rsidRPr="0037301F">
        <w:t xml:space="preserve">case </w:t>
      </w:r>
      <w:r w:rsidR="006F3607" w:rsidRPr="002D26C4">
        <w:t xml:space="preserve">the </w:t>
      </w:r>
      <w:r w:rsidR="006F3607" w:rsidRPr="0037301F">
        <w:t xml:space="preserve">entity </w:t>
      </w:r>
      <w:r w:rsidR="006F3607">
        <w:t>requesting</w:t>
      </w:r>
      <w:r w:rsidR="006F3607" w:rsidRPr="0037301F">
        <w:t xml:space="preserve"> to register is an authority</w:t>
      </w:r>
      <w:r w:rsidR="006F3607">
        <w:t xml:space="preserve"> (i.e. it is a TP1)</w:t>
      </w:r>
      <w:r w:rsidR="006F3607" w:rsidRPr="0037301F">
        <w:t>, its name and certificate must be in the list of section 4.a</w:t>
      </w:r>
      <w:r w:rsidR="006F3607">
        <w:t>) i.</w:t>
      </w:r>
      <w:r w:rsidR="006F3607" w:rsidRPr="0037301F">
        <w:t xml:space="preserve">, and verification </w:t>
      </w:r>
      <w:r w:rsidR="006F3607" w:rsidRPr="002D26C4">
        <w:t>can</w:t>
      </w:r>
      <w:r w:rsidR="006F3607" w:rsidRPr="0037301F">
        <w:t xml:space="preserve"> be done automatically or manually.</w:t>
      </w:r>
      <w:r w:rsidR="006F3607" w:rsidRPr="002D26C4">
        <w:t xml:space="preserve"> </w:t>
      </w:r>
      <w:r w:rsidR="006F3607" w:rsidRPr="0037301F">
        <w:t xml:space="preserve">In case </w:t>
      </w:r>
      <w:r w:rsidR="006F3607" w:rsidRPr="002D26C4">
        <w:t xml:space="preserve">the </w:t>
      </w:r>
      <w:r w:rsidR="006F3607" w:rsidRPr="0037301F">
        <w:t xml:space="preserve">entity </w:t>
      </w:r>
      <w:r w:rsidR="006F3607">
        <w:t>requesting</w:t>
      </w:r>
      <w:r w:rsidR="006F3607" w:rsidRPr="00A07545">
        <w:t xml:space="preserve"> to register </w:t>
      </w:r>
      <w:r w:rsidR="006F3607" w:rsidRPr="0037301F">
        <w:t>is a TP2, two methods can be used:</w:t>
      </w:r>
      <w:r w:rsidR="006F3607" w:rsidRPr="002D26C4">
        <w:t xml:space="preserve"> </w:t>
      </w:r>
      <w:r w:rsidR="006F3607" w:rsidRPr="0037301F">
        <w:t>- either TP2 will send separately a statement digitally signed by the entity official representative who declares the public key</w:t>
      </w:r>
      <w:r w:rsidR="006F3607">
        <w:t>, and</w:t>
      </w:r>
      <w:r w:rsidR="006F3607" w:rsidRPr="0037301F">
        <w:t xml:space="preserve"> </w:t>
      </w:r>
      <w:r w:rsidR="006F3607">
        <w:t>then the</w:t>
      </w:r>
      <w:r w:rsidR="006F3607" w:rsidRPr="0037301F">
        <w:t xml:space="preserve"> verification </w:t>
      </w:r>
      <w:r w:rsidR="006F3607">
        <w:t>is</w:t>
      </w:r>
      <w:r w:rsidR="006F3607" w:rsidRPr="0037301F">
        <w:t xml:space="preserve"> done manually offline;</w:t>
      </w:r>
      <w:r w:rsidR="006F3607" w:rsidRPr="002D26C4">
        <w:t xml:space="preserve"> </w:t>
      </w:r>
      <w:r w:rsidR="006F3607" w:rsidRPr="0037301F">
        <w:t>- or TP1 trusts the signer of the certificate, on the basis of national laws, public reg</w:t>
      </w:r>
      <w:r w:rsidR="006F3607" w:rsidRPr="00494C7E">
        <w:t xml:space="preserve">istries or specific agreements, and then </w:t>
      </w:r>
      <w:r w:rsidR="006F3607">
        <w:t>the</w:t>
      </w:r>
      <w:r w:rsidR="006F3607" w:rsidRPr="0037301F">
        <w:t xml:space="preserve"> verification </w:t>
      </w:r>
      <w:r w:rsidR="006F3607">
        <w:t>is</w:t>
      </w:r>
      <w:r w:rsidR="006F3607" w:rsidRPr="0037301F">
        <w:t xml:space="preserve"> automatic.</w:t>
      </w:r>
    </w:p>
    <w:p w:rsidR="006F3607" w:rsidRPr="002D26C4" w:rsidRDefault="00842E00" w:rsidP="00842E00">
      <w:pPr>
        <w:pStyle w:val="HChG"/>
      </w:pPr>
      <w:r>
        <w:tab/>
      </w:r>
      <w:r>
        <w:tab/>
      </w:r>
      <w:r w:rsidR="006F3607" w:rsidRPr="002D26C4">
        <w:t>5)</w:t>
      </w:r>
      <w:r w:rsidR="006F3607" w:rsidRPr="002D26C4">
        <w:tab/>
        <w:t>Establishment and availability of the datasets to be used between TP2s, TP1s and the authorities/emergency services</w:t>
      </w:r>
    </w:p>
    <w:p w:rsidR="006F3607" w:rsidRPr="002D26C4" w:rsidRDefault="006F3607" w:rsidP="00842E00">
      <w:pPr>
        <w:pStyle w:val="SingleTxtG"/>
        <w:ind w:firstLine="567"/>
      </w:pPr>
      <w:r w:rsidRPr="002D26C4">
        <w:t>a)</w:t>
      </w:r>
      <w:r w:rsidRPr="002D26C4">
        <w:tab/>
      </w:r>
      <w:r>
        <w:t xml:space="preserve">The following </w:t>
      </w:r>
      <w:r>
        <w:rPr>
          <w:u w:val="single"/>
        </w:rPr>
        <w:t>d</w:t>
      </w:r>
      <w:r w:rsidRPr="002D26C4">
        <w:rPr>
          <w:u w:val="single"/>
        </w:rPr>
        <w:t xml:space="preserve">ata set </w:t>
      </w:r>
      <w:r>
        <w:rPr>
          <w:u w:val="single"/>
        </w:rPr>
        <w:t xml:space="preserve">has </w:t>
      </w:r>
      <w:r w:rsidRPr="002D26C4">
        <w:rPr>
          <w:u w:val="single"/>
        </w:rPr>
        <w:t>to be transmitted to a TP1 before the commencement of the journey</w:t>
      </w:r>
    </w:p>
    <w:p w:rsidR="006F3607" w:rsidRPr="002D26C4" w:rsidRDefault="00FE7FA1" w:rsidP="00842E00">
      <w:pPr>
        <w:pStyle w:val="SingleTxtG"/>
        <w:ind w:left="2835" w:hanging="567"/>
      </w:pPr>
      <w:r>
        <w:t>(i)</w:t>
      </w:r>
      <w:r>
        <w:tab/>
      </w:r>
      <w:r w:rsidR="006F3607" w:rsidRPr="002D26C4">
        <w:t>Vehicle Identification Numbers (VINs), considering the VIN of truck and trailers</w:t>
      </w:r>
    </w:p>
    <w:p w:rsidR="006F3607" w:rsidRPr="002D26C4" w:rsidRDefault="00FE7FA1" w:rsidP="00842E00">
      <w:pPr>
        <w:pStyle w:val="SingleTxtG"/>
        <w:ind w:left="2835" w:hanging="567"/>
      </w:pPr>
      <w:r>
        <w:t>(ii)</w:t>
      </w:r>
      <w:r>
        <w:tab/>
      </w:r>
      <w:r w:rsidR="006F3607" w:rsidRPr="002D26C4">
        <w:t>BIC code for containers</w:t>
      </w:r>
      <w:r w:rsidR="006F3607">
        <w:t xml:space="preserve"> (if available or regulated)</w:t>
      </w:r>
    </w:p>
    <w:p w:rsidR="006F3607" w:rsidRPr="002D26C4" w:rsidRDefault="00FE7FA1" w:rsidP="00842E00">
      <w:pPr>
        <w:pStyle w:val="SingleTxtG"/>
        <w:ind w:left="2835" w:hanging="567"/>
      </w:pPr>
      <w:r>
        <w:t>(iii)</w:t>
      </w:r>
      <w:r>
        <w:tab/>
      </w:r>
      <w:r w:rsidR="006F3607" w:rsidRPr="002D26C4">
        <w:t>ADR: Registration number of the towing vehicle and the trailer(s)</w:t>
      </w:r>
    </w:p>
    <w:p w:rsidR="006F3607" w:rsidRPr="002D26C4" w:rsidRDefault="006F3607" w:rsidP="00FE7FA1">
      <w:pPr>
        <w:pStyle w:val="SingleTxtG"/>
        <w:ind w:left="2835"/>
      </w:pPr>
      <w:r w:rsidRPr="002D26C4">
        <w:t>ADN (if appropriate): ENI number</w:t>
      </w:r>
    </w:p>
    <w:p w:rsidR="006F3607" w:rsidRPr="002D26C4" w:rsidRDefault="006F3607" w:rsidP="00FE7FA1">
      <w:pPr>
        <w:pStyle w:val="SingleTxtG"/>
        <w:ind w:left="2835"/>
      </w:pPr>
      <w:r w:rsidRPr="002D26C4">
        <w:t>RID (if appropriate): UIC wagon number</w:t>
      </w:r>
    </w:p>
    <w:p w:rsidR="006F3607" w:rsidRPr="002D26C4" w:rsidRDefault="00FE7FA1" w:rsidP="00842E00">
      <w:pPr>
        <w:pStyle w:val="SingleTxtG"/>
        <w:ind w:left="2835" w:hanging="567"/>
      </w:pPr>
      <w:r>
        <w:t>(iv)</w:t>
      </w:r>
      <w:r>
        <w:tab/>
      </w:r>
      <w:r w:rsidR="006F3607">
        <w:t xml:space="preserve">Status </w:t>
      </w:r>
      <w:r w:rsidR="006F3607" w:rsidRPr="002D26C4">
        <w:t xml:space="preserve">of the </w:t>
      </w:r>
      <w:r w:rsidR="006F3607">
        <w:t>carriage</w:t>
      </w:r>
      <w:r w:rsidR="006F3607" w:rsidRPr="002D26C4">
        <w:t>.</w:t>
      </w:r>
    </w:p>
    <w:p w:rsidR="006F3607" w:rsidRPr="002D26C4" w:rsidRDefault="006F3607" w:rsidP="00842E00">
      <w:pPr>
        <w:pStyle w:val="SingleTxtG"/>
        <w:ind w:firstLine="567"/>
      </w:pPr>
      <w:r w:rsidRPr="002D26C4">
        <w:t>b)</w:t>
      </w:r>
      <w:r w:rsidRPr="002D26C4">
        <w:tab/>
      </w:r>
      <w:r>
        <w:t>Transaction</w:t>
      </w:r>
      <w:r w:rsidRPr="002D26C4">
        <w:t xml:space="preserve"> </w:t>
      </w:r>
      <w:r>
        <w:t>between</w:t>
      </w:r>
      <w:r w:rsidRPr="002D26C4">
        <w:t xml:space="preserve"> a TP2 </w:t>
      </w:r>
      <w:r>
        <w:t xml:space="preserve">and a TP1 </w:t>
      </w:r>
      <w:r w:rsidRPr="002D26C4">
        <w:t>entity</w:t>
      </w:r>
      <w:r>
        <w:t>:</w:t>
      </w:r>
    </w:p>
    <w:p w:rsidR="006F3607" w:rsidRDefault="00FE7FA1" w:rsidP="00842E00">
      <w:pPr>
        <w:pStyle w:val="SingleTxtG"/>
        <w:ind w:left="2835" w:hanging="567"/>
      </w:pPr>
      <w:r>
        <w:t>(i)</w:t>
      </w:r>
      <w:r>
        <w:tab/>
      </w:r>
      <w:r w:rsidR="006F3607">
        <w:t>For each carriage a TP2 must transact with only one TP1.</w:t>
      </w:r>
    </w:p>
    <w:p w:rsidR="006F3607" w:rsidRPr="002D26C4" w:rsidRDefault="00FE7FA1" w:rsidP="00FE7FA1">
      <w:pPr>
        <w:pStyle w:val="HChG"/>
      </w:pPr>
      <w:r>
        <w:tab/>
      </w:r>
      <w:r>
        <w:tab/>
      </w:r>
      <w:r w:rsidR="006F3607" w:rsidRPr="002D26C4">
        <w:t>6)</w:t>
      </w:r>
      <w:r w:rsidR="006F3607" w:rsidRPr="002D26C4">
        <w:tab/>
        <w:t xml:space="preserve">Considerations on requirements in the transitional phase </w:t>
      </w:r>
    </w:p>
    <w:p w:rsidR="00BF42CB" w:rsidRDefault="006F3607" w:rsidP="00FE7FA1">
      <w:pPr>
        <w:pStyle w:val="SingleTxtG"/>
      </w:pPr>
      <w:r w:rsidRPr="003B0484">
        <w:t xml:space="preserve">As long as there are fire brigades and </w:t>
      </w:r>
      <w:r>
        <w:t>relevant</w:t>
      </w:r>
      <w:r w:rsidRPr="003B0484">
        <w:t xml:space="preserve"> authorities that are not connected to the system architecture, a reader/mobile display device (tablet, handheld, notebook etc.) is required on-board of the vehicle. It has already been agreed that there will be no standardization. However, general requirements are needed for the purpose of legal certainty.</w:t>
      </w:r>
    </w:p>
    <w:p w:rsidR="00BF42CB" w:rsidRDefault="00BF42CB" w:rsidP="00BF42CB"/>
    <w:p w:rsidR="00BF42CB" w:rsidRDefault="00BF42CB" w:rsidP="00BF42CB"/>
    <w:p w:rsidR="00BF42CB" w:rsidRDefault="00BF42CB" w:rsidP="00BF42CB"/>
    <w:p w:rsidR="00BF42CB" w:rsidRDefault="00BF42CB" w:rsidP="00BF42CB"/>
    <w:p w:rsidR="00BF42CB" w:rsidRDefault="00BF42CB" w:rsidP="00BF42CB"/>
    <w:p w:rsidR="00BF42CB" w:rsidRPr="00BF42CB" w:rsidRDefault="00BF42CB" w:rsidP="00BF42CB">
      <w:pPr>
        <w:sectPr w:rsidR="00BF42CB" w:rsidRPr="00BF42CB" w:rsidSect="009D2A5B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tbl>
      <w:tblPr>
        <w:tblW w:w="13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84"/>
        <w:gridCol w:w="1701"/>
        <w:gridCol w:w="2835"/>
        <w:gridCol w:w="1701"/>
        <w:gridCol w:w="2268"/>
        <w:gridCol w:w="2268"/>
      </w:tblGrid>
      <w:tr w:rsidR="00D24B99" w:rsidRPr="00FE7FA1" w:rsidTr="00D24B99">
        <w:tc>
          <w:tcPr>
            <w:tcW w:w="13111" w:type="dxa"/>
            <w:gridSpan w:val="7"/>
            <w:tcBorders>
              <w:top w:val="nil"/>
              <w:left w:val="nil"/>
              <w:right w:val="nil"/>
            </w:tcBorders>
          </w:tcPr>
          <w:p w:rsidR="00D24B99" w:rsidRPr="00D24B99" w:rsidRDefault="00D24B99" w:rsidP="00D24B99">
            <w:pPr>
              <w:jc w:val="center"/>
              <w:rPr>
                <w:b/>
              </w:rPr>
            </w:pPr>
            <w:r w:rsidRPr="00D24B99">
              <w:rPr>
                <w:b/>
              </w:rPr>
              <w:t>List of participants</w:t>
            </w:r>
          </w:p>
          <w:p w:rsidR="00D24B99" w:rsidRDefault="00D24B99" w:rsidP="00D24B99">
            <w:pPr>
              <w:jc w:val="center"/>
              <w:rPr>
                <w:b/>
              </w:rPr>
            </w:pPr>
            <w:r w:rsidRPr="00D24B99">
              <w:rPr>
                <w:b/>
              </w:rPr>
              <w:t>of the Working Group on Telematics (Bonn, 20./21 November 2017)</w:t>
            </w:r>
          </w:p>
          <w:p w:rsidR="00D24B99" w:rsidRPr="00D24B99" w:rsidRDefault="00D24B99" w:rsidP="00D24B99">
            <w:pPr>
              <w:jc w:val="center"/>
              <w:rPr>
                <w:b/>
              </w:rPr>
            </w:pPr>
          </w:p>
        </w:tc>
      </w:tr>
      <w:tr w:rsidR="006F3607" w:rsidRPr="00FE7FA1" w:rsidTr="00FE7FA1">
        <w:tc>
          <w:tcPr>
            <w:tcW w:w="354" w:type="dxa"/>
          </w:tcPr>
          <w:p w:rsidR="006F3607" w:rsidRPr="00FE7FA1" w:rsidRDefault="006F3607" w:rsidP="00E52D0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F3607" w:rsidRPr="00FE7FA1" w:rsidRDefault="006F3607" w:rsidP="00E52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7FA1">
              <w:rPr>
                <w:b/>
                <w:sz w:val="18"/>
                <w:szCs w:val="18"/>
              </w:rPr>
              <w:t>Name of Participant</w:t>
            </w:r>
          </w:p>
        </w:tc>
        <w:tc>
          <w:tcPr>
            <w:tcW w:w="1701" w:type="dxa"/>
          </w:tcPr>
          <w:p w:rsidR="006F3607" w:rsidRPr="00FE7FA1" w:rsidRDefault="006F3607" w:rsidP="00E52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7FA1">
              <w:rPr>
                <w:b/>
                <w:sz w:val="18"/>
                <w:szCs w:val="18"/>
              </w:rPr>
              <w:t>Body represented</w:t>
            </w:r>
          </w:p>
        </w:tc>
        <w:tc>
          <w:tcPr>
            <w:tcW w:w="2835" w:type="dxa"/>
          </w:tcPr>
          <w:p w:rsidR="006F3607" w:rsidRPr="00FE7FA1" w:rsidRDefault="006F3607" w:rsidP="00E52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7FA1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701" w:type="dxa"/>
          </w:tcPr>
          <w:p w:rsidR="006F3607" w:rsidRPr="00FE7FA1" w:rsidRDefault="006F3607" w:rsidP="00E52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7FA1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2268" w:type="dxa"/>
          </w:tcPr>
          <w:p w:rsidR="006F3607" w:rsidRPr="00FE7FA1" w:rsidRDefault="006F3607" w:rsidP="00E52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7FA1">
              <w:rPr>
                <w:b/>
                <w:sz w:val="18"/>
                <w:szCs w:val="18"/>
              </w:rPr>
              <w:t>Fax</w:t>
            </w:r>
          </w:p>
        </w:tc>
        <w:tc>
          <w:tcPr>
            <w:tcW w:w="2268" w:type="dxa"/>
          </w:tcPr>
          <w:p w:rsidR="006F3607" w:rsidRPr="00FE7FA1" w:rsidRDefault="006F3607" w:rsidP="00E52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7FA1">
              <w:rPr>
                <w:b/>
                <w:sz w:val="18"/>
                <w:szCs w:val="18"/>
              </w:rPr>
              <w:t>Email</w:t>
            </w:r>
          </w:p>
        </w:tc>
      </w:tr>
      <w:tr w:rsidR="006F3607" w:rsidRPr="00FE7FA1" w:rsidTr="00FE7FA1">
        <w:tc>
          <w:tcPr>
            <w:tcW w:w="354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Rein, Helmut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3607" w:rsidRPr="00FE7FA1" w:rsidRDefault="006F3607" w:rsidP="006F3607">
            <w:pPr>
              <w:pStyle w:val="Header"/>
              <w:tabs>
                <w:tab w:val="left" w:pos="639"/>
              </w:tabs>
              <w:rPr>
                <w:rFonts w:cs="Arial"/>
                <w:szCs w:val="18"/>
              </w:rPr>
            </w:pPr>
            <w:r w:rsidRPr="00FE7FA1">
              <w:rPr>
                <w:szCs w:val="18"/>
              </w:rPr>
              <w:t>Germany</w:t>
            </w:r>
          </w:p>
          <w:p w:rsidR="006F3607" w:rsidRPr="00FE7FA1" w:rsidRDefault="006F3607" w:rsidP="006F3607">
            <w:pPr>
              <w:pStyle w:val="Header"/>
              <w:tabs>
                <w:tab w:val="left" w:pos="639"/>
              </w:tabs>
              <w:rPr>
                <w:rFonts w:cs="Arial"/>
                <w:szCs w:val="18"/>
              </w:rPr>
            </w:pPr>
            <w:r w:rsidRPr="00FE7FA1">
              <w:rPr>
                <w:szCs w:val="18"/>
              </w:rPr>
              <w:t>(Min.)</w:t>
            </w:r>
          </w:p>
        </w:tc>
        <w:tc>
          <w:tcPr>
            <w:tcW w:w="2835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Federal Ministry of Transport and Digital Infrastructure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  <w:lang w:val="de-DE"/>
              </w:rPr>
            </w:pPr>
            <w:r w:rsidRPr="00FE7FA1">
              <w:rPr>
                <w:sz w:val="18"/>
                <w:szCs w:val="18"/>
                <w:lang w:val="de-DE"/>
              </w:rPr>
              <w:t>- Division G 33 -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  <w:lang w:val="de-DE"/>
              </w:rPr>
            </w:pPr>
            <w:r w:rsidRPr="00FE7FA1">
              <w:rPr>
                <w:sz w:val="18"/>
                <w:szCs w:val="18"/>
                <w:lang w:val="de-DE"/>
              </w:rPr>
              <w:t>Robert-Schuman-Platz 1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  <w:lang w:val="de-DE"/>
              </w:rPr>
            </w:pPr>
            <w:r w:rsidRPr="00FE7FA1">
              <w:rPr>
                <w:sz w:val="18"/>
                <w:szCs w:val="18"/>
                <w:lang w:val="de-DE"/>
              </w:rPr>
              <w:t>D - 53175 Bonn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+49-228-99-300-2650</w:t>
            </w:r>
          </w:p>
        </w:tc>
        <w:tc>
          <w:tcPr>
            <w:tcW w:w="2268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+49-228-99-300-807-2650</w:t>
            </w:r>
          </w:p>
        </w:tc>
        <w:tc>
          <w:tcPr>
            <w:tcW w:w="2268" w:type="dxa"/>
          </w:tcPr>
          <w:p w:rsidR="006F3607" w:rsidRPr="00FE7FA1" w:rsidRDefault="00976E11" w:rsidP="006F3607">
            <w:pPr>
              <w:rPr>
                <w:rFonts w:cs="Arial"/>
                <w:sz w:val="18"/>
                <w:szCs w:val="18"/>
              </w:rPr>
            </w:pPr>
            <w:hyperlink r:id="rId12" w:history="1">
              <w:r w:rsidR="006F3607" w:rsidRPr="00FE7FA1">
                <w:rPr>
                  <w:rStyle w:val="Hyperlink"/>
                  <w:sz w:val="18"/>
                  <w:szCs w:val="18"/>
                </w:rPr>
                <w:t>helmut.rein@bmvi.bund.de</w:t>
              </w:r>
            </w:hyperlink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</w:p>
        </w:tc>
      </w:tr>
      <w:tr w:rsidR="006F3607" w:rsidRPr="00FE7FA1" w:rsidTr="00FE7FA1">
        <w:tc>
          <w:tcPr>
            <w:tcW w:w="354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rFonts w:cs="Arial"/>
                <w:sz w:val="18"/>
                <w:szCs w:val="18"/>
                <w:lang w:val="fr-FR"/>
              </w:rPr>
              <w:t xml:space="preserve">Antonella Di Fazio 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pStyle w:val="Header"/>
              <w:tabs>
                <w:tab w:val="left" w:pos="639"/>
              </w:tabs>
              <w:rPr>
                <w:rFonts w:cs="Arial"/>
                <w:szCs w:val="18"/>
                <w:lang w:val="fr-FR"/>
              </w:rPr>
            </w:pPr>
            <w:r w:rsidRPr="00FE7FA1">
              <w:rPr>
                <w:rFonts w:cs="Arial"/>
                <w:szCs w:val="18"/>
                <w:lang w:val="fr-FR"/>
              </w:rPr>
              <w:t>Telespazio</w:t>
            </w:r>
          </w:p>
        </w:tc>
        <w:tc>
          <w:tcPr>
            <w:tcW w:w="2835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Satellite Systems and Applications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 xml:space="preserve">Via Tiburtina, 965 – 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I- 00156 Rome - Italy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rFonts w:cs="Arial"/>
                <w:sz w:val="18"/>
                <w:szCs w:val="18"/>
                <w:lang w:val="fr-FR"/>
              </w:rPr>
              <w:t>+390640796329</w:t>
            </w:r>
          </w:p>
        </w:tc>
        <w:tc>
          <w:tcPr>
            <w:tcW w:w="2268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rFonts w:cs="Arial"/>
                <w:sz w:val="18"/>
                <w:szCs w:val="18"/>
                <w:lang w:val="fr-FR"/>
              </w:rPr>
              <w:t>+39 06 4099-9333</w:t>
            </w:r>
          </w:p>
        </w:tc>
        <w:tc>
          <w:tcPr>
            <w:tcW w:w="2268" w:type="dxa"/>
          </w:tcPr>
          <w:p w:rsidR="006F3607" w:rsidRPr="00FE7FA1" w:rsidRDefault="00976E11" w:rsidP="006F3607">
            <w:pPr>
              <w:rPr>
                <w:rFonts w:cs="Arial"/>
                <w:sz w:val="18"/>
                <w:szCs w:val="18"/>
                <w:lang w:val="fr-FR"/>
              </w:rPr>
            </w:pPr>
            <w:hyperlink r:id="rId13" w:history="1">
              <w:r w:rsidR="006F3607" w:rsidRPr="00FE7FA1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antonella.difazio@telespazio.com</w:t>
              </w:r>
            </w:hyperlink>
            <w:r w:rsidR="006F3607" w:rsidRPr="00FE7FA1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6F3607" w:rsidRPr="00FE7FA1" w:rsidTr="00FE7FA1">
        <w:tc>
          <w:tcPr>
            <w:tcW w:w="354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Lüpges, Christian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AlbrechtConsult GmbH</w:t>
            </w:r>
          </w:p>
        </w:tc>
        <w:tc>
          <w:tcPr>
            <w:tcW w:w="2835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  <w:lang w:val="de-DE"/>
              </w:rPr>
            </w:pPr>
            <w:r w:rsidRPr="00FE7FA1">
              <w:rPr>
                <w:sz w:val="18"/>
                <w:szCs w:val="18"/>
                <w:lang w:val="de-DE"/>
              </w:rPr>
              <w:t>AlbrechtConsult GmbH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  <w:lang w:val="de-DE"/>
              </w:rPr>
            </w:pPr>
            <w:r w:rsidRPr="00FE7FA1">
              <w:rPr>
                <w:sz w:val="18"/>
                <w:szCs w:val="18"/>
                <w:lang w:val="de-DE"/>
              </w:rPr>
              <w:t>Theaterstr. 24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  <w:lang w:val="de-DE"/>
              </w:rPr>
            </w:pPr>
            <w:r w:rsidRPr="00FE7FA1">
              <w:rPr>
                <w:sz w:val="18"/>
                <w:szCs w:val="18"/>
                <w:lang w:val="de-DE"/>
              </w:rPr>
              <w:t>D - 52062 Aachen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+49-241-446-89708</w:t>
            </w:r>
          </w:p>
        </w:tc>
        <w:tc>
          <w:tcPr>
            <w:tcW w:w="2268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+49-241-500-718</w:t>
            </w:r>
          </w:p>
        </w:tc>
        <w:tc>
          <w:tcPr>
            <w:tcW w:w="2268" w:type="dxa"/>
          </w:tcPr>
          <w:p w:rsidR="006F3607" w:rsidRPr="00FE7FA1" w:rsidRDefault="00976E11" w:rsidP="006F3607">
            <w:pPr>
              <w:rPr>
                <w:rFonts w:cs="Arial"/>
                <w:sz w:val="18"/>
                <w:szCs w:val="18"/>
              </w:rPr>
            </w:pPr>
            <w:hyperlink r:id="rId14" w:history="1">
              <w:r w:rsidR="006F3607" w:rsidRPr="00FE7FA1">
                <w:rPr>
                  <w:rStyle w:val="Hyperlink"/>
                  <w:sz w:val="18"/>
                  <w:szCs w:val="18"/>
                </w:rPr>
                <w:t>christian.luepges@</w:t>
              </w:r>
              <w:r w:rsidR="006F3607" w:rsidRPr="00FE7FA1">
                <w:rPr>
                  <w:rStyle w:val="Hyperlink"/>
                  <w:sz w:val="18"/>
                  <w:szCs w:val="18"/>
                </w:rPr>
                <w:br/>
                <w:t>albrechtconsult.com</w:t>
              </w:r>
            </w:hyperlink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</w:p>
        </w:tc>
      </w:tr>
      <w:tr w:rsidR="006F3607" w:rsidRPr="00FE7FA1" w:rsidTr="00FE7FA1">
        <w:tc>
          <w:tcPr>
            <w:tcW w:w="354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Bleeker, Thomas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pStyle w:val="Header"/>
              <w:tabs>
                <w:tab w:val="left" w:pos="639"/>
              </w:tabs>
              <w:rPr>
                <w:rFonts w:cs="Arial"/>
                <w:szCs w:val="18"/>
              </w:rPr>
            </w:pPr>
            <w:r w:rsidRPr="00FE7FA1">
              <w:rPr>
                <w:szCs w:val="18"/>
              </w:rPr>
              <w:t>GBK GmbH</w:t>
            </w:r>
          </w:p>
        </w:tc>
        <w:tc>
          <w:tcPr>
            <w:tcW w:w="2835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  <w:lang w:val="de-DE"/>
              </w:rPr>
            </w:pPr>
            <w:r w:rsidRPr="00FE7FA1">
              <w:rPr>
                <w:sz w:val="18"/>
                <w:szCs w:val="18"/>
                <w:lang w:val="de-DE"/>
              </w:rPr>
              <w:t>GBK GmbH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  <w:lang w:val="de-DE"/>
              </w:rPr>
            </w:pPr>
            <w:r w:rsidRPr="00FE7FA1">
              <w:rPr>
                <w:sz w:val="18"/>
                <w:szCs w:val="18"/>
                <w:lang w:val="de-DE"/>
              </w:rPr>
              <w:t>Global Regulatory Compliance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  <w:lang w:val="de-DE"/>
              </w:rPr>
            </w:pPr>
            <w:r w:rsidRPr="00FE7FA1">
              <w:rPr>
                <w:sz w:val="18"/>
                <w:szCs w:val="18"/>
                <w:lang w:val="de-DE"/>
              </w:rPr>
              <w:t>Königsberger Str. 29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  <w:lang w:val="de-DE"/>
              </w:rPr>
            </w:pPr>
            <w:r w:rsidRPr="00FE7FA1">
              <w:rPr>
                <w:sz w:val="18"/>
                <w:szCs w:val="18"/>
                <w:lang w:val="de-DE"/>
              </w:rPr>
              <w:t>D - 55218 Ingelheim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+49-6132-98290-27</w:t>
            </w:r>
          </w:p>
        </w:tc>
        <w:tc>
          <w:tcPr>
            <w:tcW w:w="2268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+49-6132-84685</w:t>
            </w:r>
          </w:p>
        </w:tc>
        <w:tc>
          <w:tcPr>
            <w:tcW w:w="2268" w:type="dxa"/>
          </w:tcPr>
          <w:p w:rsidR="006F3607" w:rsidRPr="00FE7FA1" w:rsidRDefault="00976E11" w:rsidP="006F3607">
            <w:pPr>
              <w:rPr>
                <w:rFonts w:cs="Arial"/>
                <w:color w:val="1F497D"/>
                <w:sz w:val="18"/>
                <w:szCs w:val="18"/>
              </w:rPr>
            </w:pPr>
            <w:hyperlink r:id="rId15" w:tooltip="blocked::mailto:ulrich.mann@gbk-ingelheim.de" w:history="1">
              <w:r w:rsidR="006F3607" w:rsidRPr="00FE7FA1">
                <w:rPr>
                  <w:rStyle w:val="Hyperlink"/>
                  <w:sz w:val="18"/>
                  <w:szCs w:val="18"/>
                </w:rPr>
                <w:t>THomas.Bleeker@gbk-ingelheim.de</w:t>
              </w:r>
            </w:hyperlink>
          </w:p>
        </w:tc>
      </w:tr>
      <w:tr w:rsidR="006F3607" w:rsidRPr="00FE7FA1" w:rsidTr="00FE7FA1">
        <w:tc>
          <w:tcPr>
            <w:tcW w:w="354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984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sz w:val="18"/>
                <w:szCs w:val="18"/>
                <w:lang w:val="fr-FR"/>
              </w:rPr>
              <w:t>Pfauvadel, Claude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sz w:val="18"/>
                <w:szCs w:val="18"/>
                <w:lang w:val="fr-FR"/>
              </w:rPr>
              <w:t>France</w:t>
            </w:r>
          </w:p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sz w:val="18"/>
                <w:szCs w:val="18"/>
                <w:lang w:val="fr-FR"/>
              </w:rPr>
              <w:t>(Min.)</w:t>
            </w:r>
          </w:p>
        </w:tc>
        <w:tc>
          <w:tcPr>
            <w:tcW w:w="2835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sz w:val="18"/>
                <w:szCs w:val="18"/>
                <w:lang w:val="fr-FR"/>
              </w:rPr>
              <w:t>Ministère de l' Ecologie, de l'Énergie, du Développement Durable et de l' Aménagement du Territoire</w:t>
            </w:r>
          </w:p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sz w:val="18"/>
                <w:szCs w:val="18"/>
                <w:lang w:val="fr-FR"/>
              </w:rPr>
              <w:t>Mission du Transports des Matières dangereuses</w:t>
            </w:r>
          </w:p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sz w:val="18"/>
                <w:szCs w:val="18"/>
                <w:lang w:val="fr-FR"/>
              </w:rPr>
              <w:t>Arche Nord</w:t>
            </w:r>
          </w:p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sz w:val="18"/>
                <w:szCs w:val="18"/>
                <w:lang w:val="fr-FR"/>
              </w:rPr>
              <w:t>F - 92055 Paris la Défense Cedex 04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+33-1-4081-8766</w:t>
            </w:r>
          </w:p>
        </w:tc>
        <w:tc>
          <w:tcPr>
            <w:tcW w:w="2268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+33-1-40811065</w:t>
            </w:r>
          </w:p>
        </w:tc>
        <w:tc>
          <w:tcPr>
            <w:tcW w:w="2268" w:type="dxa"/>
          </w:tcPr>
          <w:p w:rsidR="006F3607" w:rsidRPr="00FE7FA1" w:rsidRDefault="00976E11" w:rsidP="006F3607">
            <w:pPr>
              <w:widowControl w:val="0"/>
              <w:rPr>
                <w:rFonts w:cs="Arial"/>
                <w:sz w:val="18"/>
                <w:szCs w:val="18"/>
              </w:rPr>
            </w:pPr>
            <w:hyperlink r:id="rId16" w:history="1">
              <w:r w:rsidR="006F3607" w:rsidRPr="00FE7FA1">
                <w:rPr>
                  <w:rStyle w:val="Hyperlink"/>
                  <w:sz w:val="18"/>
                  <w:szCs w:val="18"/>
                </w:rPr>
                <w:t>claude.pfauvadel@</w:t>
              </w:r>
              <w:r w:rsidR="006F3607" w:rsidRPr="00FE7FA1">
                <w:rPr>
                  <w:rStyle w:val="Hyperlink"/>
                  <w:sz w:val="18"/>
                  <w:szCs w:val="18"/>
                </w:rPr>
                <w:br/>
                <w:t>equipement.gouv.fr</w:t>
              </w:r>
            </w:hyperlink>
          </w:p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3607" w:rsidRPr="00FE7FA1" w:rsidTr="00FE7FA1">
        <w:tc>
          <w:tcPr>
            <w:tcW w:w="354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6F3607" w:rsidRPr="00FE7FA1" w:rsidRDefault="006F3607" w:rsidP="006F3607">
            <w:pPr>
              <w:widowControl w:val="0"/>
              <w:rPr>
                <w:sz w:val="18"/>
                <w:szCs w:val="18"/>
              </w:rPr>
            </w:pPr>
          </w:p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Hathlia, Roh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UK (Min)</w:t>
            </w:r>
          </w:p>
        </w:tc>
        <w:tc>
          <w:tcPr>
            <w:tcW w:w="2835" w:type="dxa"/>
          </w:tcPr>
          <w:p w:rsidR="006F3607" w:rsidRPr="00FE7FA1" w:rsidRDefault="006F3607" w:rsidP="006F3607">
            <w:pPr>
              <w:widowControl w:val="0"/>
              <w:rPr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DoT</w:t>
            </w:r>
          </w:p>
          <w:p w:rsidR="006F3607" w:rsidRPr="00FE7FA1" w:rsidRDefault="006F3607" w:rsidP="006F3607">
            <w:pPr>
              <w:widowControl w:val="0"/>
              <w:rPr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3/28, Great Minster House</w:t>
            </w:r>
          </w:p>
          <w:p w:rsidR="006F3607" w:rsidRPr="00FE7FA1" w:rsidRDefault="006F3607" w:rsidP="006F3607">
            <w:pPr>
              <w:widowControl w:val="0"/>
              <w:rPr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 xml:space="preserve">33 Horseferry Road, London, SW1P 4DR   </w:t>
            </w:r>
          </w:p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 xml:space="preserve">020 7944 2758 </w:t>
            </w:r>
          </w:p>
        </w:tc>
        <w:tc>
          <w:tcPr>
            <w:tcW w:w="2268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F3607" w:rsidRPr="00FE7FA1" w:rsidRDefault="00976E11" w:rsidP="006F3607">
            <w:pPr>
              <w:widowControl w:val="0"/>
              <w:rPr>
                <w:rFonts w:cs="Arial"/>
                <w:sz w:val="18"/>
                <w:szCs w:val="18"/>
                <w:u w:val="single"/>
              </w:rPr>
            </w:pPr>
            <w:hyperlink r:id="rId17" w:history="1">
              <w:r w:rsidR="006F3607" w:rsidRPr="00FE7FA1">
                <w:rPr>
                  <w:rStyle w:val="Hyperlink"/>
                  <w:rFonts w:cs="Arial"/>
                  <w:sz w:val="18"/>
                  <w:szCs w:val="18"/>
                </w:rPr>
                <w:t>Roh.Hathlia@dft.gsi.gov.uk</w:t>
              </w:r>
            </w:hyperlink>
            <w:r w:rsidR="006F3607" w:rsidRPr="00FE7FA1">
              <w:rPr>
                <w:rFonts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F3607" w:rsidRPr="00FE7FA1" w:rsidTr="00FE7FA1">
        <w:tc>
          <w:tcPr>
            <w:tcW w:w="354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Gracia, César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NOVACOM</w:t>
            </w:r>
          </w:p>
        </w:tc>
        <w:tc>
          <w:tcPr>
            <w:tcW w:w="2835" w:type="dxa"/>
          </w:tcPr>
          <w:p w:rsidR="006F3607" w:rsidRPr="00FE7FA1" w:rsidRDefault="006F3607" w:rsidP="006F360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sz w:val="18"/>
                <w:szCs w:val="18"/>
                <w:lang w:val="fr-FR"/>
              </w:rPr>
              <w:t>NOVACOM-Services</w:t>
            </w:r>
          </w:p>
          <w:p w:rsidR="006F3607" w:rsidRPr="00FE7FA1" w:rsidRDefault="006F3607" w:rsidP="006F360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sz w:val="18"/>
                <w:szCs w:val="18"/>
                <w:lang w:val="fr-FR"/>
              </w:rPr>
              <w:t>8-10 rue Hermès</w:t>
            </w:r>
          </w:p>
          <w:p w:rsidR="006F3607" w:rsidRPr="00FE7FA1" w:rsidRDefault="006F3607" w:rsidP="006F360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sz w:val="18"/>
                <w:szCs w:val="18"/>
                <w:lang w:val="fr-FR"/>
              </w:rPr>
              <w:t>Parc Technologique du canal</w:t>
            </w:r>
          </w:p>
          <w:p w:rsidR="006F3607" w:rsidRPr="00FE7FA1" w:rsidRDefault="006F3607" w:rsidP="006F360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F - 31520 Ramonville Saint Agne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+33-561395034</w:t>
            </w:r>
          </w:p>
        </w:tc>
        <w:tc>
          <w:tcPr>
            <w:tcW w:w="2268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+33-561395001</w:t>
            </w:r>
          </w:p>
        </w:tc>
        <w:tc>
          <w:tcPr>
            <w:tcW w:w="2268" w:type="dxa"/>
          </w:tcPr>
          <w:p w:rsidR="006F3607" w:rsidRPr="00FE7FA1" w:rsidRDefault="00976E11" w:rsidP="006F3607">
            <w:pPr>
              <w:widowControl w:val="0"/>
              <w:rPr>
                <w:rFonts w:cs="Arial"/>
                <w:sz w:val="18"/>
                <w:szCs w:val="18"/>
              </w:rPr>
            </w:pPr>
            <w:hyperlink r:id="rId18" w:history="1">
              <w:r w:rsidR="006F3607" w:rsidRPr="00FE7FA1">
                <w:rPr>
                  <w:rStyle w:val="Hyperlink"/>
                  <w:sz w:val="18"/>
                  <w:szCs w:val="18"/>
                </w:rPr>
                <w:t>cesar.gracia@novacom-services.com</w:t>
              </w:r>
            </w:hyperlink>
          </w:p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3607" w:rsidRPr="00FE7FA1" w:rsidTr="00FE7FA1">
        <w:tc>
          <w:tcPr>
            <w:tcW w:w="354" w:type="dxa"/>
          </w:tcPr>
          <w:p w:rsidR="006F3607" w:rsidRPr="00FE7FA1" w:rsidRDefault="006F3607" w:rsidP="006F3607">
            <w:pPr>
              <w:keepNext/>
              <w:rPr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6F3607" w:rsidRPr="00FE7FA1" w:rsidRDefault="006F3607" w:rsidP="006F3607">
            <w:pPr>
              <w:keepNext/>
              <w:rPr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Daguinos, Thierry</w:t>
            </w:r>
          </w:p>
          <w:p w:rsidR="006F3607" w:rsidRPr="00FE7FA1" w:rsidRDefault="006F3607" w:rsidP="006F360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3607" w:rsidRPr="00FE7FA1" w:rsidRDefault="006F3607" w:rsidP="006F3607">
            <w:pPr>
              <w:keepNext/>
              <w:rPr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Geoloc Systems</w:t>
            </w:r>
          </w:p>
        </w:tc>
        <w:tc>
          <w:tcPr>
            <w:tcW w:w="2835" w:type="dxa"/>
          </w:tcPr>
          <w:p w:rsidR="006F3607" w:rsidRPr="00FE7FA1" w:rsidRDefault="006F3607" w:rsidP="006F3607">
            <w:pPr>
              <w:keepNext/>
              <w:rPr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Geoloc systems</w:t>
            </w:r>
          </w:p>
          <w:p w:rsidR="006F3607" w:rsidRPr="00FE7FA1" w:rsidRDefault="006F3607" w:rsidP="006F3607">
            <w:pPr>
              <w:keepNext/>
              <w:rPr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2 Allée Isaac Newton</w:t>
            </w:r>
          </w:p>
          <w:p w:rsidR="006F3607" w:rsidRPr="00FE7FA1" w:rsidRDefault="006F3607" w:rsidP="006F3607">
            <w:pPr>
              <w:keepNext/>
              <w:rPr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F - 33650 Martillac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keepNext/>
              <w:rPr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+33 (0)5 57 961166</w:t>
            </w:r>
          </w:p>
        </w:tc>
        <w:tc>
          <w:tcPr>
            <w:tcW w:w="2268" w:type="dxa"/>
          </w:tcPr>
          <w:p w:rsidR="006F3607" w:rsidRPr="00FE7FA1" w:rsidRDefault="006F3607" w:rsidP="006F3607">
            <w:pPr>
              <w:keepNext/>
              <w:rPr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F3607" w:rsidRPr="00FE7FA1" w:rsidRDefault="00976E11" w:rsidP="006F3607">
            <w:pPr>
              <w:keepNext/>
              <w:rPr>
                <w:sz w:val="18"/>
                <w:szCs w:val="18"/>
              </w:rPr>
            </w:pPr>
            <w:hyperlink r:id="rId19" w:history="1">
              <w:r w:rsidR="006F3607" w:rsidRPr="00FE7FA1">
                <w:rPr>
                  <w:rStyle w:val="Hyperlink"/>
                  <w:sz w:val="18"/>
                  <w:szCs w:val="18"/>
                </w:rPr>
                <w:t>thierry.daguinos@geolocsystems.com</w:t>
              </w:r>
            </w:hyperlink>
            <w:r w:rsidR="006F3607" w:rsidRPr="00FE7FA1">
              <w:rPr>
                <w:sz w:val="18"/>
                <w:szCs w:val="18"/>
              </w:rPr>
              <w:t xml:space="preserve"> </w:t>
            </w:r>
          </w:p>
        </w:tc>
      </w:tr>
      <w:tr w:rsidR="006F3607" w:rsidRPr="00FE7FA1" w:rsidTr="00FE7FA1">
        <w:tc>
          <w:tcPr>
            <w:tcW w:w="354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Lia, Sabrina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Italy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(Min.)</w:t>
            </w:r>
          </w:p>
        </w:tc>
        <w:tc>
          <w:tcPr>
            <w:tcW w:w="2835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sz w:val="18"/>
                <w:szCs w:val="18"/>
                <w:lang w:val="fr-FR"/>
              </w:rPr>
              <w:t>Ministero delle Infrastrutture e dei Trasporti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Via Giuseppe Caraci 36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I - 00157 Roma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F3607" w:rsidRPr="00FE7FA1" w:rsidRDefault="00976E11" w:rsidP="006F3607">
            <w:pPr>
              <w:rPr>
                <w:rFonts w:cs="Arial"/>
                <w:sz w:val="18"/>
                <w:szCs w:val="18"/>
                <w:u w:val="single"/>
              </w:rPr>
            </w:pPr>
            <w:hyperlink r:id="rId20" w:history="1">
              <w:r w:rsidR="006F3607" w:rsidRPr="00FE7FA1">
                <w:rPr>
                  <w:rStyle w:val="Hyperlink"/>
                  <w:sz w:val="18"/>
                  <w:szCs w:val="18"/>
                </w:rPr>
                <w:t>sabrina.lia@mit.gov.it</w:t>
              </w:r>
            </w:hyperlink>
          </w:p>
        </w:tc>
      </w:tr>
      <w:tr w:rsidR="006F3607" w:rsidRPr="00FE7FA1" w:rsidTr="00FE7FA1">
        <w:tc>
          <w:tcPr>
            <w:tcW w:w="354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Giaquinto, Danilo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Italy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(Min.)</w:t>
            </w:r>
          </w:p>
        </w:tc>
        <w:tc>
          <w:tcPr>
            <w:tcW w:w="2835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sz w:val="18"/>
                <w:szCs w:val="18"/>
                <w:lang w:val="fr-FR"/>
              </w:rPr>
              <w:t>Ministero delle Infrastrutture e dei Trasporti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Via Giuseppe Caraci 36</w:t>
            </w:r>
          </w:p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I - 00157 Roma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F3607" w:rsidRPr="00FE7FA1" w:rsidRDefault="006F3607" w:rsidP="006F3607">
            <w:pPr>
              <w:rPr>
                <w:rFonts w:cs="Arial"/>
                <w:sz w:val="18"/>
                <w:szCs w:val="18"/>
              </w:rPr>
            </w:pPr>
            <w:r w:rsidRPr="00FE7FA1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F3607" w:rsidRPr="00FE7FA1" w:rsidRDefault="00976E11" w:rsidP="006F3607">
            <w:pPr>
              <w:rPr>
                <w:sz w:val="18"/>
                <w:szCs w:val="18"/>
              </w:rPr>
            </w:pPr>
            <w:hyperlink r:id="rId21" w:history="1">
              <w:r w:rsidR="006F3607" w:rsidRPr="00FE7FA1">
                <w:rPr>
                  <w:rStyle w:val="Hyperlink"/>
                  <w:sz w:val="18"/>
                  <w:szCs w:val="18"/>
                </w:rPr>
                <w:t>danilo.giaquinto@mit.gov.it</w:t>
              </w:r>
            </w:hyperlink>
          </w:p>
        </w:tc>
      </w:tr>
      <w:tr w:rsidR="006F3607" w:rsidRPr="00FE7FA1" w:rsidTr="00FE7FA1">
        <w:tc>
          <w:tcPr>
            <w:tcW w:w="354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6F3607" w:rsidRPr="00FE7FA1" w:rsidRDefault="006F3607" w:rsidP="006F3607">
            <w:pPr>
              <w:keepNext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Lichtenegger, Michael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keepNext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Austria</w:t>
            </w:r>
          </w:p>
        </w:tc>
        <w:tc>
          <w:tcPr>
            <w:tcW w:w="2835" w:type="dxa"/>
          </w:tcPr>
          <w:p w:rsidR="006F3607" w:rsidRPr="00FE7FA1" w:rsidRDefault="006F3607" w:rsidP="006F3607">
            <w:pPr>
              <w:keepNext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 xml:space="preserve">NetMan </w:t>
            </w:r>
          </w:p>
          <w:p w:rsidR="006F3607" w:rsidRPr="00FE7FA1" w:rsidRDefault="006F3607" w:rsidP="006F3607">
            <w:pPr>
              <w:keepNext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Lindengasse 43/19</w:t>
            </w:r>
          </w:p>
          <w:p w:rsidR="006F3607" w:rsidRPr="00FE7FA1" w:rsidRDefault="006F3607" w:rsidP="006F3607">
            <w:pPr>
              <w:keepNext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A-1070 Wien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keepNext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+4312536000811</w:t>
            </w:r>
          </w:p>
        </w:tc>
        <w:tc>
          <w:tcPr>
            <w:tcW w:w="2268" w:type="dxa"/>
          </w:tcPr>
          <w:p w:rsidR="006F3607" w:rsidRPr="00FE7FA1" w:rsidRDefault="006F3607" w:rsidP="006F3607">
            <w:pPr>
              <w:keepNext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+4312536000888</w:t>
            </w:r>
          </w:p>
        </w:tc>
        <w:tc>
          <w:tcPr>
            <w:tcW w:w="2268" w:type="dxa"/>
          </w:tcPr>
          <w:p w:rsidR="006F3607" w:rsidRPr="00FE7FA1" w:rsidRDefault="00976E11" w:rsidP="006F3607">
            <w:pPr>
              <w:keepNext/>
              <w:rPr>
                <w:rFonts w:cs="Arial"/>
                <w:sz w:val="18"/>
                <w:szCs w:val="18"/>
                <w:u w:val="single"/>
              </w:rPr>
            </w:pPr>
            <w:hyperlink r:id="rId22" w:history="1">
              <w:r w:rsidR="006F3607" w:rsidRPr="00FE7FA1">
                <w:rPr>
                  <w:rStyle w:val="Hyperlink"/>
                  <w:rFonts w:cs="Arial"/>
                  <w:sz w:val="18"/>
                  <w:szCs w:val="18"/>
                </w:rPr>
                <w:t>Michael.Lichtenegger@net-man.at</w:t>
              </w:r>
            </w:hyperlink>
            <w:r w:rsidR="006F3607" w:rsidRPr="00FE7FA1">
              <w:rPr>
                <w:rFonts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F3607" w:rsidRPr="00FE7FA1" w:rsidTr="00FE7FA1">
        <w:tc>
          <w:tcPr>
            <w:tcW w:w="354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Krammer, Othmar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Austria (Min)</w:t>
            </w:r>
          </w:p>
        </w:tc>
        <w:tc>
          <w:tcPr>
            <w:tcW w:w="2835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BMVIT</w:t>
            </w:r>
          </w:p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Postfach 201</w:t>
            </w:r>
          </w:p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A-1000 Wien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+43171162655880</w:t>
            </w:r>
          </w:p>
        </w:tc>
        <w:tc>
          <w:tcPr>
            <w:tcW w:w="2268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+431711626565880</w:t>
            </w:r>
          </w:p>
        </w:tc>
        <w:tc>
          <w:tcPr>
            <w:tcW w:w="2268" w:type="dxa"/>
          </w:tcPr>
          <w:p w:rsidR="006F3607" w:rsidRPr="00FE7FA1" w:rsidRDefault="00976E11" w:rsidP="006F3607">
            <w:pPr>
              <w:widowControl w:val="0"/>
              <w:rPr>
                <w:rFonts w:cs="Arial"/>
                <w:sz w:val="18"/>
                <w:szCs w:val="18"/>
              </w:rPr>
            </w:pPr>
            <w:hyperlink r:id="rId23" w:history="1">
              <w:r w:rsidR="006F3607" w:rsidRPr="00FE7FA1">
                <w:rPr>
                  <w:rStyle w:val="Hyperlink"/>
                  <w:rFonts w:cs="Arial"/>
                  <w:sz w:val="18"/>
                  <w:szCs w:val="18"/>
                </w:rPr>
                <w:t>Othmar.krammer@bmvit.gv.at</w:t>
              </w:r>
            </w:hyperlink>
            <w:r w:rsidR="006F3607" w:rsidRPr="00FE7FA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F3607" w:rsidRPr="00FE7FA1" w:rsidTr="00FE7FA1">
        <w:tc>
          <w:tcPr>
            <w:tcW w:w="354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984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Raucq, Philippe</w:t>
            </w:r>
          </w:p>
        </w:tc>
        <w:tc>
          <w:tcPr>
            <w:tcW w:w="1701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</w:rPr>
            </w:pPr>
            <w:r w:rsidRPr="00FE7FA1">
              <w:rPr>
                <w:rFonts w:cs="Arial"/>
                <w:sz w:val="18"/>
                <w:szCs w:val="18"/>
              </w:rPr>
              <w:t>Belgium, Wallonie</w:t>
            </w:r>
          </w:p>
        </w:tc>
        <w:tc>
          <w:tcPr>
            <w:tcW w:w="2835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bCs/>
                <w:sz w:val="18"/>
                <w:szCs w:val="18"/>
                <w:lang w:val="fr-FR"/>
              </w:rPr>
            </w:pPr>
            <w:r w:rsidRPr="00FE7FA1">
              <w:rPr>
                <w:rFonts w:cs="Arial"/>
                <w:bCs/>
                <w:sz w:val="18"/>
                <w:szCs w:val="18"/>
                <w:lang w:val="fr-FR"/>
              </w:rPr>
              <w:t>Service Public de Wallonie</w:t>
            </w:r>
          </w:p>
          <w:p w:rsidR="006F3607" w:rsidRPr="00FE7FA1" w:rsidRDefault="006F3607" w:rsidP="006F3607">
            <w:pPr>
              <w:widowControl w:val="0"/>
              <w:rPr>
                <w:rFonts w:cs="Arial"/>
                <w:bCs/>
                <w:sz w:val="18"/>
                <w:szCs w:val="18"/>
                <w:lang w:val="fr-FR"/>
              </w:rPr>
            </w:pPr>
            <w:r w:rsidRPr="00FE7FA1">
              <w:rPr>
                <w:rFonts w:cs="Arial"/>
                <w:bCs/>
                <w:sz w:val="18"/>
                <w:szCs w:val="18"/>
                <w:lang w:val="fr-FR"/>
              </w:rPr>
              <w:t>Ave. Prince de Liege, 15</w:t>
            </w:r>
          </w:p>
          <w:p w:rsidR="006F3607" w:rsidRPr="00FE7FA1" w:rsidRDefault="006F3607" w:rsidP="006F3607">
            <w:pPr>
              <w:widowControl w:val="0"/>
              <w:rPr>
                <w:rFonts w:cs="Arial"/>
                <w:bCs/>
                <w:sz w:val="18"/>
                <w:szCs w:val="18"/>
                <w:lang w:val="fr-FR"/>
              </w:rPr>
            </w:pPr>
            <w:r w:rsidRPr="00FE7FA1">
              <w:rPr>
                <w:rFonts w:cs="Arial"/>
                <w:bCs/>
                <w:sz w:val="18"/>
                <w:szCs w:val="18"/>
                <w:lang w:val="fr-FR"/>
              </w:rPr>
              <w:t>B- 5100 Jambes</w:t>
            </w:r>
          </w:p>
          <w:p w:rsidR="006F3607" w:rsidRPr="00FE7FA1" w:rsidRDefault="006F3607" w:rsidP="006F3607">
            <w:pPr>
              <w:widowControl w:val="0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  <w:lang w:val="fr-FR"/>
              </w:rPr>
            </w:pPr>
            <w:r w:rsidRPr="00FE7FA1">
              <w:rPr>
                <w:rFonts w:cs="Arial"/>
                <w:sz w:val="18"/>
                <w:szCs w:val="18"/>
                <w:lang w:val="fr-FR"/>
              </w:rPr>
              <w:t>+32 (0)81 33 64 24</w:t>
            </w:r>
          </w:p>
        </w:tc>
        <w:tc>
          <w:tcPr>
            <w:tcW w:w="2268" w:type="dxa"/>
          </w:tcPr>
          <w:p w:rsidR="006F3607" w:rsidRPr="00FE7FA1" w:rsidRDefault="006F3607" w:rsidP="006F3607">
            <w:pPr>
              <w:widowControl w:val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:rsidR="006F3607" w:rsidRPr="00FE7FA1" w:rsidRDefault="00976E11" w:rsidP="006F3607">
            <w:pPr>
              <w:widowControl w:val="0"/>
              <w:rPr>
                <w:rFonts w:cs="Arial"/>
                <w:sz w:val="18"/>
                <w:szCs w:val="18"/>
                <w:lang w:val="fr-FR"/>
              </w:rPr>
            </w:pPr>
            <w:hyperlink r:id="rId24" w:history="1">
              <w:r w:rsidR="006F3607" w:rsidRPr="00FE7FA1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philippe.raucq@spw.wallonie.be</w:t>
              </w:r>
            </w:hyperlink>
            <w:r w:rsidR="006F3607" w:rsidRPr="00FE7FA1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C30C61" w:rsidRPr="006F3607" w:rsidRDefault="00C30C61" w:rsidP="00C30C61">
      <w:pPr>
        <w:pStyle w:val="SingleTxtG"/>
        <w:spacing w:before="240" w:after="0"/>
        <w:jc w:val="center"/>
        <w:rPr>
          <w:u w:val="single"/>
          <w:lang w:val="fr-FR"/>
        </w:rPr>
      </w:pPr>
      <w:r w:rsidRPr="006F3607">
        <w:rPr>
          <w:u w:val="single"/>
          <w:lang w:val="fr-FR"/>
        </w:rPr>
        <w:tab/>
      </w:r>
      <w:r w:rsidRPr="006F3607">
        <w:rPr>
          <w:u w:val="single"/>
          <w:lang w:val="fr-FR"/>
        </w:rPr>
        <w:tab/>
      </w:r>
      <w:r w:rsidRPr="006F3607">
        <w:rPr>
          <w:u w:val="single"/>
          <w:lang w:val="fr-FR"/>
        </w:rPr>
        <w:tab/>
      </w:r>
    </w:p>
    <w:sectPr w:rsidR="00C30C61" w:rsidRPr="006F3607" w:rsidSect="00BF42C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endnotePr>
        <w:numFmt w:val="decimal"/>
      </w:endnotePr>
      <w:pgSz w:w="16840" w:h="11907" w:orient="landscape" w:code="9"/>
      <w:pgMar w:top="1134" w:right="1701" w:bottom="1134" w:left="226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99" w:rsidRDefault="00D24B99"/>
  </w:endnote>
  <w:endnote w:type="continuationSeparator" w:id="0">
    <w:p w:rsidR="00D24B99" w:rsidRDefault="00D24B99"/>
  </w:endnote>
  <w:endnote w:type="continuationNotice" w:id="1">
    <w:p w:rsidR="00D24B99" w:rsidRDefault="00D24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99" w:rsidRPr="009D2A5B" w:rsidRDefault="00D24B99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2166B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99" w:rsidRPr="009D2A5B" w:rsidRDefault="00D24B99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2166B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99" w:rsidRPr="00BF42CB" w:rsidRDefault="00976E11" w:rsidP="00BF42C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9075" cy="61245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4B99" w:rsidRPr="009D2A5B" w:rsidRDefault="00D24B99" w:rsidP="00BF42CB">
                          <w:pPr>
                            <w:pStyle w:val="Footer"/>
                            <w:tabs>
                              <w:tab w:val="right" w:pos="9598"/>
                            </w:tabs>
                          </w:pPr>
                          <w:r w:rsidRPr="009D2A5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D2A5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E2166B">
                            <w:rPr>
                              <w:b/>
                              <w:noProof/>
                              <w:sz w:val="18"/>
                            </w:rPr>
                            <w:t>6</w: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:rsidR="00D24B99" w:rsidRDefault="00D24B9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4pt;margin-top:0;width:17.25pt;height:4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" filled="f" stroked="f">
              <v:stroke joinstyle="round"/>
              <v:textbox style="layout-flow:vertical" inset="0,0,0,0">
                <w:txbxContent>
                  <w:p w:rsidR="00D24B99" w:rsidRPr="009D2A5B" w:rsidRDefault="00D24B99" w:rsidP="00BF42CB">
                    <w:pPr>
                      <w:pStyle w:val="Footer"/>
                      <w:tabs>
                        <w:tab w:val="right" w:pos="9598"/>
                      </w:tabs>
                    </w:pPr>
                    <w:r w:rsidRPr="009D2A5B">
                      <w:rPr>
                        <w:b/>
                        <w:sz w:val="18"/>
                      </w:rPr>
                      <w:fldChar w:fldCharType="begin"/>
                    </w:r>
                    <w:r w:rsidRPr="009D2A5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D2A5B">
                      <w:rPr>
                        <w:b/>
                        <w:sz w:val="18"/>
                      </w:rPr>
                      <w:fldChar w:fldCharType="separate"/>
                    </w:r>
                    <w:r w:rsidR="00E2166B">
                      <w:rPr>
                        <w:b/>
                        <w:noProof/>
                        <w:sz w:val="18"/>
                      </w:rPr>
                      <w:t>6</w:t>
                    </w:r>
                    <w:r w:rsidRPr="009D2A5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D24B99" w:rsidRDefault="00D24B99"/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99" w:rsidRPr="00BF42CB" w:rsidRDefault="00976E11" w:rsidP="00BF42C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9075" cy="6124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4B99" w:rsidRPr="009D2A5B" w:rsidRDefault="00D24B99" w:rsidP="00BF42CB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D2A5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E2166B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D24B99" w:rsidRDefault="00D24B9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4pt;margin-top:0;width:17.25pt;height:4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" filled="f" stroked="f">
              <v:stroke joinstyle="round"/>
              <v:textbox style="layout-flow:vertical" inset="0,0,0,0">
                <w:txbxContent>
                  <w:p w:rsidR="00D24B99" w:rsidRPr="009D2A5B" w:rsidRDefault="00D24B99" w:rsidP="00BF42CB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9D2A5B">
                      <w:rPr>
                        <w:b/>
                        <w:sz w:val="18"/>
                      </w:rPr>
                      <w:fldChar w:fldCharType="begin"/>
                    </w:r>
                    <w:r w:rsidRPr="009D2A5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D2A5B">
                      <w:rPr>
                        <w:b/>
                        <w:sz w:val="18"/>
                      </w:rPr>
                      <w:fldChar w:fldCharType="separate"/>
                    </w:r>
                    <w:r w:rsidR="00E2166B">
                      <w:rPr>
                        <w:b/>
                        <w:noProof/>
                        <w:sz w:val="18"/>
                      </w:rPr>
                      <w:t>5</w:t>
                    </w:r>
                    <w:r w:rsidRPr="009D2A5B">
                      <w:rPr>
                        <w:b/>
                        <w:sz w:val="18"/>
                      </w:rPr>
                      <w:fldChar w:fldCharType="end"/>
                    </w:r>
                  </w:p>
                  <w:p w:rsidR="00D24B99" w:rsidRDefault="00D24B99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99" w:rsidRPr="000B175B" w:rsidRDefault="00D24B9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24B99" w:rsidRPr="00FC68B7" w:rsidRDefault="00D24B9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24B99" w:rsidRDefault="00D24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99" w:rsidRPr="00C60CE5" w:rsidRDefault="00D24B99" w:rsidP="009D2A5B">
    <w:pPr>
      <w:pStyle w:val="Header"/>
      <w:rPr>
        <w:lang w:val="fr-CH"/>
      </w:rPr>
    </w:pPr>
    <w:r>
      <w:rPr>
        <w:lang w:val="fr-CH"/>
      </w:rPr>
      <w:t>INF.34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99" w:rsidRPr="00C60CE5" w:rsidRDefault="00D24B99" w:rsidP="009D2A5B">
    <w:pPr>
      <w:pStyle w:val="Header"/>
      <w:jc w:val="right"/>
      <w:rPr>
        <w:lang w:val="fr-CH"/>
      </w:rPr>
    </w:pPr>
    <w:r>
      <w:rPr>
        <w:lang w:val="fr-CH"/>
      </w:rPr>
      <w:t>INF.34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99" w:rsidRPr="00BF42CB" w:rsidRDefault="00976E11" w:rsidP="00BF42CB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9839325</wp:posOffset>
              </wp:positionH>
              <wp:positionV relativeFrom="margin">
                <wp:posOffset>123825</wp:posOffset>
              </wp:positionV>
              <wp:extent cx="219075" cy="61245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4B99" w:rsidRPr="009D2A5B" w:rsidRDefault="00D24B99" w:rsidP="00BF42CB">
                          <w:pPr>
                            <w:pStyle w:val="Header"/>
                          </w:pPr>
                          <w:r>
                            <w:t>INF.34</w:t>
                          </w:r>
                        </w:p>
                        <w:p w:rsidR="00D24B99" w:rsidRDefault="00D24B9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4.75pt;margin-top:9.75pt;width:17.25pt;height:482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" filled="f" stroked="f">
              <v:stroke joinstyle="round"/>
              <v:textbox style="layout-flow:vertical" inset="0,0,0,0">
                <w:txbxContent>
                  <w:p w:rsidR="00D24B99" w:rsidRPr="009D2A5B" w:rsidRDefault="00D24B99" w:rsidP="00BF42CB">
                    <w:pPr>
                      <w:pStyle w:val="Header"/>
                    </w:pPr>
                    <w:r>
                      <w:t>INF.34</w:t>
                    </w:r>
                  </w:p>
                  <w:p w:rsidR="00D24B99" w:rsidRDefault="00D24B99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99" w:rsidRPr="00BF42CB" w:rsidRDefault="00976E11" w:rsidP="00BF42CB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4B99" w:rsidRPr="009D2A5B" w:rsidRDefault="00D24B99" w:rsidP="00BF42CB">
                          <w:pPr>
                            <w:pStyle w:val="Header"/>
                            <w:jc w:val="right"/>
                          </w:pPr>
                          <w:r>
                            <w:t>INF.34</w:t>
                          </w:r>
                        </w:p>
                        <w:p w:rsidR="00D24B99" w:rsidRDefault="00D24B9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1pt;margin-top:0;width:17.25pt;height:4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" filled="f" stroked="f">
              <v:stroke joinstyle="round"/>
              <v:textbox style="layout-flow:vertical" inset="0,0,0,0">
                <w:txbxContent>
                  <w:p w:rsidR="00D24B99" w:rsidRPr="009D2A5B" w:rsidRDefault="00D24B99" w:rsidP="00BF42CB">
                    <w:pPr>
                      <w:pStyle w:val="Header"/>
                      <w:jc w:val="right"/>
                    </w:pPr>
                    <w:r>
                      <w:t>INF.34</w:t>
                    </w:r>
                  </w:p>
                  <w:p w:rsidR="00D24B99" w:rsidRDefault="00D24B99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99" w:rsidRDefault="00D24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935CBB"/>
    <w:multiLevelType w:val="hybridMultilevel"/>
    <w:tmpl w:val="9716C076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67D6E"/>
    <w:multiLevelType w:val="hybridMultilevel"/>
    <w:tmpl w:val="9716C076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173130"/>
    <w:multiLevelType w:val="hybridMultilevel"/>
    <w:tmpl w:val="9716C076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6931AD"/>
    <w:multiLevelType w:val="hybridMultilevel"/>
    <w:tmpl w:val="9716C076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0778F9"/>
    <w:multiLevelType w:val="hybridMultilevel"/>
    <w:tmpl w:val="9C0C223C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7CE1973"/>
    <w:multiLevelType w:val="hybridMultilevel"/>
    <w:tmpl w:val="9716C076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96648C"/>
    <w:multiLevelType w:val="hybridMultilevel"/>
    <w:tmpl w:val="1F2ADE9A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D482881"/>
    <w:multiLevelType w:val="hybridMultilevel"/>
    <w:tmpl w:val="75104C2E"/>
    <w:lvl w:ilvl="0" w:tplc="B05A0AF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21E2D81"/>
    <w:multiLevelType w:val="hybridMultilevel"/>
    <w:tmpl w:val="9CF053AC"/>
    <w:lvl w:ilvl="0" w:tplc="B09A6F70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B0091B"/>
    <w:multiLevelType w:val="hybridMultilevel"/>
    <w:tmpl w:val="15D62816"/>
    <w:lvl w:ilvl="0" w:tplc="2ACE8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4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0A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CC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26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EA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62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EE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6AD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07A2DD6"/>
    <w:multiLevelType w:val="hybridMultilevel"/>
    <w:tmpl w:val="9716C076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553B26"/>
    <w:multiLevelType w:val="hybridMultilevel"/>
    <w:tmpl w:val="AFA26226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7FA47BA"/>
    <w:multiLevelType w:val="hybridMultilevel"/>
    <w:tmpl w:val="E384E128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9363630"/>
    <w:multiLevelType w:val="hybridMultilevel"/>
    <w:tmpl w:val="9716C076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9784E"/>
    <w:multiLevelType w:val="multilevel"/>
    <w:tmpl w:val="F6E44210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08"/>
        </w:tabs>
        <w:ind w:left="1408" w:hanging="11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91"/>
        </w:tabs>
        <w:ind w:left="1691" w:hanging="1125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974"/>
        </w:tabs>
        <w:ind w:left="1974" w:hanging="112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tabs>
          <w:tab w:val="num" w:pos="2257"/>
        </w:tabs>
        <w:ind w:left="22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3"/>
        </w:tabs>
        <w:ind w:left="2823" w:hanging="11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7"/>
  </w:num>
  <w:num w:numId="13">
    <w:abstractNumId w:val="10"/>
  </w:num>
  <w:num w:numId="14">
    <w:abstractNumId w:val="33"/>
  </w:num>
  <w:num w:numId="15">
    <w:abstractNumId w:val="12"/>
  </w:num>
  <w:num w:numId="16">
    <w:abstractNumId w:val="11"/>
  </w:num>
  <w:num w:numId="17">
    <w:abstractNumId w:val="15"/>
  </w:num>
  <w:num w:numId="18">
    <w:abstractNumId w:val="14"/>
  </w:num>
  <w:num w:numId="19">
    <w:abstractNumId w:val="23"/>
  </w:num>
  <w:num w:numId="20">
    <w:abstractNumId w:val="16"/>
  </w:num>
  <w:num w:numId="21">
    <w:abstractNumId w:val="34"/>
  </w:num>
  <w:num w:numId="22">
    <w:abstractNumId w:val="36"/>
  </w:num>
  <w:num w:numId="23">
    <w:abstractNumId w:val="35"/>
  </w:num>
  <w:num w:numId="24">
    <w:abstractNumId w:val="25"/>
  </w:num>
  <w:num w:numId="25">
    <w:abstractNumId w:val="21"/>
  </w:num>
  <w:num w:numId="26">
    <w:abstractNumId w:val="31"/>
  </w:num>
  <w:num w:numId="27">
    <w:abstractNumId w:val="26"/>
  </w:num>
  <w:num w:numId="28">
    <w:abstractNumId w:val="28"/>
  </w:num>
  <w:num w:numId="29">
    <w:abstractNumId w:val="30"/>
  </w:num>
  <w:num w:numId="30">
    <w:abstractNumId w:val="18"/>
  </w:num>
  <w:num w:numId="31">
    <w:abstractNumId w:val="19"/>
  </w:num>
  <w:num w:numId="32">
    <w:abstractNumId w:val="13"/>
  </w:num>
  <w:num w:numId="33">
    <w:abstractNumId w:val="32"/>
  </w:num>
  <w:num w:numId="34">
    <w:abstractNumId w:val="29"/>
  </w:num>
  <w:num w:numId="35">
    <w:abstractNumId w:val="20"/>
  </w:num>
  <w:num w:numId="36">
    <w:abstractNumId w:val="24"/>
  </w:num>
  <w:num w:numId="37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4A36"/>
    <w:rsid w:val="00037F90"/>
    <w:rsid w:val="00042B6C"/>
    <w:rsid w:val="00046B1F"/>
    <w:rsid w:val="00050F6B"/>
    <w:rsid w:val="0005244C"/>
    <w:rsid w:val="0005583C"/>
    <w:rsid w:val="00057E97"/>
    <w:rsid w:val="00072C8C"/>
    <w:rsid w:val="000733B5"/>
    <w:rsid w:val="00080491"/>
    <w:rsid w:val="00081815"/>
    <w:rsid w:val="000931C0"/>
    <w:rsid w:val="000B0595"/>
    <w:rsid w:val="000B1333"/>
    <w:rsid w:val="000B175B"/>
    <w:rsid w:val="000B3A0F"/>
    <w:rsid w:val="000B4EF7"/>
    <w:rsid w:val="000C2C03"/>
    <w:rsid w:val="000C2D2E"/>
    <w:rsid w:val="000C4D51"/>
    <w:rsid w:val="000E0415"/>
    <w:rsid w:val="000E06CD"/>
    <w:rsid w:val="000F2799"/>
    <w:rsid w:val="00100629"/>
    <w:rsid w:val="001103AA"/>
    <w:rsid w:val="0011666B"/>
    <w:rsid w:val="00155068"/>
    <w:rsid w:val="00165F3A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57F0"/>
    <w:rsid w:val="001F7435"/>
    <w:rsid w:val="00202DA8"/>
    <w:rsid w:val="0021157B"/>
    <w:rsid w:val="002116E0"/>
    <w:rsid w:val="00211E0B"/>
    <w:rsid w:val="002406E4"/>
    <w:rsid w:val="00241885"/>
    <w:rsid w:val="002528A2"/>
    <w:rsid w:val="00267F5F"/>
    <w:rsid w:val="00277C12"/>
    <w:rsid w:val="00286B4D"/>
    <w:rsid w:val="002874BC"/>
    <w:rsid w:val="002A5E85"/>
    <w:rsid w:val="002A603B"/>
    <w:rsid w:val="002C68CF"/>
    <w:rsid w:val="002D4643"/>
    <w:rsid w:val="002D4B6C"/>
    <w:rsid w:val="002D56C4"/>
    <w:rsid w:val="002E334C"/>
    <w:rsid w:val="002E47B5"/>
    <w:rsid w:val="002F175C"/>
    <w:rsid w:val="00302E18"/>
    <w:rsid w:val="00303A7B"/>
    <w:rsid w:val="003229D8"/>
    <w:rsid w:val="0032576A"/>
    <w:rsid w:val="00352709"/>
    <w:rsid w:val="00371178"/>
    <w:rsid w:val="003725A3"/>
    <w:rsid w:val="00381475"/>
    <w:rsid w:val="003A6810"/>
    <w:rsid w:val="003C2CC4"/>
    <w:rsid w:val="003D4B23"/>
    <w:rsid w:val="003E11B0"/>
    <w:rsid w:val="003F1014"/>
    <w:rsid w:val="004059B4"/>
    <w:rsid w:val="00410C89"/>
    <w:rsid w:val="00422E03"/>
    <w:rsid w:val="00426B9B"/>
    <w:rsid w:val="004325CB"/>
    <w:rsid w:val="00442A83"/>
    <w:rsid w:val="0045495B"/>
    <w:rsid w:val="004738B8"/>
    <w:rsid w:val="0048397A"/>
    <w:rsid w:val="004A12F2"/>
    <w:rsid w:val="004A1D3E"/>
    <w:rsid w:val="004C2461"/>
    <w:rsid w:val="004C7462"/>
    <w:rsid w:val="004C79D6"/>
    <w:rsid w:val="004D4E04"/>
    <w:rsid w:val="004D5426"/>
    <w:rsid w:val="004E0C05"/>
    <w:rsid w:val="004E77B2"/>
    <w:rsid w:val="00503DEB"/>
    <w:rsid w:val="00504B2D"/>
    <w:rsid w:val="0052136D"/>
    <w:rsid w:val="00522B58"/>
    <w:rsid w:val="0052775E"/>
    <w:rsid w:val="00535C90"/>
    <w:rsid w:val="005420F2"/>
    <w:rsid w:val="00545927"/>
    <w:rsid w:val="00546993"/>
    <w:rsid w:val="00555A87"/>
    <w:rsid w:val="00555DAA"/>
    <w:rsid w:val="005628B6"/>
    <w:rsid w:val="00597EDC"/>
    <w:rsid w:val="005A575C"/>
    <w:rsid w:val="005B3DB3"/>
    <w:rsid w:val="005B4E13"/>
    <w:rsid w:val="005E6A77"/>
    <w:rsid w:val="005F28E2"/>
    <w:rsid w:val="005F7B75"/>
    <w:rsid w:val="006001EE"/>
    <w:rsid w:val="00605042"/>
    <w:rsid w:val="00605C23"/>
    <w:rsid w:val="00611FC4"/>
    <w:rsid w:val="006126FC"/>
    <w:rsid w:val="006176FB"/>
    <w:rsid w:val="00640B26"/>
    <w:rsid w:val="00641765"/>
    <w:rsid w:val="00652D0A"/>
    <w:rsid w:val="006623D5"/>
    <w:rsid w:val="00662BB6"/>
    <w:rsid w:val="00667F8F"/>
    <w:rsid w:val="00684A02"/>
    <w:rsid w:val="00684C21"/>
    <w:rsid w:val="0069232B"/>
    <w:rsid w:val="006A2530"/>
    <w:rsid w:val="006C3589"/>
    <w:rsid w:val="006D37AF"/>
    <w:rsid w:val="006D51D0"/>
    <w:rsid w:val="006E1357"/>
    <w:rsid w:val="006E5117"/>
    <w:rsid w:val="006E564B"/>
    <w:rsid w:val="006E7191"/>
    <w:rsid w:val="006F3607"/>
    <w:rsid w:val="006F3909"/>
    <w:rsid w:val="00703577"/>
    <w:rsid w:val="00704731"/>
    <w:rsid w:val="00705894"/>
    <w:rsid w:val="00707BD7"/>
    <w:rsid w:val="00724A43"/>
    <w:rsid w:val="0072632A"/>
    <w:rsid w:val="00731FF0"/>
    <w:rsid w:val="007327D5"/>
    <w:rsid w:val="007611CF"/>
    <w:rsid w:val="0076298A"/>
    <w:rsid w:val="007629C8"/>
    <w:rsid w:val="0077047D"/>
    <w:rsid w:val="00791D4A"/>
    <w:rsid w:val="007B6BA5"/>
    <w:rsid w:val="007C3390"/>
    <w:rsid w:val="007C4F4B"/>
    <w:rsid w:val="007C5B41"/>
    <w:rsid w:val="007D46D5"/>
    <w:rsid w:val="007E01E9"/>
    <w:rsid w:val="007E63F3"/>
    <w:rsid w:val="007F6611"/>
    <w:rsid w:val="007F7106"/>
    <w:rsid w:val="00811920"/>
    <w:rsid w:val="00815AD0"/>
    <w:rsid w:val="00822A36"/>
    <w:rsid w:val="00823895"/>
    <w:rsid w:val="008242D7"/>
    <w:rsid w:val="008257B1"/>
    <w:rsid w:val="00842E00"/>
    <w:rsid w:val="00843767"/>
    <w:rsid w:val="008517CC"/>
    <w:rsid w:val="008521A5"/>
    <w:rsid w:val="00863B75"/>
    <w:rsid w:val="008679D9"/>
    <w:rsid w:val="00871389"/>
    <w:rsid w:val="00874CB6"/>
    <w:rsid w:val="00883999"/>
    <w:rsid w:val="008878DE"/>
    <w:rsid w:val="008979B1"/>
    <w:rsid w:val="008A6B25"/>
    <w:rsid w:val="008A6C4F"/>
    <w:rsid w:val="008B2335"/>
    <w:rsid w:val="008B717B"/>
    <w:rsid w:val="008D517A"/>
    <w:rsid w:val="008E0678"/>
    <w:rsid w:val="00900921"/>
    <w:rsid w:val="0092212D"/>
    <w:rsid w:val="009223CA"/>
    <w:rsid w:val="0093296D"/>
    <w:rsid w:val="00940F93"/>
    <w:rsid w:val="0094558F"/>
    <w:rsid w:val="00961690"/>
    <w:rsid w:val="00966A2C"/>
    <w:rsid w:val="009760F3"/>
    <w:rsid w:val="00976E11"/>
    <w:rsid w:val="009A0E8D"/>
    <w:rsid w:val="009B1518"/>
    <w:rsid w:val="009B26E7"/>
    <w:rsid w:val="009B2D37"/>
    <w:rsid w:val="009B6669"/>
    <w:rsid w:val="009C3EED"/>
    <w:rsid w:val="009C454F"/>
    <w:rsid w:val="009D2A5B"/>
    <w:rsid w:val="009F6796"/>
    <w:rsid w:val="00A00A3F"/>
    <w:rsid w:val="00A01489"/>
    <w:rsid w:val="00A16E31"/>
    <w:rsid w:val="00A20C6A"/>
    <w:rsid w:val="00A3009E"/>
    <w:rsid w:val="00A3026E"/>
    <w:rsid w:val="00A338F1"/>
    <w:rsid w:val="00A72F22"/>
    <w:rsid w:val="00A7360F"/>
    <w:rsid w:val="00A748A6"/>
    <w:rsid w:val="00A769F4"/>
    <w:rsid w:val="00A776B4"/>
    <w:rsid w:val="00A81407"/>
    <w:rsid w:val="00A87FB9"/>
    <w:rsid w:val="00A9093D"/>
    <w:rsid w:val="00A94361"/>
    <w:rsid w:val="00AA293C"/>
    <w:rsid w:val="00AA44AF"/>
    <w:rsid w:val="00AC73CE"/>
    <w:rsid w:val="00AC7973"/>
    <w:rsid w:val="00AE08DA"/>
    <w:rsid w:val="00AE26D3"/>
    <w:rsid w:val="00AE53F8"/>
    <w:rsid w:val="00AF3993"/>
    <w:rsid w:val="00B04BBF"/>
    <w:rsid w:val="00B11BB4"/>
    <w:rsid w:val="00B175D8"/>
    <w:rsid w:val="00B22BC2"/>
    <w:rsid w:val="00B30179"/>
    <w:rsid w:val="00B421C1"/>
    <w:rsid w:val="00B55C71"/>
    <w:rsid w:val="00B56E4A"/>
    <w:rsid w:val="00B56E9C"/>
    <w:rsid w:val="00B61320"/>
    <w:rsid w:val="00B64B1F"/>
    <w:rsid w:val="00B6553F"/>
    <w:rsid w:val="00B70F1E"/>
    <w:rsid w:val="00B77D05"/>
    <w:rsid w:val="00B81206"/>
    <w:rsid w:val="00B81E12"/>
    <w:rsid w:val="00B857E8"/>
    <w:rsid w:val="00B85BCF"/>
    <w:rsid w:val="00BB7CD1"/>
    <w:rsid w:val="00BC3FA0"/>
    <w:rsid w:val="00BC676D"/>
    <w:rsid w:val="00BC74E9"/>
    <w:rsid w:val="00BF42CB"/>
    <w:rsid w:val="00BF68A8"/>
    <w:rsid w:val="00C01728"/>
    <w:rsid w:val="00C10FE6"/>
    <w:rsid w:val="00C11A03"/>
    <w:rsid w:val="00C13336"/>
    <w:rsid w:val="00C139BD"/>
    <w:rsid w:val="00C22C0C"/>
    <w:rsid w:val="00C255AF"/>
    <w:rsid w:val="00C30C61"/>
    <w:rsid w:val="00C35502"/>
    <w:rsid w:val="00C40B11"/>
    <w:rsid w:val="00C4527F"/>
    <w:rsid w:val="00C463DD"/>
    <w:rsid w:val="00C4724C"/>
    <w:rsid w:val="00C5737A"/>
    <w:rsid w:val="00C60CE5"/>
    <w:rsid w:val="00C629A0"/>
    <w:rsid w:val="00C64629"/>
    <w:rsid w:val="00C66EFC"/>
    <w:rsid w:val="00C745C3"/>
    <w:rsid w:val="00C76F8B"/>
    <w:rsid w:val="00C84264"/>
    <w:rsid w:val="00C92461"/>
    <w:rsid w:val="00C9513C"/>
    <w:rsid w:val="00CB3E03"/>
    <w:rsid w:val="00CE4A8F"/>
    <w:rsid w:val="00D05F67"/>
    <w:rsid w:val="00D2031B"/>
    <w:rsid w:val="00D24B99"/>
    <w:rsid w:val="00D25FE2"/>
    <w:rsid w:val="00D43252"/>
    <w:rsid w:val="00D47EEA"/>
    <w:rsid w:val="00D550D4"/>
    <w:rsid w:val="00D66A25"/>
    <w:rsid w:val="00D671B7"/>
    <w:rsid w:val="00D773DF"/>
    <w:rsid w:val="00D872AC"/>
    <w:rsid w:val="00D9255F"/>
    <w:rsid w:val="00D95303"/>
    <w:rsid w:val="00D978C6"/>
    <w:rsid w:val="00DA3C1C"/>
    <w:rsid w:val="00DC051A"/>
    <w:rsid w:val="00DC6B00"/>
    <w:rsid w:val="00DD29BD"/>
    <w:rsid w:val="00E046DF"/>
    <w:rsid w:val="00E15557"/>
    <w:rsid w:val="00E21531"/>
    <w:rsid w:val="00E2166B"/>
    <w:rsid w:val="00E240D2"/>
    <w:rsid w:val="00E27346"/>
    <w:rsid w:val="00E332F3"/>
    <w:rsid w:val="00E52D0E"/>
    <w:rsid w:val="00E56572"/>
    <w:rsid w:val="00E71610"/>
    <w:rsid w:val="00E71BC8"/>
    <w:rsid w:val="00E7260F"/>
    <w:rsid w:val="00E73F5D"/>
    <w:rsid w:val="00E76FD2"/>
    <w:rsid w:val="00E77E4E"/>
    <w:rsid w:val="00E96630"/>
    <w:rsid w:val="00EC106A"/>
    <w:rsid w:val="00EC1E8A"/>
    <w:rsid w:val="00ED7A2A"/>
    <w:rsid w:val="00EE474F"/>
    <w:rsid w:val="00EE6B3A"/>
    <w:rsid w:val="00EF1D7F"/>
    <w:rsid w:val="00F065AF"/>
    <w:rsid w:val="00F07FBD"/>
    <w:rsid w:val="00F206B0"/>
    <w:rsid w:val="00F31E5F"/>
    <w:rsid w:val="00F32BB7"/>
    <w:rsid w:val="00F41E7F"/>
    <w:rsid w:val="00F6100A"/>
    <w:rsid w:val="00F63C9D"/>
    <w:rsid w:val="00F66565"/>
    <w:rsid w:val="00F75A16"/>
    <w:rsid w:val="00F77958"/>
    <w:rsid w:val="00F861CE"/>
    <w:rsid w:val="00F92A22"/>
    <w:rsid w:val="00F93781"/>
    <w:rsid w:val="00FA61DC"/>
    <w:rsid w:val="00FB613B"/>
    <w:rsid w:val="00FB7677"/>
    <w:rsid w:val="00FC68B7"/>
    <w:rsid w:val="00FE106A"/>
    <w:rsid w:val="00FE7FA1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7"/>
    <o:shapelayout v:ext="edit">
      <o:idmap v:ext="edit" data="1"/>
    </o:shapelayout>
  </w:shapeDefaults>
  <w:decimalSymbol w:val="."/>
  <w:listSeparator w:val=","/>
  <w15:docId w15:val="{8F24058F-D11A-4558-B898-CCE5AD99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F7795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F7795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F7795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F7795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F7795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F7795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F7795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F7795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F7795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F7795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F77958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F77958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77958"/>
    <w:rPr>
      <w:rFonts w:cs="Courier New"/>
    </w:rPr>
  </w:style>
  <w:style w:type="paragraph" w:styleId="BodyText">
    <w:name w:val="Body Text"/>
    <w:basedOn w:val="Normal"/>
    <w:next w:val="Normal"/>
    <w:semiHidden/>
    <w:rsid w:val="00F77958"/>
  </w:style>
  <w:style w:type="paragraph" w:styleId="BodyTextIndent">
    <w:name w:val="Body Text Indent"/>
    <w:basedOn w:val="Normal"/>
    <w:semiHidden/>
    <w:rsid w:val="00F77958"/>
    <w:pPr>
      <w:spacing w:after="120"/>
      <w:ind w:left="283"/>
    </w:pPr>
  </w:style>
  <w:style w:type="paragraph" w:styleId="BlockText">
    <w:name w:val="Block Text"/>
    <w:basedOn w:val="Normal"/>
    <w:semiHidden/>
    <w:rsid w:val="00F77958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F77958"/>
    <w:rPr>
      <w:sz w:val="6"/>
    </w:rPr>
  </w:style>
  <w:style w:type="paragraph" w:styleId="CommentText">
    <w:name w:val="annotation text"/>
    <w:basedOn w:val="Normal"/>
    <w:link w:val="CommentTextChar"/>
    <w:semiHidden/>
    <w:rsid w:val="00F77958"/>
  </w:style>
  <w:style w:type="character" w:styleId="LineNumber">
    <w:name w:val="line number"/>
    <w:semiHidden/>
    <w:rsid w:val="00F77958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F7795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F7795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F7795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F7795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TitleChar">
    <w:name w:val="Title Char"/>
    <w:link w:val="Title"/>
    <w:rsid w:val="00BF42CB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NoteHead">
    <w:name w:val="NoteHead"/>
    <w:basedOn w:val="Normal"/>
    <w:next w:val="Normal"/>
    <w:rsid w:val="00BF42CB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character" w:customStyle="1" w:styleId="FooterChar">
    <w:name w:val="Footer Char"/>
    <w:aliases w:val="3_G Char"/>
    <w:link w:val="Footer"/>
    <w:uiPriority w:val="99"/>
    <w:rsid w:val="00BF42CB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BF42CB"/>
    <w:pPr>
      <w:suppressAutoHyphens w:val="0"/>
      <w:spacing w:line="240" w:lineRule="auto"/>
      <w:ind w:left="720"/>
      <w:contextualSpacing/>
    </w:pPr>
    <w:rPr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rsid w:val="00BF42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F42CB"/>
    <w:rPr>
      <w:rFonts w:ascii="Tahoma" w:hAnsi="Tahoma" w:cs="Tahoma"/>
      <w:sz w:val="16"/>
      <w:szCs w:val="16"/>
      <w:lang w:eastAsia="en-US"/>
    </w:rPr>
  </w:style>
  <w:style w:type="paragraph" w:customStyle="1" w:styleId="ISOClause">
    <w:name w:val="ISO_Clause"/>
    <w:basedOn w:val="Normal"/>
    <w:rsid w:val="00BF42CB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rsid w:val="00BF42CB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BF42CB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Default">
    <w:name w:val="Default"/>
    <w:rsid w:val="00BF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ISOParagraph">
    <w:name w:val="ISO_Paragraph"/>
    <w:basedOn w:val="Normal"/>
    <w:rsid w:val="00BF42CB"/>
    <w:pPr>
      <w:suppressAutoHyphens w:val="0"/>
      <w:spacing w:before="210" w:line="210" w:lineRule="exact"/>
    </w:pPr>
    <w:rPr>
      <w:rFonts w:ascii="Arial" w:hAnsi="Arial"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BF42CB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B4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5B41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C5B4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326">
          <w:marLeft w:val="0"/>
          <w:marRight w:val="0"/>
          <w:marTop w:val="0"/>
          <w:marBottom w:val="0"/>
          <w:divBdr>
            <w:top w:val="single" w:sz="12" w:space="4" w:color="D7DBFF"/>
            <w:left w:val="single" w:sz="12" w:space="4" w:color="D7DBFF"/>
            <w:bottom w:val="single" w:sz="12" w:space="4" w:color="D7DBFF"/>
            <w:right w:val="single" w:sz="12" w:space="4" w:color="D7DBFF"/>
          </w:divBdr>
          <w:divsChild>
            <w:div w:id="180985450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0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EF2FF"/>
                        <w:left w:val="single" w:sz="6" w:space="4" w:color="EEF2FF"/>
                        <w:bottom w:val="single" w:sz="6" w:space="4" w:color="EEF2FF"/>
                        <w:right w:val="single" w:sz="6" w:space="4" w:color="EEF2FF"/>
                      </w:divBdr>
                      <w:divsChild>
                        <w:div w:id="16880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tonella.difazio@telespazio.com" TargetMode="External"/><Relationship Id="rId18" Type="http://schemas.openxmlformats.org/officeDocument/2006/relationships/hyperlink" Target="mailto:cesar.gracia@novacom-services.com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mailto:danilo.giaquinto@mit.gov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lmut.rein@bmvi.bund.de" TargetMode="External"/><Relationship Id="rId17" Type="http://schemas.openxmlformats.org/officeDocument/2006/relationships/hyperlink" Target="mailto:Roh.Hathlia@dft.gsi.gov.u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claude.pfauvadel@equipement.gouv.fr" TargetMode="External"/><Relationship Id="rId20" Type="http://schemas.openxmlformats.org/officeDocument/2006/relationships/hyperlink" Target="mailto:sabrina.lia@mit.gov.it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philippe.raucq@spw.wallonie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lrich.mann@gbk-ingelheim.de" TargetMode="External"/><Relationship Id="rId23" Type="http://schemas.openxmlformats.org/officeDocument/2006/relationships/hyperlink" Target="mailto:Othmar.krammer@bmvit.gv.at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mailto:thierry.daguinos@geolocsystems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hristian.luepges@albrechtconsult.com" TargetMode="External"/><Relationship Id="rId22" Type="http://schemas.openxmlformats.org/officeDocument/2006/relationships/hyperlink" Target="mailto:Michael.Lichtenegger@net-man.at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9E7B-AD6F-49C1-8EE9-16E6A265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1785</Words>
  <Characters>10180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2</cp:revision>
  <cp:lastPrinted>2016-09-02T14:11:00Z</cp:lastPrinted>
  <dcterms:created xsi:type="dcterms:W3CDTF">2018-03-06T15:47:00Z</dcterms:created>
  <dcterms:modified xsi:type="dcterms:W3CDTF">2018-03-06T15:47:00Z</dcterms:modified>
</cp:coreProperties>
</file>