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3604F" w14:paraId="0509D102" w14:textId="77777777" w:rsidTr="001707B7">
        <w:trPr>
          <w:cantSplit/>
          <w:trHeight w:hRule="exact" w:val="851"/>
        </w:trPr>
        <w:tc>
          <w:tcPr>
            <w:tcW w:w="1276" w:type="dxa"/>
            <w:tcBorders>
              <w:bottom w:val="single" w:sz="4" w:space="0" w:color="auto"/>
            </w:tcBorders>
            <w:shd w:val="clear" w:color="auto" w:fill="auto"/>
            <w:vAlign w:val="bottom"/>
          </w:tcPr>
          <w:p w14:paraId="46D2B5FC" w14:textId="77777777" w:rsidR="00B56E9C" w:rsidRPr="00D3604F" w:rsidRDefault="007B168D" w:rsidP="001707B7">
            <w:pPr>
              <w:spacing w:after="80"/>
            </w:pPr>
            <w:r w:rsidRPr="00D3604F">
              <w:t xml:space="preserve"> </w:t>
            </w:r>
          </w:p>
        </w:tc>
        <w:tc>
          <w:tcPr>
            <w:tcW w:w="2268" w:type="dxa"/>
            <w:tcBorders>
              <w:bottom w:val="single" w:sz="4" w:space="0" w:color="auto"/>
            </w:tcBorders>
            <w:shd w:val="clear" w:color="auto" w:fill="auto"/>
            <w:vAlign w:val="bottom"/>
          </w:tcPr>
          <w:p w14:paraId="1C9C6F3F" w14:textId="77777777" w:rsidR="00B56E9C" w:rsidRPr="00D3604F" w:rsidRDefault="00B56E9C" w:rsidP="001707B7">
            <w:pPr>
              <w:spacing w:after="80" w:line="300" w:lineRule="exact"/>
              <w:rPr>
                <w:b/>
                <w:sz w:val="24"/>
                <w:szCs w:val="24"/>
              </w:rPr>
            </w:pPr>
            <w:r w:rsidRPr="00D3604F">
              <w:rPr>
                <w:sz w:val="28"/>
                <w:szCs w:val="28"/>
              </w:rPr>
              <w:t>United Nations</w:t>
            </w:r>
          </w:p>
        </w:tc>
        <w:tc>
          <w:tcPr>
            <w:tcW w:w="6095" w:type="dxa"/>
            <w:gridSpan w:val="2"/>
            <w:tcBorders>
              <w:bottom w:val="single" w:sz="4" w:space="0" w:color="auto"/>
            </w:tcBorders>
            <w:shd w:val="clear" w:color="auto" w:fill="auto"/>
            <w:vAlign w:val="bottom"/>
          </w:tcPr>
          <w:p w14:paraId="3864908A" w14:textId="77777777" w:rsidR="00B56E9C" w:rsidRPr="00D3604F" w:rsidRDefault="007A6E87" w:rsidP="002033E0">
            <w:pPr>
              <w:suppressAutoHyphens w:val="0"/>
              <w:spacing w:after="20"/>
              <w:jc w:val="right"/>
            </w:pPr>
            <w:r w:rsidRPr="00D3604F">
              <w:rPr>
                <w:sz w:val="40"/>
              </w:rPr>
              <w:t>ECE</w:t>
            </w:r>
            <w:r w:rsidRPr="00D3604F">
              <w:t>/TRANS/WP.15/AC.1/</w:t>
            </w:r>
            <w:r w:rsidR="00E84B4F">
              <w:t>150</w:t>
            </w:r>
          </w:p>
        </w:tc>
      </w:tr>
      <w:tr w:rsidR="00B56E9C" w:rsidRPr="00D3604F" w14:paraId="50EAEC10" w14:textId="77777777" w:rsidTr="001707B7">
        <w:trPr>
          <w:cantSplit/>
          <w:trHeight w:hRule="exact" w:val="2835"/>
        </w:trPr>
        <w:tc>
          <w:tcPr>
            <w:tcW w:w="1276" w:type="dxa"/>
            <w:tcBorders>
              <w:top w:val="single" w:sz="4" w:space="0" w:color="auto"/>
              <w:bottom w:val="single" w:sz="12" w:space="0" w:color="auto"/>
            </w:tcBorders>
            <w:shd w:val="clear" w:color="auto" w:fill="auto"/>
          </w:tcPr>
          <w:p w14:paraId="64A3E927" w14:textId="77777777" w:rsidR="00B56E9C" w:rsidRPr="00D3604F" w:rsidRDefault="00013EA8" w:rsidP="001707B7">
            <w:pPr>
              <w:spacing w:before="120"/>
            </w:pPr>
            <w:r>
              <w:rPr>
                <w:noProof/>
                <w:lang w:val="en-US"/>
              </w:rPr>
              <w:drawing>
                <wp:inline distT="0" distB="0" distL="0" distR="0" wp14:anchorId="271706A6" wp14:editId="3966DB2F">
                  <wp:extent cx="715645" cy="588645"/>
                  <wp:effectExtent l="19050" t="0" r="825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5645" cy="58864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7F347C8B" w14:textId="77777777" w:rsidR="00B56E9C" w:rsidRPr="00D3604F" w:rsidRDefault="00D773DF" w:rsidP="001707B7">
            <w:pPr>
              <w:spacing w:before="120" w:line="420" w:lineRule="exact"/>
              <w:rPr>
                <w:sz w:val="40"/>
                <w:szCs w:val="40"/>
              </w:rPr>
            </w:pPr>
            <w:r w:rsidRPr="00D3604F">
              <w:rPr>
                <w:b/>
                <w:sz w:val="40"/>
                <w:szCs w:val="40"/>
              </w:rPr>
              <w:t>Economic and Social Council</w:t>
            </w:r>
          </w:p>
        </w:tc>
        <w:tc>
          <w:tcPr>
            <w:tcW w:w="2835" w:type="dxa"/>
            <w:tcBorders>
              <w:top w:val="single" w:sz="4" w:space="0" w:color="auto"/>
              <w:bottom w:val="single" w:sz="12" w:space="0" w:color="auto"/>
            </w:tcBorders>
            <w:shd w:val="clear" w:color="auto" w:fill="auto"/>
          </w:tcPr>
          <w:p w14:paraId="1B9AD89C" w14:textId="77777777" w:rsidR="007A6E87" w:rsidRPr="00D3604F" w:rsidRDefault="007A6E87" w:rsidP="001707B7">
            <w:pPr>
              <w:suppressAutoHyphens w:val="0"/>
              <w:spacing w:before="240" w:line="240" w:lineRule="exact"/>
            </w:pPr>
            <w:r w:rsidRPr="00D3604F">
              <w:t>Distr.: General</w:t>
            </w:r>
          </w:p>
          <w:p w14:paraId="1E7492BE" w14:textId="6D9EFEC5" w:rsidR="007A6E87" w:rsidRPr="006C19BA" w:rsidRDefault="00CE249B" w:rsidP="001707B7">
            <w:pPr>
              <w:suppressAutoHyphens w:val="0"/>
            </w:pPr>
            <w:r>
              <w:t>10</w:t>
            </w:r>
            <w:r w:rsidR="00B0483C" w:rsidRPr="006C19BA">
              <w:t xml:space="preserve"> </w:t>
            </w:r>
            <w:r w:rsidR="00C70C31" w:rsidRPr="006C19BA">
              <w:t>April</w:t>
            </w:r>
            <w:r w:rsidR="00780F4A" w:rsidRPr="006C19BA">
              <w:t xml:space="preserve"> 201</w:t>
            </w:r>
            <w:r w:rsidR="00A55A83" w:rsidRPr="006C19BA">
              <w:t>8</w:t>
            </w:r>
          </w:p>
          <w:p w14:paraId="792E5418" w14:textId="07A0CD1F" w:rsidR="00A6710C" w:rsidRPr="00986EDC" w:rsidRDefault="00A6710C" w:rsidP="00A6710C">
            <w:pPr>
              <w:suppressAutoHyphens w:val="0"/>
              <w:rPr>
                <w:highlight w:val="yellow"/>
              </w:rPr>
            </w:pPr>
          </w:p>
          <w:p w14:paraId="015D0B18" w14:textId="313EA308" w:rsidR="007A6E87" w:rsidRPr="00D3604F" w:rsidRDefault="00A6710C" w:rsidP="00A6710C">
            <w:pPr>
              <w:suppressAutoHyphens w:val="0"/>
            </w:pPr>
            <w:r w:rsidRPr="006C19BA">
              <w:t>Original: English</w:t>
            </w:r>
            <w:r w:rsidRPr="00BB3B6B">
              <w:t xml:space="preserve"> </w:t>
            </w:r>
          </w:p>
          <w:p w14:paraId="697F3A42" w14:textId="77777777" w:rsidR="00B56E9C" w:rsidRPr="00D3604F" w:rsidRDefault="00B56E9C" w:rsidP="001707B7">
            <w:pPr>
              <w:suppressAutoHyphens w:val="0"/>
            </w:pPr>
          </w:p>
        </w:tc>
      </w:tr>
    </w:tbl>
    <w:p w14:paraId="5F6F114E" w14:textId="77777777" w:rsidR="00F67911" w:rsidRPr="00D3604F" w:rsidRDefault="00F67911">
      <w:pPr>
        <w:spacing w:before="120"/>
        <w:rPr>
          <w:b/>
          <w:sz w:val="28"/>
          <w:szCs w:val="28"/>
        </w:rPr>
      </w:pPr>
      <w:r w:rsidRPr="00D3604F">
        <w:rPr>
          <w:b/>
          <w:sz w:val="28"/>
          <w:szCs w:val="28"/>
        </w:rPr>
        <w:t>Economic Commission for Europe</w:t>
      </w:r>
    </w:p>
    <w:p w14:paraId="42F7C1F7" w14:textId="77777777" w:rsidR="00F67911" w:rsidRPr="00D3604F" w:rsidRDefault="00F67911" w:rsidP="00E92F5D">
      <w:pPr>
        <w:spacing w:before="120"/>
        <w:outlineLvl w:val="0"/>
        <w:rPr>
          <w:sz w:val="28"/>
          <w:szCs w:val="28"/>
        </w:rPr>
      </w:pPr>
      <w:r w:rsidRPr="00D3604F">
        <w:rPr>
          <w:sz w:val="28"/>
          <w:szCs w:val="28"/>
        </w:rPr>
        <w:t>Inland Transport Committee</w:t>
      </w:r>
    </w:p>
    <w:p w14:paraId="35D8F866" w14:textId="77777777" w:rsidR="00F67911" w:rsidRPr="00D3604F" w:rsidRDefault="00F67911" w:rsidP="00E92F5D">
      <w:pPr>
        <w:spacing w:before="120"/>
        <w:outlineLvl w:val="0"/>
        <w:rPr>
          <w:b/>
          <w:sz w:val="24"/>
          <w:szCs w:val="24"/>
        </w:rPr>
      </w:pPr>
      <w:r w:rsidRPr="00D3604F">
        <w:rPr>
          <w:b/>
          <w:sz w:val="24"/>
          <w:szCs w:val="24"/>
        </w:rPr>
        <w:t>Working Party on the Transport of Dangerous Goods</w:t>
      </w:r>
    </w:p>
    <w:p w14:paraId="5FBE2876" w14:textId="77777777" w:rsidR="007A6E87" w:rsidRPr="00D3604F" w:rsidRDefault="007D629E" w:rsidP="00F67911">
      <w:pPr>
        <w:spacing w:before="120"/>
        <w:rPr>
          <w:b/>
        </w:rPr>
      </w:pPr>
      <w:r w:rsidRPr="00D3604F">
        <w:rPr>
          <w:b/>
        </w:rPr>
        <w:t>Joint M</w:t>
      </w:r>
      <w:r w:rsidR="00F67911" w:rsidRPr="00D3604F">
        <w:rPr>
          <w:b/>
        </w:rPr>
        <w:t>eeting of the RID Committee of Experts and the</w:t>
      </w:r>
      <w:r w:rsidR="00F67911" w:rsidRPr="00D3604F">
        <w:rPr>
          <w:b/>
        </w:rPr>
        <w:br/>
        <w:t>Working Party on the Transport of Dangerous Goods</w:t>
      </w:r>
    </w:p>
    <w:p w14:paraId="1D2314AE" w14:textId="77777777" w:rsidR="00F67911" w:rsidRPr="00B85F40" w:rsidRDefault="00F67911" w:rsidP="009C737B">
      <w:pPr>
        <w:pStyle w:val="HChG"/>
      </w:pPr>
      <w:r w:rsidRPr="00D3604F">
        <w:tab/>
      </w:r>
      <w:r w:rsidRPr="00D3604F">
        <w:tab/>
        <w:t xml:space="preserve">Report of the Joint Meeting of the RID Committee of Experts and the Working Party on the Transport of Dangerous Goods on its </w:t>
      </w:r>
      <w:r w:rsidR="003812A1" w:rsidRPr="00D3604F">
        <w:t>spring 201</w:t>
      </w:r>
      <w:r w:rsidR="00E84B4F">
        <w:t>8</w:t>
      </w:r>
      <w:r w:rsidR="00A638D7" w:rsidRPr="00D3604F">
        <w:t xml:space="preserve"> session</w:t>
      </w:r>
      <w:r w:rsidR="00B85F40" w:rsidRPr="00B85F40">
        <w:rPr>
          <w:rStyle w:val="FootnoteReference"/>
          <w:sz w:val="20"/>
          <w:vertAlign w:val="baseline"/>
        </w:rPr>
        <w:footnoteReference w:id="2"/>
      </w:r>
    </w:p>
    <w:p w14:paraId="65DD1A92" w14:textId="72A4E120" w:rsidR="00F67911" w:rsidRPr="00D3604F" w:rsidRDefault="00671767" w:rsidP="00671767">
      <w:pPr>
        <w:pStyle w:val="H56G"/>
      </w:pPr>
      <w:r w:rsidRPr="00D3604F">
        <w:tab/>
      </w:r>
      <w:r w:rsidRPr="00D3604F">
        <w:tab/>
      </w:r>
      <w:r w:rsidR="007D629E" w:rsidRPr="00D3604F">
        <w:t>h</w:t>
      </w:r>
      <w:r w:rsidR="00800004" w:rsidRPr="00D3604F">
        <w:t xml:space="preserve">eld </w:t>
      </w:r>
      <w:r w:rsidR="00F67911" w:rsidRPr="00D3604F">
        <w:t xml:space="preserve">in </w:t>
      </w:r>
      <w:r w:rsidR="003812A1" w:rsidRPr="00D3604F">
        <w:t>Bern</w:t>
      </w:r>
      <w:r w:rsidR="00F67911" w:rsidRPr="00D3604F">
        <w:t xml:space="preserve"> from </w:t>
      </w:r>
      <w:r w:rsidR="00B35F15" w:rsidRPr="00D3604F">
        <w:t>1</w:t>
      </w:r>
      <w:r w:rsidR="00E84B4F">
        <w:t>2</w:t>
      </w:r>
      <w:r w:rsidR="00446E03">
        <w:t xml:space="preserve"> to </w:t>
      </w:r>
      <w:r w:rsidR="00B35F15" w:rsidRPr="00D3604F">
        <w:t>1</w:t>
      </w:r>
      <w:r w:rsidR="00E84B4F">
        <w:t>6</w:t>
      </w:r>
      <w:r w:rsidR="00E02837" w:rsidRPr="00D3604F">
        <w:t xml:space="preserve"> </w:t>
      </w:r>
      <w:r w:rsidR="003812A1" w:rsidRPr="00D3604F">
        <w:t>March</w:t>
      </w:r>
      <w:r w:rsidR="00BF32BE" w:rsidRPr="00D3604F">
        <w:t xml:space="preserve"> 201</w:t>
      </w:r>
      <w:r w:rsidR="00E84B4F">
        <w:t>8</w:t>
      </w:r>
    </w:p>
    <w:p w14:paraId="6E513831" w14:textId="77777777" w:rsidR="00664FF5" w:rsidRPr="00D3604F" w:rsidRDefault="006D5FCA" w:rsidP="00664FF5">
      <w:pPr>
        <w:spacing w:after="60"/>
        <w:outlineLvl w:val="0"/>
        <w:rPr>
          <w:sz w:val="28"/>
          <w:lang w:val="fr-CH"/>
        </w:rPr>
      </w:pPr>
      <w:r w:rsidRPr="00D3604F">
        <w:tab/>
      </w:r>
      <w:r w:rsidR="00664FF5" w:rsidRPr="00D3604F">
        <w:rPr>
          <w:sz w:val="28"/>
          <w:lang w:val="fr-CH"/>
        </w:rPr>
        <w:t>Contents</w:t>
      </w:r>
    </w:p>
    <w:p w14:paraId="3CE591E2" w14:textId="77777777" w:rsidR="00664FF5" w:rsidRPr="00D3604F" w:rsidRDefault="00664FF5" w:rsidP="00664FF5">
      <w:pPr>
        <w:tabs>
          <w:tab w:val="right" w:pos="8929"/>
          <w:tab w:val="right" w:pos="9638"/>
        </w:tabs>
        <w:spacing w:after="120"/>
        <w:ind w:left="284"/>
        <w:rPr>
          <w:lang w:val="fr-CH"/>
        </w:rPr>
      </w:pPr>
      <w:r w:rsidRPr="00D3604F">
        <w:rPr>
          <w:i/>
          <w:sz w:val="18"/>
          <w:lang w:val="fr-CH"/>
        </w:rPr>
        <w:tab/>
      </w:r>
      <w:proofErr w:type="spellStart"/>
      <w:r w:rsidRPr="00D3604F">
        <w:rPr>
          <w:i/>
          <w:sz w:val="18"/>
          <w:lang w:val="fr-CH"/>
        </w:rPr>
        <w:t>Paragraphs</w:t>
      </w:r>
      <w:proofErr w:type="spellEnd"/>
      <w:r w:rsidRPr="00D3604F">
        <w:rPr>
          <w:i/>
          <w:sz w:val="18"/>
          <w:lang w:val="fr-CH"/>
        </w:rPr>
        <w:tab/>
        <w:t>Page</w:t>
      </w:r>
    </w:p>
    <w:p w14:paraId="4E1A5C19" w14:textId="72D11ED3" w:rsidR="00241D6D" w:rsidRPr="00D3604F" w:rsidRDefault="00241D6D" w:rsidP="00241D6D">
      <w:pPr>
        <w:tabs>
          <w:tab w:val="right" w:pos="850"/>
          <w:tab w:val="left" w:pos="1134"/>
          <w:tab w:val="left" w:pos="1559"/>
          <w:tab w:val="left" w:pos="1984"/>
          <w:tab w:val="left" w:leader="dot" w:pos="7654"/>
          <w:tab w:val="right" w:pos="8929"/>
          <w:tab w:val="right" w:pos="9638"/>
        </w:tabs>
        <w:spacing w:after="120"/>
      </w:pPr>
      <w:r>
        <w:tab/>
      </w:r>
      <w:r w:rsidRPr="00D3604F">
        <w:t>I.</w:t>
      </w:r>
      <w:r w:rsidRPr="00D3604F">
        <w:tab/>
      </w:r>
      <w:r w:rsidRPr="00673C82">
        <w:t>Attendance</w:t>
      </w:r>
      <w:r w:rsidRPr="00D3604F">
        <w:tab/>
      </w:r>
      <w:r w:rsidR="00544879">
        <w:tab/>
        <w:t>1-3</w:t>
      </w:r>
      <w:r w:rsidR="00544879">
        <w:tab/>
        <w:t>4</w:t>
      </w:r>
    </w:p>
    <w:p w14:paraId="644C127B" w14:textId="4BB9A58A" w:rsidR="00241D6D" w:rsidRPr="00D3604F" w:rsidRDefault="00241D6D" w:rsidP="00241D6D">
      <w:pPr>
        <w:tabs>
          <w:tab w:val="right" w:pos="850"/>
          <w:tab w:val="left" w:pos="1134"/>
          <w:tab w:val="left" w:pos="1559"/>
          <w:tab w:val="left" w:pos="1984"/>
          <w:tab w:val="left" w:leader="dot" w:pos="7654"/>
          <w:tab w:val="right" w:pos="8929"/>
          <w:tab w:val="right" w:pos="9638"/>
        </w:tabs>
        <w:spacing w:after="120"/>
      </w:pPr>
      <w:r w:rsidRPr="00D3604F">
        <w:tab/>
        <w:t>II.</w:t>
      </w:r>
      <w:r w:rsidRPr="00D3604F">
        <w:tab/>
      </w:r>
      <w:r w:rsidRPr="00673C82">
        <w:t>Adoption of the agenda (agenda item 1)</w:t>
      </w:r>
      <w:r>
        <w:tab/>
      </w:r>
      <w:r w:rsidR="00544879">
        <w:tab/>
        <w:t>4</w:t>
      </w:r>
      <w:r w:rsidR="00544879">
        <w:tab/>
        <w:t>4</w:t>
      </w:r>
    </w:p>
    <w:p w14:paraId="556DEBFF" w14:textId="62AF1ADD" w:rsidR="00241D6D"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3604F">
        <w:t>III.</w:t>
      </w:r>
      <w:r w:rsidRPr="00D3604F">
        <w:tab/>
      </w:r>
      <w:r w:rsidRPr="00D3604F">
        <w:tab/>
      </w:r>
      <w:r w:rsidRPr="00673C82">
        <w:t>Tanks (agenda item 2)</w:t>
      </w:r>
      <w:r>
        <w:tab/>
      </w:r>
      <w:r w:rsidR="00544879">
        <w:tab/>
        <w:t>5-7</w:t>
      </w:r>
      <w:r w:rsidR="00544879">
        <w:tab/>
      </w:r>
      <w:r w:rsidR="00236DEB">
        <w:t>4</w:t>
      </w:r>
    </w:p>
    <w:p w14:paraId="22FA68EA" w14:textId="43772A6B" w:rsidR="00241D6D"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3604F">
        <w:tab/>
        <w:t>IV.</w:t>
      </w:r>
      <w:r w:rsidRPr="00D3604F">
        <w:tab/>
      </w:r>
      <w:r w:rsidRPr="00673C82">
        <w:t>Standards (agenda item 3)</w:t>
      </w:r>
      <w:r w:rsidRPr="00D3604F">
        <w:tab/>
      </w:r>
      <w:r w:rsidR="00544879">
        <w:tab/>
        <w:t>8-11</w:t>
      </w:r>
      <w:r w:rsidR="00544879">
        <w:tab/>
        <w:t>5</w:t>
      </w:r>
    </w:p>
    <w:p w14:paraId="0012016E" w14:textId="3CC99446" w:rsidR="00241D6D" w:rsidRDefault="00241D6D" w:rsidP="00241D6D">
      <w:pPr>
        <w:tabs>
          <w:tab w:val="left" w:pos="1134"/>
          <w:tab w:val="left" w:pos="1570"/>
          <w:tab w:val="left" w:pos="1984"/>
          <w:tab w:val="left" w:leader="dot" w:pos="7654"/>
          <w:tab w:val="right" w:pos="8929"/>
          <w:tab w:val="right" w:pos="9638"/>
        </w:tabs>
        <w:spacing w:after="120"/>
        <w:ind w:left="1570" w:hanging="970"/>
      </w:pPr>
      <w:r w:rsidRPr="00D3604F">
        <w:t>V.</w:t>
      </w:r>
      <w:r w:rsidRPr="00D3604F">
        <w:tab/>
      </w:r>
      <w:r w:rsidR="00855716" w:rsidRPr="00673C82">
        <w:t>Interpretation of RID/ADR/ADN (agenda item 4)</w:t>
      </w:r>
      <w:r w:rsidRPr="00D3604F">
        <w:tab/>
      </w:r>
      <w:r w:rsidR="00544879">
        <w:tab/>
        <w:t>12-17</w:t>
      </w:r>
      <w:r w:rsidR="00544879">
        <w:tab/>
        <w:t>6</w:t>
      </w:r>
    </w:p>
    <w:p w14:paraId="1D74B064" w14:textId="7C2FD4BC" w:rsidR="00446E03" w:rsidRDefault="00446E03" w:rsidP="00241D6D">
      <w:pPr>
        <w:tabs>
          <w:tab w:val="left" w:pos="1134"/>
          <w:tab w:val="left" w:pos="1570"/>
          <w:tab w:val="left" w:pos="1984"/>
          <w:tab w:val="left" w:leader="dot" w:pos="7654"/>
          <w:tab w:val="right" w:pos="8929"/>
          <w:tab w:val="right" w:pos="9638"/>
        </w:tabs>
        <w:spacing w:after="120"/>
        <w:ind w:left="1570" w:hanging="970"/>
      </w:pPr>
      <w:r>
        <w:tab/>
        <w:t>A.</w:t>
      </w:r>
      <w:r>
        <w:tab/>
        <w:t>Application of special provision CW24/CV24</w:t>
      </w:r>
      <w:r>
        <w:tab/>
      </w:r>
      <w:r w:rsidR="00544879">
        <w:tab/>
        <w:t>12-14</w:t>
      </w:r>
      <w:r w:rsidR="00544879">
        <w:tab/>
        <w:t>6</w:t>
      </w:r>
    </w:p>
    <w:p w14:paraId="162892FC" w14:textId="3D46B726" w:rsidR="00446E03" w:rsidRDefault="00446E03" w:rsidP="00241D6D">
      <w:pPr>
        <w:tabs>
          <w:tab w:val="left" w:pos="1134"/>
          <w:tab w:val="left" w:pos="1570"/>
          <w:tab w:val="left" w:pos="1984"/>
          <w:tab w:val="left" w:leader="dot" w:pos="7654"/>
          <w:tab w:val="right" w:pos="8929"/>
          <w:tab w:val="right" w:pos="9638"/>
        </w:tabs>
        <w:spacing w:after="120"/>
        <w:ind w:left="1570" w:hanging="970"/>
      </w:pPr>
      <w:r>
        <w:tab/>
        <w:t>B.</w:t>
      </w:r>
      <w:r>
        <w:tab/>
        <w:t xml:space="preserve">Use of used </w:t>
      </w:r>
      <w:proofErr w:type="spellStart"/>
      <w:r>
        <w:t>packagings</w:t>
      </w:r>
      <w:proofErr w:type="spellEnd"/>
      <w:r>
        <w:t xml:space="preserve"> for the carriage of dangerous goods</w:t>
      </w:r>
      <w:r>
        <w:tab/>
      </w:r>
      <w:r w:rsidR="00544879">
        <w:tab/>
        <w:t>15</w:t>
      </w:r>
      <w:r w:rsidR="00544879">
        <w:tab/>
        <w:t>7</w:t>
      </w:r>
    </w:p>
    <w:p w14:paraId="7022BE58" w14:textId="3E5C37DB" w:rsidR="00446E03" w:rsidRPr="00D3604F" w:rsidRDefault="00446E03" w:rsidP="00BD11AA">
      <w:pPr>
        <w:tabs>
          <w:tab w:val="left" w:pos="1134"/>
          <w:tab w:val="left" w:pos="1570"/>
          <w:tab w:val="left" w:pos="1984"/>
          <w:tab w:val="left" w:leader="dot" w:pos="7654"/>
          <w:tab w:val="right" w:pos="8929"/>
          <w:tab w:val="right" w:pos="9638"/>
        </w:tabs>
        <w:spacing w:after="120"/>
        <w:ind w:left="1570" w:hanging="970"/>
      </w:pPr>
      <w:r>
        <w:tab/>
        <w:t>C.</w:t>
      </w:r>
      <w:r>
        <w:tab/>
        <w:t>Discrepancies and additions to danger labels and placards</w:t>
      </w:r>
      <w:r>
        <w:tab/>
      </w:r>
      <w:r w:rsidR="00544879">
        <w:tab/>
        <w:t>16-17</w:t>
      </w:r>
      <w:r w:rsidR="00544879">
        <w:tab/>
        <w:t>7</w:t>
      </w:r>
    </w:p>
    <w:p w14:paraId="4DCD8924" w14:textId="6D6F3650" w:rsidR="00241D6D" w:rsidRDefault="00241D6D" w:rsidP="00241D6D">
      <w:pPr>
        <w:tabs>
          <w:tab w:val="left" w:pos="1134"/>
          <w:tab w:val="left" w:pos="1570"/>
          <w:tab w:val="left" w:pos="1984"/>
          <w:tab w:val="left" w:leader="dot" w:pos="7654"/>
          <w:tab w:val="right" w:pos="8929"/>
          <w:tab w:val="right" w:pos="9638"/>
        </w:tabs>
        <w:spacing w:after="120"/>
        <w:ind w:left="1570" w:hanging="970"/>
      </w:pPr>
      <w:r w:rsidRPr="00D3604F">
        <w:t>VI.</w:t>
      </w:r>
      <w:r w:rsidRPr="00D3604F">
        <w:tab/>
      </w:r>
      <w:r w:rsidR="006317D3" w:rsidRPr="005C638A">
        <w:t>Proposals</w:t>
      </w:r>
      <w:r w:rsidR="006317D3">
        <w:t xml:space="preserve"> for amendments to RID/ADR/ADN </w:t>
      </w:r>
      <w:r w:rsidR="006317D3" w:rsidRPr="00673C82">
        <w:t xml:space="preserve">(agenda item </w:t>
      </w:r>
      <w:r w:rsidR="006317D3">
        <w:t>5</w:t>
      </w:r>
      <w:r w:rsidR="006317D3" w:rsidRPr="00673C82">
        <w:t>)</w:t>
      </w:r>
      <w:r w:rsidRPr="00D3604F">
        <w:tab/>
      </w:r>
      <w:r w:rsidR="00544879">
        <w:tab/>
        <w:t>18-54</w:t>
      </w:r>
      <w:r w:rsidR="00544879">
        <w:tab/>
        <w:t>7</w:t>
      </w:r>
    </w:p>
    <w:p w14:paraId="6112FC0D" w14:textId="1FE45A0B" w:rsidR="00241D6D" w:rsidRDefault="00241D6D" w:rsidP="00241D6D">
      <w:pPr>
        <w:tabs>
          <w:tab w:val="right" w:pos="850"/>
          <w:tab w:val="left" w:pos="1134"/>
          <w:tab w:val="left" w:pos="1570"/>
          <w:tab w:val="left" w:pos="1984"/>
          <w:tab w:val="left" w:leader="dot" w:pos="7654"/>
          <w:tab w:val="right" w:pos="8929"/>
          <w:tab w:val="right" w:pos="9638"/>
        </w:tabs>
        <w:spacing w:after="120"/>
        <w:ind w:left="1570" w:hanging="970"/>
      </w:pPr>
      <w:r w:rsidRPr="00D779B7">
        <w:tab/>
      </w:r>
      <w:r w:rsidRPr="00D779B7">
        <w:tab/>
        <w:t>A.</w:t>
      </w:r>
      <w:r w:rsidRPr="00D779B7">
        <w:tab/>
      </w:r>
      <w:r w:rsidR="006317D3" w:rsidRPr="007650F3">
        <w:t>Pending issues</w:t>
      </w:r>
      <w:r w:rsidRPr="00D779B7">
        <w:tab/>
      </w:r>
      <w:r w:rsidR="00544879">
        <w:tab/>
        <w:t>18-22</w:t>
      </w:r>
      <w:r w:rsidR="00544879">
        <w:tab/>
        <w:t>7</w:t>
      </w:r>
    </w:p>
    <w:p w14:paraId="115E8932" w14:textId="522B2DFC" w:rsidR="00446E03" w:rsidRDefault="00446E03" w:rsidP="006C19BA">
      <w:pPr>
        <w:tabs>
          <w:tab w:val="right" w:pos="850"/>
          <w:tab w:val="left" w:pos="1134"/>
          <w:tab w:val="left" w:pos="1570"/>
          <w:tab w:val="left" w:pos="1984"/>
          <w:tab w:val="left" w:leader="dot" w:pos="7654"/>
          <w:tab w:val="right" w:pos="8929"/>
          <w:tab w:val="right" w:pos="9638"/>
        </w:tabs>
        <w:spacing w:after="120"/>
        <w:ind w:left="1980" w:hanging="1380"/>
      </w:pPr>
      <w:r>
        <w:tab/>
      </w:r>
      <w:r>
        <w:tab/>
      </w:r>
      <w:r>
        <w:tab/>
        <w:t>1.</w:t>
      </w:r>
      <w:r>
        <w:tab/>
        <w:t xml:space="preserve">Additional provisions for goods of Class 1 in 5.2.1.5: </w:t>
      </w:r>
      <w:r>
        <w:br/>
        <w:t>Languages to be used for marks</w:t>
      </w:r>
      <w:r>
        <w:tab/>
      </w:r>
      <w:r w:rsidR="00544879">
        <w:tab/>
        <w:t>18</w:t>
      </w:r>
      <w:r w:rsidR="00544879">
        <w:tab/>
        <w:t>7</w:t>
      </w:r>
    </w:p>
    <w:p w14:paraId="3E6C39F3" w14:textId="203E5BE2" w:rsidR="00446E03" w:rsidRDefault="00446E03" w:rsidP="003D3238">
      <w:pPr>
        <w:tabs>
          <w:tab w:val="right" w:pos="850"/>
          <w:tab w:val="left" w:pos="1134"/>
          <w:tab w:val="left" w:pos="1570"/>
          <w:tab w:val="left" w:pos="1984"/>
          <w:tab w:val="left" w:leader="dot" w:pos="7654"/>
          <w:tab w:val="right" w:pos="8929"/>
          <w:tab w:val="right" w:pos="9638"/>
        </w:tabs>
        <w:spacing w:after="100" w:line="220" w:lineRule="atLeast"/>
        <w:ind w:left="1979" w:hanging="1378"/>
      </w:pPr>
      <w:r>
        <w:lastRenderedPageBreak/>
        <w:tab/>
      </w:r>
      <w:r>
        <w:tab/>
      </w:r>
      <w:r>
        <w:tab/>
        <w:t>2.</w:t>
      </w:r>
      <w:r>
        <w:tab/>
        <w:t>Amendment to 1.1.3.6.3</w:t>
      </w:r>
      <w:r>
        <w:tab/>
      </w:r>
      <w:r w:rsidR="00544879">
        <w:tab/>
        <w:t>19</w:t>
      </w:r>
      <w:r w:rsidR="00544879">
        <w:tab/>
        <w:t>7</w:t>
      </w:r>
    </w:p>
    <w:p w14:paraId="77FFCEDB" w14:textId="7A8C2516" w:rsidR="00446E03" w:rsidRDefault="00446E03" w:rsidP="003D3238">
      <w:pPr>
        <w:tabs>
          <w:tab w:val="right" w:pos="850"/>
          <w:tab w:val="left" w:pos="1134"/>
          <w:tab w:val="left" w:pos="1570"/>
          <w:tab w:val="left" w:pos="1984"/>
          <w:tab w:val="left" w:leader="dot" w:pos="7654"/>
          <w:tab w:val="right" w:pos="8929"/>
          <w:tab w:val="right" w:pos="9638"/>
        </w:tabs>
        <w:spacing w:after="100" w:line="220" w:lineRule="atLeast"/>
        <w:ind w:left="1979" w:hanging="1378"/>
      </w:pPr>
      <w:r>
        <w:tab/>
      </w:r>
      <w:r>
        <w:tab/>
      </w:r>
      <w:r>
        <w:tab/>
        <w:t>3.</w:t>
      </w:r>
      <w:r>
        <w:tab/>
        <w:t>Amendments to RID/ADR/ADN for entry into force on 1 January 2019</w:t>
      </w:r>
      <w:r w:rsidR="00544879">
        <w:tab/>
        <w:t>20</w:t>
      </w:r>
      <w:r w:rsidR="00544879">
        <w:tab/>
        <w:t>7</w:t>
      </w:r>
    </w:p>
    <w:p w14:paraId="557EC063" w14:textId="1254E45C" w:rsidR="00446E03" w:rsidRDefault="00446E03" w:rsidP="003D3238">
      <w:pPr>
        <w:tabs>
          <w:tab w:val="right" w:pos="850"/>
          <w:tab w:val="left" w:pos="1134"/>
          <w:tab w:val="left" w:pos="1570"/>
          <w:tab w:val="left" w:pos="1984"/>
          <w:tab w:val="left" w:leader="dot" w:pos="7654"/>
          <w:tab w:val="right" w:pos="8929"/>
          <w:tab w:val="right" w:pos="9638"/>
        </w:tabs>
        <w:spacing w:after="100" w:line="220" w:lineRule="atLeast"/>
        <w:ind w:left="1979" w:hanging="1378"/>
      </w:pPr>
      <w:r>
        <w:tab/>
      </w:r>
      <w:r>
        <w:tab/>
      </w:r>
      <w:r>
        <w:tab/>
        <w:t>4.</w:t>
      </w:r>
      <w:r>
        <w:tab/>
        <w:t>New provisions governing the lithium battery test summary</w:t>
      </w:r>
      <w:r>
        <w:tab/>
      </w:r>
      <w:r w:rsidR="00544879">
        <w:tab/>
        <w:t>21</w:t>
      </w:r>
      <w:r w:rsidR="00544879">
        <w:tab/>
        <w:t>8</w:t>
      </w:r>
    </w:p>
    <w:p w14:paraId="25A4B776" w14:textId="124E0FEC" w:rsidR="00446E03" w:rsidRPr="00D779B7" w:rsidRDefault="00446E03" w:rsidP="00446E03">
      <w:pPr>
        <w:tabs>
          <w:tab w:val="right" w:pos="850"/>
          <w:tab w:val="left" w:pos="1134"/>
          <w:tab w:val="left" w:pos="1570"/>
          <w:tab w:val="left" w:pos="1984"/>
          <w:tab w:val="left" w:leader="dot" w:pos="7654"/>
          <w:tab w:val="right" w:pos="8929"/>
          <w:tab w:val="right" w:pos="9638"/>
        </w:tabs>
        <w:spacing w:after="120"/>
        <w:ind w:left="1570" w:hanging="970"/>
      </w:pPr>
      <w:r>
        <w:tab/>
      </w:r>
      <w:r>
        <w:tab/>
      </w:r>
      <w:r>
        <w:tab/>
        <w:t>5.</w:t>
      </w:r>
      <w:r>
        <w:tab/>
        <w:t>Specification of the requirements for the protection of valves in 4.1.6.8</w:t>
      </w:r>
      <w:r w:rsidR="00544879">
        <w:tab/>
        <w:t>22</w:t>
      </w:r>
      <w:r w:rsidR="00544879">
        <w:tab/>
        <w:t>8</w:t>
      </w:r>
    </w:p>
    <w:p w14:paraId="305C5B43" w14:textId="2DD741A7" w:rsidR="00241D6D" w:rsidRDefault="00426D58" w:rsidP="003D3238">
      <w:pPr>
        <w:tabs>
          <w:tab w:val="right" w:pos="850"/>
          <w:tab w:val="left" w:pos="1134"/>
          <w:tab w:val="left" w:pos="1570"/>
          <w:tab w:val="left" w:pos="1984"/>
          <w:tab w:val="left" w:leader="dot" w:pos="7654"/>
          <w:tab w:val="right" w:pos="8929"/>
          <w:tab w:val="right" w:pos="9638"/>
        </w:tabs>
        <w:spacing w:after="120" w:line="220" w:lineRule="atLeast"/>
        <w:ind w:left="1571" w:hanging="970"/>
      </w:pPr>
      <w:r>
        <w:tab/>
      </w:r>
      <w:r w:rsidR="00E84B4F">
        <w:tab/>
      </w:r>
      <w:r w:rsidR="00241D6D">
        <w:t>B</w:t>
      </w:r>
      <w:r w:rsidR="00241D6D" w:rsidRPr="00D779B7">
        <w:t>.</w:t>
      </w:r>
      <w:r w:rsidR="00241D6D" w:rsidRPr="00D779B7">
        <w:tab/>
      </w:r>
      <w:r w:rsidR="006317D3" w:rsidRPr="00E218D7">
        <w:t>New proposals</w:t>
      </w:r>
      <w:r w:rsidR="00241D6D" w:rsidRPr="00D779B7">
        <w:tab/>
      </w:r>
      <w:r w:rsidR="00544879">
        <w:tab/>
        <w:t>23-54</w:t>
      </w:r>
      <w:r w:rsidR="00544879">
        <w:tab/>
        <w:t>8</w:t>
      </w:r>
    </w:p>
    <w:p w14:paraId="4F2842C0" w14:textId="757CA648" w:rsidR="00446E03" w:rsidRDefault="00446E03" w:rsidP="003D3238">
      <w:pPr>
        <w:tabs>
          <w:tab w:val="right" w:pos="850"/>
          <w:tab w:val="left" w:pos="1134"/>
          <w:tab w:val="left" w:pos="1570"/>
          <w:tab w:val="left" w:pos="1984"/>
          <w:tab w:val="left" w:leader="dot" w:pos="7654"/>
          <w:tab w:val="right" w:pos="8929"/>
          <w:tab w:val="right" w:pos="9638"/>
        </w:tabs>
        <w:spacing w:after="120" w:line="220" w:lineRule="atLeast"/>
        <w:ind w:left="1571" w:hanging="970"/>
      </w:pPr>
      <w:r>
        <w:tab/>
      </w:r>
      <w:r>
        <w:tab/>
      </w:r>
      <w:r>
        <w:tab/>
        <w:t>1.</w:t>
      </w:r>
      <w:r>
        <w:tab/>
        <w:t>Online refresher training for drivers of dangerous goods</w:t>
      </w:r>
      <w:r>
        <w:tab/>
      </w:r>
      <w:r w:rsidR="00544879">
        <w:tab/>
        <w:t>23-26</w:t>
      </w:r>
      <w:r w:rsidR="00544879">
        <w:tab/>
        <w:t>8</w:t>
      </w:r>
    </w:p>
    <w:p w14:paraId="1001CEAC" w14:textId="02B19FA2" w:rsidR="00446E03" w:rsidRDefault="00446E03" w:rsidP="003D3238">
      <w:pPr>
        <w:tabs>
          <w:tab w:val="right" w:pos="850"/>
          <w:tab w:val="left" w:pos="1134"/>
          <w:tab w:val="left" w:pos="1570"/>
          <w:tab w:val="left" w:pos="1984"/>
          <w:tab w:val="left" w:leader="dot" w:pos="7654"/>
          <w:tab w:val="right" w:pos="8929"/>
          <w:tab w:val="right" w:pos="9638"/>
        </w:tabs>
        <w:spacing w:after="120" w:line="220" w:lineRule="atLeast"/>
        <w:ind w:left="1571" w:hanging="970"/>
      </w:pPr>
      <w:r>
        <w:tab/>
      </w:r>
      <w:r>
        <w:tab/>
      </w:r>
      <w:r>
        <w:tab/>
        <w:t>2.</w:t>
      </w:r>
      <w:r>
        <w:tab/>
        <w:t>Marking of wagons and containers loaded with limited quantities</w:t>
      </w:r>
      <w:r>
        <w:tab/>
      </w:r>
      <w:r w:rsidR="00544879">
        <w:tab/>
        <w:t>27-30</w:t>
      </w:r>
      <w:r w:rsidR="00544879">
        <w:tab/>
        <w:t>9</w:t>
      </w:r>
    </w:p>
    <w:p w14:paraId="5CE6888A" w14:textId="35ABF274" w:rsidR="00446E03" w:rsidRDefault="00446E03" w:rsidP="003D3238">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3.</w:t>
      </w:r>
      <w:r>
        <w:tab/>
        <w:t xml:space="preserve">Colour of the elevated temperature substance mark in accordance </w:t>
      </w:r>
      <w:r>
        <w:br/>
        <w:t>with 5.3.3</w:t>
      </w:r>
      <w:r>
        <w:tab/>
      </w:r>
      <w:r w:rsidR="00544879">
        <w:tab/>
        <w:t>31-32</w:t>
      </w:r>
      <w:r w:rsidR="00544879">
        <w:tab/>
        <w:t>9</w:t>
      </w:r>
    </w:p>
    <w:p w14:paraId="34900788" w14:textId="58349E45" w:rsidR="00446E03" w:rsidRDefault="00446E03" w:rsidP="003D3238">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r>
      <w:r w:rsidR="00DA37EB">
        <w:t>4.</w:t>
      </w:r>
      <w:r w:rsidR="00DA37EB">
        <w:tab/>
        <w:t xml:space="preserve">Increase of </w:t>
      </w:r>
      <w:r w:rsidR="003E15E4">
        <w:t xml:space="preserve">the </w:t>
      </w:r>
      <w:r w:rsidR="00DA37EB">
        <w:t xml:space="preserve">maximum allowed internal pressure </w:t>
      </w:r>
      <w:r w:rsidR="003E15E4">
        <w:br/>
      </w:r>
      <w:r w:rsidR="00DA37EB">
        <w:t>for aerosol dispensers</w:t>
      </w:r>
      <w:r w:rsidR="00DA37EB">
        <w:tab/>
      </w:r>
      <w:r w:rsidR="00544879">
        <w:tab/>
        <w:t>33-35</w:t>
      </w:r>
      <w:r w:rsidR="00544879">
        <w:tab/>
        <w:t>9</w:t>
      </w:r>
    </w:p>
    <w:p w14:paraId="359DA357" w14:textId="7FD813CA" w:rsidR="005419E5" w:rsidRDefault="005419E5" w:rsidP="003D3238">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5.</w:t>
      </w:r>
      <w:r>
        <w:tab/>
        <w:t>References to directives in 6.2.4.1</w:t>
      </w:r>
      <w:r>
        <w:tab/>
      </w:r>
      <w:r w:rsidR="00544879">
        <w:tab/>
        <w:t>36-38</w:t>
      </w:r>
      <w:r w:rsidR="00544879">
        <w:tab/>
      </w:r>
      <w:r w:rsidR="00DE243B">
        <w:t>10</w:t>
      </w:r>
    </w:p>
    <w:p w14:paraId="0EA977DA" w14:textId="79CAEAB2" w:rsidR="005419E5" w:rsidRDefault="005419E5" w:rsidP="003D3238">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6.</w:t>
      </w:r>
      <w:r>
        <w:tab/>
        <w:t>New hazard identification number 836</w:t>
      </w:r>
      <w:r>
        <w:tab/>
      </w:r>
      <w:r w:rsidR="00544879">
        <w:tab/>
        <w:t>39-43</w:t>
      </w:r>
      <w:r w:rsidR="00544879">
        <w:tab/>
        <w:t>10</w:t>
      </w:r>
    </w:p>
    <w:p w14:paraId="55C76FBF" w14:textId="4C63B42C" w:rsidR="005419E5" w:rsidRDefault="005419E5" w:rsidP="003D3238">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7.</w:t>
      </w:r>
      <w:r>
        <w:tab/>
        <w:t>Definition of “flash-point”</w:t>
      </w:r>
      <w:r>
        <w:tab/>
      </w:r>
      <w:r w:rsidR="00544879">
        <w:tab/>
        <w:t>44-46</w:t>
      </w:r>
      <w:r w:rsidR="00544879">
        <w:tab/>
        <w:t>10</w:t>
      </w:r>
    </w:p>
    <w:p w14:paraId="72A49B69" w14:textId="482FFFE7" w:rsidR="005419E5" w:rsidRDefault="005419E5" w:rsidP="003D3238">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8.</w:t>
      </w:r>
      <w:r>
        <w:tab/>
        <w:t>Amendment to special provisions CW36/CV36 in 7.5.11</w:t>
      </w:r>
      <w:r>
        <w:tab/>
      </w:r>
      <w:r w:rsidR="00544879">
        <w:tab/>
        <w:t>47</w:t>
      </w:r>
      <w:r w:rsidR="00544879">
        <w:tab/>
        <w:t>11</w:t>
      </w:r>
    </w:p>
    <w:p w14:paraId="16C55C85" w14:textId="2A327CB9" w:rsidR="005419E5" w:rsidRDefault="005419E5" w:rsidP="003D3238">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9.</w:t>
      </w:r>
      <w:r>
        <w:tab/>
        <w:t>Alignment of linguistic versions of RID/ADR</w:t>
      </w:r>
      <w:r>
        <w:tab/>
      </w:r>
      <w:r w:rsidR="00544879">
        <w:tab/>
        <w:t>48-50</w:t>
      </w:r>
      <w:r w:rsidR="00544879">
        <w:tab/>
        <w:t>11</w:t>
      </w:r>
    </w:p>
    <w:p w14:paraId="336A297B" w14:textId="4E479819" w:rsidR="005419E5" w:rsidRDefault="005419E5" w:rsidP="003D3238">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10.</w:t>
      </w:r>
      <w:r>
        <w:tab/>
        <w:t>References to ECE Regulations in RID/ADR/AD</w:t>
      </w:r>
      <w:r w:rsidR="00BD11AA">
        <w:t>N</w:t>
      </w:r>
      <w:r>
        <w:tab/>
      </w:r>
      <w:r w:rsidR="00544879">
        <w:tab/>
        <w:t>51</w:t>
      </w:r>
      <w:r w:rsidR="00544879">
        <w:tab/>
        <w:t>11</w:t>
      </w:r>
    </w:p>
    <w:p w14:paraId="2449CE30" w14:textId="32CB2AD4" w:rsidR="005419E5" w:rsidRDefault="005419E5" w:rsidP="003D3238">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11.</w:t>
      </w:r>
      <w:r>
        <w:tab/>
        <w:t xml:space="preserve">Corrections adopted by the Sub-Committee of Experts </w:t>
      </w:r>
      <w:r>
        <w:br/>
        <w:t>on the Transport of Dangerous Goods</w:t>
      </w:r>
      <w:r>
        <w:tab/>
      </w:r>
      <w:r w:rsidR="00544879">
        <w:tab/>
        <w:t>52</w:t>
      </w:r>
      <w:r w:rsidR="00544879">
        <w:tab/>
      </w:r>
      <w:r w:rsidR="00DE243B">
        <w:t>11</w:t>
      </w:r>
    </w:p>
    <w:p w14:paraId="01C9EAF8" w14:textId="2B30A6F0" w:rsidR="005419E5" w:rsidRDefault="005419E5" w:rsidP="003D3238">
      <w:pPr>
        <w:tabs>
          <w:tab w:val="right" w:pos="850"/>
          <w:tab w:val="left" w:pos="1134"/>
          <w:tab w:val="left" w:pos="1570"/>
          <w:tab w:val="left" w:pos="1984"/>
          <w:tab w:val="left" w:leader="dot" w:pos="7654"/>
          <w:tab w:val="right" w:pos="8929"/>
          <w:tab w:val="right" w:pos="9638"/>
        </w:tabs>
        <w:spacing w:after="120" w:line="220" w:lineRule="atLeast"/>
        <w:ind w:left="1981" w:hanging="1380"/>
      </w:pPr>
      <w:r>
        <w:tab/>
      </w:r>
      <w:r>
        <w:tab/>
      </w:r>
      <w:r>
        <w:tab/>
        <w:t>12.</w:t>
      </w:r>
      <w:r>
        <w:tab/>
        <w:t>Amendments to 5.4.1.1.1</w:t>
      </w:r>
      <w:r>
        <w:tab/>
      </w:r>
      <w:r w:rsidR="00544879">
        <w:tab/>
        <w:t>53</w:t>
      </w:r>
      <w:r w:rsidR="00544879">
        <w:tab/>
      </w:r>
      <w:r w:rsidR="00DE243B">
        <w:t>12</w:t>
      </w:r>
    </w:p>
    <w:p w14:paraId="4F3A1D42" w14:textId="4D7A956A" w:rsidR="005419E5" w:rsidRDefault="005419E5" w:rsidP="006C19BA">
      <w:pPr>
        <w:tabs>
          <w:tab w:val="right" w:pos="850"/>
          <w:tab w:val="left" w:pos="1134"/>
          <w:tab w:val="left" w:pos="1570"/>
          <w:tab w:val="left" w:pos="1984"/>
          <w:tab w:val="left" w:leader="dot" w:pos="7654"/>
          <w:tab w:val="right" w:pos="8929"/>
          <w:tab w:val="right" w:pos="9638"/>
        </w:tabs>
        <w:spacing w:after="120"/>
        <w:ind w:left="1981" w:hanging="1380"/>
      </w:pPr>
      <w:r>
        <w:tab/>
      </w:r>
      <w:r>
        <w:tab/>
      </w:r>
      <w:r>
        <w:tab/>
        <w:t>13.</w:t>
      </w:r>
      <w:r>
        <w:tab/>
        <w:t>Display packs of limited quantities</w:t>
      </w:r>
      <w:r>
        <w:tab/>
      </w:r>
      <w:r w:rsidR="00544879">
        <w:tab/>
        <w:t>54</w:t>
      </w:r>
      <w:r w:rsidR="00544879">
        <w:tab/>
      </w:r>
      <w:r w:rsidR="00DE243B">
        <w:t>12</w:t>
      </w:r>
    </w:p>
    <w:p w14:paraId="6225D954" w14:textId="19D00834" w:rsidR="00241D6D" w:rsidRDefault="00241D6D" w:rsidP="003D3238">
      <w:pPr>
        <w:tabs>
          <w:tab w:val="right" w:pos="850"/>
          <w:tab w:val="left" w:pos="1134"/>
          <w:tab w:val="left" w:pos="1570"/>
          <w:tab w:val="left" w:pos="1984"/>
          <w:tab w:val="left" w:leader="dot" w:pos="7654"/>
          <w:tab w:val="right" w:pos="8929"/>
          <w:tab w:val="right" w:pos="9638"/>
        </w:tabs>
        <w:spacing w:after="120" w:line="220" w:lineRule="atLeast"/>
        <w:ind w:left="1571" w:hanging="970"/>
      </w:pPr>
      <w:r w:rsidRPr="00D3604F">
        <w:t>VII.</w:t>
      </w:r>
      <w:r w:rsidRPr="00D3604F">
        <w:tab/>
      </w:r>
      <w:r w:rsidR="006317D3" w:rsidRPr="001674D6">
        <w:t>Reports of informal working groups (agenda item 6)</w:t>
      </w:r>
      <w:r w:rsidRPr="00D3604F">
        <w:tab/>
      </w:r>
      <w:r w:rsidR="00544879">
        <w:tab/>
        <w:t>55-68</w:t>
      </w:r>
      <w:r w:rsidR="00544879">
        <w:tab/>
        <w:t>12</w:t>
      </w:r>
    </w:p>
    <w:p w14:paraId="61ACDA2D" w14:textId="1C80A392" w:rsidR="005419E5" w:rsidRDefault="005419E5" w:rsidP="003D3238">
      <w:pPr>
        <w:tabs>
          <w:tab w:val="right" w:pos="850"/>
          <w:tab w:val="left" w:pos="1134"/>
          <w:tab w:val="left" w:pos="1570"/>
          <w:tab w:val="left" w:pos="1984"/>
          <w:tab w:val="left" w:leader="dot" w:pos="7654"/>
          <w:tab w:val="right" w:pos="8929"/>
          <w:tab w:val="right" w:pos="9638"/>
        </w:tabs>
        <w:spacing w:after="120" w:line="220" w:lineRule="atLeast"/>
        <w:ind w:left="1571" w:hanging="970"/>
      </w:pPr>
      <w:r>
        <w:tab/>
      </w:r>
      <w:r>
        <w:tab/>
        <w:t>A.</w:t>
      </w:r>
      <w:r>
        <w:tab/>
        <w:t xml:space="preserve">Carriage of pressure receptacles approved by the Department </w:t>
      </w:r>
      <w:r>
        <w:br/>
        <w:t>of Transportation of the United States of America (DOT)</w:t>
      </w:r>
      <w:r>
        <w:tab/>
      </w:r>
      <w:r w:rsidR="00544879">
        <w:tab/>
        <w:t>55-57</w:t>
      </w:r>
      <w:r w:rsidR="00544879">
        <w:tab/>
        <w:t>12</w:t>
      </w:r>
    </w:p>
    <w:p w14:paraId="31541D17" w14:textId="47AD01F4" w:rsidR="005419E5" w:rsidRDefault="005419E5" w:rsidP="003D3238">
      <w:pPr>
        <w:tabs>
          <w:tab w:val="right" w:pos="850"/>
          <w:tab w:val="left" w:pos="1134"/>
          <w:tab w:val="left" w:pos="1570"/>
          <w:tab w:val="left" w:pos="1984"/>
          <w:tab w:val="left" w:leader="dot" w:pos="7654"/>
          <w:tab w:val="right" w:pos="8929"/>
          <w:tab w:val="right" w:pos="9638"/>
        </w:tabs>
        <w:spacing w:after="120" w:line="220" w:lineRule="atLeast"/>
        <w:ind w:left="1571" w:hanging="970"/>
      </w:pPr>
      <w:r>
        <w:tab/>
      </w:r>
      <w:r>
        <w:tab/>
        <w:t>B.</w:t>
      </w:r>
      <w:r>
        <w:tab/>
        <w:t xml:space="preserve">Report of the informal working group on the definitions of “risk” and </w:t>
      </w:r>
      <w:r>
        <w:br/>
        <w:t>“hazard/danger” in the context of RID/ADR/ADN</w:t>
      </w:r>
      <w:r>
        <w:tab/>
      </w:r>
      <w:r w:rsidR="00544879">
        <w:tab/>
        <w:t>58-61</w:t>
      </w:r>
      <w:r w:rsidR="00544879">
        <w:tab/>
        <w:t>12</w:t>
      </w:r>
    </w:p>
    <w:p w14:paraId="199DC9BD" w14:textId="246498E9" w:rsidR="005419E5" w:rsidRDefault="005419E5" w:rsidP="003D3238">
      <w:pPr>
        <w:tabs>
          <w:tab w:val="right" w:pos="850"/>
          <w:tab w:val="left" w:pos="1134"/>
          <w:tab w:val="left" w:pos="1570"/>
          <w:tab w:val="left" w:pos="1984"/>
          <w:tab w:val="left" w:leader="dot" w:pos="7654"/>
          <w:tab w:val="right" w:pos="8929"/>
          <w:tab w:val="right" w:pos="9638"/>
        </w:tabs>
        <w:spacing w:after="120" w:line="220" w:lineRule="atLeast"/>
        <w:ind w:left="1571" w:hanging="970"/>
      </w:pPr>
      <w:r>
        <w:tab/>
      </w:r>
      <w:r>
        <w:tab/>
        <w:t>C.</w:t>
      </w:r>
      <w:r>
        <w:tab/>
        <w:t xml:space="preserve">Report of the informal working group to update the architecture </w:t>
      </w:r>
      <w:r>
        <w:br/>
        <w:t xml:space="preserve">for dangerous goods </w:t>
      </w:r>
      <w:r w:rsidR="00C337CC">
        <w:t>telematics</w:t>
      </w:r>
      <w:r>
        <w:tab/>
      </w:r>
      <w:r w:rsidR="00544879">
        <w:tab/>
        <w:t>62-66</w:t>
      </w:r>
      <w:r w:rsidR="00544879">
        <w:tab/>
        <w:t>13</w:t>
      </w:r>
    </w:p>
    <w:p w14:paraId="04012FAD" w14:textId="2B957F69" w:rsidR="005419E5" w:rsidRPr="00D3604F" w:rsidRDefault="005419E5" w:rsidP="00241D6D">
      <w:pPr>
        <w:tabs>
          <w:tab w:val="right" w:pos="850"/>
          <w:tab w:val="left" w:pos="1134"/>
          <w:tab w:val="left" w:pos="1570"/>
          <w:tab w:val="left" w:pos="1984"/>
          <w:tab w:val="left" w:leader="dot" w:pos="7654"/>
          <w:tab w:val="right" w:pos="8929"/>
          <w:tab w:val="right" w:pos="9638"/>
        </w:tabs>
        <w:spacing w:after="120"/>
        <w:ind w:left="1570" w:hanging="970"/>
      </w:pPr>
      <w:r>
        <w:tab/>
      </w:r>
      <w:r>
        <w:tab/>
        <w:t>D.</w:t>
      </w:r>
      <w:r>
        <w:tab/>
        <w:t xml:space="preserve">Report of the informal working group on the reduction of the risk </w:t>
      </w:r>
      <w:r>
        <w:br/>
        <w:t>of a BLEVE during transport of dangerous goods</w:t>
      </w:r>
      <w:r>
        <w:tab/>
      </w:r>
      <w:r w:rsidR="00544879">
        <w:tab/>
        <w:t>67-68</w:t>
      </w:r>
      <w:r w:rsidR="00544879">
        <w:tab/>
      </w:r>
      <w:r w:rsidR="00DE243B">
        <w:t>14</w:t>
      </w:r>
    </w:p>
    <w:p w14:paraId="610F4A00" w14:textId="0EE0123F" w:rsidR="00241D6D" w:rsidRDefault="00241D6D" w:rsidP="003D3238">
      <w:pPr>
        <w:tabs>
          <w:tab w:val="right" w:pos="850"/>
          <w:tab w:val="left" w:pos="1134"/>
          <w:tab w:val="left" w:pos="1570"/>
          <w:tab w:val="left" w:pos="1984"/>
          <w:tab w:val="left" w:leader="dot" w:pos="7654"/>
          <w:tab w:val="right" w:pos="8929"/>
          <w:tab w:val="right" w:pos="9638"/>
        </w:tabs>
        <w:spacing w:after="120" w:line="220" w:lineRule="atLeast"/>
        <w:ind w:left="1571" w:hanging="970"/>
      </w:pPr>
      <w:r w:rsidRPr="00D3604F">
        <w:t>VIII.</w:t>
      </w:r>
      <w:r w:rsidRPr="00D3604F">
        <w:tab/>
      </w:r>
      <w:r w:rsidR="006317D3" w:rsidRPr="007650F3">
        <w:t>Accidents and risk management (agenda item 7)</w:t>
      </w:r>
      <w:r w:rsidRPr="00D3604F">
        <w:tab/>
      </w:r>
      <w:r w:rsidR="00544879">
        <w:tab/>
        <w:t>69-79</w:t>
      </w:r>
      <w:r w:rsidR="00544879">
        <w:tab/>
        <w:t>14</w:t>
      </w:r>
    </w:p>
    <w:p w14:paraId="2C34E2ED" w14:textId="7A41FFF7" w:rsidR="005419E5" w:rsidRDefault="005419E5" w:rsidP="003D3238">
      <w:pPr>
        <w:tabs>
          <w:tab w:val="right" w:pos="850"/>
          <w:tab w:val="left" w:pos="1134"/>
          <w:tab w:val="left" w:pos="1570"/>
          <w:tab w:val="left" w:pos="1984"/>
          <w:tab w:val="left" w:leader="dot" w:pos="7654"/>
          <w:tab w:val="right" w:pos="8929"/>
          <w:tab w:val="right" w:pos="9638"/>
        </w:tabs>
        <w:spacing w:after="120" w:line="220" w:lineRule="atLeast"/>
        <w:ind w:left="1571" w:hanging="970"/>
      </w:pPr>
      <w:r>
        <w:tab/>
      </w:r>
      <w:r>
        <w:tab/>
        <w:t>A.</w:t>
      </w:r>
      <w:r>
        <w:tab/>
        <w:t>Second phase activities of the TDG Roadmap</w:t>
      </w:r>
      <w:r>
        <w:tab/>
      </w:r>
      <w:r w:rsidR="00544879">
        <w:tab/>
        <w:t>69-73</w:t>
      </w:r>
      <w:r w:rsidR="00544879">
        <w:tab/>
        <w:t>14</w:t>
      </w:r>
    </w:p>
    <w:p w14:paraId="4591FCF4" w14:textId="0855263E" w:rsidR="005419E5" w:rsidRPr="00D3604F" w:rsidRDefault="005419E5" w:rsidP="00241D6D">
      <w:pPr>
        <w:tabs>
          <w:tab w:val="right" w:pos="850"/>
          <w:tab w:val="left" w:pos="1134"/>
          <w:tab w:val="left" w:pos="1570"/>
          <w:tab w:val="left" w:pos="1984"/>
          <w:tab w:val="left" w:leader="dot" w:pos="7654"/>
          <w:tab w:val="right" w:pos="8929"/>
          <w:tab w:val="right" w:pos="9638"/>
        </w:tabs>
        <w:spacing w:after="120"/>
        <w:ind w:left="1570" w:hanging="970"/>
      </w:pPr>
      <w:r>
        <w:tab/>
      </w:r>
      <w:r>
        <w:tab/>
        <w:t>B.</w:t>
      </w:r>
      <w:r>
        <w:tab/>
        <w:t xml:space="preserve">Improvement of reporting systems on inland transport </w:t>
      </w:r>
      <w:r>
        <w:br/>
        <w:t>of dangerous goods occurrences</w:t>
      </w:r>
      <w:r w:rsidR="00544879">
        <w:tab/>
      </w:r>
      <w:r w:rsidR="00544879">
        <w:tab/>
        <w:t>74-79</w:t>
      </w:r>
      <w:r w:rsidR="00544879">
        <w:tab/>
        <w:t>15</w:t>
      </w:r>
    </w:p>
    <w:p w14:paraId="2296BDB7" w14:textId="19CB0468" w:rsidR="00241D6D" w:rsidRPr="00D3604F" w:rsidRDefault="00241D6D" w:rsidP="003D3238">
      <w:pPr>
        <w:tabs>
          <w:tab w:val="right" w:pos="850"/>
          <w:tab w:val="left" w:pos="1134"/>
          <w:tab w:val="left" w:pos="1570"/>
          <w:tab w:val="left" w:pos="1984"/>
          <w:tab w:val="left" w:leader="dot" w:pos="7654"/>
          <w:tab w:val="right" w:pos="8929"/>
          <w:tab w:val="right" w:pos="9638"/>
        </w:tabs>
        <w:spacing w:after="120" w:line="220" w:lineRule="atLeast"/>
        <w:ind w:left="1571" w:hanging="970"/>
      </w:pPr>
      <w:r w:rsidRPr="00D3604F">
        <w:tab/>
        <w:t>IX.</w:t>
      </w:r>
      <w:r w:rsidRPr="00D3604F">
        <w:tab/>
      </w:r>
      <w:r w:rsidR="006317D3">
        <w:t>Future work</w:t>
      </w:r>
      <w:r w:rsidR="006317D3" w:rsidRPr="007650F3">
        <w:t xml:space="preserve"> (agenda item </w:t>
      </w:r>
      <w:r w:rsidR="006317D3">
        <w:t>8</w:t>
      </w:r>
      <w:r w:rsidR="006317D3" w:rsidRPr="007650F3">
        <w:t>)</w:t>
      </w:r>
      <w:r w:rsidRPr="00D3604F">
        <w:tab/>
      </w:r>
      <w:r w:rsidR="00544879">
        <w:tab/>
        <w:t>80</w:t>
      </w:r>
      <w:r w:rsidR="00544879">
        <w:tab/>
      </w:r>
      <w:r w:rsidR="00DE243B">
        <w:t>16</w:t>
      </w:r>
    </w:p>
    <w:p w14:paraId="0BF8D58C" w14:textId="4E27D5DA" w:rsidR="00241D6D" w:rsidRDefault="00241D6D" w:rsidP="003D3238">
      <w:pPr>
        <w:tabs>
          <w:tab w:val="right" w:pos="850"/>
          <w:tab w:val="left" w:pos="1134"/>
          <w:tab w:val="left" w:pos="1570"/>
          <w:tab w:val="left" w:pos="1984"/>
          <w:tab w:val="left" w:leader="dot" w:pos="7654"/>
          <w:tab w:val="right" w:pos="8929"/>
          <w:tab w:val="right" w:pos="9638"/>
        </w:tabs>
        <w:spacing w:after="120" w:line="220" w:lineRule="atLeast"/>
        <w:ind w:left="1571" w:hanging="970"/>
      </w:pPr>
      <w:r w:rsidRPr="00D3604F">
        <w:t>X.</w:t>
      </w:r>
      <w:r w:rsidRPr="00D3604F">
        <w:tab/>
      </w:r>
      <w:r w:rsidRPr="00D3604F">
        <w:tab/>
      </w:r>
      <w:r w:rsidR="000607B7" w:rsidRPr="00AC0DFA">
        <w:t>Any other business (agenda item 9)</w:t>
      </w:r>
      <w:r w:rsidRPr="00D3604F">
        <w:tab/>
      </w:r>
      <w:r w:rsidR="00544879">
        <w:tab/>
        <w:t>81-84</w:t>
      </w:r>
      <w:r w:rsidR="00544879">
        <w:tab/>
        <w:t>16</w:t>
      </w:r>
    </w:p>
    <w:p w14:paraId="140316B5" w14:textId="6BF4E82A" w:rsidR="005419E5" w:rsidRDefault="005419E5" w:rsidP="003D3238">
      <w:pPr>
        <w:tabs>
          <w:tab w:val="right" w:pos="850"/>
          <w:tab w:val="left" w:pos="1134"/>
          <w:tab w:val="left" w:pos="1570"/>
          <w:tab w:val="left" w:pos="1984"/>
          <w:tab w:val="left" w:leader="dot" w:pos="7654"/>
          <w:tab w:val="right" w:pos="8929"/>
          <w:tab w:val="right" w:pos="9638"/>
        </w:tabs>
        <w:spacing w:after="120" w:line="220" w:lineRule="atLeast"/>
        <w:ind w:left="1571" w:hanging="970"/>
      </w:pPr>
      <w:r>
        <w:tab/>
      </w:r>
      <w:r>
        <w:tab/>
        <w:t>A.</w:t>
      </w:r>
      <w:r>
        <w:tab/>
        <w:t xml:space="preserve">Filling of </w:t>
      </w:r>
      <w:r w:rsidR="009070DE" w:rsidRPr="00E11555">
        <w:t xml:space="preserve">LPG </w:t>
      </w:r>
      <w:r>
        <w:t>cylinders by private individuals</w:t>
      </w:r>
      <w:r w:rsidR="00105F31">
        <w:t xml:space="preserve"> </w:t>
      </w:r>
      <w:r>
        <w:t xml:space="preserve">or enterprises </w:t>
      </w:r>
      <w:r w:rsidR="00B50949">
        <w:br/>
      </w:r>
      <w:r>
        <w:t>for their own supply</w:t>
      </w:r>
      <w:r>
        <w:tab/>
      </w:r>
      <w:r w:rsidR="00544879">
        <w:tab/>
        <w:t>81-83</w:t>
      </w:r>
      <w:r w:rsidR="00544879">
        <w:tab/>
        <w:t>16</w:t>
      </w:r>
    </w:p>
    <w:p w14:paraId="12560224" w14:textId="7E59EA94" w:rsidR="005419E5" w:rsidRPr="00D3604F" w:rsidRDefault="005419E5" w:rsidP="00241D6D">
      <w:pPr>
        <w:tabs>
          <w:tab w:val="right" w:pos="850"/>
          <w:tab w:val="left" w:pos="1134"/>
          <w:tab w:val="left" w:pos="1570"/>
          <w:tab w:val="left" w:pos="1984"/>
          <w:tab w:val="left" w:leader="dot" w:pos="7654"/>
          <w:tab w:val="right" w:pos="8929"/>
          <w:tab w:val="right" w:pos="9638"/>
        </w:tabs>
        <w:spacing w:after="120"/>
        <w:ind w:left="1570" w:hanging="970"/>
      </w:pPr>
      <w:r>
        <w:tab/>
      </w:r>
      <w:r>
        <w:tab/>
        <w:t>B.</w:t>
      </w:r>
      <w:r>
        <w:tab/>
        <w:t>Tributes</w:t>
      </w:r>
      <w:r>
        <w:tab/>
      </w:r>
      <w:r w:rsidR="00544879">
        <w:tab/>
        <w:t>84</w:t>
      </w:r>
      <w:r w:rsidR="00544879">
        <w:tab/>
        <w:t>16</w:t>
      </w:r>
    </w:p>
    <w:p w14:paraId="64251AF2" w14:textId="15584852" w:rsidR="00664FF5" w:rsidRPr="00D3604F" w:rsidRDefault="00241D6D" w:rsidP="00241D6D">
      <w:pPr>
        <w:tabs>
          <w:tab w:val="left" w:pos="1134"/>
          <w:tab w:val="left" w:pos="1570"/>
          <w:tab w:val="left" w:pos="1984"/>
          <w:tab w:val="left" w:leader="dot" w:pos="7654"/>
          <w:tab w:val="right" w:pos="8929"/>
          <w:tab w:val="right" w:pos="9638"/>
        </w:tabs>
        <w:spacing w:after="120"/>
        <w:ind w:left="1571" w:hanging="970"/>
      </w:pPr>
      <w:r w:rsidRPr="00D3604F">
        <w:t>XI.</w:t>
      </w:r>
      <w:r w:rsidRPr="00D3604F">
        <w:tab/>
      </w:r>
      <w:r w:rsidR="000607B7">
        <w:t>Adoption of the report</w:t>
      </w:r>
      <w:r w:rsidR="000607B7" w:rsidRPr="005C638A">
        <w:t xml:space="preserve"> (agenda item </w:t>
      </w:r>
      <w:r w:rsidR="000607B7">
        <w:t>10</w:t>
      </w:r>
      <w:r w:rsidR="000607B7" w:rsidRPr="005C638A">
        <w:t>)</w:t>
      </w:r>
      <w:r w:rsidRPr="00D3604F">
        <w:tab/>
      </w:r>
      <w:r w:rsidR="00544879">
        <w:tab/>
        <w:t>85</w:t>
      </w:r>
      <w:r w:rsidR="00544879">
        <w:tab/>
        <w:t>16</w:t>
      </w:r>
    </w:p>
    <w:p w14:paraId="4B4585B2" w14:textId="77777777" w:rsidR="00BB3B6B" w:rsidRPr="00D3604F" w:rsidRDefault="00BB3B6B" w:rsidP="00BB3B6B">
      <w:pPr>
        <w:tabs>
          <w:tab w:val="right" w:pos="850"/>
          <w:tab w:val="left" w:pos="1134"/>
          <w:tab w:val="left" w:pos="1559"/>
          <w:tab w:val="left" w:pos="1984"/>
          <w:tab w:val="left" w:leader="dot" w:pos="7654"/>
          <w:tab w:val="right" w:pos="8929"/>
          <w:tab w:val="right" w:pos="9638"/>
        </w:tabs>
        <w:spacing w:before="120" w:after="120" w:line="240" w:lineRule="auto"/>
        <w:ind w:left="567" w:hanging="567"/>
      </w:pPr>
      <w:r w:rsidRPr="00D3604F">
        <w:lastRenderedPageBreak/>
        <w:t>Annexes</w:t>
      </w:r>
    </w:p>
    <w:p w14:paraId="4526EBCF" w14:textId="45995B4A" w:rsidR="00BB3B6B" w:rsidRPr="006C19BA" w:rsidRDefault="00BB3B6B" w:rsidP="00BB3B6B">
      <w:pPr>
        <w:tabs>
          <w:tab w:val="right" w:pos="850"/>
          <w:tab w:val="left" w:pos="1134"/>
          <w:tab w:val="left" w:pos="1559"/>
          <w:tab w:val="left" w:pos="1984"/>
          <w:tab w:val="right" w:leader="dot" w:pos="7600"/>
          <w:tab w:val="right" w:pos="9638"/>
        </w:tabs>
        <w:spacing w:after="120"/>
        <w:ind w:left="1134" w:hanging="1134"/>
      </w:pPr>
      <w:r w:rsidRPr="00A47A99">
        <w:rPr>
          <w:color w:val="FF0000"/>
        </w:rPr>
        <w:tab/>
      </w:r>
      <w:r w:rsidRPr="006C19BA">
        <w:t>I.</w:t>
      </w:r>
      <w:r w:rsidRPr="006C19BA">
        <w:tab/>
        <w:t>Report of the Working Group on Tanks</w:t>
      </w:r>
      <w:r w:rsidRPr="006C19BA">
        <w:rPr>
          <w:rStyle w:val="FootnoteReference"/>
        </w:rPr>
        <w:footnoteReference w:customMarkFollows="1" w:id="3"/>
        <w:t>**</w:t>
      </w:r>
      <w:r w:rsidRPr="006C19BA">
        <w:tab/>
      </w:r>
      <w:r w:rsidR="00544879">
        <w:tab/>
        <w:t>17</w:t>
      </w:r>
    </w:p>
    <w:p w14:paraId="01313E7E" w14:textId="0D6F9874" w:rsidR="00BB3B6B" w:rsidRPr="006C19BA" w:rsidRDefault="00BB3B6B" w:rsidP="00BB3B6B">
      <w:pPr>
        <w:tabs>
          <w:tab w:val="right" w:pos="850"/>
          <w:tab w:val="left" w:pos="1134"/>
          <w:tab w:val="left" w:pos="1559"/>
          <w:tab w:val="left" w:pos="1984"/>
          <w:tab w:val="right" w:leader="dot" w:pos="7600"/>
          <w:tab w:val="right" w:pos="9638"/>
        </w:tabs>
        <w:spacing w:after="120"/>
        <w:ind w:left="1134" w:hanging="1134"/>
      </w:pPr>
      <w:r w:rsidRPr="006C19BA">
        <w:tab/>
        <w:t>II.</w:t>
      </w:r>
      <w:r w:rsidRPr="006C19BA">
        <w:tab/>
        <w:t>Draft amendments to RID/ADR/ADN for entry into force on 1 January 2019</w:t>
      </w:r>
      <w:r w:rsidRPr="006C19BA">
        <w:tab/>
      </w:r>
      <w:r w:rsidR="00544879">
        <w:tab/>
        <w:t>18</w:t>
      </w:r>
    </w:p>
    <w:p w14:paraId="59371687" w14:textId="148D6203" w:rsidR="00BB3B6B" w:rsidRDefault="00BB3B6B" w:rsidP="006C19BA">
      <w:pPr>
        <w:tabs>
          <w:tab w:val="right" w:pos="850"/>
          <w:tab w:val="left" w:pos="1134"/>
          <w:tab w:val="left" w:pos="1559"/>
          <w:tab w:val="left" w:pos="1984"/>
          <w:tab w:val="right" w:leader="dot" w:pos="7600"/>
          <w:tab w:val="right" w:pos="9638"/>
        </w:tabs>
        <w:spacing w:after="120"/>
        <w:ind w:left="1134" w:hanging="1134"/>
      </w:pPr>
      <w:r w:rsidRPr="009D0070">
        <w:tab/>
        <w:t>III.</w:t>
      </w:r>
      <w:r w:rsidRPr="009D0070">
        <w:tab/>
        <w:t xml:space="preserve">Corrections </w:t>
      </w:r>
      <w:r w:rsidRPr="006C19BA">
        <w:t xml:space="preserve">and modifications </w:t>
      </w:r>
      <w:r w:rsidRPr="009D0070">
        <w:t xml:space="preserve">to the draft amendments in </w:t>
      </w:r>
      <w:r w:rsidR="000F3F1C">
        <w:br/>
      </w:r>
      <w:r w:rsidRPr="009D0070">
        <w:t>ECE/TRANS/WP.15/240 and</w:t>
      </w:r>
      <w:r w:rsidR="000F3F1C">
        <w:t xml:space="preserve"> </w:t>
      </w:r>
      <w:r w:rsidRPr="009D0070">
        <w:t>OTIF/RID/CE/GTP/2017/15</w:t>
      </w:r>
      <w:r w:rsidRPr="009D0070">
        <w:tab/>
      </w:r>
      <w:r w:rsidR="00544879">
        <w:tab/>
      </w:r>
      <w:r w:rsidR="00F75FE0">
        <w:t>23</w:t>
      </w:r>
    </w:p>
    <w:p w14:paraId="6CC25BB5" w14:textId="1DA9EC4F" w:rsidR="00292AEC" w:rsidRDefault="00292AEC" w:rsidP="00292AEC">
      <w:pPr>
        <w:tabs>
          <w:tab w:val="right" w:pos="850"/>
          <w:tab w:val="left" w:pos="1134"/>
          <w:tab w:val="left" w:pos="1570"/>
          <w:tab w:val="left" w:pos="1984"/>
          <w:tab w:val="left" w:leader="dot" w:pos="7654"/>
          <w:tab w:val="right" w:pos="8929"/>
          <w:tab w:val="right" w:pos="9638"/>
        </w:tabs>
        <w:spacing w:after="120" w:line="220" w:lineRule="atLeast"/>
        <w:ind w:left="1571" w:hanging="970"/>
      </w:pPr>
      <w:r>
        <w:tab/>
      </w:r>
      <w:r w:rsidRPr="00292AEC">
        <w:tab/>
        <w:t>A.</w:t>
      </w:r>
      <w:r w:rsidRPr="00292AEC">
        <w:tab/>
        <w:t>Corrections to the draft amendments in documents</w:t>
      </w:r>
      <w:r>
        <w:t xml:space="preserve"> </w:t>
      </w:r>
      <w:r w:rsidRPr="008A1252">
        <w:t xml:space="preserve">ECE/TRANS/WP.15/240 </w:t>
      </w:r>
      <w:r>
        <w:br/>
      </w:r>
      <w:r w:rsidRPr="008A1252">
        <w:t>and OTIF/RID/CE/GTP/2017/15</w:t>
      </w:r>
      <w:r>
        <w:tab/>
      </w:r>
      <w:r>
        <w:tab/>
      </w:r>
      <w:r>
        <w:tab/>
      </w:r>
      <w:r w:rsidR="00F75FE0">
        <w:t>23</w:t>
      </w:r>
    </w:p>
    <w:p w14:paraId="093620FB" w14:textId="3505788D" w:rsidR="00F75FE0" w:rsidRDefault="00F75FE0" w:rsidP="00F75FE0">
      <w:pPr>
        <w:tabs>
          <w:tab w:val="right" w:pos="850"/>
          <w:tab w:val="left" w:pos="1134"/>
          <w:tab w:val="left" w:pos="1570"/>
          <w:tab w:val="left" w:pos="1984"/>
          <w:tab w:val="left" w:leader="dot" w:pos="7654"/>
          <w:tab w:val="right" w:pos="8929"/>
          <w:tab w:val="right" w:pos="9638"/>
        </w:tabs>
        <w:spacing w:after="120" w:line="220" w:lineRule="atLeast"/>
        <w:ind w:left="1571" w:hanging="970"/>
      </w:pPr>
      <w:r>
        <w:tab/>
      </w:r>
      <w:r>
        <w:tab/>
        <w:t>B.</w:t>
      </w:r>
      <w:r>
        <w:tab/>
      </w:r>
      <w:r w:rsidRPr="006C19BA">
        <w:t xml:space="preserve">Modifications to document </w:t>
      </w:r>
      <w:r w:rsidRPr="008A1252">
        <w:t>OTIF/RID/CE/GTP/2017/15</w:t>
      </w:r>
      <w:r>
        <w:tab/>
      </w:r>
      <w:r>
        <w:tab/>
      </w:r>
      <w:r>
        <w:tab/>
        <w:t>25</w:t>
      </w:r>
    </w:p>
    <w:p w14:paraId="31682012" w14:textId="08D68E39" w:rsidR="00BB3B6B" w:rsidRPr="006C19BA" w:rsidRDefault="00BB3B6B" w:rsidP="006C19BA">
      <w:pPr>
        <w:tabs>
          <w:tab w:val="right" w:pos="850"/>
          <w:tab w:val="left" w:pos="1134"/>
          <w:tab w:val="left" w:pos="1559"/>
          <w:tab w:val="left" w:pos="1984"/>
          <w:tab w:val="right" w:leader="dot" w:pos="7600"/>
          <w:tab w:val="right" w:pos="9638"/>
        </w:tabs>
        <w:spacing w:after="120"/>
        <w:ind w:left="1134" w:hanging="1134"/>
        <w:rPr>
          <w:lang w:eastAsia="en-GB"/>
        </w:rPr>
      </w:pPr>
      <w:r w:rsidRPr="006C19BA">
        <w:tab/>
        <w:t>IV.</w:t>
      </w:r>
      <w:r w:rsidRPr="006C19BA">
        <w:tab/>
      </w:r>
      <w:r w:rsidRPr="006C19BA">
        <w:rPr>
          <w:lang w:eastAsia="en-GB"/>
        </w:rPr>
        <w:t>Draft amendments to RID/ADR/ADN for entry into force on 1 January 2021</w:t>
      </w:r>
      <w:r w:rsidRPr="006C19BA">
        <w:rPr>
          <w:lang w:eastAsia="en-GB"/>
        </w:rPr>
        <w:tab/>
      </w:r>
      <w:r w:rsidR="00544879">
        <w:rPr>
          <w:lang w:eastAsia="en-GB"/>
        </w:rPr>
        <w:tab/>
        <w:t>2</w:t>
      </w:r>
      <w:r w:rsidR="00236DEB">
        <w:rPr>
          <w:lang w:eastAsia="en-GB"/>
        </w:rPr>
        <w:t>6</w:t>
      </w:r>
    </w:p>
    <w:p w14:paraId="02A32E7B" w14:textId="61F9C2FC" w:rsidR="00BB3B6B" w:rsidRPr="006C19BA" w:rsidRDefault="00BB3B6B" w:rsidP="006C19BA">
      <w:pPr>
        <w:tabs>
          <w:tab w:val="right" w:pos="850"/>
          <w:tab w:val="left" w:pos="1134"/>
          <w:tab w:val="left" w:pos="1559"/>
          <w:tab w:val="left" w:pos="1984"/>
          <w:tab w:val="right" w:leader="dot" w:pos="7600"/>
          <w:tab w:val="right" w:pos="9638"/>
        </w:tabs>
        <w:spacing w:after="120"/>
        <w:ind w:left="1140" w:hanging="1140"/>
        <w:rPr>
          <w:color w:val="FF0000"/>
        </w:rPr>
      </w:pPr>
      <w:r w:rsidRPr="006C19BA">
        <w:rPr>
          <w:lang w:eastAsia="en-GB"/>
        </w:rPr>
        <w:tab/>
        <w:t>V.</w:t>
      </w:r>
      <w:r w:rsidRPr="006C19BA">
        <w:rPr>
          <w:lang w:eastAsia="en-GB"/>
        </w:rPr>
        <w:tab/>
        <w:t xml:space="preserve">Guidelines for the application of EN 13094:2015 for compliance with ADR 2017 </w:t>
      </w:r>
      <w:r w:rsidRPr="006C19BA">
        <w:rPr>
          <w:lang w:eastAsia="en-GB"/>
        </w:rPr>
        <w:br/>
        <w:t>and 2019</w:t>
      </w:r>
      <w:r w:rsidRPr="006C19BA">
        <w:rPr>
          <w:lang w:eastAsia="en-GB"/>
        </w:rPr>
        <w:tab/>
      </w:r>
      <w:r>
        <w:rPr>
          <w:color w:val="000000"/>
          <w:lang w:eastAsia="en-GB"/>
        </w:rPr>
        <w:tab/>
      </w:r>
      <w:r w:rsidR="00544879">
        <w:rPr>
          <w:color w:val="000000"/>
          <w:lang w:eastAsia="en-GB"/>
        </w:rPr>
        <w:tab/>
        <w:t>2</w:t>
      </w:r>
      <w:r w:rsidR="00236DEB">
        <w:rPr>
          <w:color w:val="000000"/>
          <w:lang w:eastAsia="en-GB"/>
        </w:rPr>
        <w:t>7</w:t>
      </w:r>
      <w:bookmarkStart w:id="0" w:name="_GoBack"/>
      <w:bookmarkEnd w:id="0"/>
    </w:p>
    <w:p w14:paraId="649711D3" w14:textId="77777777" w:rsidR="00DE171E" w:rsidRDefault="00DE171E">
      <w:pPr>
        <w:suppressAutoHyphens w:val="0"/>
        <w:spacing w:line="240" w:lineRule="auto"/>
        <w:sectPr w:rsidR="00DE171E" w:rsidSect="00426D58">
          <w:headerReference w:type="even" r:id="rId9"/>
          <w:headerReference w:type="default" r:id="rId10"/>
          <w:footerReference w:type="even" r:id="rId11"/>
          <w:footerReference w:type="default" r:id="rId12"/>
          <w:footnotePr>
            <w:numFmt w:val="chicago"/>
            <w:numStart w:val="5"/>
            <w:numRestart w:val="eachSect"/>
          </w:footnotePr>
          <w:endnotePr>
            <w:numFmt w:val="decimal"/>
          </w:endnotePr>
          <w:pgSz w:w="11907" w:h="16840" w:code="9"/>
          <w:pgMar w:top="1701" w:right="1134" w:bottom="2268" w:left="1134" w:header="1134" w:footer="1701" w:gutter="0"/>
          <w:cols w:space="720"/>
          <w:titlePg/>
          <w:docGrid w:linePitch="272"/>
        </w:sectPr>
      </w:pPr>
    </w:p>
    <w:p w14:paraId="634CD21E" w14:textId="14F3E9F0" w:rsidR="007A36BD" w:rsidRPr="00673C82" w:rsidRDefault="00544879" w:rsidP="007A36BD">
      <w:pPr>
        <w:pStyle w:val="HChG"/>
      </w:pPr>
      <w:r>
        <w:lastRenderedPageBreak/>
        <w:tab/>
      </w:r>
      <w:r w:rsidR="007A36BD" w:rsidRPr="00673C82">
        <w:t>I.</w:t>
      </w:r>
      <w:r w:rsidR="007A36BD" w:rsidRPr="00673C82">
        <w:tab/>
      </w:r>
      <w:r w:rsidR="007A36BD">
        <w:tab/>
      </w:r>
      <w:r w:rsidR="007A36BD" w:rsidRPr="00673C82">
        <w:t>Attendance</w:t>
      </w:r>
    </w:p>
    <w:p w14:paraId="1525BFAA" w14:textId="77777777" w:rsidR="007A36BD" w:rsidRPr="00673C82" w:rsidRDefault="007A36BD" w:rsidP="007A36BD">
      <w:pPr>
        <w:pStyle w:val="SingleTxtG"/>
      </w:pPr>
      <w:r w:rsidRPr="00673C82">
        <w:t>1.</w:t>
      </w:r>
      <w:r w:rsidRPr="00673C82">
        <w:tab/>
        <w:t>The Joint Meeting of the RID Committee of Experts and the Working Party on the Transport of Dangerous Goods of the United Nations Economic Commission for Europe was held in Bern from 1</w:t>
      </w:r>
      <w:r>
        <w:t>2</w:t>
      </w:r>
      <w:r w:rsidRPr="00673C82">
        <w:t xml:space="preserve"> to </w:t>
      </w:r>
      <w:r>
        <w:t>16</w:t>
      </w:r>
      <w:r w:rsidRPr="00673C82">
        <w:t xml:space="preserve"> March 201</w:t>
      </w:r>
      <w:r>
        <w:t>8</w:t>
      </w:r>
      <w:r w:rsidRPr="00673C82">
        <w:t xml:space="preserve">, with Mr. C. </w:t>
      </w:r>
      <w:proofErr w:type="spellStart"/>
      <w:r w:rsidRPr="00673C82">
        <w:t>Pfauvad</w:t>
      </w:r>
      <w:r>
        <w:t>el</w:t>
      </w:r>
      <w:proofErr w:type="spellEnd"/>
      <w:r>
        <w:t xml:space="preserve"> (France) as Chair and Mr. H. </w:t>
      </w:r>
      <w:r w:rsidRPr="00673C82">
        <w:t>Rein (Germany) as Vice-Chair.</w:t>
      </w:r>
    </w:p>
    <w:p w14:paraId="64368C69" w14:textId="6BBE7DCA" w:rsidR="007A36BD" w:rsidRPr="00673C82" w:rsidRDefault="007A36BD" w:rsidP="007A36BD">
      <w:pPr>
        <w:pStyle w:val="SingleTxtG"/>
      </w:pPr>
      <w:r w:rsidRPr="00673C82">
        <w:t>2.</w:t>
      </w:r>
      <w:r w:rsidRPr="00673C82">
        <w:tab/>
        <w:t xml:space="preserve">In accordance with rule 1 (a) of the rules of procedure of the Joint Meeting, (ECE/TRANS/WP.15/AC.1/112/Add.2), representatives of the following countries participated as full members at the session: </w:t>
      </w:r>
      <w:r w:rsidRPr="009F1A93">
        <w:t>Austria, Belgium, Czechia</w:t>
      </w:r>
      <w:r w:rsidRPr="00673C82">
        <w:t xml:space="preserve">, </w:t>
      </w:r>
      <w:r>
        <w:t xml:space="preserve">Croatia, </w:t>
      </w:r>
      <w:r w:rsidRPr="00673C82">
        <w:t xml:space="preserve">Denmark, Finland, France, Germany, Italy, Latvia, Luxembourg, Netherlands, Poland, </w:t>
      </w:r>
      <w:r w:rsidR="00F16E0F">
        <w:t xml:space="preserve">Romania, </w:t>
      </w:r>
      <w:r w:rsidRPr="00673C82">
        <w:t xml:space="preserve">Russian Federation, </w:t>
      </w:r>
      <w:r>
        <w:t>Slovakia, Spain,</w:t>
      </w:r>
      <w:r w:rsidRPr="00673C82">
        <w:t xml:space="preserve"> Sweden, Switzerland</w:t>
      </w:r>
      <w:r>
        <w:t xml:space="preserve">, Turkey </w:t>
      </w:r>
      <w:r w:rsidRPr="00673C82">
        <w:t>and United Kingdom</w:t>
      </w:r>
      <w:r>
        <w:t>.</w:t>
      </w:r>
    </w:p>
    <w:p w14:paraId="1BB58611" w14:textId="326AF259" w:rsidR="007A36BD" w:rsidRPr="00673C82" w:rsidRDefault="007A36BD" w:rsidP="007A36BD">
      <w:pPr>
        <w:pStyle w:val="SingleTxtG"/>
      </w:pPr>
      <w:r w:rsidRPr="00673C82">
        <w:t>3.</w:t>
      </w:r>
      <w:r w:rsidRPr="00673C82">
        <w:tab/>
        <w:t>In accordance with rule</w:t>
      </w:r>
      <w:r>
        <w:t xml:space="preserve"> </w:t>
      </w:r>
      <w:r w:rsidRPr="00673C82">
        <w:t>1 (</w:t>
      </w:r>
      <w:r w:rsidR="0039102C">
        <w:t>c</w:t>
      </w:r>
      <w:r w:rsidRPr="00673C82">
        <w:t>) of the rules of procedure, the following were represented in a consultative capacity</w:t>
      </w:r>
      <w:r>
        <w:t>:</w:t>
      </w:r>
    </w:p>
    <w:p w14:paraId="752CF26E" w14:textId="5473F6AF" w:rsidR="007A36BD" w:rsidRPr="00673C82" w:rsidRDefault="007A36BD" w:rsidP="007A36BD">
      <w:pPr>
        <w:pStyle w:val="SingleTxtG"/>
      </w:pPr>
      <w:r>
        <w:tab/>
      </w:r>
      <w:r>
        <w:tab/>
      </w:r>
      <w:r w:rsidRPr="00673C82">
        <w:t>(</w:t>
      </w:r>
      <w:r w:rsidR="00F16E0F">
        <w:t>a</w:t>
      </w:r>
      <w:r w:rsidRPr="00673C82">
        <w:t>)</w:t>
      </w:r>
      <w:r w:rsidRPr="00673C82">
        <w:tab/>
        <w:t xml:space="preserve">European Union </w:t>
      </w:r>
      <w:r>
        <w:t xml:space="preserve">(European Commission and European </w:t>
      </w:r>
      <w:r w:rsidR="002214B3">
        <w:t xml:space="preserve">Union </w:t>
      </w:r>
      <w:r w:rsidR="00F16E0F">
        <w:t xml:space="preserve">Agency for </w:t>
      </w:r>
      <w:r>
        <w:t>Railways (ERA)</w:t>
      </w:r>
      <w:r w:rsidR="0047557C">
        <w:t>)</w:t>
      </w:r>
      <w:r>
        <w:t xml:space="preserve"> </w:t>
      </w:r>
      <w:r w:rsidRPr="00673C82">
        <w:t>and Organization for Cooperation between Railways (OSJD)</w:t>
      </w:r>
      <w:r>
        <w:t>;</w:t>
      </w:r>
    </w:p>
    <w:p w14:paraId="585D4BDD" w14:textId="39EA8B45" w:rsidR="007A36BD" w:rsidRPr="00673C82" w:rsidRDefault="007A36BD" w:rsidP="007A36BD">
      <w:pPr>
        <w:pStyle w:val="SingleTxtG"/>
      </w:pPr>
      <w:r>
        <w:tab/>
      </w:r>
      <w:r w:rsidRPr="001038BF">
        <w:tab/>
        <w:t>(</w:t>
      </w:r>
      <w:r w:rsidR="00F16E0F">
        <w:t>b</w:t>
      </w:r>
      <w:r w:rsidRPr="001038BF">
        <w:t>)</w:t>
      </w:r>
      <w:r w:rsidRPr="001038BF">
        <w:tab/>
        <w:t>The following international non-governmental organizations:</w:t>
      </w:r>
      <w:r w:rsidRPr="00F170CD">
        <w:rPr>
          <w:color w:val="FF0000"/>
        </w:rPr>
        <w:t xml:space="preserve"> </w:t>
      </w:r>
      <w:r w:rsidRPr="001038BF">
        <w:t>Council on Safe Transportation of Hazardous Articles (COSTHA), European Chemical Industry Council (CEFIC),</w:t>
      </w:r>
      <w:r w:rsidRPr="00F170CD">
        <w:rPr>
          <w:color w:val="FF0000"/>
        </w:rPr>
        <w:t xml:space="preserve"> </w:t>
      </w:r>
      <w:r w:rsidRPr="001038BF">
        <w:t>European Committee for Standardization (CEN),</w:t>
      </w:r>
      <w:r w:rsidRPr="00F170CD">
        <w:rPr>
          <w:color w:val="FF0000"/>
        </w:rPr>
        <w:t xml:space="preserve"> </w:t>
      </w:r>
      <w:r w:rsidRPr="001038BF">
        <w:t>European Conference of Fuel Distributors (ECFD),</w:t>
      </w:r>
      <w:r w:rsidRPr="00F170CD">
        <w:rPr>
          <w:color w:val="FF0000"/>
        </w:rPr>
        <w:t xml:space="preserve"> </w:t>
      </w:r>
      <w:r w:rsidRPr="001038BF">
        <w:t>European Cylinder Makers Association (ECMA),</w:t>
      </w:r>
      <w:r w:rsidRPr="00F170CD">
        <w:rPr>
          <w:color w:val="FF0000"/>
        </w:rPr>
        <w:t xml:space="preserve"> </w:t>
      </w:r>
      <w:r w:rsidRPr="001038BF">
        <w:t>European Industrial Gases Association (EIGA),</w:t>
      </w:r>
      <w:r w:rsidRPr="00F170CD">
        <w:rPr>
          <w:color w:val="FF0000"/>
        </w:rPr>
        <w:t xml:space="preserve"> </w:t>
      </w:r>
      <w:r w:rsidRPr="001038BF">
        <w:t>European Liquefied Petroleum Gas Association (AEGPL),</w:t>
      </w:r>
      <w:r w:rsidRPr="00F170CD">
        <w:rPr>
          <w:color w:val="FF0000"/>
        </w:rPr>
        <w:t xml:space="preserve"> </w:t>
      </w:r>
      <w:r w:rsidRPr="001038BF">
        <w:t>International Association of the Body and Trailer Building Industry (CLCCR),</w:t>
      </w:r>
      <w:r w:rsidRPr="00F170CD">
        <w:rPr>
          <w:color w:val="FF0000"/>
        </w:rPr>
        <w:t xml:space="preserve"> </w:t>
      </w:r>
      <w:r w:rsidRPr="001038BF">
        <w:t>International Road Transport Union (IRU), International Tank Container Organisation (ITCO),</w:t>
      </w:r>
      <w:r w:rsidRPr="00F170CD">
        <w:rPr>
          <w:color w:val="FF0000"/>
        </w:rPr>
        <w:t xml:space="preserve"> </w:t>
      </w:r>
      <w:r w:rsidRPr="001038BF">
        <w:t>International Union of Private Wagons (UIP)</w:t>
      </w:r>
      <w:r w:rsidR="00577B35">
        <w:t xml:space="preserve"> </w:t>
      </w:r>
      <w:r w:rsidRPr="00F170CD">
        <w:rPr>
          <w:color w:val="FF0000"/>
        </w:rPr>
        <w:t xml:space="preserve"> </w:t>
      </w:r>
      <w:r w:rsidRPr="001038BF">
        <w:t>and International Union of Railways (UIC).</w:t>
      </w:r>
    </w:p>
    <w:p w14:paraId="0E343854" w14:textId="77777777" w:rsidR="007A36BD" w:rsidRPr="00673C82" w:rsidRDefault="007A36BD" w:rsidP="007A36BD">
      <w:pPr>
        <w:pStyle w:val="HChG"/>
      </w:pPr>
      <w:r w:rsidRPr="00673C82">
        <w:tab/>
        <w:t>II.</w:t>
      </w:r>
      <w:r w:rsidRPr="00673C82">
        <w:tab/>
        <w:t>Adoption of the agenda (agenda item 1)</w:t>
      </w:r>
    </w:p>
    <w:p w14:paraId="0461963B" w14:textId="77777777" w:rsidR="007A36BD" w:rsidRDefault="007A36BD" w:rsidP="006C19BA">
      <w:pPr>
        <w:pStyle w:val="SingleTxtG"/>
        <w:tabs>
          <w:tab w:val="left" w:pos="3402"/>
        </w:tabs>
      </w:pPr>
      <w:r w:rsidRPr="006B4F8C">
        <w:rPr>
          <w:i/>
          <w:iCs/>
        </w:rPr>
        <w:t>Document</w:t>
      </w:r>
      <w:r>
        <w:rPr>
          <w:i/>
          <w:iCs/>
        </w:rPr>
        <w:t>s</w:t>
      </w:r>
      <w:r w:rsidRPr="001C3D36">
        <w:rPr>
          <w:i/>
          <w:iCs/>
        </w:rPr>
        <w:t>:</w:t>
      </w:r>
      <w:r>
        <w:tab/>
      </w:r>
      <w:r w:rsidRPr="00673C82">
        <w:t>ECE/TRANS/WP.15/AC.1/14</w:t>
      </w:r>
      <w:r>
        <w:t xml:space="preserve">9 </w:t>
      </w:r>
      <w:r w:rsidRPr="00673C82">
        <w:t>and Add.1</w:t>
      </w:r>
    </w:p>
    <w:p w14:paraId="0C685279" w14:textId="77777777" w:rsidR="007A36BD" w:rsidRPr="00673C82" w:rsidRDefault="007A36BD" w:rsidP="007A36BD">
      <w:pPr>
        <w:pStyle w:val="SingleTxtG"/>
        <w:tabs>
          <w:tab w:val="left" w:pos="3402"/>
        </w:tabs>
      </w:pPr>
      <w:r>
        <w:rPr>
          <w:i/>
          <w:iCs/>
        </w:rPr>
        <w:t>Informal document</w:t>
      </w:r>
      <w:r w:rsidRPr="001C3D36">
        <w:rPr>
          <w:i/>
          <w:iCs/>
        </w:rPr>
        <w:t>:</w:t>
      </w:r>
      <w:r>
        <w:tab/>
      </w:r>
      <w:r w:rsidRPr="00673C82">
        <w:t>INF.2 (Secretariat)</w:t>
      </w:r>
    </w:p>
    <w:p w14:paraId="1930A5BB" w14:textId="0CADDE3E" w:rsidR="007A36BD" w:rsidRPr="00673C82" w:rsidRDefault="007A36BD" w:rsidP="007A36BD">
      <w:pPr>
        <w:pStyle w:val="SingleTxtG"/>
      </w:pPr>
      <w:r w:rsidRPr="00673C82">
        <w:t>4.</w:t>
      </w:r>
      <w:r w:rsidRPr="00673C82">
        <w:tab/>
        <w:t>The Joint Meeting adopted the agenda proposed by the secretariat in documents ECE/TRANS/WP.15/AC.1/14</w:t>
      </w:r>
      <w:r>
        <w:t>9 and Add.1 (document RID-18</w:t>
      </w:r>
      <w:r w:rsidRPr="00673C82">
        <w:t xml:space="preserve">001-RC from OTIF) </w:t>
      </w:r>
      <w:r w:rsidR="00F16E0F">
        <w:t xml:space="preserve">as updated by informal document INF.2 </w:t>
      </w:r>
      <w:r>
        <w:t>after amending it to take account of informal documents INF.</w:t>
      </w:r>
      <w:r w:rsidR="00F16E0F">
        <w:t xml:space="preserve">41 to </w:t>
      </w:r>
      <w:r>
        <w:t>INF.4</w:t>
      </w:r>
      <w:r w:rsidR="00F16E0F">
        <w:t>7</w:t>
      </w:r>
      <w:r w:rsidRPr="00673C82">
        <w:t>.</w:t>
      </w:r>
      <w:r>
        <w:t xml:space="preserve"> Consideration of informal document INF.28 was entrusted to the Working Group on Standards.</w:t>
      </w:r>
    </w:p>
    <w:p w14:paraId="7A52AC21" w14:textId="77777777" w:rsidR="007A36BD" w:rsidRPr="00673C82" w:rsidRDefault="007A36BD" w:rsidP="007A36BD">
      <w:pPr>
        <w:pStyle w:val="HChG"/>
      </w:pPr>
      <w:r w:rsidRPr="00673C82">
        <w:tab/>
        <w:t>III.</w:t>
      </w:r>
      <w:r w:rsidRPr="00673C82">
        <w:tab/>
        <w:t>Tanks (agenda item 2)</w:t>
      </w:r>
    </w:p>
    <w:p w14:paraId="50A26CD7" w14:textId="0533AF04" w:rsidR="007A36BD" w:rsidRPr="009D6AD8" w:rsidRDefault="007A36BD" w:rsidP="00114C40">
      <w:pPr>
        <w:pStyle w:val="SingleTxtG"/>
        <w:tabs>
          <w:tab w:val="left" w:pos="3402"/>
        </w:tabs>
        <w:spacing w:after="0"/>
        <w:ind w:left="2268" w:hanging="1134"/>
      </w:pPr>
      <w:r w:rsidRPr="006B4F8C">
        <w:rPr>
          <w:i/>
          <w:iCs/>
        </w:rPr>
        <w:t>Documents</w:t>
      </w:r>
      <w:r w:rsidRPr="001C3D36">
        <w:rPr>
          <w:i/>
          <w:iCs/>
        </w:rPr>
        <w:t>:</w:t>
      </w:r>
      <w:r>
        <w:t xml:space="preserve"> </w:t>
      </w:r>
      <w:r>
        <w:tab/>
      </w:r>
      <w:r>
        <w:tab/>
      </w:r>
      <w:r w:rsidRPr="00114C40">
        <w:t>ECE/TRANS/WP.15/AC.1/148/Add.2</w:t>
      </w:r>
      <w:r w:rsidR="00AC5C57" w:rsidRPr="00114C40">
        <w:t xml:space="preserve"> </w:t>
      </w:r>
      <w:r w:rsidR="00AC5C57" w:rsidRPr="009D0070">
        <w:t>(Secretariat)</w:t>
      </w:r>
    </w:p>
    <w:p w14:paraId="023661E1" w14:textId="2ACDF2AA" w:rsidR="007A36BD" w:rsidRPr="009D6AD8" w:rsidRDefault="007A36BD" w:rsidP="00114C40">
      <w:pPr>
        <w:pStyle w:val="SingleTxtG"/>
        <w:spacing w:after="0"/>
        <w:ind w:left="3402"/>
      </w:pPr>
      <w:r w:rsidRPr="009D6AD8">
        <w:tab/>
        <w:t xml:space="preserve">ECE/TRANS/WP.15/AC.1/2018/6 (Poland) </w:t>
      </w:r>
    </w:p>
    <w:p w14:paraId="7B55AC2F" w14:textId="39E31ECD" w:rsidR="007A36BD" w:rsidRPr="009D6AD8" w:rsidRDefault="007A36BD" w:rsidP="00114C40">
      <w:pPr>
        <w:pStyle w:val="SingleTxtG"/>
        <w:spacing w:after="0"/>
        <w:ind w:left="3402"/>
      </w:pPr>
      <w:r w:rsidRPr="009D6AD8">
        <w:tab/>
        <w:t xml:space="preserve">ECE/TRANS/WP.15/AC.1/2018/8 (United Kingdom) </w:t>
      </w:r>
    </w:p>
    <w:p w14:paraId="20BB70CD" w14:textId="59217D68" w:rsidR="007A36BD" w:rsidRPr="009D6AD8" w:rsidRDefault="007A36BD" w:rsidP="00114C40">
      <w:pPr>
        <w:pStyle w:val="SingleTxtG"/>
        <w:spacing w:after="0"/>
        <w:ind w:left="3402"/>
      </w:pPr>
      <w:r w:rsidRPr="009D6AD8">
        <w:tab/>
        <w:t xml:space="preserve">ECE/TRANS/WP.15/AC.1/2018/9 (UIP) </w:t>
      </w:r>
    </w:p>
    <w:p w14:paraId="51E33E44" w14:textId="25533441" w:rsidR="007A36BD" w:rsidRPr="009D6AD8" w:rsidRDefault="007A36BD" w:rsidP="00114C40">
      <w:pPr>
        <w:pStyle w:val="SingleTxtG"/>
        <w:spacing w:after="0"/>
        <w:ind w:left="3402"/>
      </w:pPr>
      <w:r w:rsidRPr="009D6AD8">
        <w:tab/>
        <w:t xml:space="preserve">ECE/TRANS/WP.15/AC.1/2018/11 (France) </w:t>
      </w:r>
    </w:p>
    <w:p w14:paraId="15D88FB9" w14:textId="04086308" w:rsidR="007A36BD" w:rsidRPr="009D6AD8" w:rsidRDefault="007A36BD" w:rsidP="00114C40">
      <w:pPr>
        <w:pStyle w:val="SingleTxtG"/>
        <w:spacing w:after="0"/>
        <w:ind w:left="3402"/>
      </w:pPr>
      <w:r w:rsidRPr="009D6AD8">
        <w:tab/>
        <w:t xml:space="preserve">ECE/TRANS/WP.15/AC.1/2018/12 (France) </w:t>
      </w:r>
    </w:p>
    <w:p w14:paraId="300E5798" w14:textId="50CBCCF9" w:rsidR="007A36BD" w:rsidRPr="009D6AD8" w:rsidRDefault="007A36BD" w:rsidP="007A36BD">
      <w:pPr>
        <w:pStyle w:val="SingleTxtG"/>
        <w:ind w:left="3402"/>
      </w:pPr>
      <w:r w:rsidRPr="009D6AD8">
        <w:tab/>
        <w:t xml:space="preserve">ECE/TRANS/WP.15/AC.1/2018/13 (France) </w:t>
      </w:r>
    </w:p>
    <w:p w14:paraId="31431C37" w14:textId="6C9A821B" w:rsidR="007A36BD" w:rsidRDefault="007A36BD" w:rsidP="00114C40">
      <w:pPr>
        <w:pStyle w:val="SingleTxtG"/>
        <w:tabs>
          <w:tab w:val="left" w:pos="3402"/>
        </w:tabs>
        <w:spacing w:after="0"/>
      </w:pPr>
      <w:r w:rsidRPr="0017109C">
        <w:rPr>
          <w:i/>
          <w:iCs/>
        </w:rPr>
        <w:t>Informal documents</w:t>
      </w:r>
      <w:r w:rsidRPr="001C3D36">
        <w:rPr>
          <w:i/>
          <w:iCs/>
        </w:rPr>
        <w:t>:</w:t>
      </w:r>
      <w:r w:rsidRPr="00673C82">
        <w:tab/>
      </w:r>
      <w:r w:rsidRPr="0049052D">
        <w:t xml:space="preserve">INF.6 (France) </w:t>
      </w:r>
    </w:p>
    <w:p w14:paraId="769E3415" w14:textId="7E7E3BE4" w:rsidR="007A36BD" w:rsidRPr="0049052D" w:rsidRDefault="007A36BD" w:rsidP="00114C40">
      <w:pPr>
        <w:pStyle w:val="SingleTxtG"/>
        <w:spacing w:after="0"/>
        <w:ind w:left="3402"/>
      </w:pPr>
      <w:r w:rsidRPr="009D6AD8">
        <w:t xml:space="preserve">INF.9 </w:t>
      </w:r>
      <w:r>
        <w:t xml:space="preserve">(France) </w:t>
      </w:r>
    </w:p>
    <w:p w14:paraId="2E40FC1F" w14:textId="04C4E512" w:rsidR="007A36BD" w:rsidRPr="0049052D" w:rsidRDefault="007A36BD" w:rsidP="00114C40">
      <w:pPr>
        <w:pStyle w:val="SingleTxtG"/>
        <w:spacing w:after="0"/>
        <w:ind w:left="3402"/>
      </w:pPr>
      <w:r w:rsidRPr="0049052D">
        <w:t xml:space="preserve">INF.10 (Netherlands) </w:t>
      </w:r>
    </w:p>
    <w:p w14:paraId="0E14F9B9" w14:textId="10948629" w:rsidR="007A36BD" w:rsidRPr="0049052D" w:rsidRDefault="007A36BD" w:rsidP="00114C40">
      <w:pPr>
        <w:pStyle w:val="SingleTxtG"/>
        <w:spacing w:after="0"/>
        <w:ind w:left="3402"/>
      </w:pPr>
      <w:r w:rsidRPr="0049052D">
        <w:lastRenderedPageBreak/>
        <w:t xml:space="preserve">INF.11 (United Kingdom) </w:t>
      </w:r>
    </w:p>
    <w:p w14:paraId="55BCD41F" w14:textId="6216019D" w:rsidR="007A36BD" w:rsidRPr="0049052D" w:rsidRDefault="007A36BD" w:rsidP="00114C40">
      <w:pPr>
        <w:pStyle w:val="SingleTxtG"/>
        <w:spacing w:after="0"/>
        <w:ind w:left="3402"/>
      </w:pPr>
      <w:r w:rsidRPr="0049052D">
        <w:t xml:space="preserve">INF.17 (UIC) </w:t>
      </w:r>
    </w:p>
    <w:p w14:paraId="77EBE367" w14:textId="77777777" w:rsidR="0039102C" w:rsidRDefault="007A36BD" w:rsidP="00114C40">
      <w:pPr>
        <w:pStyle w:val="SingleTxtG"/>
        <w:spacing w:after="0"/>
        <w:ind w:left="3402"/>
      </w:pPr>
      <w:r w:rsidRPr="0049052D">
        <w:t>INF.19 (OTIF secretariat)</w:t>
      </w:r>
    </w:p>
    <w:p w14:paraId="48227FA7" w14:textId="5CA9E5C2" w:rsidR="007A36BD" w:rsidRPr="0049052D" w:rsidRDefault="007A36BD" w:rsidP="00114C40">
      <w:pPr>
        <w:pStyle w:val="SingleTxtG"/>
        <w:spacing w:after="0"/>
        <w:ind w:left="3402"/>
      </w:pPr>
      <w:r w:rsidRPr="0049052D">
        <w:t xml:space="preserve">INF.24 (UIC) </w:t>
      </w:r>
    </w:p>
    <w:p w14:paraId="6E881410" w14:textId="7CE03058" w:rsidR="007A36BD" w:rsidRPr="0049052D" w:rsidRDefault="007A36BD" w:rsidP="00114C40">
      <w:pPr>
        <w:pStyle w:val="SingleTxtG"/>
        <w:spacing w:after="0"/>
        <w:ind w:left="3402"/>
      </w:pPr>
      <w:r w:rsidRPr="0049052D">
        <w:t>INF.32</w:t>
      </w:r>
      <w:r w:rsidR="00F16E0F">
        <w:t>/Rev.1</w:t>
      </w:r>
      <w:r w:rsidRPr="0049052D">
        <w:t xml:space="preserve"> </w:t>
      </w:r>
      <w:r>
        <w:t>(France)</w:t>
      </w:r>
      <w:r w:rsidRPr="0049052D">
        <w:t xml:space="preserve"> </w:t>
      </w:r>
    </w:p>
    <w:p w14:paraId="7576A751" w14:textId="3FAB9D40" w:rsidR="007A36BD" w:rsidRPr="0049052D" w:rsidRDefault="007A36BD" w:rsidP="00114C40">
      <w:pPr>
        <w:pStyle w:val="SingleTxtG"/>
        <w:spacing w:after="0"/>
        <w:ind w:left="3402"/>
      </w:pPr>
      <w:r w:rsidRPr="0049052D">
        <w:t xml:space="preserve">INF.36 </w:t>
      </w:r>
      <w:r>
        <w:t>(Germany)</w:t>
      </w:r>
      <w:r w:rsidRPr="0049052D">
        <w:t xml:space="preserve"> </w:t>
      </w:r>
    </w:p>
    <w:p w14:paraId="63FDB1DB" w14:textId="35BC6EB3" w:rsidR="007A36BD" w:rsidRDefault="007A36BD" w:rsidP="00114C40">
      <w:pPr>
        <w:pStyle w:val="SingleTxtG"/>
        <w:spacing w:after="0"/>
        <w:ind w:left="3402"/>
      </w:pPr>
      <w:r w:rsidRPr="0049052D">
        <w:tab/>
        <w:t xml:space="preserve">INF.40 </w:t>
      </w:r>
      <w:r>
        <w:t>(France)</w:t>
      </w:r>
      <w:r w:rsidRPr="0049052D">
        <w:t xml:space="preserve"> </w:t>
      </w:r>
    </w:p>
    <w:p w14:paraId="169CF9E6" w14:textId="3D4D848D" w:rsidR="007A36BD" w:rsidRDefault="007A36BD" w:rsidP="007A36BD">
      <w:pPr>
        <w:pStyle w:val="SingleTxtG"/>
        <w:ind w:left="3402"/>
      </w:pPr>
      <w:r>
        <w:t>INF.41 (United Kingdom)</w:t>
      </w:r>
    </w:p>
    <w:p w14:paraId="1F2BB024" w14:textId="3C0E8D04" w:rsidR="007A36BD" w:rsidRDefault="007A36BD" w:rsidP="007A36BD">
      <w:pPr>
        <w:pStyle w:val="SingleTxtG"/>
      </w:pPr>
      <w:r>
        <w:t>5</w:t>
      </w:r>
      <w:r w:rsidRPr="00585B20">
        <w:t>.</w:t>
      </w:r>
      <w:r w:rsidRPr="00585B20">
        <w:tab/>
        <w:t xml:space="preserve">Consideration of the documents was entrusted to </w:t>
      </w:r>
      <w:r w:rsidR="00F16E0F">
        <w:t xml:space="preserve">the </w:t>
      </w:r>
      <w:r w:rsidR="00577B35">
        <w:t>Working Group on Tanks</w:t>
      </w:r>
      <w:r w:rsidR="00F16E0F" w:rsidRPr="00585B20">
        <w:t xml:space="preserve"> </w:t>
      </w:r>
      <w:r w:rsidRPr="00585B20">
        <w:t xml:space="preserve">that met from 12 to </w:t>
      </w:r>
      <w:r>
        <w:t>14</w:t>
      </w:r>
      <w:r w:rsidRPr="00585B20">
        <w:t xml:space="preserve"> March with Mr. A. Bale (United Kingdom) as Chair.</w:t>
      </w:r>
    </w:p>
    <w:p w14:paraId="2F5609A6" w14:textId="77777777" w:rsidR="005437D3" w:rsidRPr="00114C40" w:rsidRDefault="005437D3" w:rsidP="005437D3">
      <w:pPr>
        <w:pStyle w:val="SingleTxtG"/>
        <w:tabs>
          <w:tab w:val="left" w:pos="3402"/>
        </w:tabs>
      </w:pPr>
      <w:r w:rsidRPr="00114C40">
        <w:rPr>
          <w:i/>
        </w:rPr>
        <w:t>Informal document:</w:t>
      </w:r>
      <w:r w:rsidRPr="00114C40">
        <w:tab/>
        <w:t xml:space="preserve">INF.47 (Report of the Working Group) </w:t>
      </w:r>
    </w:p>
    <w:p w14:paraId="12BCF75B" w14:textId="631E2A56" w:rsidR="005437D3" w:rsidRDefault="0047557C" w:rsidP="005437D3">
      <w:pPr>
        <w:pStyle w:val="SingleTxtG"/>
      </w:pPr>
      <w:r w:rsidRPr="00114C40">
        <w:t>6</w:t>
      </w:r>
      <w:r w:rsidR="005437D3" w:rsidRPr="00114C40">
        <w:t>.</w:t>
      </w:r>
      <w:r w:rsidR="005437D3" w:rsidRPr="00114C40">
        <w:tab/>
        <w:t>The Joint Meeting endorsed the conclusions and recommendations of the Working Group</w:t>
      </w:r>
      <w:r w:rsidR="003E2C8A" w:rsidRPr="00114C40">
        <w:t xml:space="preserve">, </w:t>
      </w:r>
      <w:r w:rsidR="003E2C8A" w:rsidRPr="009D0070">
        <w:t xml:space="preserve">whose report appears in annex </w:t>
      </w:r>
      <w:r w:rsidR="003E2C8A" w:rsidRPr="00114C40">
        <w:t>I</w:t>
      </w:r>
      <w:r w:rsidR="003E2C8A" w:rsidRPr="009D0070">
        <w:t xml:space="preserve"> as addendum </w:t>
      </w:r>
      <w:r w:rsidR="003E2C8A" w:rsidRPr="00114C40">
        <w:t>1</w:t>
      </w:r>
      <w:r w:rsidR="003E2C8A" w:rsidRPr="009D0070">
        <w:t xml:space="preserve"> to this report</w:t>
      </w:r>
      <w:r w:rsidR="005437D3" w:rsidRPr="00114C40">
        <w:t>. Proposals</w:t>
      </w:r>
      <w:r w:rsidR="005437D3" w:rsidRPr="003A7004">
        <w:t xml:space="preserve"> 1, 2, 3, 5, 6, 7 (as amended), 8 and 10 were adopted for entry into force on 1 January 2019</w:t>
      </w:r>
      <w:r w:rsidR="005437D3">
        <w:t xml:space="preserve"> (see annex</w:t>
      </w:r>
      <w:r w:rsidR="006032E5">
        <w:t>es</w:t>
      </w:r>
      <w:r w:rsidR="004F70A5">
        <w:t> </w:t>
      </w:r>
      <w:r w:rsidR="00496F68">
        <w:t>II</w:t>
      </w:r>
      <w:r w:rsidR="00577B35">
        <w:t xml:space="preserve"> and</w:t>
      </w:r>
      <w:r w:rsidR="006032E5">
        <w:t xml:space="preserve"> III</w:t>
      </w:r>
      <w:r w:rsidR="005437D3">
        <w:t>)</w:t>
      </w:r>
      <w:r w:rsidR="005437D3" w:rsidRPr="003A7004">
        <w:t>. Proposal 9 was adopted for entry into force on 2021</w:t>
      </w:r>
      <w:r w:rsidR="005437D3">
        <w:t xml:space="preserve"> (see annex</w:t>
      </w:r>
      <w:r>
        <w:t xml:space="preserve"> </w:t>
      </w:r>
      <w:r w:rsidR="00220BDC">
        <w:t>I</w:t>
      </w:r>
      <w:r w:rsidR="006032E5">
        <w:t>V</w:t>
      </w:r>
      <w:r w:rsidR="005437D3">
        <w:t>)</w:t>
      </w:r>
      <w:r w:rsidR="005437D3" w:rsidRPr="003A7004">
        <w:t xml:space="preserve">. </w:t>
      </w:r>
      <w:r w:rsidR="00134B3B">
        <w:t>Proposal 4 regarding the online publication of the guideline on the application of EN 13094:2015 for compliance with the 2017 and 2019 editions of RID/ADR was also adopted (see annex</w:t>
      </w:r>
      <w:r w:rsidR="00577B35">
        <w:t xml:space="preserve"> </w:t>
      </w:r>
      <w:r w:rsidR="006032E5">
        <w:t>V</w:t>
      </w:r>
      <w:r w:rsidR="00134B3B">
        <w:t>).</w:t>
      </w:r>
    </w:p>
    <w:p w14:paraId="766A0D8F" w14:textId="377868A4" w:rsidR="005437D3" w:rsidRPr="003A7004" w:rsidRDefault="0047557C" w:rsidP="005437D3">
      <w:pPr>
        <w:pStyle w:val="SingleTxtG"/>
      </w:pPr>
      <w:r>
        <w:t>7</w:t>
      </w:r>
      <w:r w:rsidR="005437D3" w:rsidRPr="003A7004">
        <w:t>.</w:t>
      </w:r>
      <w:r w:rsidR="005437D3" w:rsidRPr="003A7004">
        <w:tab/>
      </w:r>
      <w:r w:rsidR="005437D3">
        <w:t>I</w:t>
      </w:r>
      <w:r w:rsidR="005437D3" w:rsidRPr="003A7004">
        <w:t xml:space="preserve">n response to a question raised by the representative of ERA regarding proposal 1, the Joint Meeting indicated that the mention </w:t>
      </w:r>
      <w:r w:rsidR="00B462A7">
        <w:t>of</w:t>
      </w:r>
      <w:r w:rsidR="00B462A7" w:rsidRPr="003A7004">
        <w:t xml:space="preserve"> </w:t>
      </w:r>
      <w:r w:rsidR="005437D3" w:rsidRPr="003A7004">
        <w:t>“welding operations” referred to welding operations performed on the tank itself.</w:t>
      </w:r>
    </w:p>
    <w:p w14:paraId="0BB18A50" w14:textId="77777777" w:rsidR="007A36BD" w:rsidRPr="00673C82" w:rsidRDefault="007A36BD" w:rsidP="007A36BD">
      <w:pPr>
        <w:pStyle w:val="HChG"/>
      </w:pPr>
      <w:r w:rsidRPr="00673C82">
        <w:tab/>
        <w:t>IV.</w:t>
      </w:r>
      <w:r w:rsidRPr="00673C82">
        <w:tab/>
        <w:t>Standards (agenda item 3)</w:t>
      </w:r>
    </w:p>
    <w:p w14:paraId="3513E067" w14:textId="27930F8A" w:rsidR="007A36BD" w:rsidRPr="00673C82" w:rsidRDefault="007A36BD" w:rsidP="007A36BD">
      <w:pPr>
        <w:pStyle w:val="SingleTxtG"/>
        <w:tabs>
          <w:tab w:val="left" w:pos="3402"/>
        </w:tabs>
        <w:ind w:left="2268" w:hanging="1134"/>
      </w:pPr>
      <w:r>
        <w:rPr>
          <w:i/>
          <w:iCs/>
        </w:rPr>
        <w:t>Document</w:t>
      </w:r>
      <w:r w:rsidRPr="001C3D36">
        <w:rPr>
          <w:i/>
          <w:iCs/>
        </w:rPr>
        <w:t>:</w:t>
      </w:r>
      <w:r>
        <w:t xml:space="preserve"> </w:t>
      </w:r>
      <w:r>
        <w:tab/>
      </w:r>
      <w:r>
        <w:tab/>
        <w:t>ECE/TRANS/WP.15/AC.1/2018/7</w:t>
      </w:r>
      <w:r w:rsidRPr="00673C82">
        <w:t xml:space="preserve"> (CEN) </w:t>
      </w:r>
    </w:p>
    <w:p w14:paraId="75421BE7" w14:textId="293A2A5F" w:rsidR="00577B35" w:rsidRDefault="007A36BD" w:rsidP="00114C40">
      <w:pPr>
        <w:pStyle w:val="SingleTxtG"/>
        <w:tabs>
          <w:tab w:val="left" w:pos="3402"/>
        </w:tabs>
        <w:spacing w:after="0"/>
        <w:jc w:val="left"/>
      </w:pPr>
      <w:r>
        <w:rPr>
          <w:i/>
          <w:iCs/>
        </w:rPr>
        <w:t>Informal documents</w:t>
      </w:r>
      <w:r w:rsidRPr="001C3D36">
        <w:rPr>
          <w:i/>
          <w:iCs/>
        </w:rPr>
        <w:t>:</w:t>
      </w:r>
      <w:r>
        <w:tab/>
      </w:r>
      <w:r w:rsidR="00577B35">
        <w:rPr>
          <w:i/>
          <w:iCs/>
        </w:rPr>
        <w:tab/>
      </w:r>
      <w:r w:rsidR="00577B35">
        <w:rPr>
          <w:iCs/>
        </w:rPr>
        <w:t>INF.28 (AEGPL)</w:t>
      </w:r>
    </w:p>
    <w:p w14:paraId="569491E1" w14:textId="4FC7E385" w:rsidR="007A36BD" w:rsidRDefault="00577B35" w:rsidP="006C19BA">
      <w:pPr>
        <w:pStyle w:val="SingleTxtG"/>
        <w:tabs>
          <w:tab w:val="left" w:pos="3402"/>
        </w:tabs>
        <w:spacing w:after="0"/>
        <w:jc w:val="left"/>
      </w:pPr>
      <w:r>
        <w:tab/>
      </w:r>
      <w:r>
        <w:tab/>
      </w:r>
      <w:r w:rsidR="007A36BD">
        <w:t>INF.29</w:t>
      </w:r>
      <w:r w:rsidR="007A36BD" w:rsidRPr="00673C82">
        <w:t xml:space="preserve"> (CEN)</w:t>
      </w:r>
    </w:p>
    <w:p w14:paraId="3DF01DCF" w14:textId="66D1F799" w:rsidR="007A36BD" w:rsidRDefault="00114C40" w:rsidP="006C19BA">
      <w:pPr>
        <w:pStyle w:val="SingleTxtG"/>
        <w:spacing w:before="240"/>
      </w:pPr>
      <w:r>
        <w:t>8</w:t>
      </w:r>
      <w:r w:rsidR="007A36BD">
        <w:t>.</w:t>
      </w:r>
      <w:r w:rsidR="007A36BD" w:rsidRPr="0077600F">
        <w:tab/>
        <w:t>Consideration of the documents was entrusted to the Working Group on Standards, which met during the lunch breaks.</w:t>
      </w:r>
    </w:p>
    <w:p w14:paraId="05059075" w14:textId="518B107D" w:rsidR="005437D3" w:rsidRPr="000520C2" w:rsidRDefault="005437D3" w:rsidP="005437D3">
      <w:pPr>
        <w:spacing w:before="120" w:after="120"/>
        <w:ind w:left="414" w:firstLine="720"/>
      </w:pPr>
      <w:r>
        <w:rPr>
          <w:i/>
        </w:rPr>
        <w:tab/>
      </w:r>
      <w:r w:rsidRPr="000520C2">
        <w:rPr>
          <w:i/>
        </w:rPr>
        <w:t xml:space="preserve">Informal document: </w:t>
      </w:r>
      <w:r w:rsidRPr="000520C2">
        <w:rPr>
          <w:i/>
        </w:rPr>
        <w:tab/>
      </w:r>
      <w:r w:rsidR="004F70A5">
        <w:rPr>
          <w:i/>
        </w:rPr>
        <w:tab/>
      </w:r>
      <w:r w:rsidRPr="000520C2">
        <w:t xml:space="preserve">INF.45 (Report of </w:t>
      </w:r>
      <w:r w:rsidR="0047557C">
        <w:t>W</w:t>
      </w:r>
      <w:r w:rsidRPr="000520C2">
        <w:t xml:space="preserve">orking </w:t>
      </w:r>
      <w:r w:rsidR="0047557C">
        <w:t>G</w:t>
      </w:r>
      <w:r w:rsidRPr="000520C2">
        <w:t>roup)</w:t>
      </w:r>
    </w:p>
    <w:p w14:paraId="4183944C" w14:textId="5F045BCF" w:rsidR="005437D3" w:rsidRPr="00F96616" w:rsidRDefault="00114C40" w:rsidP="005437D3">
      <w:pPr>
        <w:pStyle w:val="SingleTxtG"/>
      </w:pPr>
      <w:r>
        <w:t>9</w:t>
      </w:r>
      <w:r w:rsidR="005437D3" w:rsidRPr="00F96616">
        <w:t>.</w:t>
      </w:r>
      <w:r w:rsidR="005437D3" w:rsidRPr="00F96616">
        <w:tab/>
        <w:t>The Joint Meeting adopted the proposals made by the Working Group with the following changes and reservations:</w:t>
      </w:r>
    </w:p>
    <w:p w14:paraId="6FDCFF7F" w14:textId="7DF3C31D" w:rsidR="005437D3" w:rsidRPr="00F96616" w:rsidRDefault="004F70A5" w:rsidP="002935A3">
      <w:pPr>
        <w:pStyle w:val="SingleTxtG"/>
        <w:ind w:firstLine="567"/>
      </w:pPr>
      <w:r>
        <w:t>(a)</w:t>
      </w:r>
      <w:r>
        <w:tab/>
        <w:t>P</w:t>
      </w:r>
      <w:r w:rsidR="005437D3" w:rsidRPr="00F96616">
        <w:t>roposals 1, 3, 4 and 6: adopted</w:t>
      </w:r>
      <w:r w:rsidR="005437D3">
        <w:t xml:space="preserve"> </w:t>
      </w:r>
      <w:r w:rsidR="005437D3" w:rsidRPr="00F96616">
        <w:t xml:space="preserve">for the 2019 edition of RID/ADR </w:t>
      </w:r>
      <w:r w:rsidR="00114C40">
        <w:t>(see </w:t>
      </w:r>
      <w:r w:rsidR="006032E5" w:rsidRPr="00F96616">
        <w:t>annex</w:t>
      </w:r>
      <w:r w:rsidR="00114C40">
        <w:t> </w:t>
      </w:r>
      <w:r w:rsidR="006032E5">
        <w:t>II</w:t>
      </w:r>
      <w:r w:rsidR="006032E5" w:rsidRPr="00F96616">
        <w:t>)</w:t>
      </w:r>
      <w:r w:rsidR="006032E5">
        <w:t xml:space="preserve"> </w:t>
      </w:r>
      <w:r w:rsidR="005437D3" w:rsidRPr="00F96616">
        <w:t>on condition that the 2018 edition of the standards referenced therein become</w:t>
      </w:r>
      <w:r>
        <w:t>s</w:t>
      </w:r>
      <w:r w:rsidR="005437D3" w:rsidRPr="00F96616">
        <w:t xml:space="preserve"> available before 1 June 2018. </w:t>
      </w:r>
      <w:r w:rsidR="00496F68">
        <w:t xml:space="preserve">Proposal 6 was adopted with a correction </w:t>
      </w:r>
      <w:r w:rsidR="00496F68" w:rsidRPr="00F96616">
        <w:t>to the dates under column 4</w:t>
      </w:r>
      <w:r w:rsidR="00496F68">
        <w:t xml:space="preserve"> (i</w:t>
      </w:r>
      <w:r w:rsidR="00496F68" w:rsidRPr="00F96616">
        <w:t>.e. replacement of “30 December” with “31 December”</w:t>
      </w:r>
      <w:r w:rsidR="00496F68">
        <w:t xml:space="preserve">). </w:t>
      </w:r>
      <w:r w:rsidR="005437D3" w:rsidRPr="00F96616">
        <w:t>A consequential amendment to TT11 following the updating of the reference to the standard in proposal 6, was also adopted.</w:t>
      </w:r>
    </w:p>
    <w:p w14:paraId="0C42ADD1" w14:textId="43DB8A0E" w:rsidR="005437D3" w:rsidRPr="00F96616" w:rsidRDefault="005437D3" w:rsidP="006C19BA">
      <w:pPr>
        <w:pStyle w:val="SingleTxtG"/>
        <w:ind w:firstLine="567"/>
      </w:pPr>
      <w:r w:rsidRPr="00F96616">
        <w:t>(b)</w:t>
      </w:r>
      <w:r w:rsidRPr="00F96616">
        <w:tab/>
      </w:r>
      <w:r w:rsidR="004F70A5">
        <w:t>P</w:t>
      </w:r>
      <w:r w:rsidRPr="00F96616">
        <w:t>roposals 2 and 5: adopted for the 2019 edition of RID/ADR</w:t>
      </w:r>
      <w:r w:rsidR="004F70A5">
        <w:t xml:space="preserve"> </w:t>
      </w:r>
      <w:r w:rsidR="006032E5" w:rsidRPr="00F96616">
        <w:t>(see annex</w:t>
      </w:r>
      <w:r w:rsidR="006032E5">
        <w:t xml:space="preserve"> II</w:t>
      </w:r>
      <w:r w:rsidR="006032E5" w:rsidRPr="00F96616">
        <w:t>)</w:t>
      </w:r>
      <w:r w:rsidR="00750827">
        <w:t xml:space="preserve">. Proposal 5 was adopted with a correction </w:t>
      </w:r>
      <w:r w:rsidR="00750827" w:rsidRPr="00F96616">
        <w:t>to the dates under column 4</w:t>
      </w:r>
      <w:r w:rsidR="00750827">
        <w:t xml:space="preserve"> (i</w:t>
      </w:r>
      <w:r w:rsidR="00750827" w:rsidRPr="00F96616">
        <w:t>.e.</w:t>
      </w:r>
      <w:r w:rsidR="004F70A5">
        <w:t> </w:t>
      </w:r>
      <w:r w:rsidR="00750827" w:rsidRPr="00F96616">
        <w:t>replacement of “30 December” with “31 December”</w:t>
      </w:r>
      <w:r w:rsidR="00750827">
        <w:t>)</w:t>
      </w:r>
      <w:r w:rsidR="00496F68">
        <w:t>.</w:t>
      </w:r>
      <w:r w:rsidR="00750827">
        <w:t xml:space="preserve"> </w:t>
      </w:r>
    </w:p>
    <w:p w14:paraId="6EA8F592" w14:textId="49676E4D" w:rsidR="005437D3" w:rsidRPr="00F96616" w:rsidRDefault="005437D3" w:rsidP="006C19BA">
      <w:pPr>
        <w:pStyle w:val="SingleTxtG"/>
        <w:ind w:firstLine="567"/>
      </w:pPr>
      <w:r w:rsidRPr="00F96616">
        <w:t>(</w:t>
      </w:r>
      <w:r w:rsidR="00750827">
        <w:t>c</w:t>
      </w:r>
      <w:r w:rsidR="004F70A5">
        <w:t>)</w:t>
      </w:r>
      <w:r w:rsidR="004F70A5">
        <w:tab/>
        <w:t>P</w:t>
      </w:r>
      <w:r w:rsidRPr="00F96616">
        <w:t>roposal 7: adopted (see annex</w:t>
      </w:r>
      <w:r w:rsidR="00750827">
        <w:t xml:space="preserve"> II</w:t>
      </w:r>
      <w:r w:rsidR="00750827" w:rsidRPr="00F96616">
        <w:t xml:space="preserve">). </w:t>
      </w:r>
      <w:r w:rsidRPr="00F96616">
        <w:t xml:space="preserve">The Joint Meeting noted that the explanatory note related to standard EN 12245:2009+A1:2011 would address the issue raised in informal document INF.28 by no longer allowing construction of 2-piece composite </w:t>
      </w:r>
      <w:r w:rsidR="00494F4F">
        <w:t>liquefied petroleum gas (</w:t>
      </w:r>
      <w:r w:rsidRPr="00F96616">
        <w:t>LPG</w:t>
      </w:r>
      <w:r w:rsidR="00494F4F">
        <w:t>)</w:t>
      </w:r>
      <w:r w:rsidRPr="00F96616">
        <w:t xml:space="preserve"> cylinders. The representative of AEGPL explained that there was a withdrawal programme in place for these cylinders and the Joint Meeting invited him to provide an update on its progress at the next session.</w:t>
      </w:r>
    </w:p>
    <w:p w14:paraId="62E1E324" w14:textId="16EEA70B" w:rsidR="005437D3" w:rsidRPr="00F96616" w:rsidRDefault="00114C40" w:rsidP="005437D3">
      <w:pPr>
        <w:pStyle w:val="SingleTxtG"/>
      </w:pPr>
      <w:r>
        <w:lastRenderedPageBreak/>
        <w:t>10</w:t>
      </w:r>
      <w:r w:rsidR="005437D3">
        <w:t>.</w:t>
      </w:r>
      <w:r w:rsidR="005437D3">
        <w:tab/>
      </w:r>
      <w:r w:rsidR="005437D3" w:rsidRPr="00F96616">
        <w:t xml:space="preserve">The Joint Meeting also took note of the conclusions and recommendations made by the Working Group in sections 5.1 and 5.2 of </w:t>
      </w:r>
      <w:r w:rsidR="0047557C">
        <w:t xml:space="preserve">informal </w:t>
      </w:r>
      <w:r w:rsidR="005437D3" w:rsidRPr="00F96616">
        <w:t>document</w:t>
      </w:r>
      <w:r w:rsidR="0047557C">
        <w:t xml:space="preserve"> INF.45</w:t>
      </w:r>
      <w:r w:rsidR="005437D3" w:rsidRPr="00F96616">
        <w:t>. The representative of Germany volunteered to examine the question raised under section 5.2 in relation to EN</w:t>
      </w:r>
      <w:r>
        <w:t> </w:t>
      </w:r>
      <w:r w:rsidR="005437D3" w:rsidRPr="00F96616">
        <w:t>590:2013+A1:2017.</w:t>
      </w:r>
    </w:p>
    <w:p w14:paraId="0ED3B4B9" w14:textId="5C2AF522" w:rsidR="005437D3" w:rsidRDefault="00114C40" w:rsidP="005437D3">
      <w:pPr>
        <w:pStyle w:val="SingleTxtG"/>
      </w:pPr>
      <w:r>
        <w:t>11</w:t>
      </w:r>
      <w:r w:rsidR="005437D3">
        <w:t>.</w:t>
      </w:r>
      <w:r w:rsidR="005437D3">
        <w:tab/>
      </w:r>
      <w:r w:rsidR="005437D3" w:rsidRPr="00F96616">
        <w:t>The Joint Meeting noted and shared the concerns expressed by the Working Group in section 5.4 of its report. It was pointed out that the current working arrangements for verifying the compatibility of draft standard</w:t>
      </w:r>
      <w:r w:rsidR="005437D3">
        <w:t xml:space="preserve">s with the requirements of RID/ADR/ADN had proven to provide highly satisfactory results and noted that this was, to a great extent, due to the high level of expertise provided by the CEN consultant so far. The representative of CEN confirmed that </w:t>
      </w:r>
      <w:r w:rsidR="0039102C">
        <w:t xml:space="preserve">his </w:t>
      </w:r>
      <w:r w:rsidR="005437D3">
        <w:t xml:space="preserve">organisation would continue to provide secretariat and administrative support to the Working Group </w:t>
      </w:r>
      <w:r w:rsidR="00E41D6A">
        <w:t xml:space="preserve">on Standards </w:t>
      </w:r>
      <w:r w:rsidR="005437D3">
        <w:t>but would no longer have control over the consultant. In light of these developments, the Joint Meeting invited delegations to consider whether the current procedure (see ECE/TRANS/WP.15/AC.1/122/Add.2 as amended by ECE/TRANS/WP.15/AC.1/130 Annex III) should be revised and to submit proposals for consideration at the autumn session.</w:t>
      </w:r>
    </w:p>
    <w:p w14:paraId="344B4323" w14:textId="77777777" w:rsidR="007A36BD" w:rsidRDefault="007A36BD" w:rsidP="007A36BD">
      <w:pPr>
        <w:pStyle w:val="HChG"/>
      </w:pPr>
      <w:r>
        <w:tab/>
      </w:r>
      <w:r w:rsidRPr="00673C82">
        <w:t>V.</w:t>
      </w:r>
      <w:r w:rsidRPr="00673C82">
        <w:tab/>
        <w:t>Interpretation of RID/ADR/ADN (agenda item 4)</w:t>
      </w:r>
    </w:p>
    <w:p w14:paraId="465B5E05" w14:textId="77777777" w:rsidR="007A36BD" w:rsidRPr="009C26F2" w:rsidRDefault="007A36BD" w:rsidP="007A36BD">
      <w:pPr>
        <w:pStyle w:val="H1G"/>
      </w:pPr>
      <w:r>
        <w:tab/>
        <w:t>A.</w:t>
      </w:r>
      <w:r>
        <w:tab/>
      </w:r>
      <w:r w:rsidRPr="009C26F2">
        <w:t>Application of special provision CW24/CV24</w:t>
      </w:r>
    </w:p>
    <w:p w14:paraId="3A32CA85" w14:textId="77777777" w:rsidR="007A36BD" w:rsidRDefault="007A36BD" w:rsidP="007A36BD">
      <w:pPr>
        <w:pStyle w:val="SingleTxtG"/>
        <w:tabs>
          <w:tab w:val="left" w:pos="3402"/>
        </w:tabs>
      </w:pPr>
      <w:r w:rsidRPr="009C26F2">
        <w:rPr>
          <w:i/>
          <w:iCs/>
        </w:rPr>
        <w:t>Document</w:t>
      </w:r>
      <w:r w:rsidRPr="009C26F2">
        <w:t>:</w:t>
      </w:r>
      <w:r w:rsidRPr="009C26F2">
        <w:tab/>
        <w:t xml:space="preserve">ECE/TRANS/WP.15/AC.1/2018/5 (Poland) </w:t>
      </w:r>
    </w:p>
    <w:p w14:paraId="49902EF3" w14:textId="77777777" w:rsidR="007A36BD" w:rsidRPr="009C26F2" w:rsidRDefault="007A36BD" w:rsidP="007A36BD">
      <w:pPr>
        <w:pStyle w:val="SingleTxtG"/>
        <w:tabs>
          <w:tab w:val="left" w:pos="3402"/>
        </w:tabs>
        <w:spacing w:after="0"/>
      </w:pPr>
      <w:r w:rsidRPr="009C26F2">
        <w:rPr>
          <w:i/>
          <w:iCs/>
        </w:rPr>
        <w:t>Informal documents:</w:t>
      </w:r>
      <w:r w:rsidRPr="009C26F2">
        <w:tab/>
        <w:t xml:space="preserve">INF.3 (Poland) </w:t>
      </w:r>
    </w:p>
    <w:p w14:paraId="3B6609ED" w14:textId="77777777" w:rsidR="007A36BD" w:rsidRDefault="007A36BD" w:rsidP="007A36BD">
      <w:pPr>
        <w:pStyle w:val="SingleTxtG"/>
        <w:tabs>
          <w:tab w:val="left" w:pos="3402"/>
        </w:tabs>
      </w:pPr>
      <w:r w:rsidRPr="009C26F2">
        <w:tab/>
      </w:r>
      <w:r w:rsidRPr="009C26F2">
        <w:tab/>
        <w:t xml:space="preserve">INF.14 (CEFIC) </w:t>
      </w:r>
    </w:p>
    <w:p w14:paraId="5497A748" w14:textId="770AF729" w:rsidR="007A36BD" w:rsidRDefault="00114C40" w:rsidP="007A36BD">
      <w:pPr>
        <w:pStyle w:val="SingleTxtG"/>
      </w:pPr>
      <w:r>
        <w:t>12</w:t>
      </w:r>
      <w:r w:rsidR="007A36BD">
        <w:t>.</w:t>
      </w:r>
      <w:r w:rsidR="007A36BD">
        <w:tab/>
        <w:t>The Joint Meeting confirmed that wooden pallets were allowed for stowing organic peroxides packed according to the applicable provisions of RID/ADR. It was mentioned that the term “readily flammable material” was intended to address filling or cushioning materials (e.g. hay, paper, vegetable fibres, etc</w:t>
      </w:r>
      <w:r w:rsidR="004F70A5">
        <w:t>.</w:t>
      </w:r>
      <w:r w:rsidR="007A36BD">
        <w:t xml:space="preserve">). </w:t>
      </w:r>
    </w:p>
    <w:p w14:paraId="58F95B5B" w14:textId="7AB8C99D" w:rsidR="007A36BD" w:rsidRDefault="00114C40" w:rsidP="007A36BD">
      <w:pPr>
        <w:pStyle w:val="SingleTxtG"/>
      </w:pPr>
      <w:r>
        <w:t>13</w:t>
      </w:r>
      <w:r w:rsidR="007A36BD">
        <w:t>.</w:t>
      </w:r>
      <w:r w:rsidR="007A36BD">
        <w:tab/>
        <w:t>As regards the need to further clarify the existing text of special provisions CW24/CV24, there was support in principle for the proposal by CEFIC but the Joint Meeting considered that it should be further refined and invited the representatives of Poland and CEFIC to submit an official document to the next session with a revised proposal that would take account of the comments made.</w:t>
      </w:r>
    </w:p>
    <w:p w14:paraId="7132A8F8" w14:textId="1E1B97A1" w:rsidR="007A36BD" w:rsidRDefault="00114C40" w:rsidP="007A36BD">
      <w:pPr>
        <w:pStyle w:val="SingleTxtG"/>
      </w:pPr>
      <w:r>
        <w:t>14</w:t>
      </w:r>
      <w:r w:rsidR="007A36BD">
        <w:t>.</w:t>
      </w:r>
      <w:r w:rsidR="007A36BD">
        <w:tab/>
        <w:t>On the discrepancies found in RID/ADR as regards the application of spe</w:t>
      </w:r>
      <w:r w:rsidR="004F70A5">
        <w:t>cial provisions CW24/CV24 to UN </w:t>
      </w:r>
      <w:r w:rsidR="007A36BD">
        <w:t>Nos.</w:t>
      </w:r>
      <w:r w:rsidR="004F70A5">
        <w:t> </w:t>
      </w:r>
      <w:r w:rsidR="007A36BD">
        <w:t xml:space="preserve">1796, 1826 and 2031, and given that the question had already been raised in the past and no argument could be found to explain them, the Joint Meeting recommended that the three entries be aligned for the 2019 editions of RID/ADR, as follows: </w:t>
      </w:r>
    </w:p>
    <w:p w14:paraId="3F89160C" w14:textId="1B2A87CB" w:rsidR="007A36BD" w:rsidRDefault="007A36BD" w:rsidP="00837DA7">
      <w:pPr>
        <w:pStyle w:val="SingleTxtG"/>
        <w:ind w:firstLine="567"/>
      </w:pPr>
      <w:r>
        <w:t>(a)</w:t>
      </w:r>
      <w:r>
        <w:tab/>
        <w:t xml:space="preserve">In RID, special provision CW24 should be </w:t>
      </w:r>
      <w:r w:rsidR="00F16E0F">
        <w:t>deleted for</w:t>
      </w:r>
      <w:r w:rsidR="004F70A5">
        <w:t xml:space="preserve"> UN </w:t>
      </w:r>
      <w:r>
        <w:t>Nos.</w:t>
      </w:r>
      <w:r w:rsidR="004F70A5">
        <w:t> </w:t>
      </w:r>
      <w:r>
        <w:t xml:space="preserve">1796 and 1826 </w:t>
      </w:r>
      <w:r w:rsidR="0039102C">
        <w:t xml:space="preserve">packing group II </w:t>
      </w:r>
      <w:r>
        <w:t>(see annex</w:t>
      </w:r>
      <w:r w:rsidR="00750827">
        <w:t xml:space="preserve"> II). </w:t>
      </w:r>
      <w:r>
        <w:t xml:space="preserve">The Joint </w:t>
      </w:r>
      <w:r w:rsidR="0047557C">
        <w:t>M</w:t>
      </w:r>
      <w:r>
        <w:t xml:space="preserve">eeting recommended that this decision be confirmed by the RID Committee of Experts at its next session. </w:t>
      </w:r>
    </w:p>
    <w:p w14:paraId="091FB031" w14:textId="69135485" w:rsidR="007A36BD" w:rsidRDefault="007A36BD" w:rsidP="006C19BA">
      <w:pPr>
        <w:pStyle w:val="SingleTxtG"/>
        <w:ind w:firstLine="567"/>
      </w:pPr>
      <w:r>
        <w:t>(b)</w:t>
      </w:r>
      <w:r>
        <w:tab/>
        <w:t xml:space="preserve">In </w:t>
      </w:r>
      <w:r w:rsidR="00F16E0F">
        <w:t>RID</w:t>
      </w:r>
      <w:r w:rsidR="006032E5">
        <w:t>/</w:t>
      </w:r>
      <w:r>
        <w:t xml:space="preserve">ADR, special provision </w:t>
      </w:r>
      <w:r w:rsidR="006531E5">
        <w:t>CW</w:t>
      </w:r>
      <w:r w:rsidR="00F16E0F">
        <w:t>24/</w:t>
      </w:r>
      <w:r>
        <w:t xml:space="preserve">CV24 should be assigned to </w:t>
      </w:r>
      <w:r w:rsidR="00F16E0F">
        <w:t xml:space="preserve">the second entry of </w:t>
      </w:r>
      <w:r w:rsidR="004F70A5">
        <w:t>UN No. </w:t>
      </w:r>
      <w:r>
        <w:t>2031 (see annex</w:t>
      </w:r>
      <w:r w:rsidR="00750827">
        <w:t xml:space="preserve"> II). </w:t>
      </w:r>
      <w:r>
        <w:t xml:space="preserve">The Joint </w:t>
      </w:r>
      <w:r w:rsidR="00F16E0F">
        <w:t xml:space="preserve">Meeting </w:t>
      </w:r>
      <w:r>
        <w:t xml:space="preserve">recommended that this decision be confirmed by the </w:t>
      </w:r>
      <w:r w:rsidR="00F16E0F">
        <w:t xml:space="preserve">RID Committee of Experts and </w:t>
      </w:r>
      <w:r w:rsidR="0047557C">
        <w:t xml:space="preserve">the </w:t>
      </w:r>
      <w:r>
        <w:t>Working Party on the Transport of Dangerous Goods at</w:t>
      </w:r>
      <w:r w:rsidR="00F16E0F">
        <w:t xml:space="preserve"> their</w:t>
      </w:r>
      <w:r>
        <w:t xml:space="preserve"> next session</w:t>
      </w:r>
      <w:r w:rsidR="00F16E0F">
        <w:t>s</w:t>
      </w:r>
      <w:r>
        <w:t>.</w:t>
      </w:r>
    </w:p>
    <w:p w14:paraId="48F54E6C" w14:textId="77777777" w:rsidR="007A36BD" w:rsidRDefault="007A36BD" w:rsidP="00114C40">
      <w:pPr>
        <w:pStyle w:val="H1G"/>
      </w:pPr>
      <w:r>
        <w:lastRenderedPageBreak/>
        <w:tab/>
        <w:t>B.</w:t>
      </w:r>
      <w:r>
        <w:tab/>
        <w:t xml:space="preserve">Use of used </w:t>
      </w:r>
      <w:proofErr w:type="spellStart"/>
      <w:r>
        <w:t>packagings</w:t>
      </w:r>
      <w:proofErr w:type="spellEnd"/>
      <w:r>
        <w:t xml:space="preserve"> for the carriage of dangerous goods </w:t>
      </w:r>
    </w:p>
    <w:p w14:paraId="05CE690B" w14:textId="77777777" w:rsidR="007A36BD" w:rsidRDefault="007A36BD" w:rsidP="00114C40">
      <w:pPr>
        <w:pStyle w:val="SingleTxtG"/>
        <w:keepNext/>
        <w:keepLines/>
        <w:tabs>
          <w:tab w:val="left" w:pos="3402"/>
        </w:tabs>
      </w:pPr>
      <w:r w:rsidRPr="009C26F2">
        <w:rPr>
          <w:i/>
          <w:iCs/>
        </w:rPr>
        <w:t>Informal document:</w:t>
      </w:r>
      <w:r w:rsidRPr="009C26F2">
        <w:tab/>
        <w:t>I</w:t>
      </w:r>
      <w:r>
        <w:t>NF.39</w:t>
      </w:r>
      <w:r w:rsidRPr="009C26F2">
        <w:t xml:space="preserve"> (</w:t>
      </w:r>
      <w:r>
        <w:t>France</w:t>
      </w:r>
      <w:r w:rsidRPr="009C26F2">
        <w:t>)</w:t>
      </w:r>
    </w:p>
    <w:p w14:paraId="5AA07C5F" w14:textId="259E5C45" w:rsidR="007A36BD" w:rsidRDefault="00114C40" w:rsidP="007A36BD">
      <w:pPr>
        <w:pStyle w:val="SingleTxtG"/>
      </w:pPr>
      <w:r>
        <w:t>15</w:t>
      </w:r>
      <w:r w:rsidR="007A36BD">
        <w:t>.</w:t>
      </w:r>
      <w:r w:rsidR="007A36BD">
        <w:tab/>
      </w:r>
      <w:r w:rsidR="007A36BD" w:rsidRPr="00DB7C99">
        <w:t>The Joint Meeting noted that this question was addressed differently by Contracting Parties (e.g.</w:t>
      </w:r>
      <w:r w:rsidR="007A36BD">
        <w:t xml:space="preserve"> through derogations defined by multilateral agreements or under article 6 of Directive 2008/68/EC of the European Parliament and of the Council on the inland transport of dangerous goods). After an exchange of views the Joint Meeting welcomed the proposal by the representative of France to prepare a questionnaire to be circulated to all Contracting Parties to collect information on current practices and explore ways to harmonize them at international level.</w:t>
      </w:r>
    </w:p>
    <w:p w14:paraId="24CA99F1" w14:textId="77777777" w:rsidR="007A36BD" w:rsidRPr="00A462DD" w:rsidRDefault="007A36BD" w:rsidP="007A36BD">
      <w:pPr>
        <w:pStyle w:val="H1G"/>
        <w:keepNext w:val="0"/>
        <w:keepLines w:val="0"/>
      </w:pPr>
      <w:r>
        <w:tab/>
      </w:r>
      <w:r w:rsidRPr="00A462DD">
        <w:t>C.</w:t>
      </w:r>
      <w:r w:rsidRPr="00A462DD">
        <w:tab/>
        <w:t xml:space="preserve">Discrepancies and additions to danger labels and placards </w:t>
      </w:r>
    </w:p>
    <w:p w14:paraId="0B80764A" w14:textId="77777777" w:rsidR="007A36BD" w:rsidRPr="00A462DD" w:rsidRDefault="007A36BD" w:rsidP="007A36BD">
      <w:pPr>
        <w:pStyle w:val="SingleTxtG"/>
        <w:tabs>
          <w:tab w:val="left" w:pos="3402"/>
        </w:tabs>
      </w:pPr>
      <w:r w:rsidRPr="00A462DD">
        <w:rPr>
          <w:i/>
          <w:iCs/>
        </w:rPr>
        <w:t>Informal documents:</w:t>
      </w:r>
      <w:r w:rsidRPr="00A462DD">
        <w:tab/>
        <w:t>INF.16 and INF.43 (UIC)</w:t>
      </w:r>
    </w:p>
    <w:p w14:paraId="5A46B026" w14:textId="65CDA216" w:rsidR="007A36BD" w:rsidRDefault="00114C40" w:rsidP="007A36BD">
      <w:pPr>
        <w:pStyle w:val="SingleTxtG"/>
      </w:pPr>
      <w:r>
        <w:t>16</w:t>
      </w:r>
      <w:r w:rsidR="007A36BD">
        <w:t>.</w:t>
      </w:r>
      <w:r w:rsidR="007A36BD">
        <w:tab/>
        <w:t>The Joint Meeting adopted the proposal in informal document INF.43, with an amendment to the English version to align it with other linguistic versions (see annex</w:t>
      </w:r>
      <w:r w:rsidR="0047557C">
        <w:t xml:space="preserve"> I</w:t>
      </w:r>
      <w:r w:rsidR="00750827">
        <w:t>I</w:t>
      </w:r>
      <w:r w:rsidR="007A36BD">
        <w:t xml:space="preserve">), for entry into force on 1 January 2019. </w:t>
      </w:r>
    </w:p>
    <w:p w14:paraId="37EAFA7C" w14:textId="748D696A" w:rsidR="007A36BD" w:rsidRDefault="00114C40" w:rsidP="005437D3">
      <w:pPr>
        <w:pStyle w:val="SingleTxtG"/>
      </w:pPr>
      <w:r>
        <w:t>17</w:t>
      </w:r>
      <w:r w:rsidR="005437D3" w:rsidRPr="003A7004">
        <w:t>.</w:t>
      </w:r>
      <w:r w:rsidR="005437D3" w:rsidRPr="003A7004">
        <w:tab/>
        <w:t>The representative of the Russian Federation informed the Joint Meeting that the Russian translation of the word “placard” in RID/ADR/ADN was incorrect. Noting that the text of the Model Regulations would have to be corrected as well, the Joint Meeting invited him to submit an official proposal for consideration by the Sub-Committee of Experts on the Transport of Dangerous Goods.</w:t>
      </w:r>
    </w:p>
    <w:p w14:paraId="7131C8BC" w14:textId="70120EFA" w:rsidR="00AC5C57" w:rsidRPr="005C638A" w:rsidRDefault="00AC5C57" w:rsidP="00AC5C57">
      <w:pPr>
        <w:pStyle w:val="HChG"/>
        <w:ind w:hanging="567"/>
      </w:pPr>
      <w:r w:rsidRPr="005C638A">
        <w:t>VI.</w:t>
      </w:r>
      <w:r w:rsidRPr="005C638A">
        <w:tab/>
        <w:t>Proposals</w:t>
      </w:r>
      <w:r>
        <w:t xml:space="preserve"> for amendments to RID/ADR/ADN </w:t>
      </w:r>
      <w:r w:rsidRPr="00673C82">
        <w:t xml:space="preserve">(agenda item </w:t>
      </w:r>
      <w:r>
        <w:t>5</w:t>
      </w:r>
      <w:r w:rsidRPr="00673C82">
        <w:t>)</w:t>
      </w:r>
    </w:p>
    <w:p w14:paraId="1DEED9AC" w14:textId="77777777" w:rsidR="00AC5C57" w:rsidRDefault="00AC5C57" w:rsidP="00AC5C57">
      <w:pPr>
        <w:pStyle w:val="H1G"/>
      </w:pPr>
      <w:r>
        <w:tab/>
      </w:r>
      <w:r w:rsidRPr="007650F3">
        <w:t>A.</w:t>
      </w:r>
      <w:r w:rsidRPr="007650F3">
        <w:tab/>
        <w:t>Pending issues</w:t>
      </w:r>
    </w:p>
    <w:p w14:paraId="6F215B3F" w14:textId="77777777" w:rsidR="00AC5C57" w:rsidRPr="00453628" w:rsidRDefault="00AC5C57" w:rsidP="00AC5C57">
      <w:pPr>
        <w:pStyle w:val="H23G"/>
      </w:pPr>
      <w:r>
        <w:tab/>
        <w:t>1.</w:t>
      </w:r>
      <w:r>
        <w:tab/>
      </w:r>
      <w:r w:rsidRPr="00F31EE4">
        <w:t>Additional provisions for goods of Class 1</w:t>
      </w:r>
      <w:r>
        <w:t xml:space="preserve"> in 5.2.1.5</w:t>
      </w:r>
      <w:r w:rsidRPr="00F31EE4">
        <w:t xml:space="preserve">: Languages to be </w:t>
      </w:r>
      <w:r>
        <w:t>u</w:t>
      </w:r>
      <w:r w:rsidRPr="00F31EE4">
        <w:t>sed for marks</w:t>
      </w:r>
    </w:p>
    <w:p w14:paraId="6DB66FD4" w14:textId="77777777" w:rsidR="00AC5C57" w:rsidRDefault="00AC5C57" w:rsidP="00AC5C57">
      <w:pPr>
        <w:pStyle w:val="SingleTxtG"/>
        <w:tabs>
          <w:tab w:val="left" w:pos="3402"/>
        </w:tabs>
      </w:pPr>
      <w:r w:rsidRPr="00F31EE4">
        <w:rPr>
          <w:i/>
          <w:iCs/>
        </w:rPr>
        <w:t>Document</w:t>
      </w:r>
      <w:r w:rsidRPr="00F31EE4">
        <w:t>:</w:t>
      </w:r>
      <w:r w:rsidRPr="00F31EE4">
        <w:tab/>
        <w:t xml:space="preserve">ECE/TRANS/WP.15/AC.1/2018/1 (Germany) </w:t>
      </w:r>
    </w:p>
    <w:p w14:paraId="0AED003F" w14:textId="56D74369" w:rsidR="00AC5C57" w:rsidRDefault="00114C40" w:rsidP="00AC5C57">
      <w:pPr>
        <w:pStyle w:val="SingleTxtG"/>
      </w:pPr>
      <w:r>
        <w:t>18</w:t>
      </w:r>
      <w:r w:rsidR="00AC5C57">
        <w:t>.</w:t>
      </w:r>
      <w:r w:rsidR="00AC5C57">
        <w:tab/>
      </w:r>
      <w:r w:rsidR="00AC5C57" w:rsidRPr="00187D3E">
        <w:t>The Joint Meeting adopted option 1 as presented in the document from Germany</w:t>
      </w:r>
      <w:r w:rsidR="00AC5C57">
        <w:t xml:space="preserve"> </w:t>
      </w:r>
      <w:r w:rsidR="00750827">
        <w:t xml:space="preserve">for entry into force on 1 January 2019 </w:t>
      </w:r>
      <w:r w:rsidR="00AC5C57">
        <w:t>(see annex</w:t>
      </w:r>
      <w:r w:rsidR="00750827">
        <w:t xml:space="preserve"> II)</w:t>
      </w:r>
      <w:r w:rsidR="00750827" w:rsidRPr="00187D3E">
        <w:t>.</w:t>
      </w:r>
      <w:r w:rsidR="00750827">
        <w:t xml:space="preserve"> </w:t>
      </w:r>
      <w:r w:rsidR="00AC5C57">
        <w:t xml:space="preserve">It was noted that this option did not prevent the use of additional languages other than </w:t>
      </w:r>
      <w:r w:rsidR="00E41D6A">
        <w:t xml:space="preserve">English, </w:t>
      </w:r>
      <w:r w:rsidR="00AC5C57">
        <w:t>French</w:t>
      </w:r>
      <w:r w:rsidR="00E41D6A">
        <w:t xml:space="preserve"> or</w:t>
      </w:r>
      <w:r w:rsidR="00AC5C57">
        <w:t xml:space="preserve"> German, provided that the text appeared also in </w:t>
      </w:r>
      <w:r w:rsidR="00E41D6A">
        <w:t>English, French or German</w:t>
      </w:r>
      <w:r w:rsidR="00AC5C57">
        <w:t xml:space="preserve">. </w:t>
      </w:r>
    </w:p>
    <w:p w14:paraId="412F177A" w14:textId="77777777" w:rsidR="00AC5C57" w:rsidRPr="004D4DC7" w:rsidRDefault="00AC5C57" w:rsidP="00AC5C57">
      <w:pPr>
        <w:pStyle w:val="H23G"/>
      </w:pPr>
      <w:r>
        <w:tab/>
        <w:t>2.</w:t>
      </w:r>
      <w:r>
        <w:tab/>
        <w:t>Amendment to</w:t>
      </w:r>
      <w:r w:rsidRPr="00F31EE4">
        <w:t xml:space="preserve"> 1.1.3.6.3</w:t>
      </w:r>
    </w:p>
    <w:p w14:paraId="46A46BB3" w14:textId="77777777" w:rsidR="00AC5C57" w:rsidRDefault="00AC5C57" w:rsidP="00AC5C57">
      <w:pPr>
        <w:pStyle w:val="SingleTxtG"/>
        <w:tabs>
          <w:tab w:val="left" w:pos="3402"/>
        </w:tabs>
      </w:pPr>
      <w:r w:rsidRPr="00F31EE4">
        <w:rPr>
          <w:i/>
          <w:iCs/>
        </w:rPr>
        <w:t>Informal document:</w:t>
      </w:r>
      <w:r w:rsidRPr="00F31EE4">
        <w:tab/>
        <w:t xml:space="preserve">INF.8 (Germany) </w:t>
      </w:r>
    </w:p>
    <w:p w14:paraId="2CC49DB3" w14:textId="383224E8" w:rsidR="00AC5C57" w:rsidRDefault="00114C40" w:rsidP="00AC5C57">
      <w:pPr>
        <w:pStyle w:val="SingleTxtG"/>
        <w:tabs>
          <w:tab w:val="left" w:pos="1701"/>
          <w:tab w:val="left" w:pos="3402"/>
        </w:tabs>
      </w:pPr>
      <w:r>
        <w:t>19</w:t>
      </w:r>
      <w:r w:rsidR="00AC5C57">
        <w:t>.</w:t>
      </w:r>
      <w:r w:rsidR="00AC5C57">
        <w:tab/>
        <w:t>The Joint Meeting adopted without modifications the amendment to 1.1.3.6.3 as proposed in informal document INF.8, for entry into force on 1 January 2019 (see annex</w:t>
      </w:r>
      <w:r w:rsidR="00796FE8">
        <w:t xml:space="preserve"> I</w:t>
      </w:r>
      <w:r w:rsidR="00750827">
        <w:t>I</w:t>
      </w:r>
      <w:r w:rsidR="00AC5C57">
        <w:t>).</w:t>
      </w:r>
    </w:p>
    <w:p w14:paraId="0DE2B68B" w14:textId="0CFD9E5A" w:rsidR="00AC5C57" w:rsidRDefault="00AC5C57" w:rsidP="004F70A5">
      <w:pPr>
        <w:pStyle w:val="H23G"/>
      </w:pPr>
      <w:r>
        <w:tab/>
        <w:t>3.</w:t>
      </w:r>
      <w:r>
        <w:tab/>
      </w:r>
      <w:r w:rsidRPr="00F31EE4">
        <w:t>Amendments to RID/ADR/</w:t>
      </w:r>
      <w:r w:rsidR="004F70A5">
        <w:t xml:space="preserve">and for entry into force on 1 January </w:t>
      </w:r>
      <w:r w:rsidR="004F70A5" w:rsidRPr="00F31EE4">
        <w:t>2019</w:t>
      </w:r>
    </w:p>
    <w:p w14:paraId="4D81B628" w14:textId="4FD5F378" w:rsidR="00AC5C57" w:rsidRDefault="00AC5C57" w:rsidP="00AC5C57">
      <w:pPr>
        <w:pStyle w:val="SingleTxtG"/>
        <w:tabs>
          <w:tab w:val="left" w:pos="3402"/>
        </w:tabs>
      </w:pPr>
      <w:r w:rsidRPr="00F31EE4">
        <w:rPr>
          <w:i/>
          <w:iCs/>
        </w:rPr>
        <w:t>Informal document:</w:t>
      </w:r>
      <w:r w:rsidRPr="00F31EE4">
        <w:tab/>
        <w:t>INF.</w:t>
      </w:r>
      <w:r w:rsidRPr="00F8518B">
        <w:t xml:space="preserve"> </w:t>
      </w:r>
      <w:r w:rsidRPr="00F31EE4">
        <w:t>20 (</w:t>
      </w:r>
      <w:r w:rsidR="004F70A5">
        <w:t>UN</w:t>
      </w:r>
      <w:r>
        <w:t>ECE and OTIF s</w:t>
      </w:r>
      <w:r w:rsidRPr="00F31EE4">
        <w:t xml:space="preserve">ecretariats) </w:t>
      </w:r>
    </w:p>
    <w:p w14:paraId="0435F733" w14:textId="2897F201" w:rsidR="00AC5C57" w:rsidRPr="00F8518B" w:rsidRDefault="00114C40" w:rsidP="00AC5C57">
      <w:pPr>
        <w:pStyle w:val="SingleTxtG"/>
      </w:pPr>
      <w:r>
        <w:t>20</w:t>
      </w:r>
      <w:r w:rsidR="00AC5C57">
        <w:t>.</w:t>
      </w:r>
      <w:r w:rsidR="00AC5C57">
        <w:tab/>
        <w:t>The Joint Meeting adopted without modifications the proposals for amendment to RID/ADR/ADN listed in informal document INF.20, for entry into force on 1 January 2019 (see annex</w:t>
      </w:r>
      <w:r w:rsidR="004F70A5">
        <w:t> </w:t>
      </w:r>
      <w:r w:rsidR="00796FE8">
        <w:t>I</w:t>
      </w:r>
      <w:r w:rsidR="00750827">
        <w:t>I</w:t>
      </w:r>
      <w:r w:rsidR="00AC5C57">
        <w:t>).</w:t>
      </w:r>
    </w:p>
    <w:p w14:paraId="25590AC3" w14:textId="77777777" w:rsidR="00AC5C57" w:rsidRDefault="00AC5C57" w:rsidP="00AC5C57">
      <w:pPr>
        <w:pStyle w:val="H23G"/>
      </w:pPr>
      <w:r>
        <w:lastRenderedPageBreak/>
        <w:tab/>
        <w:t>4.</w:t>
      </w:r>
      <w:r>
        <w:tab/>
      </w:r>
      <w:r w:rsidRPr="00F31EE4">
        <w:t>New provisions governing the lithium battery test summary</w:t>
      </w:r>
    </w:p>
    <w:p w14:paraId="63FEAD42" w14:textId="77777777" w:rsidR="00AC5C57" w:rsidRDefault="00AC5C57" w:rsidP="00AC5C57">
      <w:pPr>
        <w:pStyle w:val="SingleTxtG"/>
        <w:tabs>
          <w:tab w:val="left" w:pos="3402"/>
        </w:tabs>
      </w:pPr>
      <w:r w:rsidRPr="00F31EE4">
        <w:rPr>
          <w:i/>
          <w:iCs/>
        </w:rPr>
        <w:t>Informal document:</w:t>
      </w:r>
      <w:r w:rsidRPr="00F31EE4">
        <w:tab/>
        <w:t>INF.</w:t>
      </w:r>
      <w:r w:rsidRPr="00F8518B">
        <w:t xml:space="preserve"> </w:t>
      </w:r>
      <w:r>
        <w:t>37</w:t>
      </w:r>
      <w:r w:rsidRPr="00F31EE4">
        <w:t xml:space="preserve"> (</w:t>
      </w:r>
      <w:r>
        <w:t>Germany</w:t>
      </w:r>
      <w:r w:rsidRPr="00F31EE4">
        <w:t xml:space="preserve">) </w:t>
      </w:r>
    </w:p>
    <w:p w14:paraId="3C49B5B0" w14:textId="756339FA" w:rsidR="00AC5C57" w:rsidRDefault="00114C40" w:rsidP="00AC5C57">
      <w:pPr>
        <w:pStyle w:val="SingleTxtG"/>
      </w:pPr>
      <w:r>
        <w:t>21</w:t>
      </w:r>
      <w:r w:rsidR="00AC5C57">
        <w:t>.</w:t>
      </w:r>
      <w:r w:rsidR="00AC5C57">
        <w:tab/>
        <w:t>The Joint Meeting adopted the transitional provision proposed by Germany allowing the carriage of lithium cells and batteries not meeting the requirements of 2.2.9.1.7 (g) until 31 December 2019, for entry into force on 1 January 2019 (see annex</w:t>
      </w:r>
      <w:r w:rsidR="00796FE8">
        <w:t xml:space="preserve"> </w:t>
      </w:r>
      <w:r w:rsidR="00750827">
        <w:t>I</w:t>
      </w:r>
      <w:r w:rsidR="00796FE8">
        <w:t>I</w:t>
      </w:r>
      <w:r w:rsidR="00AC5C57">
        <w:t xml:space="preserve">). </w:t>
      </w:r>
    </w:p>
    <w:p w14:paraId="6B44EAA4" w14:textId="77777777" w:rsidR="00AC5C57" w:rsidRPr="00FA2B3D" w:rsidRDefault="00AC5C57" w:rsidP="00AC5C57">
      <w:pPr>
        <w:pStyle w:val="H23G"/>
        <w:keepNext w:val="0"/>
        <w:keepLines w:val="0"/>
      </w:pPr>
      <w:r>
        <w:tab/>
      </w:r>
      <w:r w:rsidRPr="00FA2B3D">
        <w:t>5</w:t>
      </w:r>
      <w:r>
        <w:t>.</w:t>
      </w:r>
      <w:r w:rsidRPr="00FA2B3D">
        <w:tab/>
        <w:t>Specification of the requirements for the protection of valves in 4.1.6.8</w:t>
      </w:r>
    </w:p>
    <w:p w14:paraId="4DEA8A51" w14:textId="77777777" w:rsidR="00AC5C57" w:rsidRPr="00FA2B3D" w:rsidRDefault="00AC5C57" w:rsidP="00AC5C57">
      <w:pPr>
        <w:pStyle w:val="SingleTxtG"/>
        <w:tabs>
          <w:tab w:val="left" w:pos="3402"/>
        </w:tabs>
      </w:pPr>
      <w:r w:rsidRPr="00FA2B3D">
        <w:rPr>
          <w:i/>
          <w:iCs/>
        </w:rPr>
        <w:t>Document</w:t>
      </w:r>
      <w:r w:rsidRPr="00FA2B3D">
        <w:t>:</w:t>
      </w:r>
      <w:r w:rsidRPr="00FA2B3D">
        <w:tab/>
        <w:t xml:space="preserve">ECE/TRANS/WP.15/AC.1/2018/2 (Germany) </w:t>
      </w:r>
    </w:p>
    <w:p w14:paraId="39C91F44" w14:textId="77777777" w:rsidR="00AC5C57" w:rsidRPr="00FA2B3D" w:rsidRDefault="00AC5C57" w:rsidP="00AC5C57">
      <w:pPr>
        <w:pStyle w:val="SingleTxtG"/>
        <w:tabs>
          <w:tab w:val="left" w:pos="3402"/>
        </w:tabs>
      </w:pPr>
      <w:r w:rsidRPr="00FA2B3D">
        <w:rPr>
          <w:i/>
          <w:iCs/>
        </w:rPr>
        <w:t>Informal document:</w:t>
      </w:r>
      <w:r w:rsidRPr="00FA2B3D">
        <w:tab/>
        <w:t>INF.44 (EIGA)</w:t>
      </w:r>
    </w:p>
    <w:p w14:paraId="73C1455F" w14:textId="6BAB03B4" w:rsidR="00AC5C57" w:rsidRDefault="00114C40" w:rsidP="00AC5C57">
      <w:pPr>
        <w:pStyle w:val="SingleTxtG"/>
      </w:pPr>
      <w:r>
        <w:t>22</w:t>
      </w:r>
      <w:r w:rsidR="00AC5C57">
        <w:t>.</w:t>
      </w:r>
      <w:r w:rsidR="00AC5C57">
        <w:tab/>
      </w:r>
      <w:r w:rsidR="00AC5C57" w:rsidRPr="00FA2B3D">
        <w:t xml:space="preserve">The Joint Meeting adopted the proposal </w:t>
      </w:r>
      <w:r w:rsidR="00AC5C57">
        <w:t xml:space="preserve">for amendment to 4.1.6.8 in </w:t>
      </w:r>
      <w:r w:rsidR="00AC5C57" w:rsidRPr="00FA2B3D">
        <w:t>informal document INF.44</w:t>
      </w:r>
      <w:r w:rsidR="00750827">
        <w:t xml:space="preserve"> for entry into force on 1 January 2019</w:t>
      </w:r>
      <w:r w:rsidR="00AC5C57" w:rsidRPr="00FA2B3D">
        <w:t xml:space="preserve"> (see annex</w:t>
      </w:r>
      <w:r w:rsidR="00750827">
        <w:t xml:space="preserve"> II</w:t>
      </w:r>
      <w:r w:rsidR="00AC5C57" w:rsidRPr="00FA2B3D">
        <w:t>).</w:t>
      </w:r>
    </w:p>
    <w:p w14:paraId="72CBEC50" w14:textId="77777777" w:rsidR="00AC5C57" w:rsidRDefault="00AC5C57" w:rsidP="00AC5C57">
      <w:pPr>
        <w:pStyle w:val="H1G"/>
        <w:keepNext w:val="0"/>
        <w:keepLines w:val="0"/>
      </w:pPr>
      <w:r>
        <w:tab/>
      </w:r>
      <w:r w:rsidRPr="00E218D7">
        <w:t>B.</w:t>
      </w:r>
      <w:r w:rsidRPr="00E218D7">
        <w:tab/>
        <w:t>New proposals</w:t>
      </w:r>
    </w:p>
    <w:p w14:paraId="1435AEED" w14:textId="77777777" w:rsidR="00AC5C57" w:rsidRPr="0025527B" w:rsidRDefault="00AC5C57" w:rsidP="00AC5C57">
      <w:pPr>
        <w:pStyle w:val="H23G"/>
        <w:keepNext w:val="0"/>
        <w:keepLines w:val="0"/>
      </w:pPr>
      <w:r>
        <w:tab/>
        <w:t>1.</w:t>
      </w:r>
      <w:r>
        <w:tab/>
      </w:r>
      <w:r w:rsidRPr="0025527B">
        <w:t>Online refresher training for drivers of dangerous goods</w:t>
      </w:r>
    </w:p>
    <w:p w14:paraId="6A84894B" w14:textId="77777777" w:rsidR="00AC5C57" w:rsidRPr="0025527B" w:rsidRDefault="00AC5C57" w:rsidP="00AC5C57">
      <w:pPr>
        <w:pStyle w:val="SingleTxtG"/>
        <w:tabs>
          <w:tab w:val="left" w:pos="3402"/>
        </w:tabs>
      </w:pPr>
      <w:r>
        <w:rPr>
          <w:i/>
          <w:iCs/>
        </w:rPr>
        <w:t>Document:</w:t>
      </w:r>
      <w:r w:rsidRPr="0025527B">
        <w:tab/>
        <w:t xml:space="preserve">ECE/TRANS/WP.15/AC.1/2018/10 (IRU) </w:t>
      </w:r>
    </w:p>
    <w:p w14:paraId="79940238" w14:textId="27D1A08B" w:rsidR="00AC5C57" w:rsidRDefault="00114C40" w:rsidP="00AC5C57">
      <w:pPr>
        <w:pStyle w:val="SingleTxtG"/>
      </w:pPr>
      <w:r>
        <w:t>23</w:t>
      </w:r>
      <w:r w:rsidR="00AC5C57">
        <w:t>.</w:t>
      </w:r>
      <w:r w:rsidR="00AC5C57">
        <w:tab/>
        <w:t xml:space="preserve">Views were divided on the proposal to introduce provisions allowing use of online training for the refresher training course. Some delegations considered that there was no need to introduce such provisions as they could be dealt with at national level by the relevant competent authorities. Others on the contrary, noted that in case online </w:t>
      </w:r>
      <w:proofErr w:type="gramStart"/>
      <w:r w:rsidR="00AC5C57">
        <w:t xml:space="preserve">training </w:t>
      </w:r>
      <w:r w:rsidR="00796FE8">
        <w:t xml:space="preserve"> was</w:t>
      </w:r>
      <w:proofErr w:type="gramEnd"/>
      <w:r w:rsidR="00796FE8">
        <w:t xml:space="preserve"> </w:t>
      </w:r>
      <w:r w:rsidR="00AC5C57">
        <w:t xml:space="preserve">allowed, ADR/ADN should provide the minimum requirements to ensure the same level of exigence and quality in all countries, given that training certificates would be mutually recognized among contracting parties. It was recalled that the same question had already been raised at the 103rd session of the Working Party on the Transport of Dangerous Goods and that it was also related to the training of experts under Chapter 8.2 of ADN. </w:t>
      </w:r>
    </w:p>
    <w:p w14:paraId="3E2627D6" w14:textId="3008CD70" w:rsidR="00AC5C57" w:rsidRDefault="00114C40" w:rsidP="00AC5C57">
      <w:pPr>
        <w:pStyle w:val="SingleTxtG"/>
      </w:pPr>
      <w:r>
        <w:t>24</w:t>
      </w:r>
      <w:r w:rsidR="00AC5C57">
        <w:t>.</w:t>
      </w:r>
      <w:r w:rsidR="00AC5C57">
        <w:tab/>
        <w:t xml:space="preserve">After discussion, the Joint Meeting could not reach an agreement on the proposal as currently drafted in document </w:t>
      </w:r>
      <w:r w:rsidR="00AC5C57" w:rsidRPr="0025527B">
        <w:t>ECE/TRANS/WP.15/AC.1/2018/10</w:t>
      </w:r>
      <w:r w:rsidR="00AC5C57">
        <w:t>.</w:t>
      </w:r>
    </w:p>
    <w:p w14:paraId="58D32292" w14:textId="5CBE0C77" w:rsidR="00AC5C57" w:rsidRDefault="00114C40" w:rsidP="00AC5C57">
      <w:pPr>
        <w:pStyle w:val="SingleTxtG"/>
      </w:pPr>
      <w:r>
        <w:t>25</w:t>
      </w:r>
      <w:r w:rsidR="00AC5C57">
        <w:t>.</w:t>
      </w:r>
      <w:r w:rsidR="00AC5C57">
        <w:tab/>
        <w:t xml:space="preserve">The representative of IRU was invited to work </w:t>
      </w:r>
      <w:proofErr w:type="spellStart"/>
      <w:r w:rsidR="00AC5C57">
        <w:t>intersessionally</w:t>
      </w:r>
      <w:proofErr w:type="spellEnd"/>
      <w:r w:rsidR="00AC5C57">
        <w:t xml:space="preserve"> with interested delegations to further develop the proposal in the light of the comments made. In particular, he was invited to address, among others, the following aspects when drafting the proposed regulatory text:</w:t>
      </w:r>
    </w:p>
    <w:p w14:paraId="36E20F1C" w14:textId="01F115B7" w:rsidR="00AC5C57" w:rsidRDefault="004F70A5" w:rsidP="00AA2760">
      <w:pPr>
        <w:pStyle w:val="SingleTxtG"/>
        <w:ind w:firstLine="709"/>
      </w:pPr>
      <w:r>
        <w:t>(a)</w:t>
      </w:r>
      <w:r>
        <w:tab/>
        <w:t>C</w:t>
      </w:r>
      <w:r w:rsidR="00AC5C57">
        <w:t>larify whether e-learning referred to “distance learning” or “computer assisted learning”;</w:t>
      </w:r>
    </w:p>
    <w:p w14:paraId="196A775F" w14:textId="18DAB0D9" w:rsidR="00AC5C57" w:rsidRDefault="004F70A5" w:rsidP="006C19BA">
      <w:pPr>
        <w:pStyle w:val="SingleTxtG"/>
        <w:ind w:firstLine="709"/>
      </w:pPr>
      <w:r>
        <w:t>(b)</w:t>
      </w:r>
      <w:r>
        <w:tab/>
        <w:t>C</w:t>
      </w:r>
      <w:r w:rsidR="00AC5C57">
        <w:t>learly state whether the proposed e-learning methodology would be used for the theoretical part of the course only or the exam or both;</w:t>
      </w:r>
    </w:p>
    <w:p w14:paraId="247234F4" w14:textId="7CB316BE" w:rsidR="00AC5C57" w:rsidRDefault="004F70A5" w:rsidP="006C19BA">
      <w:pPr>
        <w:pStyle w:val="SingleTxtG"/>
        <w:ind w:firstLine="709"/>
      </w:pPr>
      <w:r>
        <w:t>(c)</w:t>
      </w:r>
      <w:r>
        <w:tab/>
        <w:t>E</w:t>
      </w:r>
      <w:r w:rsidR="00AC5C57">
        <w:t xml:space="preserve">xplain the measures to be taken to check the degree of attendance as well as the identity of the persons taking the course or the exam (i.e. measures to avoid that another individual </w:t>
      </w:r>
      <w:r w:rsidR="00796FE8">
        <w:t>can</w:t>
      </w:r>
      <w:r w:rsidR="00AC5C57">
        <w:t xml:space="preserve"> take the training on his/her behalf);</w:t>
      </w:r>
    </w:p>
    <w:p w14:paraId="4C664C62" w14:textId="7D7C8516" w:rsidR="00AC5C57" w:rsidRDefault="004F70A5" w:rsidP="006C19BA">
      <w:pPr>
        <w:pStyle w:val="SingleTxtG"/>
        <w:ind w:firstLine="709"/>
      </w:pPr>
      <w:r>
        <w:t>(d)</w:t>
      </w:r>
      <w:r>
        <w:tab/>
        <w:t>P</w:t>
      </w:r>
      <w:r w:rsidR="00AC5C57">
        <w:t>rovide details on how the courses should be organized to ensure the same level of exigence and quality in all countries;</w:t>
      </w:r>
    </w:p>
    <w:p w14:paraId="0B8D19FB" w14:textId="07BC8144" w:rsidR="00AC5C57" w:rsidRDefault="004F70A5" w:rsidP="006C19BA">
      <w:pPr>
        <w:pStyle w:val="SingleTxtG"/>
        <w:ind w:firstLine="709"/>
      </w:pPr>
      <w:r>
        <w:t>(e)</w:t>
      </w:r>
      <w:r>
        <w:tab/>
        <w:t>C</w:t>
      </w:r>
      <w:r w:rsidR="00AC5C57">
        <w:t>onsider the experience and lessons learned in countries where e-learning has been tested (e.g. Austria, Netherlands, Russian Federation).</w:t>
      </w:r>
    </w:p>
    <w:p w14:paraId="3F2A6583" w14:textId="65B7B51D" w:rsidR="00AC5C57" w:rsidRDefault="00114C40" w:rsidP="00AC5C57">
      <w:pPr>
        <w:pStyle w:val="SingleTxtG"/>
      </w:pPr>
      <w:r>
        <w:t>26</w:t>
      </w:r>
      <w:r w:rsidR="00AC5C57">
        <w:t>.</w:t>
      </w:r>
      <w:r w:rsidR="00AC5C57">
        <w:tab/>
        <w:t>The representative of IRU said that he would come back with a revised proposal and a presentation illustrating how some of the concerns expressed by some delegations could be addressed.</w:t>
      </w:r>
    </w:p>
    <w:p w14:paraId="58851653" w14:textId="77777777" w:rsidR="00AC5C57" w:rsidRPr="0025527B" w:rsidRDefault="00AC5C57" w:rsidP="00AC5C57">
      <w:pPr>
        <w:pStyle w:val="H23G"/>
        <w:keepNext w:val="0"/>
        <w:keepLines w:val="0"/>
      </w:pPr>
      <w:r>
        <w:lastRenderedPageBreak/>
        <w:tab/>
        <w:t>2.</w:t>
      </w:r>
      <w:r>
        <w:tab/>
        <w:t>Marking of wagons and containers loaded with limited quantities</w:t>
      </w:r>
    </w:p>
    <w:p w14:paraId="04B64FCA" w14:textId="77777777" w:rsidR="00AC5C57" w:rsidRDefault="00AC5C57" w:rsidP="00AC5C57">
      <w:pPr>
        <w:pStyle w:val="SingleTxtG"/>
        <w:tabs>
          <w:tab w:val="left" w:pos="3402"/>
        </w:tabs>
      </w:pPr>
      <w:r>
        <w:rPr>
          <w:i/>
          <w:iCs/>
        </w:rPr>
        <w:t>Document:</w:t>
      </w:r>
      <w:r w:rsidRPr="0025527B">
        <w:tab/>
        <w:t>ECE/TRANS/WP.15/AC.1/2018/</w:t>
      </w:r>
      <w:r>
        <w:t>14</w:t>
      </w:r>
      <w:r w:rsidRPr="0025527B">
        <w:t xml:space="preserve"> (</w:t>
      </w:r>
      <w:r>
        <w:t>Sweden</w:t>
      </w:r>
      <w:r w:rsidRPr="0025527B">
        <w:t xml:space="preserve">) </w:t>
      </w:r>
    </w:p>
    <w:p w14:paraId="611F9F7E" w14:textId="77777777" w:rsidR="00AC5C57" w:rsidRDefault="00AC5C57" w:rsidP="00AC5C57">
      <w:pPr>
        <w:pStyle w:val="SingleTxtG"/>
        <w:tabs>
          <w:tab w:val="left" w:pos="3402"/>
        </w:tabs>
      </w:pPr>
      <w:r>
        <w:rPr>
          <w:i/>
          <w:iCs/>
        </w:rPr>
        <w:t>Informal document:</w:t>
      </w:r>
      <w:r>
        <w:t xml:space="preserve"> </w:t>
      </w:r>
      <w:r>
        <w:tab/>
        <w:t>INF.7 (Sweden)</w:t>
      </w:r>
    </w:p>
    <w:p w14:paraId="15369DEF" w14:textId="53AC0834" w:rsidR="00AC5C57" w:rsidRDefault="00114C40" w:rsidP="00AC5C57">
      <w:pPr>
        <w:pStyle w:val="SingleTxtG"/>
        <w:tabs>
          <w:tab w:val="left" w:pos="1701"/>
          <w:tab w:val="left" w:pos="3402"/>
        </w:tabs>
      </w:pPr>
      <w:r>
        <w:t>27</w:t>
      </w:r>
      <w:r w:rsidR="00AC5C57">
        <w:t>.</w:t>
      </w:r>
      <w:r w:rsidR="00AC5C57">
        <w:tab/>
        <w:t xml:space="preserve">The Joint Meeting did not agree with the proposal to require the limited quantity (LQ) mark on wagons and containers carrying more than 8 tons of dangerous goods in limited quantities together with other fully regulated dangerous goods. </w:t>
      </w:r>
    </w:p>
    <w:p w14:paraId="6B55A8A5" w14:textId="09C39799" w:rsidR="00AC5C57" w:rsidRDefault="00114C40" w:rsidP="00AC5C57">
      <w:pPr>
        <w:pStyle w:val="SingleTxtG"/>
        <w:tabs>
          <w:tab w:val="left" w:pos="1701"/>
          <w:tab w:val="left" w:pos="3402"/>
        </w:tabs>
      </w:pPr>
      <w:r>
        <w:t>28</w:t>
      </w:r>
      <w:r w:rsidR="00AC5C57">
        <w:t>.</w:t>
      </w:r>
      <w:r w:rsidR="00AC5C57">
        <w:tab/>
        <w:t xml:space="preserve">Most of the delegations who took the floor pointed out that dangerous goods allowed to be carried in limited quantities were those posing a low hazard during carriage and considered that affixing the LQ mark would not increase safety, as the mark did not give any indication of the nature of the hazard of the goods carried. Others considered that the same argument could be used to question the utility of the orange-plate. It was noted however, that when the orange-plate was required, the information about the nature of the goods carried had to be included in the transport document, while this was not the case for dangerous goods carried in limited quantities. </w:t>
      </w:r>
    </w:p>
    <w:p w14:paraId="5033C571" w14:textId="2F9B80DB" w:rsidR="00AC5C57" w:rsidRDefault="00114C40" w:rsidP="00AC5C57">
      <w:pPr>
        <w:pStyle w:val="SingleTxtG"/>
      </w:pPr>
      <w:r>
        <w:t>29</w:t>
      </w:r>
      <w:r w:rsidR="00AC5C57">
        <w:t>.</w:t>
      </w:r>
      <w:r w:rsidR="00AC5C57">
        <w:tab/>
        <w:t>Some others, on the contrary, considered that the proposal made by Sweden would increase safety, as it would alert of the presence of dangerous goods carried under the regime of “limited quantities” in significant amounts. This could be of interest for instance when the journey included passage through road tunnels.</w:t>
      </w:r>
    </w:p>
    <w:p w14:paraId="6D2A517F" w14:textId="7BAB14D7" w:rsidR="00AC5C57" w:rsidRDefault="00114C40" w:rsidP="00AC5C57">
      <w:pPr>
        <w:pStyle w:val="SingleTxtG"/>
      </w:pPr>
      <w:r>
        <w:t>30</w:t>
      </w:r>
      <w:r w:rsidR="00AC5C57">
        <w:t>.</w:t>
      </w:r>
      <w:r w:rsidR="00AC5C57">
        <w:tab/>
        <w:t>The representative of Sweden said that she would take into account the comments made and would consider coming back with a new proposal in the future.</w:t>
      </w:r>
    </w:p>
    <w:p w14:paraId="0B855FFD" w14:textId="77777777" w:rsidR="00AC5C57" w:rsidRPr="008206FA" w:rsidRDefault="00AC5C57" w:rsidP="00AC5C57">
      <w:pPr>
        <w:pStyle w:val="H23G"/>
        <w:keepNext w:val="0"/>
        <w:keepLines w:val="0"/>
        <w:rPr>
          <w:bCs/>
          <w:lang w:val="en-US" w:eastAsia="fr-FR"/>
        </w:rPr>
      </w:pPr>
      <w:r w:rsidRPr="008206FA">
        <w:tab/>
        <w:t>3.</w:t>
      </w:r>
      <w:r w:rsidRPr="008206FA">
        <w:tab/>
        <w:t xml:space="preserve">Colour of the </w:t>
      </w:r>
      <w:r w:rsidRPr="008206FA">
        <w:rPr>
          <w:bCs/>
          <w:lang w:val="en-US" w:eastAsia="fr-FR"/>
        </w:rPr>
        <w:t xml:space="preserve">elevated temperature substance mark in accordance with </w:t>
      </w:r>
      <w:r>
        <w:rPr>
          <w:bCs/>
          <w:lang w:val="en-US" w:eastAsia="fr-FR"/>
        </w:rPr>
        <w:t>5.3.3</w:t>
      </w:r>
    </w:p>
    <w:p w14:paraId="16C0214A" w14:textId="77777777" w:rsidR="00AC5C57" w:rsidRDefault="00AC5C57" w:rsidP="00AC5C57">
      <w:pPr>
        <w:pStyle w:val="SingleTxtG"/>
        <w:tabs>
          <w:tab w:val="left" w:pos="3402"/>
        </w:tabs>
      </w:pPr>
      <w:r>
        <w:rPr>
          <w:i/>
          <w:iCs/>
        </w:rPr>
        <w:t>Informal document:</w:t>
      </w:r>
      <w:r>
        <w:t xml:space="preserve"> </w:t>
      </w:r>
      <w:r>
        <w:tab/>
        <w:t>INF.4 (France)</w:t>
      </w:r>
    </w:p>
    <w:p w14:paraId="63C9C615" w14:textId="4874D6AA" w:rsidR="00AC5C57" w:rsidRDefault="00114C40" w:rsidP="00AC5C57">
      <w:pPr>
        <w:pStyle w:val="SingleTxtG"/>
      </w:pPr>
      <w:r>
        <w:t>31</w:t>
      </w:r>
      <w:r w:rsidR="00AC5C57">
        <w:t>.</w:t>
      </w:r>
      <w:r w:rsidR="00AC5C57" w:rsidRPr="00A06392">
        <w:tab/>
        <w:t xml:space="preserve">The Joint Meeting agreed to the proposed amendment to </w:t>
      </w:r>
      <w:r w:rsidR="00AC5C57">
        <w:t xml:space="preserve">the French version of </w:t>
      </w:r>
      <w:r w:rsidR="00AC5C57" w:rsidRPr="00A06392">
        <w:t xml:space="preserve">5.3.3 </w:t>
      </w:r>
      <w:r w:rsidR="00AC5C57">
        <w:t xml:space="preserve">of </w:t>
      </w:r>
      <w:r w:rsidR="00AC5C57" w:rsidRPr="00A06392">
        <w:t>RID/ADR/ADN for entry into force on 1 January 2019</w:t>
      </w:r>
      <w:r w:rsidR="0039102C">
        <w:t xml:space="preserve"> </w:t>
      </w:r>
      <w:r w:rsidR="0039102C" w:rsidRPr="00A06392">
        <w:t>(see annex</w:t>
      </w:r>
      <w:r w:rsidR="0039102C">
        <w:t xml:space="preserve"> II</w:t>
      </w:r>
      <w:r w:rsidR="0039102C" w:rsidRPr="00A06392">
        <w:t>)</w:t>
      </w:r>
      <w:r w:rsidR="00AC5C57" w:rsidRPr="00A06392">
        <w:t>.</w:t>
      </w:r>
    </w:p>
    <w:p w14:paraId="4EC1084B" w14:textId="79525E49" w:rsidR="00AC5C57" w:rsidRDefault="00114C40" w:rsidP="00AC5C57">
      <w:pPr>
        <w:pStyle w:val="SingleTxtG"/>
      </w:pPr>
      <w:r>
        <w:t>32</w:t>
      </w:r>
      <w:r w:rsidR="00AC5C57">
        <w:t>.</w:t>
      </w:r>
      <w:r w:rsidR="00AC5C57">
        <w:tab/>
        <w:t>It was noted that the same amendment applied to 5.3.2.2 of the Model Regulations. The representative of France was invited to submit a proposal for consideration by the Sub-Committee of Experts on the Transport of Dangerous Goods.</w:t>
      </w:r>
    </w:p>
    <w:p w14:paraId="6E26B1AC" w14:textId="77777777" w:rsidR="007A36BD" w:rsidRPr="001629B7" w:rsidRDefault="007A36BD" w:rsidP="007A36BD">
      <w:pPr>
        <w:pStyle w:val="H23G"/>
      </w:pPr>
      <w:r>
        <w:tab/>
        <w:t>4.</w:t>
      </w:r>
      <w:r>
        <w:tab/>
        <w:t>Increase of the maximum allowed internal pressure for aerosol dispensers</w:t>
      </w:r>
    </w:p>
    <w:p w14:paraId="5D7B06CC" w14:textId="77777777" w:rsidR="007A36BD" w:rsidRPr="001629B7" w:rsidRDefault="007A36BD" w:rsidP="007A36BD">
      <w:pPr>
        <w:pStyle w:val="SingleTxtG"/>
        <w:tabs>
          <w:tab w:val="left" w:pos="3402"/>
        </w:tabs>
      </w:pPr>
      <w:r w:rsidRPr="001629B7">
        <w:rPr>
          <w:i/>
          <w:iCs/>
        </w:rPr>
        <w:t>Informal document:</w:t>
      </w:r>
      <w:r w:rsidRPr="001629B7">
        <w:tab/>
        <w:t>INF.</w:t>
      </w:r>
      <w:r>
        <w:t>5</w:t>
      </w:r>
      <w:r w:rsidRPr="001629B7">
        <w:t xml:space="preserve"> (</w:t>
      </w:r>
      <w:r>
        <w:t>FEA</w:t>
      </w:r>
      <w:r w:rsidRPr="001629B7">
        <w:t>)</w:t>
      </w:r>
    </w:p>
    <w:p w14:paraId="53C0AEED" w14:textId="78ED3F6F" w:rsidR="007A36BD" w:rsidRDefault="00114C40" w:rsidP="007A36BD">
      <w:pPr>
        <w:pStyle w:val="SingleTxtG"/>
      </w:pPr>
      <w:r>
        <w:t>33</w:t>
      </w:r>
      <w:r w:rsidR="007A36BD">
        <w:t>.</w:t>
      </w:r>
      <w:r w:rsidR="007A36BD">
        <w:tab/>
        <w:t>Most of the delegations who took the floor favoured option 2</w:t>
      </w:r>
      <w:r w:rsidR="0000340E">
        <w:t xml:space="preserve"> in informal document INF.5</w:t>
      </w:r>
      <w:r w:rsidR="007A36BD">
        <w:t xml:space="preserve">, as it would allow alignment of the provisions of RID/ADR/ADN with those of Directive 75/234/EC, thus increasing harmonization of provisions applicable to aerosol dispensers. </w:t>
      </w:r>
    </w:p>
    <w:p w14:paraId="2203ACBD" w14:textId="5EDC6C7B" w:rsidR="007A36BD" w:rsidRDefault="00114C40" w:rsidP="007A36BD">
      <w:pPr>
        <w:pStyle w:val="SingleTxtG"/>
      </w:pPr>
      <w:r>
        <w:t>34</w:t>
      </w:r>
      <w:r w:rsidR="007A36BD">
        <w:t>.</w:t>
      </w:r>
      <w:r w:rsidR="007A36BD">
        <w:tab/>
        <w:t xml:space="preserve">It was noted however, that in case the proposal in option 2 was adopted, harmonization would only be achieved within the scope of application of RID/ADR/ADN, unless the provisions of the Model Regulations were amended accordingly. The Joint Meeting invited industry representatives to consider whether there was a need to allow for the same provisions to be applied worldwide and if so, suggested that a proposal should be submitted </w:t>
      </w:r>
      <w:r w:rsidR="00796FE8">
        <w:t xml:space="preserve">to </w:t>
      </w:r>
      <w:r w:rsidR="007A36BD">
        <w:t>the Sub-Committee of Experts on the Transport of Dangerous Goods</w:t>
      </w:r>
      <w:r w:rsidR="00796FE8">
        <w:t xml:space="preserve"> for consideration</w:t>
      </w:r>
      <w:r w:rsidR="007A36BD">
        <w:t>.</w:t>
      </w:r>
    </w:p>
    <w:p w14:paraId="0206A50E" w14:textId="3DCA4B96" w:rsidR="007A36BD" w:rsidRDefault="00114C40" w:rsidP="007A36BD">
      <w:pPr>
        <w:pStyle w:val="SingleTxtG"/>
      </w:pPr>
      <w:r>
        <w:t>35</w:t>
      </w:r>
      <w:r w:rsidR="007A36BD">
        <w:t>.</w:t>
      </w:r>
      <w:r w:rsidR="007A36BD">
        <w:tab/>
        <w:t>The Joint Meeting invited FEA to submit an official document for the autumn session.</w:t>
      </w:r>
    </w:p>
    <w:p w14:paraId="53F6CE1F" w14:textId="14C27BBB" w:rsidR="007A36BD" w:rsidRPr="001629B7" w:rsidRDefault="007A36BD" w:rsidP="003D3238">
      <w:pPr>
        <w:pStyle w:val="H23G"/>
      </w:pPr>
      <w:r>
        <w:lastRenderedPageBreak/>
        <w:tab/>
        <w:t>5.</w:t>
      </w:r>
      <w:r>
        <w:tab/>
        <w:t xml:space="preserve">References to </w:t>
      </w:r>
      <w:r w:rsidR="0000340E">
        <w:t xml:space="preserve">directives </w:t>
      </w:r>
      <w:r>
        <w:t xml:space="preserve">in 6.2.4.1 </w:t>
      </w:r>
    </w:p>
    <w:p w14:paraId="3E4E5268" w14:textId="77777777" w:rsidR="007A36BD" w:rsidRDefault="007A36BD" w:rsidP="003D3238">
      <w:pPr>
        <w:pStyle w:val="SingleTxtG"/>
        <w:keepNext/>
        <w:keepLines/>
        <w:tabs>
          <w:tab w:val="left" w:pos="3402"/>
        </w:tabs>
        <w:jc w:val="left"/>
        <w:rPr>
          <w:iCs/>
        </w:rPr>
      </w:pPr>
      <w:r w:rsidRPr="001629B7">
        <w:rPr>
          <w:i/>
          <w:iCs/>
        </w:rPr>
        <w:t>Informal document</w:t>
      </w:r>
      <w:r>
        <w:rPr>
          <w:i/>
          <w:iCs/>
        </w:rPr>
        <w:t>s</w:t>
      </w:r>
      <w:r w:rsidRPr="001629B7">
        <w:rPr>
          <w:i/>
          <w:iCs/>
        </w:rPr>
        <w:t>:</w:t>
      </w:r>
      <w:r w:rsidRPr="001629B7">
        <w:tab/>
        <w:t>INF.</w:t>
      </w:r>
      <w:r>
        <w:t>12</w:t>
      </w:r>
      <w:r w:rsidRPr="001629B7">
        <w:t xml:space="preserve"> (</w:t>
      </w:r>
      <w:r>
        <w:t>Russian Federation</w:t>
      </w:r>
      <w:r w:rsidRPr="001629B7">
        <w:t>)</w:t>
      </w:r>
      <w:r>
        <w:br/>
      </w:r>
      <w:r>
        <w:rPr>
          <w:i/>
          <w:iCs/>
        </w:rPr>
        <w:tab/>
      </w:r>
      <w:r>
        <w:rPr>
          <w:i/>
          <w:iCs/>
        </w:rPr>
        <w:tab/>
      </w:r>
      <w:r>
        <w:rPr>
          <w:iCs/>
        </w:rPr>
        <w:t>INF.25 (ECMA, EIGA)</w:t>
      </w:r>
    </w:p>
    <w:p w14:paraId="5DBC33C6" w14:textId="2E26B00E" w:rsidR="007A36BD" w:rsidRDefault="00114C40" w:rsidP="007A36BD">
      <w:pPr>
        <w:pStyle w:val="SingleTxtG"/>
      </w:pPr>
      <w:r>
        <w:t>36</w:t>
      </w:r>
      <w:r w:rsidR="007A36BD">
        <w:t>.</w:t>
      </w:r>
      <w:r w:rsidR="007A36BD">
        <w:tab/>
        <w:t xml:space="preserve">The representative of CEN explained that work had started in the past to convert the annexes of </w:t>
      </w:r>
      <w:r w:rsidR="00E41D6A">
        <w:t>d</w:t>
      </w:r>
      <w:r w:rsidR="007A36BD">
        <w:t xml:space="preserve">irectives 84/525/EEC and 84/527/EEC into CEN standards but that the project was abandoned due to the difficulties experienced during the process. </w:t>
      </w:r>
    </w:p>
    <w:p w14:paraId="181B2486" w14:textId="41ACC8DC" w:rsidR="007A36BD" w:rsidRDefault="00114C40" w:rsidP="007A36BD">
      <w:pPr>
        <w:pStyle w:val="SingleTxtG"/>
      </w:pPr>
      <w:r>
        <w:t>37</w:t>
      </w:r>
      <w:r w:rsidR="007A36BD">
        <w:t>.</w:t>
      </w:r>
      <w:r w:rsidR="007A36BD">
        <w:tab/>
        <w:t xml:space="preserve">Noting that the annexes to these directives were publicly available and widely used by manufacturing industries, and recalling the decision taken at its 2011 spring session (see ECE/TRANS/WP.15/AC.1/122 paras. 20 and 21), the Joint Meeting concluded that the references to the </w:t>
      </w:r>
      <w:r w:rsidR="008468E4">
        <w:t>d</w:t>
      </w:r>
      <w:r w:rsidR="007A36BD">
        <w:t>irectives should not be deleted until alternative texts were available or additional justifications supporting their deletion as well as detailed information on the consequences of such deletion were provided.</w:t>
      </w:r>
    </w:p>
    <w:p w14:paraId="6454EA3D" w14:textId="0493B79B" w:rsidR="007A36BD" w:rsidRPr="00981EFF" w:rsidRDefault="00114C40" w:rsidP="007A36BD">
      <w:pPr>
        <w:pStyle w:val="SingleTxtG"/>
      </w:pPr>
      <w:r>
        <w:t>38</w:t>
      </w:r>
      <w:r w:rsidR="007A36BD">
        <w:t>.</w:t>
      </w:r>
      <w:r w:rsidR="007A36BD">
        <w:tab/>
        <w:t>The Joint Meeting invited the representative of the Russian Federation, to take account of the comments made and submit a revised proposal in an official document for the next session.</w:t>
      </w:r>
    </w:p>
    <w:p w14:paraId="28AB23E4" w14:textId="77777777" w:rsidR="007A36BD" w:rsidRPr="00694D49" w:rsidRDefault="007A36BD" w:rsidP="007A36BD">
      <w:pPr>
        <w:pStyle w:val="H23G"/>
      </w:pPr>
      <w:r>
        <w:tab/>
      </w:r>
      <w:r w:rsidRPr="00694D49">
        <w:t>6.</w:t>
      </w:r>
      <w:r w:rsidRPr="00694D49">
        <w:tab/>
        <w:t xml:space="preserve">New hazard identification number 836 </w:t>
      </w:r>
    </w:p>
    <w:p w14:paraId="488CB3B9" w14:textId="77777777" w:rsidR="007A36BD" w:rsidRDefault="007A36BD" w:rsidP="007A36BD">
      <w:pPr>
        <w:pStyle w:val="SingleTxtG"/>
        <w:tabs>
          <w:tab w:val="left" w:pos="3402"/>
        </w:tabs>
      </w:pPr>
      <w:r w:rsidRPr="00694D49">
        <w:rPr>
          <w:i/>
          <w:iCs/>
        </w:rPr>
        <w:t>Informal document:</w:t>
      </w:r>
      <w:r w:rsidRPr="00694D49">
        <w:tab/>
        <w:t>INF.15 (Spain)</w:t>
      </w:r>
    </w:p>
    <w:p w14:paraId="7BE3B91E" w14:textId="0A9C476E" w:rsidR="000A13CD" w:rsidRDefault="00114C40" w:rsidP="007A36BD">
      <w:pPr>
        <w:pStyle w:val="SingleTxtG"/>
      </w:pPr>
      <w:r>
        <w:t>39</w:t>
      </w:r>
      <w:r w:rsidR="007A36BD">
        <w:t>.</w:t>
      </w:r>
      <w:r w:rsidR="007A36BD">
        <w:tab/>
        <w:t>Some delegations welcomed the proposal from Spain and pointed out that similar issues had been identified for other entries that would justify</w:t>
      </w:r>
      <w:r w:rsidR="00051C0C">
        <w:t xml:space="preserve"> reviewing whether </w:t>
      </w:r>
      <w:r w:rsidR="00796FE8">
        <w:t xml:space="preserve">the </w:t>
      </w:r>
      <w:r w:rsidR="00051C0C">
        <w:t xml:space="preserve">principles for </w:t>
      </w:r>
      <w:r w:rsidR="003B6AA8">
        <w:t>the assignment of</w:t>
      </w:r>
      <w:r w:rsidR="00051C0C">
        <w:t xml:space="preserve"> hazard identification numbers </w:t>
      </w:r>
      <w:r w:rsidR="00796FE8">
        <w:t>were</w:t>
      </w:r>
      <w:r w:rsidR="00051C0C">
        <w:t xml:space="preserve"> consistently applied. </w:t>
      </w:r>
      <w:r w:rsidR="00796FE8">
        <w:t xml:space="preserve">They considered that for </w:t>
      </w:r>
      <w:r w:rsidR="00051C0C">
        <w:t xml:space="preserve">entries </w:t>
      </w:r>
      <w:r w:rsidR="00796FE8">
        <w:t xml:space="preserve">not following such principles </w:t>
      </w:r>
      <w:r w:rsidR="00051C0C">
        <w:t xml:space="preserve">it would be advisable to check </w:t>
      </w:r>
      <w:r w:rsidR="00796FE8">
        <w:t xml:space="preserve">whether this was </w:t>
      </w:r>
      <w:r w:rsidR="00051C0C">
        <w:t xml:space="preserve">well justified. </w:t>
      </w:r>
    </w:p>
    <w:p w14:paraId="58D7AE80" w14:textId="749432DF" w:rsidR="007A36BD" w:rsidRDefault="00114C40" w:rsidP="007A36BD">
      <w:pPr>
        <w:pStyle w:val="SingleTxtG"/>
      </w:pPr>
      <w:r>
        <w:t>40.</w:t>
      </w:r>
      <w:r>
        <w:tab/>
      </w:r>
      <w:r w:rsidR="000A13CD">
        <w:t xml:space="preserve">Others on the contrary pointed out </w:t>
      </w:r>
      <w:r w:rsidR="007A36BD">
        <w:t>that the current system had been in place for a long time and was well known by emergency responders. They expressed concern about the unintended consequences of changing the existing principles (e.g. in cases whe</w:t>
      </w:r>
      <w:r w:rsidR="000A13CD">
        <w:t>re</w:t>
      </w:r>
      <w:r w:rsidR="007A36BD">
        <w:t xml:space="preserve"> duplication of the hazard identification number is currently used as an indication of the severity of the hazard) and considered that changes should only be considered on a case by case basis and when accompanied by supporting additional data.</w:t>
      </w:r>
    </w:p>
    <w:p w14:paraId="008BD2D6" w14:textId="74709510" w:rsidR="000A13CD" w:rsidRDefault="00114C40" w:rsidP="007A36BD">
      <w:pPr>
        <w:pStyle w:val="SingleTxtG"/>
      </w:pPr>
      <w:r>
        <w:t>41</w:t>
      </w:r>
      <w:r w:rsidR="007A36BD">
        <w:t>.</w:t>
      </w:r>
      <w:r w:rsidR="007A36BD">
        <w:tab/>
        <w:t xml:space="preserve">It was noted that the information provided by the hazard identification number should not be considered on a stand-alone basis but in conjunction with that provided by other elements such as the placards. It was also noted that changes applicable to RID only should also be addressed. </w:t>
      </w:r>
    </w:p>
    <w:p w14:paraId="654E4CB9" w14:textId="08F8C709" w:rsidR="007A36BD" w:rsidRDefault="00114C40" w:rsidP="007A36BD">
      <w:pPr>
        <w:pStyle w:val="SingleTxtG"/>
      </w:pPr>
      <w:r>
        <w:t>42.</w:t>
      </w:r>
      <w:r>
        <w:tab/>
      </w:r>
      <w:r w:rsidR="007A36BD">
        <w:t xml:space="preserve">After some discussion, the Joint Meeting invited the </w:t>
      </w:r>
      <w:r w:rsidR="00051C0C">
        <w:t xml:space="preserve">representative of </w:t>
      </w:r>
      <w:r w:rsidR="007A36BD">
        <w:t xml:space="preserve">Spain to submit a revised proposal to the </w:t>
      </w:r>
      <w:r w:rsidR="003B6AA8">
        <w:t>a</w:t>
      </w:r>
      <w:r w:rsidR="000A13CD">
        <w:t xml:space="preserve">utumn </w:t>
      </w:r>
      <w:r w:rsidR="007A36BD">
        <w:t>session that would take account of the comments made.</w:t>
      </w:r>
    </w:p>
    <w:p w14:paraId="07E24873" w14:textId="0C68D8A9" w:rsidR="007A36BD" w:rsidRDefault="00114C40" w:rsidP="007A36BD">
      <w:pPr>
        <w:pStyle w:val="SingleTxtG"/>
      </w:pPr>
      <w:r>
        <w:t>43</w:t>
      </w:r>
      <w:r w:rsidR="007A36BD">
        <w:t>.</w:t>
      </w:r>
      <w:r w:rsidR="007A36BD">
        <w:tab/>
        <w:t xml:space="preserve">The Joint Meeting also invited delegations who had identified other cases where a review of the hazard identification numbers </w:t>
      </w:r>
      <w:r w:rsidR="000A13CD">
        <w:t>might</w:t>
      </w:r>
      <w:r w:rsidR="007A36BD">
        <w:t xml:space="preserve"> be necessary to </w:t>
      </w:r>
      <w:r w:rsidR="00051C0C">
        <w:t xml:space="preserve">cooperate with Spain and </w:t>
      </w:r>
      <w:r w:rsidR="000A13CD">
        <w:t xml:space="preserve">consider including </w:t>
      </w:r>
      <w:r w:rsidR="00051C0C">
        <w:t xml:space="preserve">such cases in the revised proposal for the </w:t>
      </w:r>
      <w:r w:rsidR="003B6AA8">
        <w:t>a</w:t>
      </w:r>
      <w:r w:rsidR="000A13CD">
        <w:t xml:space="preserve">utumn </w:t>
      </w:r>
      <w:r w:rsidR="00051C0C">
        <w:t xml:space="preserve">session. </w:t>
      </w:r>
      <w:r w:rsidR="000A13CD">
        <w:t>T</w:t>
      </w:r>
      <w:r w:rsidR="007A36BD">
        <w:t xml:space="preserve">he Joint Meeting </w:t>
      </w:r>
      <w:r w:rsidR="000A13CD">
        <w:t xml:space="preserve">would then </w:t>
      </w:r>
      <w:r w:rsidR="007A36BD">
        <w:t xml:space="preserve">assess whether the issues identified </w:t>
      </w:r>
      <w:r w:rsidR="000A13CD">
        <w:t xml:space="preserve">would </w:t>
      </w:r>
      <w:r w:rsidR="007A36BD">
        <w:t xml:space="preserve">justify undertaking a review of the principles for assignment of hazard identification numbers or whether they </w:t>
      </w:r>
      <w:r w:rsidR="000A13CD">
        <w:t>would</w:t>
      </w:r>
      <w:r w:rsidR="007A36BD">
        <w:t xml:space="preserve"> continue to be addressed individually.</w:t>
      </w:r>
    </w:p>
    <w:p w14:paraId="2AA4E5F2" w14:textId="77777777" w:rsidR="005437D3" w:rsidRDefault="005437D3" w:rsidP="005437D3">
      <w:pPr>
        <w:pStyle w:val="H23G"/>
      </w:pPr>
      <w:r>
        <w:tab/>
        <w:t>7.</w:t>
      </w:r>
      <w:r>
        <w:tab/>
        <w:t>Definition of “flash-point”</w:t>
      </w:r>
    </w:p>
    <w:p w14:paraId="13164CA8" w14:textId="5D5D1B2A" w:rsidR="005437D3" w:rsidRDefault="005437D3" w:rsidP="0000340E">
      <w:pPr>
        <w:tabs>
          <w:tab w:val="left" w:pos="3402"/>
        </w:tabs>
        <w:spacing w:before="120" w:after="120"/>
        <w:ind w:left="414" w:firstLine="720"/>
      </w:pPr>
      <w:r w:rsidRPr="004010CC">
        <w:rPr>
          <w:i/>
        </w:rPr>
        <w:t>Informal document</w:t>
      </w:r>
      <w:r>
        <w:rPr>
          <w:i/>
        </w:rPr>
        <w:t xml:space="preserve">: </w:t>
      </w:r>
      <w:r>
        <w:rPr>
          <w:i/>
        </w:rPr>
        <w:tab/>
      </w:r>
      <w:r w:rsidR="0000340E">
        <w:rPr>
          <w:i/>
        </w:rPr>
        <w:tab/>
      </w:r>
      <w:r>
        <w:t>INF.18</w:t>
      </w:r>
      <w:r w:rsidRPr="009C26F2">
        <w:t xml:space="preserve"> (</w:t>
      </w:r>
      <w:r>
        <w:t>Germany</w:t>
      </w:r>
      <w:r w:rsidRPr="009C26F2">
        <w:t>)</w:t>
      </w:r>
    </w:p>
    <w:p w14:paraId="41C84A78" w14:textId="64666348" w:rsidR="005437D3" w:rsidRDefault="00114C40" w:rsidP="00BC7C73">
      <w:pPr>
        <w:pStyle w:val="SingleTxtG"/>
        <w:tabs>
          <w:tab w:val="left" w:pos="1701"/>
        </w:tabs>
      </w:pPr>
      <w:r>
        <w:t>44</w:t>
      </w:r>
      <w:r w:rsidR="005437D3">
        <w:t>.</w:t>
      </w:r>
      <w:r w:rsidR="005437D3">
        <w:tab/>
        <w:t>There was no support for the proposal to insert an abbreviation for “flash-point”. Some delegations questioned its need and appropriateness, as the acronym “</w:t>
      </w:r>
      <w:proofErr w:type="spellStart"/>
      <w:r w:rsidR="005437D3">
        <w:t>Fp</w:t>
      </w:r>
      <w:proofErr w:type="spellEnd"/>
      <w:r w:rsidR="005437D3">
        <w:t xml:space="preserve">” was not internationally recognized. Others inquired about the corresponding equivalent in other </w:t>
      </w:r>
      <w:r w:rsidR="005437D3">
        <w:lastRenderedPageBreak/>
        <w:t xml:space="preserve">languages. Some others indicated that the definition itself should be amended to include a reference to the application of ignition sources, as this would align it with the definition used in international standards. </w:t>
      </w:r>
    </w:p>
    <w:p w14:paraId="3BDDC7B1" w14:textId="417B0C03" w:rsidR="005437D3" w:rsidRDefault="00114C40" w:rsidP="00BC7C73">
      <w:pPr>
        <w:pStyle w:val="SingleTxtG"/>
        <w:tabs>
          <w:tab w:val="left" w:pos="1701"/>
        </w:tabs>
      </w:pPr>
      <w:r>
        <w:t>45</w:t>
      </w:r>
      <w:r w:rsidR="005437D3">
        <w:t>.</w:t>
      </w:r>
      <w:r w:rsidR="005437D3">
        <w:tab/>
        <w:t>It was noted that since the definition was also included in the Model Regulations, any proposal for change should be brought to the attention of the Sub-Committee of Experts on the Transport of Dangerous Goods.</w:t>
      </w:r>
    </w:p>
    <w:p w14:paraId="4642B2EF" w14:textId="31714796" w:rsidR="005437D3" w:rsidRDefault="00114C40" w:rsidP="00BC7C73">
      <w:pPr>
        <w:pStyle w:val="SingleTxtG"/>
        <w:tabs>
          <w:tab w:val="left" w:pos="1701"/>
        </w:tabs>
      </w:pPr>
      <w:r>
        <w:t>46</w:t>
      </w:r>
      <w:r w:rsidR="005437D3">
        <w:t>.</w:t>
      </w:r>
      <w:r w:rsidR="005437D3">
        <w:tab/>
        <w:t>In light of the comments, the representative of Germany withdrew his proposal</w:t>
      </w:r>
      <w:r w:rsidR="009C2F2D">
        <w:t xml:space="preserve"> as </w:t>
      </w:r>
      <w:r w:rsidR="000A2EFE">
        <w:t xml:space="preserve">he considered that </w:t>
      </w:r>
      <w:r w:rsidR="000A13CD">
        <w:t>a</w:t>
      </w:r>
      <w:r w:rsidR="009C2F2D">
        <w:t xml:space="preserve"> </w:t>
      </w:r>
      <w:r w:rsidR="000A2EFE">
        <w:t xml:space="preserve">specific </w:t>
      </w:r>
      <w:r w:rsidR="009C2F2D">
        <w:t>solution</w:t>
      </w:r>
      <w:r w:rsidR="000A13CD">
        <w:t xml:space="preserve"> </w:t>
      </w:r>
      <w:r w:rsidR="000A2EFE">
        <w:t>for</w:t>
      </w:r>
      <w:r w:rsidR="009C2F2D">
        <w:t xml:space="preserve"> ADN could be found</w:t>
      </w:r>
      <w:r w:rsidR="005437D3">
        <w:t>.</w:t>
      </w:r>
    </w:p>
    <w:p w14:paraId="07D7484E" w14:textId="1FD467CC" w:rsidR="005437D3" w:rsidRDefault="005437D3" w:rsidP="005437D3">
      <w:pPr>
        <w:pStyle w:val="H23G"/>
      </w:pPr>
      <w:r>
        <w:tab/>
        <w:t>8.</w:t>
      </w:r>
      <w:r>
        <w:tab/>
        <w:t>Amendment to special provision CW36</w:t>
      </w:r>
      <w:r w:rsidR="000A2EFE">
        <w:t>/CV36</w:t>
      </w:r>
      <w:r>
        <w:t xml:space="preserve"> in 7.5.11 </w:t>
      </w:r>
    </w:p>
    <w:p w14:paraId="68FD84C4" w14:textId="3E46A94A" w:rsidR="005437D3" w:rsidRDefault="005437D3" w:rsidP="0000340E">
      <w:pPr>
        <w:tabs>
          <w:tab w:val="left" w:pos="3402"/>
        </w:tabs>
        <w:spacing w:before="120" w:after="120"/>
        <w:ind w:left="414" w:firstLine="720"/>
      </w:pPr>
      <w:r w:rsidRPr="004010CC">
        <w:rPr>
          <w:i/>
        </w:rPr>
        <w:t>Informal document</w:t>
      </w:r>
      <w:r>
        <w:rPr>
          <w:i/>
        </w:rPr>
        <w:t xml:space="preserve">: </w:t>
      </w:r>
      <w:r>
        <w:rPr>
          <w:i/>
        </w:rPr>
        <w:tab/>
      </w:r>
      <w:r w:rsidR="0000340E">
        <w:rPr>
          <w:i/>
        </w:rPr>
        <w:tab/>
      </w:r>
      <w:r>
        <w:t>INF.21</w:t>
      </w:r>
      <w:r w:rsidRPr="009C26F2">
        <w:t xml:space="preserve"> (</w:t>
      </w:r>
      <w:r>
        <w:t>Switzerland</w:t>
      </w:r>
      <w:r w:rsidRPr="009C26F2">
        <w:t>)</w:t>
      </w:r>
    </w:p>
    <w:p w14:paraId="60DB4864" w14:textId="702C629F" w:rsidR="005437D3" w:rsidRDefault="00114C40" w:rsidP="00BC7C73">
      <w:pPr>
        <w:pStyle w:val="SingleTxtG"/>
        <w:tabs>
          <w:tab w:val="left" w:pos="1701"/>
        </w:tabs>
      </w:pPr>
      <w:r>
        <w:t>47</w:t>
      </w:r>
      <w:r w:rsidR="005437D3">
        <w:t>.</w:t>
      </w:r>
      <w:r w:rsidR="005437D3">
        <w:tab/>
        <w:t xml:space="preserve">There was support for the proposal in principle but most delegations considered that it needed further refinement before it could be adopted. </w:t>
      </w:r>
      <w:r w:rsidR="009C2F2D">
        <w:t xml:space="preserve">The representative of Germany </w:t>
      </w:r>
      <w:r w:rsidR="000A13CD">
        <w:t xml:space="preserve">noted </w:t>
      </w:r>
      <w:r w:rsidR="009C2F2D">
        <w:t xml:space="preserve">that industry </w:t>
      </w:r>
      <w:r w:rsidR="000A13CD">
        <w:t>stakeholders fore</w:t>
      </w:r>
      <w:r w:rsidR="009C2F2D">
        <w:t xml:space="preserve">see problems with parcel services. </w:t>
      </w:r>
      <w:r w:rsidR="005437D3">
        <w:t>The representatives of EIGA and AEGPL volunteered to seek advice from industry stakeholders and to cooperate with the representative of Switzerland on the development of a revised proposal for the autumn session. Other interested delegations were invited to provide comments in writing to the representative of Switzerland.</w:t>
      </w:r>
    </w:p>
    <w:p w14:paraId="57750176" w14:textId="77777777" w:rsidR="005437D3" w:rsidRDefault="005437D3" w:rsidP="005437D3">
      <w:pPr>
        <w:pStyle w:val="H23G"/>
      </w:pPr>
      <w:r>
        <w:tab/>
        <w:t>9.</w:t>
      </w:r>
      <w:r>
        <w:tab/>
        <w:t>Alignment of linguistic versions of RID/ADR</w:t>
      </w:r>
    </w:p>
    <w:p w14:paraId="3EC6039A" w14:textId="77777777" w:rsidR="005437D3" w:rsidRDefault="005437D3" w:rsidP="0000340E">
      <w:pPr>
        <w:tabs>
          <w:tab w:val="left" w:pos="3402"/>
        </w:tabs>
        <w:spacing w:before="120" w:after="120"/>
        <w:ind w:left="414" w:firstLine="720"/>
      </w:pPr>
      <w:r w:rsidRPr="004010CC">
        <w:rPr>
          <w:i/>
        </w:rPr>
        <w:t>Informal document</w:t>
      </w:r>
      <w:r>
        <w:rPr>
          <w:i/>
        </w:rPr>
        <w:t xml:space="preserve">: </w:t>
      </w:r>
      <w:r>
        <w:rPr>
          <w:i/>
        </w:rPr>
        <w:tab/>
      </w:r>
      <w:r>
        <w:t>INF.22</w:t>
      </w:r>
      <w:r w:rsidRPr="009C26F2">
        <w:t xml:space="preserve"> (</w:t>
      </w:r>
      <w:r>
        <w:t>Italy</w:t>
      </w:r>
      <w:r w:rsidRPr="009C26F2">
        <w:t>)</w:t>
      </w:r>
    </w:p>
    <w:p w14:paraId="4D850ED3" w14:textId="1C947F4F" w:rsidR="005437D3" w:rsidRDefault="00114C40" w:rsidP="00BC7C73">
      <w:pPr>
        <w:pStyle w:val="SingleTxtG"/>
        <w:tabs>
          <w:tab w:val="left" w:pos="1701"/>
        </w:tabs>
      </w:pPr>
      <w:r>
        <w:t>48</w:t>
      </w:r>
      <w:r w:rsidR="005437D3">
        <w:t>.</w:t>
      </w:r>
      <w:r w:rsidR="005437D3">
        <w:tab/>
        <w:t>The Joint Meeting welcomed the document from Italy but considered that more time was needed to address all the issues raised. The representative of Italy was invited to submit an official document for the autumn session that would list separately editorial issues</w:t>
      </w:r>
      <w:r w:rsidR="000A13CD">
        <w:t>,</w:t>
      </w:r>
      <w:r w:rsidR="005437D3">
        <w:t xml:space="preserve"> matters requiring further analysis</w:t>
      </w:r>
      <w:r w:rsidR="000A13CD">
        <w:t>,</w:t>
      </w:r>
      <w:r w:rsidR="005437D3">
        <w:t xml:space="preserve"> and issues to be brought to the attention of the Sub-Committee of Experts on the Transport of Dangerous Goods. </w:t>
      </w:r>
    </w:p>
    <w:p w14:paraId="0496935E" w14:textId="07E4C1B6" w:rsidR="005437D3" w:rsidRDefault="00114C40" w:rsidP="00BC7C73">
      <w:pPr>
        <w:pStyle w:val="SingleTxtG"/>
        <w:tabs>
          <w:tab w:val="left" w:pos="1701"/>
        </w:tabs>
      </w:pPr>
      <w:r>
        <w:t>49</w:t>
      </w:r>
      <w:r w:rsidR="005437D3">
        <w:t>.</w:t>
      </w:r>
      <w:r w:rsidR="005437D3">
        <w:tab/>
        <w:t xml:space="preserve">In addition, noting that the document only addressed amendments to RID and ADR, the Joint Meeting invited the representative of Italy to include in its revised proposal the amendments relevant to ADN as well. </w:t>
      </w:r>
    </w:p>
    <w:p w14:paraId="1FA0210B" w14:textId="6DE80595" w:rsidR="005437D3" w:rsidRPr="004010CC" w:rsidRDefault="00114C40" w:rsidP="00BC7C73">
      <w:pPr>
        <w:pStyle w:val="SingleTxtG"/>
        <w:tabs>
          <w:tab w:val="left" w:pos="1701"/>
        </w:tabs>
      </w:pPr>
      <w:r>
        <w:t>50</w:t>
      </w:r>
      <w:r w:rsidR="005437D3">
        <w:t>.</w:t>
      </w:r>
      <w:r w:rsidR="005437D3">
        <w:tab/>
        <w:t>The Joint Meeting invited delegations to provide comments in writing to the representative of Italy.</w:t>
      </w:r>
    </w:p>
    <w:p w14:paraId="5D2056B2" w14:textId="77777777" w:rsidR="005437D3" w:rsidRDefault="005437D3" w:rsidP="005437D3">
      <w:pPr>
        <w:pStyle w:val="H23G"/>
      </w:pPr>
      <w:r>
        <w:tab/>
        <w:t>10.</w:t>
      </w:r>
      <w:r>
        <w:tab/>
        <w:t>References to ECE Regulations in RID/ADR/ADN</w:t>
      </w:r>
    </w:p>
    <w:p w14:paraId="3CAAD13E" w14:textId="77777777" w:rsidR="005437D3" w:rsidRDefault="005437D3" w:rsidP="0000340E">
      <w:pPr>
        <w:tabs>
          <w:tab w:val="left" w:pos="3402"/>
        </w:tabs>
        <w:spacing w:before="120" w:after="120"/>
        <w:ind w:left="414" w:firstLine="720"/>
      </w:pPr>
      <w:r w:rsidRPr="004010CC">
        <w:rPr>
          <w:i/>
        </w:rPr>
        <w:t>Informal document</w:t>
      </w:r>
      <w:r>
        <w:rPr>
          <w:i/>
        </w:rPr>
        <w:t xml:space="preserve">: </w:t>
      </w:r>
      <w:r>
        <w:rPr>
          <w:i/>
        </w:rPr>
        <w:tab/>
      </w:r>
      <w:r>
        <w:t>INF.30</w:t>
      </w:r>
      <w:r w:rsidRPr="009C26F2">
        <w:t xml:space="preserve"> (</w:t>
      </w:r>
      <w:r>
        <w:t>Secretariat</w:t>
      </w:r>
      <w:r w:rsidRPr="009C26F2">
        <w:t>)</w:t>
      </w:r>
    </w:p>
    <w:p w14:paraId="002A048E" w14:textId="04B49D1E" w:rsidR="005437D3" w:rsidRDefault="00114C40" w:rsidP="00BC7C73">
      <w:pPr>
        <w:pStyle w:val="SingleTxtG"/>
        <w:tabs>
          <w:tab w:val="left" w:pos="1701"/>
        </w:tabs>
      </w:pPr>
      <w:r>
        <w:t>51</w:t>
      </w:r>
      <w:r w:rsidR="005437D3">
        <w:t>.</w:t>
      </w:r>
      <w:r w:rsidR="005437D3">
        <w:tab/>
        <w:t>The Joint Meeting adopted the amendments proposed by the secretariat for entry into force on 1 January 2019 (see annex</w:t>
      </w:r>
      <w:r w:rsidR="001E2CE9">
        <w:t xml:space="preserve"> </w:t>
      </w:r>
      <w:r w:rsidR="00411C25">
        <w:t>I</w:t>
      </w:r>
      <w:r w:rsidR="001E2CE9">
        <w:t>I</w:t>
      </w:r>
      <w:r w:rsidR="005437D3">
        <w:t>).</w:t>
      </w:r>
    </w:p>
    <w:p w14:paraId="66FD6492" w14:textId="77777777" w:rsidR="005437D3" w:rsidRDefault="005437D3" w:rsidP="005437D3">
      <w:pPr>
        <w:pStyle w:val="H23G"/>
      </w:pPr>
      <w:r>
        <w:tab/>
        <w:t>11.</w:t>
      </w:r>
      <w:r>
        <w:tab/>
        <w:t>Corrections adopted by the Sub-Committee of Experts on the Transport of Dangerous Goods</w:t>
      </w:r>
    </w:p>
    <w:p w14:paraId="22081C98" w14:textId="77777777" w:rsidR="005437D3" w:rsidRDefault="005437D3" w:rsidP="0000340E">
      <w:pPr>
        <w:tabs>
          <w:tab w:val="left" w:pos="3402"/>
        </w:tabs>
        <w:spacing w:before="120" w:after="120"/>
        <w:ind w:left="414" w:firstLine="720"/>
      </w:pPr>
      <w:r w:rsidRPr="004010CC">
        <w:rPr>
          <w:i/>
        </w:rPr>
        <w:t>Informal document</w:t>
      </w:r>
      <w:r>
        <w:rPr>
          <w:i/>
        </w:rPr>
        <w:t xml:space="preserve">: </w:t>
      </w:r>
      <w:r>
        <w:rPr>
          <w:i/>
        </w:rPr>
        <w:tab/>
      </w:r>
      <w:r>
        <w:t>INF.31</w:t>
      </w:r>
      <w:r w:rsidRPr="009C26F2">
        <w:t xml:space="preserve"> (</w:t>
      </w:r>
      <w:r>
        <w:t>Secretariat</w:t>
      </w:r>
      <w:r w:rsidRPr="009C26F2">
        <w:t>)</w:t>
      </w:r>
    </w:p>
    <w:p w14:paraId="2C3DB622" w14:textId="4005E60E" w:rsidR="005437D3" w:rsidRDefault="00114C40" w:rsidP="00BC7C73">
      <w:pPr>
        <w:pStyle w:val="SingleTxtG"/>
        <w:tabs>
          <w:tab w:val="left" w:pos="1701"/>
        </w:tabs>
      </w:pPr>
      <w:r>
        <w:t>52</w:t>
      </w:r>
      <w:r w:rsidR="005437D3">
        <w:t>.</w:t>
      </w:r>
      <w:r w:rsidR="005437D3">
        <w:tab/>
        <w:t>The Joint Meeting took note of the corrections to the 20th revised edition of the Model Regulations adopted by the Sub-Committee of Experts on the Transport of Dangerous Goods which are also relevant for the 2019 edition of RID/ADR/ADN</w:t>
      </w:r>
      <w:r w:rsidR="00411C25">
        <w:t xml:space="preserve"> </w:t>
      </w:r>
      <w:r>
        <w:t>(see annex </w:t>
      </w:r>
      <w:r w:rsidR="006032E5">
        <w:t>II</w:t>
      </w:r>
      <w:r w:rsidR="001E2CE9">
        <w:t>).</w:t>
      </w:r>
    </w:p>
    <w:p w14:paraId="5680F1B2" w14:textId="52E7B1E8" w:rsidR="005437D3" w:rsidRDefault="005437D3" w:rsidP="003D3238">
      <w:pPr>
        <w:pStyle w:val="H23G"/>
      </w:pPr>
      <w:r>
        <w:lastRenderedPageBreak/>
        <w:tab/>
        <w:t>12.</w:t>
      </w:r>
      <w:r>
        <w:tab/>
        <w:t>Amendment</w:t>
      </w:r>
      <w:r w:rsidR="003E15E4">
        <w:t>s</w:t>
      </w:r>
      <w:r>
        <w:t xml:space="preserve"> to 5.4.1.1.1</w:t>
      </w:r>
    </w:p>
    <w:p w14:paraId="2BC50E1C" w14:textId="77777777" w:rsidR="005437D3" w:rsidRDefault="005437D3" w:rsidP="003D3238">
      <w:pPr>
        <w:keepNext/>
        <w:keepLines/>
        <w:ind w:left="414" w:firstLine="720"/>
      </w:pPr>
      <w:r w:rsidRPr="004010CC">
        <w:rPr>
          <w:i/>
        </w:rPr>
        <w:t>Informal document</w:t>
      </w:r>
      <w:r>
        <w:rPr>
          <w:i/>
        </w:rPr>
        <w:t xml:space="preserve">s: </w:t>
      </w:r>
      <w:r>
        <w:rPr>
          <w:i/>
        </w:rPr>
        <w:tab/>
      </w:r>
      <w:r>
        <w:t>INF.33</w:t>
      </w:r>
      <w:r w:rsidRPr="009C26F2">
        <w:t xml:space="preserve"> (</w:t>
      </w:r>
      <w:r>
        <w:t>Ukraine</w:t>
      </w:r>
      <w:r w:rsidRPr="009C26F2">
        <w:t>)</w:t>
      </w:r>
    </w:p>
    <w:p w14:paraId="41BB16D9" w14:textId="77777777" w:rsidR="005437D3" w:rsidRDefault="005437D3" w:rsidP="003D3238">
      <w:pPr>
        <w:keepNext/>
        <w:keepLines/>
        <w:spacing w:after="120"/>
        <w:ind w:left="3402"/>
      </w:pPr>
      <w:r>
        <w:rPr>
          <w:i/>
        </w:rPr>
        <w:tab/>
      </w:r>
      <w:r>
        <w:t>INF.35 (Secretariat)</w:t>
      </w:r>
    </w:p>
    <w:p w14:paraId="41685208" w14:textId="6113B49B" w:rsidR="005437D3" w:rsidRDefault="00114C40" w:rsidP="00BC7C73">
      <w:pPr>
        <w:pStyle w:val="SingleTxtG"/>
        <w:tabs>
          <w:tab w:val="left" w:pos="1701"/>
        </w:tabs>
      </w:pPr>
      <w:r>
        <w:t>53</w:t>
      </w:r>
      <w:r w:rsidR="005437D3" w:rsidRPr="009F617E">
        <w:t>.</w:t>
      </w:r>
      <w:r w:rsidR="005437D3" w:rsidRPr="009F617E">
        <w:tab/>
        <w:t xml:space="preserve">As the representative of Ukraine did not attend the session, the Joint Meeting decided to defer consideration of the proposal to its next session </w:t>
      </w:r>
      <w:r w:rsidR="005437D3">
        <w:t xml:space="preserve">provided it was submitted </w:t>
      </w:r>
      <w:r w:rsidR="001E2CE9">
        <w:t>as</w:t>
      </w:r>
      <w:r w:rsidR="005437D3">
        <w:t xml:space="preserve"> an</w:t>
      </w:r>
      <w:r w:rsidR="005437D3" w:rsidRPr="009F617E">
        <w:t xml:space="preserve"> official document.</w:t>
      </w:r>
    </w:p>
    <w:p w14:paraId="718D6B44" w14:textId="77777777" w:rsidR="00AC5C57" w:rsidRDefault="00AC5C57" w:rsidP="00AC5C57">
      <w:pPr>
        <w:pStyle w:val="H23G"/>
      </w:pPr>
      <w:r>
        <w:tab/>
        <w:t>13.</w:t>
      </w:r>
      <w:r>
        <w:tab/>
        <w:t>Display packs of limited quantities</w:t>
      </w:r>
    </w:p>
    <w:p w14:paraId="59590650" w14:textId="77777777" w:rsidR="00AC5C57" w:rsidRDefault="00AC5C57" w:rsidP="0000340E">
      <w:pPr>
        <w:pStyle w:val="SingleTxtG"/>
        <w:tabs>
          <w:tab w:val="left" w:pos="3402"/>
        </w:tabs>
      </w:pPr>
      <w:r w:rsidRPr="005A4DB7">
        <w:rPr>
          <w:i/>
        </w:rPr>
        <w:t>Informal document:</w:t>
      </w:r>
      <w:r>
        <w:t xml:space="preserve"> </w:t>
      </w:r>
      <w:r>
        <w:tab/>
        <w:t>INF.46 (COSTHA)</w:t>
      </w:r>
    </w:p>
    <w:p w14:paraId="47541995" w14:textId="43BAB693" w:rsidR="00AC5C57" w:rsidRDefault="00114C40" w:rsidP="00AC5C57">
      <w:pPr>
        <w:pStyle w:val="SingleTxtG"/>
      </w:pPr>
      <w:r>
        <w:t>54</w:t>
      </w:r>
      <w:r w:rsidR="00AC5C57" w:rsidRPr="003A7004">
        <w:t>.</w:t>
      </w:r>
      <w:r w:rsidR="00AC5C57" w:rsidRPr="003A7004">
        <w:tab/>
        <w:t xml:space="preserve">Due to lack of time the Joint Meeting could not consider </w:t>
      </w:r>
      <w:r w:rsidR="001E2CE9">
        <w:t xml:space="preserve">the </w:t>
      </w:r>
      <w:r w:rsidR="00AC5C57" w:rsidRPr="003A7004">
        <w:t>document. The representative of COSTHA was invited to resubmit it for consideration at the next session.</w:t>
      </w:r>
    </w:p>
    <w:p w14:paraId="2B66F070" w14:textId="48F6A578" w:rsidR="007A36BD" w:rsidRDefault="00AC5C57" w:rsidP="007A36BD">
      <w:pPr>
        <w:pStyle w:val="HChG"/>
      </w:pPr>
      <w:r>
        <w:tab/>
      </w:r>
      <w:r w:rsidR="007A36BD" w:rsidRPr="001674D6">
        <w:t>VII.</w:t>
      </w:r>
      <w:r w:rsidR="007A36BD" w:rsidRPr="001674D6">
        <w:tab/>
        <w:t>Reports of informal working groups (agenda item 6)</w:t>
      </w:r>
    </w:p>
    <w:p w14:paraId="2722B54E" w14:textId="77777777" w:rsidR="007A36BD" w:rsidRPr="001F7D28" w:rsidRDefault="007A36BD" w:rsidP="007A36BD">
      <w:pPr>
        <w:pStyle w:val="H1G"/>
      </w:pPr>
      <w:r>
        <w:tab/>
        <w:t>A.</w:t>
      </w:r>
      <w:r>
        <w:tab/>
      </w:r>
      <w:r w:rsidRPr="009239D5">
        <w:t>Carriage of pressure receptacles approved by the Department of Transportation of the United States of America (DOT)</w:t>
      </w:r>
    </w:p>
    <w:p w14:paraId="79924926" w14:textId="77777777" w:rsidR="007A36BD" w:rsidRPr="009239D5" w:rsidRDefault="007A36BD" w:rsidP="007A36BD">
      <w:pPr>
        <w:pStyle w:val="SingleTxtG"/>
        <w:tabs>
          <w:tab w:val="left" w:pos="3402"/>
        </w:tabs>
      </w:pPr>
      <w:r w:rsidRPr="009239D5">
        <w:rPr>
          <w:i/>
          <w:iCs/>
        </w:rPr>
        <w:t>Document:</w:t>
      </w:r>
      <w:r w:rsidRPr="009239D5">
        <w:rPr>
          <w:i/>
          <w:iCs/>
        </w:rPr>
        <w:tab/>
      </w:r>
      <w:r w:rsidRPr="009239D5">
        <w:t xml:space="preserve">ECE/TRANS/WP.15/AC.1/2018/3 (EIGA) </w:t>
      </w:r>
    </w:p>
    <w:p w14:paraId="7C0D3282" w14:textId="6CFAF0DA" w:rsidR="007A36BD" w:rsidRDefault="00114C40" w:rsidP="007A36BD">
      <w:pPr>
        <w:pStyle w:val="SingleTxtG"/>
      </w:pPr>
      <w:r>
        <w:t>55</w:t>
      </w:r>
      <w:r w:rsidR="007A36BD">
        <w:t>.</w:t>
      </w:r>
      <w:r w:rsidR="007A36BD">
        <w:tab/>
        <w:t xml:space="preserve">The Joint Meeting noted that the regulatory procedures in the United States of America were still ongoing. </w:t>
      </w:r>
    </w:p>
    <w:p w14:paraId="2157A13C" w14:textId="71F6D806" w:rsidR="007A36BD" w:rsidRDefault="00114C40" w:rsidP="007A36BD">
      <w:pPr>
        <w:pStyle w:val="SingleTxtG"/>
      </w:pPr>
      <w:r>
        <w:t>56</w:t>
      </w:r>
      <w:r w:rsidR="007A36BD">
        <w:t>.</w:t>
      </w:r>
      <w:r w:rsidR="007A36BD">
        <w:tab/>
        <w:t>Some delegations expressed concerns about the new provision in sub-paragraph (e) of the proposal in paragraph 8 of the document. The Joint Meeting noted that work should continue to achieve full implementation of UN pressure receptacles worldwide as the only means to ensure global harmonization.</w:t>
      </w:r>
    </w:p>
    <w:p w14:paraId="39D145F3" w14:textId="03EC3697" w:rsidR="007A36BD" w:rsidRDefault="00114C40" w:rsidP="007A36BD">
      <w:pPr>
        <w:pStyle w:val="SingleTxtG"/>
      </w:pPr>
      <w:r>
        <w:t>57</w:t>
      </w:r>
      <w:r w:rsidR="007A36BD">
        <w:t>.</w:t>
      </w:r>
      <w:r w:rsidR="007A36BD">
        <w:tab/>
        <w:t>After some discussion, the Joint Meeting considered that in order to achieve</w:t>
      </w:r>
      <w:r>
        <w:t xml:space="preserve"> </w:t>
      </w:r>
      <w:r w:rsidR="00051C0C">
        <w:t>further</w:t>
      </w:r>
      <w:r w:rsidR="007A36BD">
        <w:t xml:space="preserve"> progress, a document including a side-by side comparison (e.g. on a 2-column table) of the draft amendments to </w:t>
      </w:r>
      <w:r w:rsidR="003E15E4">
        <w:t>Title 49 of the United States Code of Federal Regulations (</w:t>
      </w:r>
      <w:r w:rsidR="007A36BD">
        <w:t>49 CFR</w:t>
      </w:r>
      <w:r w:rsidR="003E15E4">
        <w:t>)</w:t>
      </w:r>
      <w:r w:rsidR="007A36BD">
        <w:t xml:space="preserve"> and those proposed for RID/ADR/ADN should be submitted for consideration at </w:t>
      </w:r>
      <w:r w:rsidR="001E2CE9">
        <w:t xml:space="preserve">its </w:t>
      </w:r>
      <w:r w:rsidR="003B6AA8">
        <w:t>a</w:t>
      </w:r>
      <w:r w:rsidR="001E2CE9">
        <w:t xml:space="preserve">utumn </w:t>
      </w:r>
      <w:r w:rsidR="007A36BD">
        <w:t>session. The document would allow delegations to check that reciprocity is ensured, that mutual recognition of inspection bodies is granted and that there are no technical issues that need to be addressed. The representative of EIGA said that he would continue to work with industry and the representatives of the United States of America to provide this information at the next session.</w:t>
      </w:r>
    </w:p>
    <w:p w14:paraId="2D604549" w14:textId="77777777" w:rsidR="007A36BD" w:rsidRPr="001F7D28" w:rsidRDefault="007A36BD" w:rsidP="007A36BD">
      <w:pPr>
        <w:pStyle w:val="H1G"/>
      </w:pPr>
      <w:r>
        <w:tab/>
        <w:t>B.</w:t>
      </w:r>
      <w:r>
        <w:tab/>
        <w:t>Report of the informal working group on the definitions of “risk” and “hazard/danger” in the context of RID/ADR/ADN</w:t>
      </w:r>
    </w:p>
    <w:p w14:paraId="614ED30A" w14:textId="77777777" w:rsidR="007A36BD" w:rsidRDefault="007A36BD" w:rsidP="007A36BD">
      <w:pPr>
        <w:pStyle w:val="SingleTxtG"/>
        <w:tabs>
          <w:tab w:val="left" w:pos="3402"/>
        </w:tabs>
      </w:pPr>
      <w:r>
        <w:rPr>
          <w:i/>
          <w:iCs/>
        </w:rPr>
        <w:t>Informal d</w:t>
      </w:r>
      <w:r w:rsidRPr="009239D5">
        <w:rPr>
          <w:i/>
          <w:iCs/>
        </w:rPr>
        <w:t>ocument:</w:t>
      </w:r>
      <w:r w:rsidRPr="009239D5">
        <w:rPr>
          <w:i/>
          <w:iCs/>
        </w:rPr>
        <w:tab/>
      </w:r>
      <w:r>
        <w:t>INF.13</w:t>
      </w:r>
      <w:r w:rsidRPr="009239D5">
        <w:t xml:space="preserve"> (</w:t>
      </w:r>
      <w:r>
        <w:t>Romania, UIC</w:t>
      </w:r>
      <w:r w:rsidRPr="009239D5">
        <w:t xml:space="preserve">) </w:t>
      </w:r>
    </w:p>
    <w:p w14:paraId="28031873" w14:textId="43F48CAE" w:rsidR="007A36BD" w:rsidRDefault="00114C40" w:rsidP="007A36BD">
      <w:pPr>
        <w:pStyle w:val="SingleTxtG"/>
        <w:tabs>
          <w:tab w:val="left" w:pos="1701"/>
          <w:tab w:val="left" w:pos="3402"/>
        </w:tabs>
        <w:rPr>
          <w:iCs/>
        </w:rPr>
      </w:pPr>
      <w:r>
        <w:rPr>
          <w:iCs/>
        </w:rPr>
        <w:t>58</w:t>
      </w:r>
      <w:r w:rsidR="007A36BD">
        <w:rPr>
          <w:iCs/>
        </w:rPr>
        <w:t>.</w:t>
      </w:r>
      <w:r w:rsidR="007A36BD">
        <w:rPr>
          <w:iCs/>
        </w:rPr>
        <w:tab/>
        <w:t>After a lengthy discussion, the Joint Meeting could not agree on the proposed definitions and suggested the following stepwise approach to the informal working group for continuing the work:</w:t>
      </w:r>
    </w:p>
    <w:p w14:paraId="19CDCA3F" w14:textId="11D6048B" w:rsidR="007A36BD" w:rsidRDefault="007A36BD" w:rsidP="006C19BA">
      <w:pPr>
        <w:pStyle w:val="Bullet1G"/>
      </w:pPr>
      <w:r>
        <w:t xml:space="preserve">Firstly, identify all places in RID/ADR/ADN where the terms “danger”, “hazard” and “risk” could be </w:t>
      </w:r>
      <w:r w:rsidR="006F698E">
        <w:t>avoided</w:t>
      </w:r>
      <w:r>
        <w:t>. This could be done on the basis of the table provided in informal document INF.4/Add.1 submitted at the 2017 autumn session; and</w:t>
      </w:r>
    </w:p>
    <w:p w14:paraId="06D49DE5" w14:textId="6E619163" w:rsidR="007A36BD" w:rsidRDefault="007A36BD" w:rsidP="006C19BA">
      <w:pPr>
        <w:pStyle w:val="Bullet1G"/>
      </w:pPr>
      <w:r>
        <w:lastRenderedPageBreak/>
        <w:tab/>
        <w:t>Secondly, analyse how the terms “danger”, “hazard” and “risk” are used in all remaining places and explore possible solutions (e.g. consider whether they can be replaced or whether a definition should be developed).</w:t>
      </w:r>
    </w:p>
    <w:p w14:paraId="25BA06DA" w14:textId="70DC651D" w:rsidR="007A36BD" w:rsidRDefault="00114C40" w:rsidP="007A36BD">
      <w:pPr>
        <w:pStyle w:val="SingleTxtG"/>
        <w:tabs>
          <w:tab w:val="left" w:pos="1701"/>
          <w:tab w:val="left" w:pos="3402"/>
        </w:tabs>
        <w:rPr>
          <w:iCs/>
        </w:rPr>
      </w:pPr>
      <w:r>
        <w:rPr>
          <w:iCs/>
        </w:rPr>
        <w:t>59</w:t>
      </w:r>
      <w:r w:rsidR="007A36BD">
        <w:rPr>
          <w:iCs/>
        </w:rPr>
        <w:t>.</w:t>
      </w:r>
      <w:r w:rsidR="007A36BD">
        <w:rPr>
          <w:iCs/>
        </w:rPr>
        <w:tab/>
        <w:t xml:space="preserve">All cases listed in informal document INF.4/Add.1 should be addressed and where the informal working group considers that the terms cannot be </w:t>
      </w:r>
      <w:r w:rsidR="006F698E">
        <w:rPr>
          <w:iCs/>
        </w:rPr>
        <w:t>avoided</w:t>
      </w:r>
      <w:r w:rsidR="007A36BD">
        <w:rPr>
          <w:iCs/>
        </w:rPr>
        <w:t xml:space="preserve">, the appropriate </w:t>
      </w:r>
      <w:r w:rsidR="006F698E">
        <w:rPr>
          <w:iCs/>
        </w:rPr>
        <w:t>explanation should be provided</w:t>
      </w:r>
      <w:r w:rsidR="007A36BD">
        <w:rPr>
          <w:iCs/>
        </w:rPr>
        <w:t>.</w:t>
      </w:r>
    </w:p>
    <w:p w14:paraId="6CA5968F" w14:textId="35D7D5A1" w:rsidR="007A36BD" w:rsidRDefault="00114C40" w:rsidP="007A36BD">
      <w:pPr>
        <w:pStyle w:val="SingleTxtG"/>
        <w:tabs>
          <w:tab w:val="left" w:pos="1701"/>
          <w:tab w:val="left" w:pos="3402"/>
        </w:tabs>
        <w:rPr>
          <w:iCs/>
        </w:rPr>
      </w:pPr>
      <w:r>
        <w:rPr>
          <w:iCs/>
        </w:rPr>
        <w:t>60</w:t>
      </w:r>
      <w:r w:rsidR="007A36BD">
        <w:rPr>
          <w:iCs/>
        </w:rPr>
        <w:t>.</w:t>
      </w:r>
      <w:r w:rsidR="007A36BD">
        <w:rPr>
          <w:iCs/>
        </w:rPr>
        <w:tab/>
        <w:t xml:space="preserve">The representative of the Netherlands volunteered to host the next meeting of the informal working group that was tentatively scheduled from 11 to 13 June </w:t>
      </w:r>
      <w:r w:rsidR="006F698E">
        <w:rPr>
          <w:iCs/>
        </w:rPr>
        <w:t xml:space="preserve">2018 </w:t>
      </w:r>
      <w:r w:rsidR="001E2CE9">
        <w:rPr>
          <w:iCs/>
        </w:rPr>
        <w:t xml:space="preserve">at the </w:t>
      </w:r>
      <w:r w:rsidR="006F698E">
        <w:rPr>
          <w:iCs/>
        </w:rPr>
        <w:t xml:space="preserve">Ministry of Infrastructure and Water Management in </w:t>
      </w:r>
      <w:r w:rsidR="001E2CE9">
        <w:rPr>
          <w:iCs/>
        </w:rPr>
        <w:t>T</w:t>
      </w:r>
      <w:r w:rsidR="006F698E">
        <w:rPr>
          <w:iCs/>
        </w:rPr>
        <w:t>he Hague</w:t>
      </w:r>
      <w:r w:rsidR="001E2CE9">
        <w:rPr>
          <w:iCs/>
        </w:rPr>
        <w:t>.</w:t>
      </w:r>
      <w:r w:rsidR="007A36BD">
        <w:rPr>
          <w:iCs/>
        </w:rPr>
        <w:t xml:space="preserve"> </w:t>
      </w:r>
    </w:p>
    <w:p w14:paraId="278DE316" w14:textId="342B5B67" w:rsidR="007A36BD" w:rsidRDefault="00114C40" w:rsidP="007A36BD">
      <w:pPr>
        <w:pStyle w:val="SingleTxtG"/>
        <w:tabs>
          <w:tab w:val="left" w:pos="1701"/>
          <w:tab w:val="left" w:pos="3402"/>
        </w:tabs>
        <w:rPr>
          <w:iCs/>
        </w:rPr>
      </w:pPr>
      <w:r>
        <w:rPr>
          <w:iCs/>
        </w:rPr>
        <w:t>61</w:t>
      </w:r>
      <w:r w:rsidR="007A36BD">
        <w:rPr>
          <w:iCs/>
        </w:rPr>
        <w:t>.</w:t>
      </w:r>
      <w:r w:rsidR="007A36BD">
        <w:rPr>
          <w:iCs/>
        </w:rPr>
        <w:tab/>
        <w:t>The Joint Meeting noted that the informal working group would present the results of its work at the 2018 autumn session.</w:t>
      </w:r>
    </w:p>
    <w:p w14:paraId="00727578" w14:textId="77777777" w:rsidR="005437D3" w:rsidRPr="001F7D28" w:rsidRDefault="005437D3" w:rsidP="005437D3">
      <w:pPr>
        <w:pStyle w:val="H1G"/>
      </w:pPr>
      <w:r>
        <w:tab/>
        <w:t>C.</w:t>
      </w:r>
      <w:r>
        <w:tab/>
        <w:t>Report of the informal working group to update the architecture for dangerous goods telematics</w:t>
      </w:r>
    </w:p>
    <w:p w14:paraId="42113B9C" w14:textId="77777777" w:rsidR="005437D3" w:rsidRDefault="005437D3" w:rsidP="005437D3">
      <w:pPr>
        <w:pStyle w:val="SingleTxtG"/>
        <w:tabs>
          <w:tab w:val="left" w:pos="3402"/>
        </w:tabs>
      </w:pPr>
      <w:r>
        <w:rPr>
          <w:i/>
          <w:iCs/>
        </w:rPr>
        <w:t>Informal d</w:t>
      </w:r>
      <w:r w:rsidRPr="009239D5">
        <w:rPr>
          <w:i/>
          <w:iCs/>
        </w:rPr>
        <w:t>ocument:</w:t>
      </w:r>
      <w:r w:rsidRPr="009239D5">
        <w:rPr>
          <w:i/>
          <w:iCs/>
        </w:rPr>
        <w:tab/>
      </w:r>
      <w:r>
        <w:t>INF.34</w:t>
      </w:r>
      <w:r w:rsidRPr="009239D5">
        <w:t xml:space="preserve"> (</w:t>
      </w:r>
      <w:r>
        <w:t>Germany</w:t>
      </w:r>
      <w:r w:rsidRPr="009239D5">
        <w:t xml:space="preserve">) </w:t>
      </w:r>
    </w:p>
    <w:p w14:paraId="739A53A1" w14:textId="6E542044" w:rsidR="005437D3" w:rsidRDefault="00114C40" w:rsidP="006C19BA">
      <w:pPr>
        <w:pStyle w:val="SingleTxtG"/>
        <w:tabs>
          <w:tab w:val="left" w:pos="1701"/>
          <w:tab w:val="left" w:pos="3402"/>
        </w:tabs>
      </w:pPr>
      <w:r>
        <w:rPr>
          <w:iCs/>
        </w:rPr>
        <w:t>62</w:t>
      </w:r>
      <w:r w:rsidR="005437D3">
        <w:rPr>
          <w:iCs/>
        </w:rPr>
        <w:t>.</w:t>
      </w:r>
      <w:r w:rsidR="005437D3">
        <w:rPr>
          <w:iCs/>
        </w:rPr>
        <w:tab/>
        <w:t xml:space="preserve">The Joint Meeting took note of the report of the informal working group. </w:t>
      </w:r>
      <w:r w:rsidR="001E2CE9">
        <w:rPr>
          <w:iCs/>
        </w:rPr>
        <w:t>It</w:t>
      </w:r>
      <w:r w:rsidR="005437D3">
        <w:rPr>
          <w:iCs/>
        </w:rPr>
        <w:t xml:space="preserve"> noted that Germany intended to present a draft memorandum of understanding between </w:t>
      </w:r>
      <w:r w:rsidR="008468E4">
        <w:rPr>
          <w:iCs/>
        </w:rPr>
        <w:t xml:space="preserve">Member States </w:t>
      </w:r>
      <w:r w:rsidR="005437D3">
        <w:rPr>
          <w:iCs/>
        </w:rPr>
        <w:t xml:space="preserve">to agree on a common understanding and use of already existing options under 5.4.0.2 of RID/ADR/ADN, for consideration of the informal working group at its next meeting on 4 and 5 June </w:t>
      </w:r>
      <w:r w:rsidR="006F698E">
        <w:rPr>
          <w:iCs/>
        </w:rPr>
        <w:t xml:space="preserve">2018 </w:t>
      </w:r>
      <w:r w:rsidR="005437D3">
        <w:rPr>
          <w:iCs/>
        </w:rPr>
        <w:t xml:space="preserve">in London. </w:t>
      </w:r>
      <w:r w:rsidR="005437D3">
        <w:t>It was also noted that ERA was exploring the possibility to become a TP1.</w:t>
      </w:r>
    </w:p>
    <w:p w14:paraId="02874765" w14:textId="07FCBF96" w:rsidR="005437D3" w:rsidRDefault="00114C40" w:rsidP="005437D3">
      <w:pPr>
        <w:pStyle w:val="SingleTxtG"/>
        <w:tabs>
          <w:tab w:val="left" w:pos="1701"/>
          <w:tab w:val="left" w:pos="3402"/>
        </w:tabs>
        <w:rPr>
          <w:iCs/>
        </w:rPr>
      </w:pPr>
      <w:r>
        <w:rPr>
          <w:iCs/>
        </w:rPr>
        <w:t>63</w:t>
      </w:r>
      <w:r w:rsidR="005437D3">
        <w:rPr>
          <w:iCs/>
        </w:rPr>
        <w:t>.</w:t>
      </w:r>
      <w:r w:rsidR="005437D3">
        <w:rPr>
          <w:iCs/>
        </w:rPr>
        <w:tab/>
        <w:t xml:space="preserve">The representative of </w:t>
      </w:r>
      <w:r w:rsidR="006F698E">
        <w:rPr>
          <w:iCs/>
        </w:rPr>
        <w:t xml:space="preserve">IRU </w:t>
      </w:r>
      <w:r w:rsidR="005437D3">
        <w:rPr>
          <w:iCs/>
        </w:rPr>
        <w:t>informed the Joint Meeting that the UNECE Working Party on Road Transport (SC.1)</w:t>
      </w:r>
      <w:r w:rsidR="005437D3">
        <w:rPr>
          <w:rStyle w:val="FootnoteReference"/>
          <w:iCs/>
        </w:rPr>
        <w:footnoteReference w:id="4"/>
      </w:r>
      <w:r w:rsidR="005437D3">
        <w:rPr>
          <w:iCs/>
        </w:rPr>
        <w:t xml:space="preserve">, during a special session on 4 April 2018, would discuss options to operationalize the electronic “Contract for the International Carriage of Goods by Road” (e-CMR) </w:t>
      </w:r>
      <w:r w:rsidR="005437D3">
        <w:t xml:space="preserve">including the development of a common central platform and alternative solutions. He </w:t>
      </w:r>
      <w:r w:rsidR="005437D3">
        <w:rPr>
          <w:iCs/>
        </w:rPr>
        <w:t xml:space="preserve">encouraged interested delegations to participate in </w:t>
      </w:r>
      <w:r w:rsidR="001E2CE9">
        <w:rPr>
          <w:iCs/>
        </w:rPr>
        <w:t xml:space="preserve">the </w:t>
      </w:r>
      <w:r w:rsidR="005437D3">
        <w:rPr>
          <w:iCs/>
        </w:rPr>
        <w:t xml:space="preserve">meeting. </w:t>
      </w:r>
    </w:p>
    <w:p w14:paraId="1ACAA391" w14:textId="064EA2A8" w:rsidR="005437D3" w:rsidRDefault="00114C40" w:rsidP="005437D3">
      <w:pPr>
        <w:pStyle w:val="SingleTxtG"/>
        <w:tabs>
          <w:tab w:val="left" w:pos="1701"/>
          <w:tab w:val="left" w:pos="3402"/>
        </w:tabs>
        <w:rPr>
          <w:iCs/>
        </w:rPr>
      </w:pPr>
      <w:r>
        <w:rPr>
          <w:iCs/>
        </w:rPr>
        <w:t>64</w:t>
      </w:r>
      <w:r w:rsidR="005437D3">
        <w:rPr>
          <w:iCs/>
        </w:rPr>
        <w:t>.</w:t>
      </w:r>
      <w:r w:rsidR="005437D3">
        <w:rPr>
          <w:iCs/>
        </w:rPr>
        <w:tab/>
        <w:t xml:space="preserve">It was also mentioned that there was work under way at European Union level </w:t>
      </w:r>
      <w:r w:rsidR="005437D3" w:rsidRPr="00FF5384">
        <w:rPr>
          <w:iCs/>
        </w:rPr>
        <w:t xml:space="preserve">to build a common vision and road map for </w:t>
      </w:r>
      <w:r w:rsidR="005437D3">
        <w:rPr>
          <w:iCs/>
        </w:rPr>
        <w:t xml:space="preserve">digital transport and logistics, within the framework of a group of experts (the “Digital Transport and Logistic Forum” (DTLF)) set up by the European Commission. </w:t>
      </w:r>
    </w:p>
    <w:p w14:paraId="6AF1BC28" w14:textId="16ED58E3" w:rsidR="005437D3" w:rsidRDefault="00114C40" w:rsidP="005437D3">
      <w:pPr>
        <w:pStyle w:val="SingleTxtG"/>
        <w:tabs>
          <w:tab w:val="left" w:pos="1701"/>
          <w:tab w:val="left" w:pos="3402"/>
        </w:tabs>
        <w:rPr>
          <w:iCs/>
        </w:rPr>
      </w:pPr>
      <w:r>
        <w:rPr>
          <w:iCs/>
        </w:rPr>
        <w:t>65</w:t>
      </w:r>
      <w:r w:rsidR="005437D3">
        <w:rPr>
          <w:iCs/>
        </w:rPr>
        <w:t>.</w:t>
      </w:r>
      <w:r w:rsidR="005437D3">
        <w:rPr>
          <w:iCs/>
        </w:rPr>
        <w:tab/>
        <w:t xml:space="preserve">It was pointed out however, that these bodies were dealing with </w:t>
      </w:r>
      <w:r w:rsidR="006F698E">
        <w:rPr>
          <w:iCs/>
        </w:rPr>
        <w:t xml:space="preserve">digitalisation of </w:t>
      </w:r>
      <w:r w:rsidR="005437D3">
        <w:rPr>
          <w:iCs/>
        </w:rPr>
        <w:t>transport documents to facilitate trade operations and logistics</w:t>
      </w:r>
      <w:r w:rsidR="005437D3" w:rsidRPr="001A125E">
        <w:rPr>
          <w:iCs/>
        </w:rPr>
        <w:t xml:space="preserve"> </w:t>
      </w:r>
      <w:r w:rsidR="006F698E">
        <w:rPr>
          <w:iCs/>
        </w:rPr>
        <w:t>between stakeholders</w:t>
      </w:r>
      <w:r w:rsidR="005437D3">
        <w:rPr>
          <w:iCs/>
        </w:rPr>
        <w:t xml:space="preserve">, while the Joint Meeting informal working group on telematics was addressing the development of a system under the purview of RID/ADR/ADN regulatory framework defining information that would </w:t>
      </w:r>
      <w:r w:rsidR="001E2CE9">
        <w:rPr>
          <w:iCs/>
        </w:rPr>
        <w:t xml:space="preserve">also </w:t>
      </w:r>
      <w:r w:rsidR="005437D3">
        <w:rPr>
          <w:iCs/>
        </w:rPr>
        <w:t xml:space="preserve">be useful </w:t>
      </w:r>
      <w:r w:rsidR="006F698E">
        <w:rPr>
          <w:iCs/>
        </w:rPr>
        <w:t xml:space="preserve">for </w:t>
      </w:r>
      <w:r w:rsidR="005437D3">
        <w:rPr>
          <w:iCs/>
        </w:rPr>
        <w:t xml:space="preserve">authorities, and would allow them to take appropriate actions under their responsibility (e.g.: inspections, emergency response, traffic organisation, etc). </w:t>
      </w:r>
    </w:p>
    <w:p w14:paraId="56CC2A24" w14:textId="36EFA462" w:rsidR="005437D3" w:rsidRDefault="00114C40" w:rsidP="005437D3">
      <w:pPr>
        <w:pStyle w:val="SingleTxtG"/>
        <w:tabs>
          <w:tab w:val="left" w:pos="1701"/>
          <w:tab w:val="left" w:pos="3402"/>
        </w:tabs>
        <w:rPr>
          <w:iCs/>
        </w:rPr>
      </w:pPr>
      <w:r>
        <w:rPr>
          <w:iCs/>
        </w:rPr>
        <w:t>66</w:t>
      </w:r>
      <w:r w:rsidR="005437D3">
        <w:rPr>
          <w:iCs/>
        </w:rPr>
        <w:t>.</w:t>
      </w:r>
      <w:r w:rsidR="005437D3">
        <w:rPr>
          <w:iCs/>
        </w:rPr>
        <w:tab/>
        <w:t>The Joint Meeting considered that it would be desirable to exchange information about the activities carried out by these bodies, to ensure there was no overlapping or contradicting outcomes</w:t>
      </w:r>
      <w:r w:rsidR="00B64E23">
        <w:rPr>
          <w:iCs/>
        </w:rPr>
        <w:t>. It</w:t>
      </w:r>
      <w:r w:rsidR="005437D3">
        <w:rPr>
          <w:iCs/>
        </w:rPr>
        <w:t xml:space="preserve"> reiterated that the aim of its ongoing work on telematics was to develop a system that would cover aspects not currently addressed by other initiatives. The representative of the European Union indicated that he would </w:t>
      </w:r>
      <w:r w:rsidR="0086110C">
        <w:rPr>
          <w:iCs/>
        </w:rPr>
        <w:t>participate</w:t>
      </w:r>
      <w:r w:rsidR="005437D3">
        <w:rPr>
          <w:iCs/>
        </w:rPr>
        <w:t xml:space="preserve"> in the next meeting of the DTLF on 21</w:t>
      </w:r>
      <w:r w:rsidR="0000340E">
        <w:rPr>
          <w:iCs/>
        </w:rPr>
        <w:t xml:space="preserve"> and </w:t>
      </w:r>
      <w:r w:rsidR="005437D3">
        <w:rPr>
          <w:iCs/>
        </w:rPr>
        <w:t>22 March and would explore the possibility to participate in the next meeting of the Joint Meeting informal working group on telematics in London on 4</w:t>
      </w:r>
      <w:r w:rsidR="0000340E">
        <w:rPr>
          <w:iCs/>
        </w:rPr>
        <w:t xml:space="preserve"> and </w:t>
      </w:r>
      <w:r w:rsidR="005437D3">
        <w:rPr>
          <w:iCs/>
        </w:rPr>
        <w:t xml:space="preserve">5 June and provide information about DTLF activities.  </w:t>
      </w:r>
    </w:p>
    <w:p w14:paraId="5C06180B" w14:textId="77777777" w:rsidR="005437D3" w:rsidRDefault="005437D3" w:rsidP="005437D3">
      <w:pPr>
        <w:pStyle w:val="H1G"/>
      </w:pPr>
      <w:r>
        <w:lastRenderedPageBreak/>
        <w:tab/>
        <w:t>D.</w:t>
      </w:r>
      <w:r>
        <w:tab/>
      </w:r>
      <w:r w:rsidRPr="009239D5">
        <w:t>Report of the informal working group on the reduction of the risk of a BLEVE during transport of dangerous goods</w:t>
      </w:r>
      <w:r>
        <w:t xml:space="preserve"> </w:t>
      </w:r>
    </w:p>
    <w:p w14:paraId="70D54937" w14:textId="77777777" w:rsidR="005437D3" w:rsidRDefault="005437D3" w:rsidP="005437D3">
      <w:pPr>
        <w:pStyle w:val="SingleTxtG"/>
        <w:tabs>
          <w:tab w:val="left" w:pos="3402"/>
        </w:tabs>
      </w:pPr>
      <w:r w:rsidRPr="009239D5">
        <w:rPr>
          <w:i/>
        </w:rPr>
        <w:t>Informal document:</w:t>
      </w:r>
      <w:r w:rsidRPr="009239D5">
        <w:tab/>
        <w:t xml:space="preserve">INF.23 (Spain) </w:t>
      </w:r>
    </w:p>
    <w:p w14:paraId="4166C069" w14:textId="3DF2D7A8" w:rsidR="005437D3" w:rsidRPr="003A7004" w:rsidRDefault="00826275" w:rsidP="005437D3">
      <w:pPr>
        <w:pStyle w:val="SingleTxtG"/>
      </w:pPr>
      <w:r>
        <w:t>67</w:t>
      </w:r>
      <w:r w:rsidR="005437D3" w:rsidRPr="003A7004">
        <w:t>.</w:t>
      </w:r>
      <w:r w:rsidR="005437D3" w:rsidRPr="003A7004">
        <w:tab/>
        <w:t xml:space="preserve">The Joint Meeting took note of the report and agreed on the continuation of the work as described in paragraphs 7 to 10 of the informal document. </w:t>
      </w:r>
    </w:p>
    <w:p w14:paraId="1DF058AF" w14:textId="28482000" w:rsidR="005437D3" w:rsidRPr="003A7004" w:rsidRDefault="00826275" w:rsidP="005437D3">
      <w:pPr>
        <w:pStyle w:val="SingleTxtG"/>
      </w:pPr>
      <w:r>
        <w:t>68</w:t>
      </w:r>
      <w:r w:rsidR="005437D3" w:rsidRPr="003A7004">
        <w:t>.</w:t>
      </w:r>
      <w:r w:rsidR="005437D3" w:rsidRPr="003A7004">
        <w:tab/>
        <w:t xml:space="preserve">It was noted that </w:t>
      </w:r>
      <w:r w:rsidR="008468E4">
        <w:t>the French National Institute for Industrial Environment and Risks (</w:t>
      </w:r>
      <w:r w:rsidR="005437D3" w:rsidRPr="003A7004">
        <w:t>INERIS</w:t>
      </w:r>
      <w:r w:rsidR="008468E4">
        <w:t>)</w:t>
      </w:r>
      <w:r w:rsidR="005437D3" w:rsidRPr="003A7004">
        <w:t xml:space="preserve"> expected to address in 2018 modelling of the three first scenarios listed in paragraph 3; fires involving additional substances (a gas and a liquid) and the effects of damage and local protection. Additional work could be undertaken subject to budget availability.</w:t>
      </w:r>
    </w:p>
    <w:p w14:paraId="6164504F" w14:textId="2934CCE3" w:rsidR="005437D3" w:rsidRDefault="00AC5C57" w:rsidP="005437D3">
      <w:pPr>
        <w:pStyle w:val="HChG"/>
      </w:pPr>
      <w:r>
        <w:tab/>
      </w:r>
      <w:r w:rsidR="005437D3" w:rsidRPr="007650F3">
        <w:t>VIII.</w:t>
      </w:r>
      <w:r w:rsidR="005437D3" w:rsidRPr="007650F3">
        <w:tab/>
        <w:t>Accidents and risk management (agenda item 7)</w:t>
      </w:r>
    </w:p>
    <w:p w14:paraId="6069C8A1" w14:textId="77777777" w:rsidR="005437D3" w:rsidRDefault="005437D3" w:rsidP="005437D3">
      <w:pPr>
        <w:pStyle w:val="H1G"/>
      </w:pPr>
      <w:r>
        <w:tab/>
        <w:t>A.</w:t>
      </w:r>
      <w:r>
        <w:tab/>
        <w:t>Second p</w:t>
      </w:r>
      <w:r w:rsidRPr="009C26F2">
        <w:t xml:space="preserve">hase activities of the TDG Roadmap </w:t>
      </w:r>
    </w:p>
    <w:p w14:paraId="5542B1D6" w14:textId="15F2A726" w:rsidR="005437D3" w:rsidRDefault="005437D3" w:rsidP="005437D3">
      <w:pPr>
        <w:ind w:left="414" w:firstLine="720"/>
      </w:pPr>
      <w:r w:rsidRPr="004010CC">
        <w:rPr>
          <w:i/>
        </w:rPr>
        <w:t>Informal document</w:t>
      </w:r>
      <w:r>
        <w:rPr>
          <w:i/>
        </w:rPr>
        <w:t xml:space="preserve">: </w:t>
      </w:r>
      <w:r w:rsidR="00BC7C73">
        <w:rPr>
          <w:i/>
        </w:rPr>
        <w:tab/>
      </w:r>
      <w:r>
        <w:rPr>
          <w:i/>
        </w:rPr>
        <w:tab/>
      </w:r>
      <w:r w:rsidRPr="009C26F2">
        <w:t xml:space="preserve">INF.27 (ERA) </w:t>
      </w:r>
    </w:p>
    <w:p w14:paraId="7AAD476A" w14:textId="4824274C" w:rsidR="005437D3" w:rsidRDefault="00826275" w:rsidP="005437D3">
      <w:pPr>
        <w:pStyle w:val="SingleTxtG"/>
        <w:tabs>
          <w:tab w:val="left" w:pos="1701"/>
          <w:tab w:val="left" w:pos="3402"/>
        </w:tabs>
        <w:spacing w:before="120"/>
      </w:pPr>
      <w:r>
        <w:t>69</w:t>
      </w:r>
      <w:r w:rsidR="005437D3" w:rsidRPr="009D0070">
        <w:t>.</w:t>
      </w:r>
      <w:r w:rsidR="005437D3" w:rsidRPr="009D0070">
        <w:tab/>
        <w:t xml:space="preserve">The representative of ERA informed the Joint Meeting that the first edition of the </w:t>
      </w:r>
      <w:r w:rsidR="006F698E" w:rsidRPr="009D0070">
        <w:t xml:space="preserve">framework </w:t>
      </w:r>
      <w:r w:rsidR="005437D3" w:rsidRPr="009D0070">
        <w:t xml:space="preserve">guides on </w:t>
      </w:r>
      <w:r w:rsidR="006F698E" w:rsidRPr="009D0070">
        <w:t xml:space="preserve">inland transport of dangerous goods </w:t>
      </w:r>
      <w:r w:rsidR="005437D3" w:rsidRPr="009D0070">
        <w:t xml:space="preserve">risk </w:t>
      </w:r>
      <w:r w:rsidR="003B6AA8" w:rsidRPr="009D0070">
        <w:t>management</w:t>
      </w:r>
      <w:r w:rsidR="005437D3" w:rsidRPr="009D0070">
        <w:t xml:space="preserve"> had been finalised </w:t>
      </w:r>
      <w:r w:rsidR="006F698E" w:rsidRPr="009D0070">
        <w:t xml:space="preserve">and made available </w:t>
      </w:r>
      <w:r w:rsidR="005437D3" w:rsidRPr="009D0070">
        <w:t xml:space="preserve">and </w:t>
      </w:r>
      <w:r w:rsidR="0086110C" w:rsidRPr="006C19BA">
        <w:t xml:space="preserve">that </w:t>
      </w:r>
      <w:r w:rsidR="00447CB4" w:rsidRPr="006C19BA">
        <w:t>it</w:t>
      </w:r>
      <w:r w:rsidR="0086110C" w:rsidRPr="006C19BA">
        <w:t xml:space="preserve"> </w:t>
      </w:r>
      <w:r w:rsidR="005437D3" w:rsidRPr="009D0070">
        <w:t xml:space="preserve">would be </w:t>
      </w:r>
      <w:r w:rsidR="0086110C" w:rsidRPr="006C19BA">
        <w:t xml:space="preserve">published </w:t>
      </w:r>
      <w:r w:rsidR="005437D3" w:rsidRPr="009D0070">
        <w:t>soon on the ERA website, pending the release of a dedicated website.</w:t>
      </w:r>
      <w:r w:rsidR="005437D3">
        <w:t xml:space="preserve"> </w:t>
      </w:r>
    </w:p>
    <w:p w14:paraId="6499A431" w14:textId="7AAC0F7F" w:rsidR="005437D3" w:rsidRDefault="00826275" w:rsidP="005437D3">
      <w:pPr>
        <w:pStyle w:val="SingleTxtG"/>
      </w:pPr>
      <w:r>
        <w:t>70</w:t>
      </w:r>
      <w:r w:rsidR="005437D3">
        <w:t>.</w:t>
      </w:r>
      <w:r w:rsidR="005437D3">
        <w:tab/>
        <w:t xml:space="preserve">The representatives of Spain and the United Kingdom pointed out that in their view, further work was needed before the guides could be </w:t>
      </w:r>
      <w:r w:rsidR="006F698E">
        <w:t>applied</w:t>
      </w:r>
      <w:r w:rsidR="005437D3">
        <w:t>. They considered that in its current state of development, the proposed methodology was unable to provide reliable results, since there was not enough data available for all parameters and it was difficult to understand and use. Others indicated that as the document by ERA had been submitted late, they had not had time to conduct the necessary consultations at national level to provide comments at this session.</w:t>
      </w:r>
      <w:r w:rsidR="006F698E">
        <w:t xml:space="preserve"> They underlined the necessity to have the guides in their own language.</w:t>
      </w:r>
    </w:p>
    <w:p w14:paraId="753CE136" w14:textId="47E482C9" w:rsidR="005437D3" w:rsidRDefault="00826275" w:rsidP="005437D3">
      <w:pPr>
        <w:pStyle w:val="SingleTxtG"/>
      </w:pPr>
      <w:r>
        <w:t>71</w:t>
      </w:r>
      <w:r w:rsidR="005437D3">
        <w:t>.</w:t>
      </w:r>
      <w:r w:rsidR="005437D3">
        <w:tab/>
        <w:t>While acknowledging the concerns raised by Spain and the United Kingdom</w:t>
      </w:r>
      <w:r w:rsidR="006F698E">
        <w:t xml:space="preserve"> on the limited available data</w:t>
      </w:r>
      <w:r w:rsidR="005437D3">
        <w:t xml:space="preserve">, the representative of ERA explained that </w:t>
      </w:r>
      <w:r w:rsidR="00067B61">
        <w:t xml:space="preserve">this concern could partially </w:t>
      </w:r>
      <w:r w:rsidR="005437D3">
        <w:t xml:space="preserve">be addressed using reference data. He indicated that France and Switzerland had already provided reference data for some parameters that could be used to increase the quality and reliability of the results and improve the methodology at a later stage. He encouraged other countries to provide datasets that could be used as reference values. He explained that the guides provided a framework and a methodology and that they would be revised in the future to take </w:t>
      </w:r>
      <w:r w:rsidR="0008582F">
        <w:t xml:space="preserve">into </w:t>
      </w:r>
      <w:r w:rsidR="005437D3">
        <w:t xml:space="preserve">account the experience gained with their implementation, the improvement of data collection and feedback from users. </w:t>
      </w:r>
    </w:p>
    <w:p w14:paraId="3B98C6A9" w14:textId="7B28F648" w:rsidR="005437D3" w:rsidRDefault="00826275" w:rsidP="005437D3">
      <w:pPr>
        <w:pStyle w:val="SingleTxtG"/>
      </w:pPr>
      <w:r>
        <w:t>72</w:t>
      </w:r>
      <w:r w:rsidR="005437D3">
        <w:t>.</w:t>
      </w:r>
      <w:r w:rsidR="005437D3">
        <w:tab/>
        <w:t xml:space="preserve">The Joint Meeting invited the representative of ERA to submit the guides and all related information as official documents for the autumn session. This would allow delegations enough time to study them in detail and conduct the necessary consultations at national level to be able to communicate their national positions on this </w:t>
      </w:r>
      <w:r w:rsidR="00067B61">
        <w:t xml:space="preserve">matter </w:t>
      </w:r>
      <w:r w:rsidR="005437D3">
        <w:t xml:space="preserve">during the session. The representative of ERA volunteered to give a detailed presentation on the guides </w:t>
      </w:r>
      <w:r w:rsidR="00B64E23">
        <w:t xml:space="preserve">at the </w:t>
      </w:r>
      <w:r w:rsidR="00D207D2">
        <w:t>a</w:t>
      </w:r>
      <w:r w:rsidR="00B64E23">
        <w:t xml:space="preserve">utumn </w:t>
      </w:r>
      <w:r w:rsidR="005437D3">
        <w:t>session</w:t>
      </w:r>
      <w:r w:rsidR="00D207D2">
        <w:t xml:space="preserve"> </w:t>
      </w:r>
      <w:r w:rsidR="005437D3">
        <w:t xml:space="preserve">to facilitate the discussions. </w:t>
      </w:r>
    </w:p>
    <w:p w14:paraId="6F0A068D" w14:textId="29589E7D" w:rsidR="005437D3" w:rsidRDefault="00826275" w:rsidP="005437D3">
      <w:pPr>
        <w:pStyle w:val="SingleTxtG"/>
      </w:pPr>
      <w:r>
        <w:t>73</w:t>
      </w:r>
      <w:r w:rsidR="005437D3">
        <w:t>.</w:t>
      </w:r>
      <w:r w:rsidR="005437D3">
        <w:tab/>
      </w:r>
      <w:r w:rsidR="00447CB4">
        <w:t>T</w:t>
      </w:r>
      <w:r w:rsidR="005437D3">
        <w:t xml:space="preserve">he Joint Meeting </w:t>
      </w:r>
      <w:r w:rsidR="00447CB4">
        <w:t xml:space="preserve">also </w:t>
      </w:r>
      <w:r w:rsidR="005437D3">
        <w:t xml:space="preserve">noted that ERA </w:t>
      </w:r>
      <w:r w:rsidR="00B64E23">
        <w:t>was</w:t>
      </w:r>
      <w:r w:rsidR="00067B61">
        <w:t xml:space="preserve"> setting </w:t>
      </w:r>
      <w:r w:rsidR="005437D3">
        <w:t xml:space="preserve">up a group of experts (Experts Users and Development Group” (EUDG)) that would be involved in the continuous improvement of the Risk Management framework for inland transport of dangerous goods. It was noted that the dates for the 2018 meetings and workshops of the group had already </w:t>
      </w:r>
      <w:r w:rsidR="005437D3">
        <w:lastRenderedPageBreak/>
        <w:t xml:space="preserve">been </w:t>
      </w:r>
      <w:r w:rsidR="00067B61">
        <w:t>e</w:t>
      </w:r>
      <w:r w:rsidR="005437D3">
        <w:t xml:space="preserve">stablished (see page 2 of informal document INF.27). The representative of ERA welcomed nominations of experts from all countries and organisations participating in the work of the Joint Meeting at any time, in particular those with experience in the following areas: occurrence reporting and transport statistics; risk estimation models (including physical and physiological models); decision-making processes (including acceptance criteria) and </w:t>
      </w:r>
      <w:r w:rsidR="005437D3" w:rsidRPr="00BB09E4">
        <w:t>Information and Communication Technology (ICT) developments</w:t>
      </w:r>
      <w:r w:rsidR="005437D3">
        <w:t xml:space="preserve">. </w:t>
      </w:r>
      <w:r w:rsidR="00067B61">
        <w:t>A n</w:t>
      </w:r>
      <w:r w:rsidR="005437D3">
        <w:t xml:space="preserve">omination form </w:t>
      </w:r>
      <w:r w:rsidR="00067B61">
        <w:t xml:space="preserve">is </w:t>
      </w:r>
      <w:r w:rsidR="005437D3">
        <w:t xml:space="preserve">available in Appendix </w:t>
      </w:r>
      <w:r w:rsidR="000A2EFE">
        <w:t>I</w:t>
      </w:r>
      <w:r w:rsidR="005437D3">
        <w:t xml:space="preserve">I to informal document INF.27. </w:t>
      </w:r>
    </w:p>
    <w:p w14:paraId="14B91150" w14:textId="77777777" w:rsidR="005437D3" w:rsidRDefault="005437D3" w:rsidP="005437D3">
      <w:pPr>
        <w:pStyle w:val="H1G"/>
      </w:pPr>
      <w:r>
        <w:tab/>
        <w:t>B.</w:t>
      </w:r>
      <w:r>
        <w:tab/>
        <w:t>Improvement of reporting systems</w:t>
      </w:r>
      <w:r w:rsidRPr="009C26F2">
        <w:t xml:space="preserve"> </w:t>
      </w:r>
      <w:r>
        <w:t>on inland transport of dangerous goods occurrences</w:t>
      </w:r>
    </w:p>
    <w:p w14:paraId="1AD9EBA1" w14:textId="1D691B8C" w:rsidR="005437D3" w:rsidRDefault="005437D3" w:rsidP="005437D3">
      <w:pPr>
        <w:ind w:left="414" w:firstLine="720"/>
      </w:pPr>
      <w:r w:rsidRPr="004010CC">
        <w:rPr>
          <w:i/>
        </w:rPr>
        <w:t>Informal document</w:t>
      </w:r>
      <w:r>
        <w:rPr>
          <w:i/>
        </w:rPr>
        <w:t xml:space="preserve">s: </w:t>
      </w:r>
      <w:r>
        <w:rPr>
          <w:i/>
        </w:rPr>
        <w:tab/>
      </w:r>
      <w:r>
        <w:t>INF.26</w:t>
      </w:r>
      <w:r w:rsidRPr="009C26F2">
        <w:t xml:space="preserve"> (ERA)</w:t>
      </w:r>
    </w:p>
    <w:p w14:paraId="3531307E" w14:textId="77777777" w:rsidR="005437D3" w:rsidRDefault="005437D3" w:rsidP="006C19BA">
      <w:pPr>
        <w:spacing w:after="120"/>
        <w:ind w:left="3402" w:hanging="3402"/>
      </w:pPr>
      <w:r>
        <w:rPr>
          <w:i/>
        </w:rPr>
        <w:tab/>
      </w:r>
      <w:r>
        <w:t>INF.42 (France)</w:t>
      </w:r>
      <w:r w:rsidRPr="009C26F2">
        <w:t xml:space="preserve"> </w:t>
      </w:r>
    </w:p>
    <w:p w14:paraId="3B1E23AC" w14:textId="5EF43869" w:rsidR="005437D3" w:rsidRPr="009D0070" w:rsidRDefault="00826275" w:rsidP="005072DC">
      <w:pPr>
        <w:pStyle w:val="SingleTxtG"/>
        <w:tabs>
          <w:tab w:val="left" w:pos="1701"/>
        </w:tabs>
      </w:pPr>
      <w:r>
        <w:t>74</w:t>
      </w:r>
      <w:r w:rsidR="005437D3" w:rsidRPr="009D0070">
        <w:t>.</w:t>
      </w:r>
      <w:r w:rsidR="005437D3" w:rsidRPr="009D0070">
        <w:tab/>
        <w:t xml:space="preserve">The Joint Meeting took note of the information presented in the document by ERA on the list of parameters to be used in the harmonized risk estimation method and on the proposal for the development of a Railway Common Occurrence Reporting (COR) System. The representative of ERA explained that the COR document was at this stage, a concept document </w:t>
      </w:r>
      <w:r w:rsidR="009C2F2D" w:rsidRPr="009D0070">
        <w:t xml:space="preserve">which </w:t>
      </w:r>
      <w:r w:rsidR="00447CB4" w:rsidRPr="009D0070">
        <w:t>would</w:t>
      </w:r>
      <w:r w:rsidR="009C2F2D" w:rsidRPr="009D0070">
        <w:t xml:space="preserve"> be used to develop a common safety method</w:t>
      </w:r>
      <w:r w:rsidR="005437D3" w:rsidRPr="009D0070">
        <w:t xml:space="preserve">. </w:t>
      </w:r>
    </w:p>
    <w:p w14:paraId="0E4B456B" w14:textId="28F0841A" w:rsidR="005437D3" w:rsidRPr="009D0070" w:rsidRDefault="00826275" w:rsidP="005072DC">
      <w:pPr>
        <w:pStyle w:val="SingleTxtG"/>
        <w:tabs>
          <w:tab w:val="left" w:pos="1701"/>
        </w:tabs>
      </w:pPr>
      <w:r>
        <w:t>75</w:t>
      </w:r>
      <w:r w:rsidR="005437D3" w:rsidRPr="009D0070">
        <w:t>.</w:t>
      </w:r>
      <w:r w:rsidR="005437D3" w:rsidRPr="009D0070">
        <w:tab/>
      </w:r>
      <w:r w:rsidR="0008582F" w:rsidRPr="009D0070">
        <w:t>T</w:t>
      </w:r>
      <w:r w:rsidR="009C2F2D" w:rsidRPr="009D0070">
        <w:t xml:space="preserve">he representative of </w:t>
      </w:r>
      <w:r w:rsidR="005437D3" w:rsidRPr="009D0070">
        <w:t xml:space="preserve">ERA </w:t>
      </w:r>
      <w:r w:rsidR="009C2F2D" w:rsidRPr="009D0070">
        <w:t>indicated that</w:t>
      </w:r>
      <w:r w:rsidR="00447CB4" w:rsidRPr="006C19BA">
        <w:t xml:space="preserve"> </w:t>
      </w:r>
      <w:r w:rsidR="005437D3" w:rsidRPr="009D0070">
        <w:t>this work</w:t>
      </w:r>
      <w:r w:rsidR="009C2F2D" w:rsidRPr="009D0070">
        <w:t xml:space="preserve"> should be coordinated with the work of the Joint Meeting on section 1.8.5 of RID/ADR/ADN</w:t>
      </w:r>
      <w:r w:rsidR="005437D3" w:rsidRPr="009D0070">
        <w:t xml:space="preserve">. He pointed out that in case the Joint Meeting decided not to </w:t>
      </w:r>
      <w:r w:rsidR="009C2F2D" w:rsidRPr="009D0070">
        <w:t>take this opportunity</w:t>
      </w:r>
      <w:r w:rsidR="005437D3" w:rsidRPr="009D0070">
        <w:t>, ERA would have to develop its own system for the European railway sector, which may or may not be fully aligned with the provisions in 1.8.5.</w:t>
      </w:r>
    </w:p>
    <w:p w14:paraId="78B2DBBB" w14:textId="19D9627C" w:rsidR="005437D3" w:rsidRPr="009D0070" w:rsidRDefault="00826275" w:rsidP="006C19BA">
      <w:pPr>
        <w:pStyle w:val="SingleTxtG"/>
        <w:tabs>
          <w:tab w:val="left" w:pos="1701"/>
        </w:tabs>
      </w:pPr>
      <w:r>
        <w:t>76</w:t>
      </w:r>
      <w:r w:rsidR="005437D3" w:rsidRPr="009D0070">
        <w:t>.</w:t>
      </w:r>
      <w:r w:rsidR="005437D3" w:rsidRPr="009D0070">
        <w:tab/>
        <w:t>As regards data collection, some delegations expressed concern about the availability of some of the parameters listed in Appendix I of informal document INF.26. They indicated that primary statistics on some parameters (e.g. type and amount of dangerous goods carried, types of vehicles used, etc.) were not always available at national level, and therefore it would be impossible for some countries to provide such detailed data. Others indicated that, based on experience, it was not always easy to collect additional data after an accident or incident. Some others indicated that it would be necessary to examine how the current provisions of section 1.8.5 were implemented in different countries to get an overview of the current situation and challenges.</w:t>
      </w:r>
    </w:p>
    <w:p w14:paraId="4411BAFE" w14:textId="107A17A0" w:rsidR="009C2F2D" w:rsidRPr="009D0070" w:rsidRDefault="00826275" w:rsidP="006C19BA">
      <w:pPr>
        <w:pStyle w:val="SingleTxtG"/>
        <w:tabs>
          <w:tab w:val="left" w:pos="1701"/>
        </w:tabs>
      </w:pPr>
      <w:r>
        <w:t>77</w:t>
      </w:r>
      <w:r w:rsidR="009C2F2D" w:rsidRPr="009D0070">
        <w:t>.</w:t>
      </w:r>
      <w:r w:rsidR="009C2F2D" w:rsidRPr="009D0070">
        <w:tab/>
      </w:r>
      <w:r w:rsidR="00B64E23" w:rsidRPr="009D0070">
        <w:t xml:space="preserve">It </w:t>
      </w:r>
      <w:r w:rsidR="009C2F2D" w:rsidRPr="009D0070">
        <w:t>was recalled</w:t>
      </w:r>
      <w:r w:rsidR="00447CB4" w:rsidRPr="006C19BA">
        <w:t>,</w:t>
      </w:r>
      <w:r w:rsidR="00B64E23" w:rsidRPr="009D0070">
        <w:t xml:space="preserve"> however</w:t>
      </w:r>
      <w:r w:rsidR="00447CB4" w:rsidRPr="006C19BA">
        <w:t>,</w:t>
      </w:r>
      <w:r w:rsidR="009C2F2D" w:rsidRPr="009D0070">
        <w:t xml:space="preserve"> that the collection of accident data </w:t>
      </w:r>
      <w:r w:rsidR="004B1672" w:rsidRPr="006C19BA">
        <w:t>was</w:t>
      </w:r>
      <w:r w:rsidR="009C2F2D" w:rsidRPr="009D0070">
        <w:t xml:space="preserve"> successfully done in some countries and that work on accident reporting ha</w:t>
      </w:r>
      <w:r w:rsidR="00B64E23" w:rsidRPr="009D0070">
        <w:t>d</w:t>
      </w:r>
      <w:r w:rsidR="009C2F2D" w:rsidRPr="009D0070">
        <w:t xml:space="preserve"> already been envisaged </w:t>
      </w:r>
      <w:r w:rsidR="00B64E23" w:rsidRPr="009D0070">
        <w:t>at</w:t>
      </w:r>
      <w:r w:rsidR="009C2F2D" w:rsidRPr="009D0070">
        <w:t xml:space="preserve"> previous sessions of the Joint Meeting once the ERA workshop</w:t>
      </w:r>
      <w:r w:rsidR="00447CB4" w:rsidRPr="006C19BA">
        <w:t>s</w:t>
      </w:r>
      <w:r w:rsidR="009C2F2D" w:rsidRPr="009D0070">
        <w:t xml:space="preserve"> </w:t>
      </w:r>
      <w:r w:rsidR="00447CB4" w:rsidRPr="006C19BA">
        <w:t xml:space="preserve">had </w:t>
      </w:r>
      <w:r w:rsidR="009C2F2D" w:rsidRPr="009D0070">
        <w:t>provided the list of useful data</w:t>
      </w:r>
      <w:r w:rsidR="00447CB4" w:rsidRPr="006C19BA">
        <w:t xml:space="preserve"> (see ECE/TRANS/WP.15/AC.1/136, paragraph 61, ECE/TRANS/WP.15/AC.1/138, paragraphs 59 and 60 and ECE/TRANS/WP.15/AC.1/140, paragraphs 86 to 90)</w:t>
      </w:r>
      <w:r w:rsidR="005F5232" w:rsidRPr="009D0070">
        <w:t xml:space="preserve">. It was noted </w:t>
      </w:r>
      <w:r w:rsidR="009C2F2D" w:rsidRPr="009D0070">
        <w:t xml:space="preserve">that in relation with </w:t>
      </w:r>
      <w:r w:rsidR="004B1672" w:rsidRPr="006C19BA">
        <w:t xml:space="preserve">the </w:t>
      </w:r>
      <w:r w:rsidR="009C2F2D" w:rsidRPr="009D0070">
        <w:t xml:space="preserve">COR </w:t>
      </w:r>
      <w:r w:rsidR="004B1672" w:rsidRPr="006C19BA">
        <w:t xml:space="preserve">system </w:t>
      </w:r>
      <w:r w:rsidR="009C2F2D" w:rsidRPr="009D0070">
        <w:t>there was a unique opportunity that should not be missed.</w:t>
      </w:r>
    </w:p>
    <w:p w14:paraId="00A4882D" w14:textId="36E9072E" w:rsidR="005437D3" w:rsidRDefault="00826275" w:rsidP="006C19BA">
      <w:pPr>
        <w:pStyle w:val="SingleTxtG"/>
        <w:tabs>
          <w:tab w:val="left" w:pos="1701"/>
        </w:tabs>
      </w:pPr>
      <w:r>
        <w:t>78</w:t>
      </w:r>
      <w:r w:rsidR="005437D3" w:rsidRPr="009D0070">
        <w:t>.</w:t>
      </w:r>
      <w:r w:rsidR="005437D3" w:rsidRPr="009D0070">
        <w:tab/>
        <w:t>After an exchange of views, the Joint Meeting suggested that, as a first step,</w:t>
      </w:r>
      <w:r w:rsidR="005437D3">
        <w:t xml:space="preserve"> countries should explore the type of data and statistics currently available at national and regional level (e.g. data collected at European Union level). </w:t>
      </w:r>
    </w:p>
    <w:p w14:paraId="4308E7E9" w14:textId="3BD223DE" w:rsidR="005437D3" w:rsidRDefault="00826275" w:rsidP="006C19BA">
      <w:pPr>
        <w:pStyle w:val="SingleTxtG"/>
        <w:tabs>
          <w:tab w:val="left" w:pos="1701"/>
        </w:tabs>
      </w:pPr>
      <w:r>
        <w:t>79</w:t>
      </w:r>
      <w:r w:rsidR="005437D3">
        <w:t>.</w:t>
      </w:r>
      <w:r w:rsidR="005437D3">
        <w:tab/>
        <w:t xml:space="preserve">Concerning the </w:t>
      </w:r>
      <w:r w:rsidR="005437D3" w:rsidRPr="001357FA">
        <w:t>proposal in informal document INF.42</w:t>
      </w:r>
      <w:r w:rsidR="005437D3">
        <w:t>, there was some support for the establishment of an informal working group. The Joint Meeting invited the representative of France to submit an official proposal for the autumn session. Delegations were invited to provide comments on the proposed terms of reference listed under paragraph</w:t>
      </w:r>
      <w:r>
        <w:t> </w:t>
      </w:r>
      <w:r w:rsidR="005437D3">
        <w:t xml:space="preserve">5 of the </w:t>
      </w:r>
      <w:r w:rsidR="004B1672">
        <w:t xml:space="preserve">informal </w:t>
      </w:r>
      <w:r w:rsidR="005437D3">
        <w:t>document</w:t>
      </w:r>
      <w:r w:rsidR="005437D3" w:rsidRPr="00C40AAF">
        <w:t xml:space="preserve"> </w:t>
      </w:r>
      <w:r w:rsidR="005437D3">
        <w:t>to the representative of France before 1 June</w:t>
      </w:r>
      <w:r w:rsidR="009C2F2D">
        <w:t xml:space="preserve"> 2018</w:t>
      </w:r>
      <w:r w:rsidR="005437D3">
        <w:t>.</w:t>
      </w:r>
    </w:p>
    <w:p w14:paraId="1C457B9B" w14:textId="5308A1A9" w:rsidR="00045E85" w:rsidRDefault="00AC5C57" w:rsidP="00045E85">
      <w:pPr>
        <w:pStyle w:val="HChG"/>
      </w:pPr>
      <w:r>
        <w:lastRenderedPageBreak/>
        <w:tab/>
      </w:r>
      <w:r w:rsidR="00045E85">
        <w:t>IX</w:t>
      </w:r>
      <w:r w:rsidR="00045E85" w:rsidRPr="007650F3">
        <w:t>.</w:t>
      </w:r>
      <w:r w:rsidR="00045E85" w:rsidRPr="007650F3">
        <w:tab/>
      </w:r>
      <w:r w:rsidR="00045E85">
        <w:t>Future work</w:t>
      </w:r>
      <w:r w:rsidR="00045E85" w:rsidRPr="007650F3">
        <w:t xml:space="preserve"> (agenda item </w:t>
      </w:r>
      <w:r w:rsidR="00045E85">
        <w:t>8</w:t>
      </w:r>
      <w:r w:rsidR="00045E85" w:rsidRPr="007650F3">
        <w:t>)</w:t>
      </w:r>
    </w:p>
    <w:p w14:paraId="30A3A2C8" w14:textId="07B6C2C2" w:rsidR="00045E85" w:rsidRPr="003A7004" w:rsidRDefault="00826275" w:rsidP="00045E85">
      <w:pPr>
        <w:pStyle w:val="SingleTxtG"/>
      </w:pPr>
      <w:r>
        <w:t>80</w:t>
      </w:r>
      <w:r w:rsidR="00045E85" w:rsidRPr="003A7004">
        <w:t>.</w:t>
      </w:r>
      <w:r w:rsidR="00045E85" w:rsidRPr="003A7004">
        <w:tab/>
        <w:t>The next session would be held in Geneva from 17 to 21 September 2018.</w:t>
      </w:r>
    </w:p>
    <w:p w14:paraId="458A9F9A" w14:textId="2D0123F7" w:rsidR="005437D3" w:rsidRDefault="00AC5C57" w:rsidP="005437D3">
      <w:pPr>
        <w:pStyle w:val="HChG"/>
      </w:pPr>
      <w:r>
        <w:tab/>
      </w:r>
      <w:r w:rsidR="005437D3" w:rsidRPr="00AC0DFA">
        <w:t>X.</w:t>
      </w:r>
      <w:r w:rsidR="005437D3" w:rsidRPr="00AC0DFA">
        <w:tab/>
        <w:t>Any other business (agenda item 9)</w:t>
      </w:r>
    </w:p>
    <w:p w14:paraId="7219B43A" w14:textId="3DD0558B" w:rsidR="005437D3" w:rsidRPr="00E11555" w:rsidRDefault="005437D3" w:rsidP="005437D3">
      <w:pPr>
        <w:pStyle w:val="H1G"/>
      </w:pPr>
      <w:r w:rsidRPr="00E11555">
        <w:tab/>
      </w:r>
      <w:r>
        <w:t>A.</w:t>
      </w:r>
      <w:r w:rsidRPr="00E11555">
        <w:tab/>
        <w:t>Filling of LPG cylinders by private individuals or enterprises for their own supply</w:t>
      </w:r>
    </w:p>
    <w:p w14:paraId="5F241ABE" w14:textId="77777777" w:rsidR="005437D3" w:rsidRPr="009C26F2" w:rsidRDefault="005437D3" w:rsidP="005437D3">
      <w:pPr>
        <w:pStyle w:val="SingleTxtG"/>
        <w:tabs>
          <w:tab w:val="left" w:pos="3402"/>
        </w:tabs>
      </w:pPr>
      <w:r w:rsidRPr="009239D5">
        <w:rPr>
          <w:i/>
          <w:iCs/>
        </w:rPr>
        <w:t>Document</w:t>
      </w:r>
      <w:r>
        <w:rPr>
          <w:i/>
          <w:iCs/>
        </w:rPr>
        <w:t>:</w:t>
      </w:r>
      <w:r>
        <w:rPr>
          <w:sz w:val="22"/>
          <w:szCs w:val="22"/>
        </w:rPr>
        <w:tab/>
      </w:r>
      <w:r w:rsidRPr="009C26F2">
        <w:t xml:space="preserve">ECE/TRANS/WP.15/AC.1/2018/4 (Switzerland) </w:t>
      </w:r>
    </w:p>
    <w:p w14:paraId="0722C6AA" w14:textId="77777777" w:rsidR="005437D3" w:rsidRDefault="005437D3" w:rsidP="005437D3">
      <w:pPr>
        <w:tabs>
          <w:tab w:val="left" w:pos="3402"/>
        </w:tabs>
        <w:ind w:left="414" w:firstLine="720"/>
      </w:pPr>
      <w:r w:rsidRPr="00E11555">
        <w:rPr>
          <w:i/>
        </w:rPr>
        <w:t xml:space="preserve">Informal document: </w:t>
      </w:r>
      <w:r w:rsidRPr="00E11555">
        <w:rPr>
          <w:i/>
        </w:rPr>
        <w:tab/>
      </w:r>
      <w:r w:rsidRPr="00E11555">
        <w:t>INF.38 (AEGPL)</w:t>
      </w:r>
    </w:p>
    <w:p w14:paraId="5C2C20DA" w14:textId="298B9280" w:rsidR="005437D3" w:rsidRDefault="00826275" w:rsidP="005437D3">
      <w:pPr>
        <w:pStyle w:val="SingleTxtG"/>
        <w:spacing w:before="120"/>
      </w:pPr>
      <w:r>
        <w:t>81</w:t>
      </w:r>
      <w:r w:rsidR="005437D3">
        <w:t>.</w:t>
      </w:r>
      <w:r w:rsidR="005437D3">
        <w:tab/>
      </w:r>
      <w:r w:rsidR="005437D3" w:rsidRPr="00F96616">
        <w:t xml:space="preserve">After discussion, the Joint Meeting considered that the exemption </w:t>
      </w:r>
      <w:r w:rsidR="00CC0793">
        <w:t xml:space="preserve">currently </w:t>
      </w:r>
      <w:r w:rsidR="005437D3" w:rsidRPr="00F96616">
        <w:t xml:space="preserve">provided </w:t>
      </w:r>
      <w:r w:rsidR="00CC0793">
        <w:t xml:space="preserve">for </w:t>
      </w:r>
      <w:r w:rsidR="005437D3" w:rsidRPr="00F96616">
        <w:t>under 1.1.3.</w:t>
      </w:r>
      <w:r w:rsidR="004B1672">
        <w:t>1</w:t>
      </w:r>
      <w:r w:rsidR="004B1672" w:rsidRPr="00F96616">
        <w:t> </w:t>
      </w:r>
      <w:r w:rsidR="005437D3" w:rsidRPr="00F96616">
        <w:t xml:space="preserve">(a) could be envisaged only on condition that goods were presented </w:t>
      </w:r>
      <w:r w:rsidR="004B1672">
        <w:t xml:space="preserve">for retail sale </w:t>
      </w:r>
      <w:r w:rsidR="005437D3" w:rsidRPr="00F96616">
        <w:t xml:space="preserve">in a containment system that guaranteed the absence of leakage. Considering that this condition was difficult to meet in the case of a gas being pumped into a cylinder by a private individual for its own use, while ensuring at the same time compliance with </w:t>
      </w:r>
      <w:r w:rsidR="004B1672">
        <w:t xml:space="preserve">the </w:t>
      </w:r>
      <w:r w:rsidR="005437D3" w:rsidRPr="00F96616">
        <w:t>provisions of packing instruction P200, the Joint Meeting concluded that a general exemption in accordance with 1.1.3.</w:t>
      </w:r>
      <w:r w:rsidR="00CC0793">
        <w:t>1</w:t>
      </w:r>
      <w:r w:rsidR="005437D3" w:rsidRPr="00F96616">
        <w:t xml:space="preserve"> (a) would not be justified. It was noted that this did not prevent national competent authorities to </w:t>
      </w:r>
      <w:r w:rsidR="00A40DDB">
        <w:t>allow self-filling</w:t>
      </w:r>
      <w:r w:rsidR="005437D3" w:rsidRPr="00F96616">
        <w:t xml:space="preserve"> at national level, in accordance with specific provisions addressing non-transport issues (e.g. safety of use) in other pieces of legislation.</w:t>
      </w:r>
      <w:r w:rsidR="004B1672">
        <w:t xml:space="preserve"> </w:t>
      </w:r>
    </w:p>
    <w:p w14:paraId="3111BCF3" w14:textId="6A800F31" w:rsidR="00A40DDB" w:rsidRPr="00F96616" w:rsidRDefault="00826275" w:rsidP="005437D3">
      <w:pPr>
        <w:pStyle w:val="SingleTxtG"/>
        <w:spacing w:before="120"/>
      </w:pPr>
      <w:r>
        <w:t>82</w:t>
      </w:r>
      <w:r w:rsidR="004B1672">
        <w:t>.</w:t>
      </w:r>
      <w:r w:rsidR="004B1672">
        <w:tab/>
      </w:r>
      <w:r w:rsidR="00A40DDB">
        <w:t xml:space="preserve">Some delegations considered </w:t>
      </w:r>
      <w:r w:rsidR="004B1672">
        <w:t xml:space="preserve">that </w:t>
      </w:r>
      <w:r w:rsidR="00A40DDB">
        <w:t xml:space="preserve">the exemption of 1.1.3.1 (a) applied only to carriage and not to filling. In their opinion </w:t>
      </w:r>
      <w:r w:rsidR="004B1672">
        <w:t xml:space="preserve">the </w:t>
      </w:r>
      <w:r w:rsidR="004B1672" w:rsidRPr="00F96616">
        <w:t>provisions of packing instruction</w:t>
      </w:r>
      <w:r w:rsidR="004B1672">
        <w:t xml:space="preserve"> </w:t>
      </w:r>
      <w:r w:rsidR="00A40DDB">
        <w:t>P200 would apply in any case.</w:t>
      </w:r>
    </w:p>
    <w:p w14:paraId="23F534C5" w14:textId="4C48CEC6" w:rsidR="005437D3" w:rsidRDefault="00826275" w:rsidP="005437D3">
      <w:pPr>
        <w:pStyle w:val="SingleTxtG"/>
      </w:pPr>
      <w:r>
        <w:t>83</w:t>
      </w:r>
      <w:r w:rsidR="005437D3">
        <w:t>.</w:t>
      </w:r>
      <w:r w:rsidR="005437D3">
        <w:tab/>
      </w:r>
      <w:r w:rsidR="005437D3" w:rsidRPr="00F96616">
        <w:t>The Joint Meeting indicated that if a proposal was developed to extend the applicability of 1.1.3.</w:t>
      </w:r>
      <w:r w:rsidR="00A40DDB">
        <w:t>1</w:t>
      </w:r>
      <w:r w:rsidR="005437D3" w:rsidRPr="00F96616">
        <w:t xml:space="preserve"> to the cases described in the document from Switzerland, it should include the technical conditions guaranteeing the same level of safety as those provided by packing instruction P200</w:t>
      </w:r>
      <w:r w:rsidR="005437D3">
        <w:t>.</w:t>
      </w:r>
    </w:p>
    <w:p w14:paraId="10F640C9" w14:textId="77777777" w:rsidR="005437D3" w:rsidRDefault="005437D3" w:rsidP="005437D3">
      <w:pPr>
        <w:pStyle w:val="H1G"/>
      </w:pPr>
      <w:r>
        <w:tab/>
        <w:t>B.</w:t>
      </w:r>
      <w:r>
        <w:tab/>
        <w:t>Tributes</w:t>
      </w:r>
    </w:p>
    <w:p w14:paraId="522022FB" w14:textId="203166C9" w:rsidR="005437D3" w:rsidRPr="00D37B93" w:rsidRDefault="00826275" w:rsidP="005437D3">
      <w:pPr>
        <w:pStyle w:val="SingleTxtG"/>
      </w:pPr>
      <w:r>
        <w:t>84</w:t>
      </w:r>
      <w:r w:rsidR="005437D3">
        <w:t>.</w:t>
      </w:r>
      <w:r w:rsidR="005437D3">
        <w:tab/>
        <w:t xml:space="preserve">The Joint Meeting was informed that Mr. K. </w:t>
      </w:r>
      <w:proofErr w:type="spellStart"/>
      <w:r w:rsidR="005437D3">
        <w:t>Tiemersma</w:t>
      </w:r>
      <w:proofErr w:type="spellEnd"/>
      <w:r w:rsidR="005437D3">
        <w:t xml:space="preserve"> (Netherlands) and Mr. J. </w:t>
      </w:r>
      <w:proofErr w:type="spellStart"/>
      <w:r w:rsidR="005437D3">
        <w:t>Mairs</w:t>
      </w:r>
      <w:proofErr w:type="spellEnd"/>
      <w:r w:rsidR="005437D3">
        <w:t xml:space="preserve"> (United Kingdom) were attending the session for the last time as they would be retiring soon. The Joint Meeting thanked them warmly for their dedication and contribution to its work and wished them a long and happy retirement.</w:t>
      </w:r>
    </w:p>
    <w:p w14:paraId="3D8D9690" w14:textId="00D76984" w:rsidR="00045E85" w:rsidRDefault="00AC5C57" w:rsidP="00045E85">
      <w:pPr>
        <w:pStyle w:val="HChG"/>
      </w:pPr>
      <w:r>
        <w:tab/>
      </w:r>
      <w:r w:rsidR="00045E85" w:rsidRPr="005C638A">
        <w:t>X</w:t>
      </w:r>
      <w:r w:rsidR="00045E85">
        <w:t>I</w:t>
      </w:r>
      <w:r w:rsidR="00045E85" w:rsidRPr="005C638A">
        <w:t>.</w:t>
      </w:r>
      <w:r w:rsidR="00045E85" w:rsidRPr="005C638A">
        <w:tab/>
      </w:r>
      <w:r w:rsidR="00045E85">
        <w:t>Adoption of the report</w:t>
      </w:r>
      <w:r w:rsidR="00045E85" w:rsidRPr="005C638A">
        <w:t xml:space="preserve"> (agenda item </w:t>
      </w:r>
      <w:r w:rsidR="00045E85">
        <w:t>10</w:t>
      </w:r>
      <w:r w:rsidR="00045E85" w:rsidRPr="005C638A">
        <w:t xml:space="preserve">) </w:t>
      </w:r>
    </w:p>
    <w:p w14:paraId="7BD5D7FE" w14:textId="2240F33B" w:rsidR="00045E85" w:rsidRDefault="00826275" w:rsidP="00045E85">
      <w:pPr>
        <w:pStyle w:val="SingleTxtG"/>
      </w:pPr>
      <w:r>
        <w:t>85</w:t>
      </w:r>
      <w:r w:rsidR="00045E85" w:rsidRPr="003A7004">
        <w:t>.</w:t>
      </w:r>
      <w:r w:rsidR="00045E85">
        <w:tab/>
      </w:r>
      <w:r w:rsidR="00045E85" w:rsidRPr="003A7004">
        <w:t>The Joint Meeting adopted the report on its spring 2018</w:t>
      </w:r>
      <w:r w:rsidR="00045E85">
        <w:t xml:space="preserve"> session and its annexes on the </w:t>
      </w:r>
      <w:r w:rsidR="00045E85" w:rsidRPr="003A7004">
        <w:t>basis of a draft prepared by the secretariat.</w:t>
      </w:r>
    </w:p>
    <w:p w14:paraId="5F52DDD7" w14:textId="77777777" w:rsidR="007B1AC0" w:rsidRDefault="00B91295" w:rsidP="006C19BA">
      <w:pPr>
        <w:pStyle w:val="HChG"/>
        <w:tabs>
          <w:tab w:val="clear" w:pos="851"/>
        </w:tabs>
        <w:ind w:firstLine="0"/>
      </w:pPr>
      <w:r>
        <w:br w:type="page"/>
      </w:r>
      <w:r w:rsidR="007B1AC0" w:rsidRPr="00786509">
        <w:lastRenderedPageBreak/>
        <w:t>Annex I</w:t>
      </w:r>
    </w:p>
    <w:p w14:paraId="091562BE" w14:textId="77777777" w:rsidR="007B1AC0" w:rsidRDefault="007B1AC0" w:rsidP="007B1AC0">
      <w:pPr>
        <w:pStyle w:val="HChG"/>
      </w:pPr>
      <w:r>
        <w:tab/>
      </w:r>
      <w:r>
        <w:tab/>
      </w:r>
      <w:r w:rsidRPr="00786509">
        <w:t xml:space="preserve">Report </w:t>
      </w:r>
      <w:r>
        <w:t>of the Working Group on Tanks</w:t>
      </w:r>
    </w:p>
    <w:p w14:paraId="1479BA24" w14:textId="77777777" w:rsidR="007B1AC0" w:rsidRPr="00370F21" w:rsidRDefault="007B1AC0" w:rsidP="007B1AC0">
      <w:r>
        <w:tab/>
      </w:r>
      <w:r>
        <w:tab/>
        <w:t>(see ECE/TRANS/WP.15/AC.1/150/Add.1)</w:t>
      </w:r>
    </w:p>
    <w:p w14:paraId="1CE6A383" w14:textId="77777777" w:rsidR="007B1AC0" w:rsidRPr="00C94147" w:rsidRDefault="007B1AC0" w:rsidP="007B1AC0">
      <w:pPr>
        <w:pStyle w:val="HChG"/>
        <w:rPr>
          <w:color w:val="FF0000"/>
        </w:rPr>
      </w:pPr>
      <w:r>
        <w:br w:type="page"/>
      </w:r>
    </w:p>
    <w:p w14:paraId="571BA76A" w14:textId="77777777" w:rsidR="007B1AC0" w:rsidRDefault="007B1AC0" w:rsidP="006C19BA">
      <w:pPr>
        <w:pStyle w:val="HChG"/>
        <w:tabs>
          <w:tab w:val="clear" w:pos="851"/>
        </w:tabs>
        <w:ind w:firstLine="0"/>
      </w:pPr>
      <w:r w:rsidRPr="00786509">
        <w:lastRenderedPageBreak/>
        <w:t>Annex I</w:t>
      </w:r>
      <w:r>
        <w:t>I</w:t>
      </w:r>
    </w:p>
    <w:p w14:paraId="5AF26AA4" w14:textId="77777777" w:rsidR="007B1AC0" w:rsidRDefault="007B1AC0" w:rsidP="007B1AC0">
      <w:pPr>
        <w:pStyle w:val="HChG"/>
        <w:ind w:firstLine="0"/>
      </w:pPr>
      <w:r w:rsidRPr="00D76005">
        <w:t>Draft amendments to RID/ADR/ADN for entry into force on 1 January 2019</w:t>
      </w:r>
    </w:p>
    <w:p w14:paraId="2D6E6411" w14:textId="4AEB84BF" w:rsidR="007B1AC0" w:rsidRPr="00181C73" w:rsidRDefault="007B1AC0" w:rsidP="007B1AC0">
      <w:pPr>
        <w:pStyle w:val="H1G"/>
      </w:pPr>
      <w:r>
        <w:tab/>
      </w:r>
      <w:r>
        <w:tab/>
      </w:r>
      <w:r w:rsidRPr="00181C73">
        <w:t>Chapter 1.1</w:t>
      </w:r>
    </w:p>
    <w:p w14:paraId="7F019FF0" w14:textId="77777777" w:rsidR="007B1AC0" w:rsidRPr="008A1252" w:rsidRDefault="007B1AC0" w:rsidP="007B1AC0">
      <w:pPr>
        <w:pStyle w:val="SingleTxtG"/>
      </w:pPr>
      <w:r w:rsidRPr="008A1252">
        <w:t>1.1.3.6.3</w:t>
      </w:r>
      <w:r w:rsidRPr="008A1252">
        <w:tab/>
        <w:t>In the Table, under transport category 0, for Class 4.3, after "3131," add:</w:t>
      </w:r>
      <w:r>
        <w:t xml:space="preserve"> </w:t>
      </w:r>
      <w:r w:rsidRPr="008A1252">
        <w:t>"3132,".</w:t>
      </w:r>
    </w:p>
    <w:p w14:paraId="7C61AA21" w14:textId="4B06FC41" w:rsidR="007B1AC0" w:rsidRPr="001433D8" w:rsidRDefault="00AD7BF3"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INF.8</w:t>
      </w:r>
      <w:r>
        <w:rPr>
          <w:i/>
          <w:lang w:val="fr-FR"/>
        </w:rPr>
        <w:t>)</w:t>
      </w:r>
    </w:p>
    <w:p w14:paraId="49C89C37" w14:textId="77777777" w:rsidR="007B1AC0" w:rsidRPr="00181C73" w:rsidRDefault="007B1AC0" w:rsidP="007B1AC0">
      <w:pPr>
        <w:pStyle w:val="H1G"/>
      </w:pPr>
      <w:r w:rsidRPr="001433D8">
        <w:rPr>
          <w:lang w:val="fr-FR"/>
        </w:rPr>
        <w:tab/>
      </w:r>
      <w:r w:rsidRPr="001433D8">
        <w:rPr>
          <w:lang w:val="fr-FR"/>
        </w:rPr>
        <w:tab/>
      </w:r>
      <w:r w:rsidRPr="001433D8">
        <w:rPr>
          <w:lang w:val="fr-FR"/>
        </w:rPr>
        <w:tab/>
      </w:r>
      <w:r>
        <w:t>Chapter 1.2</w:t>
      </w:r>
    </w:p>
    <w:p w14:paraId="301DB6EF" w14:textId="77777777" w:rsidR="007B1AC0" w:rsidRPr="00640B45" w:rsidRDefault="007B1AC0" w:rsidP="007B1AC0">
      <w:pPr>
        <w:pStyle w:val="SingleTxtG"/>
      </w:pPr>
      <w:r w:rsidRPr="00640B45">
        <w:t>1.2.1</w:t>
      </w:r>
      <w:r w:rsidRPr="00640B45">
        <w:tab/>
      </w:r>
      <w:r w:rsidRPr="00640B45">
        <w:tab/>
        <w:t>In the definition of "</w:t>
      </w:r>
      <w:r w:rsidRPr="00640B45">
        <w:rPr>
          <w:i/>
        </w:rPr>
        <w:t>ECE Regulation</w:t>
      </w:r>
      <w:r w:rsidRPr="00640B45">
        <w:t>", replace "</w:t>
      </w:r>
      <w:r w:rsidRPr="00640B45">
        <w:rPr>
          <w:i/>
        </w:rPr>
        <w:t>ECE Regulation</w:t>
      </w:r>
      <w:r w:rsidRPr="00640B45">
        <w:t>" by:</w:t>
      </w:r>
      <w:r>
        <w:t xml:space="preserve"> </w:t>
      </w:r>
      <w:r w:rsidRPr="00640B45">
        <w:t>"</w:t>
      </w:r>
      <w:r w:rsidRPr="00640B45">
        <w:rPr>
          <w:i/>
        </w:rPr>
        <w:t>UN Regulation</w:t>
      </w:r>
      <w:r w:rsidRPr="00640B45">
        <w:t>" and move the definition under "U".</w:t>
      </w:r>
    </w:p>
    <w:p w14:paraId="7EFFB734" w14:textId="621101A1" w:rsidR="007B1AC0" w:rsidRPr="001433D8" w:rsidRDefault="00AD7BF3"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33243190" w14:textId="77777777" w:rsidR="007B1AC0" w:rsidRPr="008A1252" w:rsidRDefault="007B1AC0" w:rsidP="007B1AC0">
      <w:pPr>
        <w:pStyle w:val="H1G"/>
      </w:pPr>
      <w:r w:rsidRPr="001433D8">
        <w:rPr>
          <w:lang w:val="fr-FR"/>
        </w:rPr>
        <w:tab/>
      </w:r>
      <w:r w:rsidRPr="001433D8">
        <w:rPr>
          <w:lang w:val="fr-FR"/>
        </w:rPr>
        <w:tab/>
      </w:r>
      <w:r w:rsidRPr="008A1252">
        <w:t>Chapter 1.6</w:t>
      </w:r>
    </w:p>
    <w:p w14:paraId="0E8E3BE7" w14:textId="77777777" w:rsidR="007B1AC0" w:rsidRPr="008A1252" w:rsidRDefault="007B1AC0" w:rsidP="007B1AC0">
      <w:pPr>
        <w:pStyle w:val="SingleTxtG"/>
      </w:pPr>
      <w:r w:rsidRPr="008A1252">
        <w:t>1.6.1</w:t>
      </w:r>
      <w:r w:rsidRPr="008A1252">
        <w:tab/>
      </w:r>
      <w:r w:rsidRPr="008A1252">
        <w:tab/>
        <w:t>Add the following transitional provision:</w:t>
      </w:r>
    </w:p>
    <w:p w14:paraId="019CD78D" w14:textId="77777777" w:rsidR="007B1AC0" w:rsidRPr="008A1252" w:rsidRDefault="007B1AC0" w:rsidP="007B1AC0">
      <w:pPr>
        <w:pStyle w:val="SingleTxtG"/>
      </w:pPr>
      <w:r w:rsidRPr="008A1252">
        <w:t>"1.6.1.47</w:t>
      </w:r>
      <w:r w:rsidRPr="008A1252">
        <w:tab/>
        <w:t>Lithium cells and batteries not meeting the requirements of 2.2.9.1.7 (g) may continue to be carried until 31 December 2019."</w:t>
      </w:r>
    </w:p>
    <w:p w14:paraId="7905EC66" w14:textId="42CECB43" w:rsidR="007B1AC0" w:rsidRPr="001433D8" w:rsidRDefault="00AD7BF3"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INF.37</w:t>
      </w:r>
      <w:r>
        <w:rPr>
          <w:i/>
          <w:lang w:val="fr-FR"/>
        </w:rPr>
        <w:t>)</w:t>
      </w:r>
    </w:p>
    <w:p w14:paraId="734AFD63" w14:textId="77777777" w:rsidR="007B1AC0" w:rsidRPr="00640B45" w:rsidRDefault="007B1AC0" w:rsidP="007B1AC0">
      <w:pPr>
        <w:pStyle w:val="SingleTxtG"/>
      </w:pPr>
      <w:r w:rsidRPr="00640B45">
        <w:t>(ADR:)</w:t>
      </w:r>
    </w:p>
    <w:p w14:paraId="1EE7BFC5" w14:textId="77777777" w:rsidR="007B1AC0" w:rsidRPr="00640B45" w:rsidRDefault="007B1AC0" w:rsidP="007B1AC0">
      <w:pPr>
        <w:pStyle w:val="SingleTxtG"/>
      </w:pPr>
      <w:r w:rsidRPr="00640B45">
        <w:t>1.6.5.7</w:t>
      </w:r>
      <w:r w:rsidRPr="00640B45">
        <w:tab/>
      </w:r>
      <w:r w:rsidRPr="00640B45">
        <w:tab/>
        <w:t>In the first sentence and in footnote 1, replace "ECE Regulation" by:</w:t>
      </w:r>
      <w:r>
        <w:t xml:space="preserve"> </w:t>
      </w:r>
      <w:r w:rsidRPr="00640B45">
        <w:t>"UN Regulation".</w:t>
      </w:r>
    </w:p>
    <w:p w14:paraId="3BB4A555" w14:textId="6E2285C0" w:rsidR="007B1AC0" w:rsidRPr="001433D8" w:rsidRDefault="00AD7BF3"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1C3793A2" w14:textId="77777777" w:rsidR="007B1AC0" w:rsidRPr="00640B45" w:rsidRDefault="007B1AC0" w:rsidP="007B1AC0">
      <w:pPr>
        <w:pStyle w:val="SingleTxtG"/>
      </w:pPr>
      <w:r w:rsidRPr="00640B45">
        <w:t>1.6.5.13</w:t>
      </w:r>
      <w:r w:rsidRPr="00640B45">
        <w:tab/>
        <w:t>Replace "ECE Regulation" by:</w:t>
      </w:r>
      <w:r>
        <w:t xml:space="preserve"> </w:t>
      </w:r>
      <w:r w:rsidRPr="00640B45">
        <w:t>"UN Regulation".</w:t>
      </w:r>
    </w:p>
    <w:p w14:paraId="1B277AF5" w14:textId="5AE4D776" w:rsidR="007B1AC0" w:rsidRPr="001433D8" w:rsidRDefault="00AD7BF3"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54A4B8F5" w14:textId="77777777" w:rsidR="007B1AC0" w:rsidRPr="00640B45" w:rsidRDefault="007B1AC0" w:rsidP="007B1AC0">
      <w:pPr>
        <w:pStyle w:val="SingleTxtG"/>
      </w:pPr>
      <w:r w:rsidRPr="00640B45">
        <w:t>1.6.5.16</w:t>
      </w:r>
      <w:r w:rsidRPr="00640B45">
        <w:tab/>
        <w:t>Replace "ECE Regulation" by:</w:t>
      </w:r>
      <w:r>
        <w:t xml:space="preserve"> </w:t>
      </w:r>
      <w:r w:rsidRPr="00640B45">
        <w:t>"UN Regulation".</w:t>
      </w:r>
    </w:p>
    <w:p w14:paraId="4E58726F" w14:textId="38163A12" w:rsidR="007B1AC0" w:rsidRPr="001433D8" w:rsidRDefault="00AD7BF3"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322AE797" w14:textId="77777777" w:rsidR="007B1AC0" w:rsidRPr="008A1252" w:rsidRDefault="007B1AC0" w:rsidP="007B1AC0">
      <w:pPr>
        <w:pStyle w:val="H1G"/>
      </w:pPr>
      <w:r w:rsidRPr="001433D8">
        <w:rPr>
          <w:lang w:val="fr-FR"/>
        </w:rPr>
        <w:tab/>
      </w:r>
      <w:r w:rsidRPr="001433D8">
        <w:rPr>
          <w:lang w:val="fr-FR"/>
        </w:rPr>
        <w:tab/>
      </w:r>
      <w:r w:rsidRPr="008A1252">
        <w:t>Chapter 3.2</w:t>
      </w:r>
    </w:p>
    <w:p w14:paraId="33034879" w14:textId="77777777" w:rsidR="007B1AC0" w:rsidRPr="008A1252" w:rsidRDefault="007B1AC0" w:rsidP="007B1AC0">
      <w:pPr>
        <w:pStyle w:val="H23G"/>
      </w:pPr>
      <w:r>
        <w:tab/>
      </w:r>
      <w:r>
        <w:tab/>
      </w:r>
      <w:r w:rsidRPr="008A1252">
        <w:t>3.2.1</w:t>
      </w:r>
      <w:r>
        <w:t xml:space="preserve">, </w:t>
      </w:r>
      <w:r w:rsidRPr="008A1252">
        <w:t>Table A</w:t>
      </w:r>
    </w:p>
    <w:p w14:paraId="200021C6" w14:textId="772D9CA4" w:rsidR="007B1AC0" w:rsidRPr="008A1252" w:rsidRDefault="007B1AC0" w:rsidP="007B1AC0">
      <w:pPr>
        <w:pStyle w:val="SingleTxtG"/>
      </w:pPr>
      <w:r w:rsidRPr="008A1252">
        <w:t xml:space="preserve">(RID:) For UN </w:t>
      </w:r>
      <w:r w:rsidR="0020628D">
        <w:t>Nos.</w:t>
      </w:r>
      <w:r w:rsidR="0020628D" w:rsidRPr="008A1252">
        <w:t xml:space="preserve"> </w:t>
      </w:r>
      <w:r w:rsidRPr="008A1252">
        <w:t>1796</w:t>
      </w:r>
      <w:r w:rsidR="0020628D">
        <w:t xml:space="preserve"> (packing group II)</w:t>
      </w:r>
      <w:r w:rsidRPr="008A1252">
        <w:t xml:space="preserve"> and 1826</w:t>
      </w:r>
      <w:r w:rsidR="0020628D">
        <w:t xml:space="preserve"> (packing group II)</w:t>
      </w:r>
      <w:r w:rsidRPr="008A1252">
        <w:t>, in column</w:t>
      </w:r>
      <w:r w:rsidR="0020628D">
        <w:t> </w:t>
      </w:r>
      <w:r w:rsidRPr="008A1252">
        <w:t>(18), delete:</w:t>
      </w:r>
      <w:r>
        <w:t xml:space="preserve"> </w:t>
      </w:r>
      <w:r w:rsidRPr="008A1252">
        <w:t>"CW24".</w:t>
      </w:r>
    </w:p>
    <w:p w14:paraId="401C7E46" w14:textId="2B6B7256" w:rsidR="007B1AC0" w:rsidRPr="008F6792" w:rsidRDefault="00AD7BF3" w:rsidP="007B1AC0">
      <w:pPr>
        <w:pStyle w:val="SingleTxtG"/>
        <w:rPr>
          <w:i/>
        </w:rPr>
      </w:pPr>
      <w:r>
        <w:rPr>
          <w:i/>
        </w:rPr>
        <w:t>(</w:t>
      </w:r>
      <w:r w:rsidR="007B1AC0" w:rsidRPr="008F6792">
        <w:rPr>
          <w:i/>
        </w:rPr>
        <w:t>Reference document: ECE/TRANS/WP.15/AC.1/2018/5</w:t>
      </w:r>
      <w:r>
        <w:rPr>
          <w:i/>
        </w:rPr>
        <w:t>)</w:t>
      </w:r>
    </w:p>
    <w:p w14:paraId="20251900" w14:textId="540E25CE" w:rsidR="007B1AC0" w:rsidRPr="008A1252" w:rsidRDefault="007B1AC0" w:rsidP="007B1AC0">
      <w:pPr>
        <w:pStyle w:val="SingleTxtG"/>
      </w:pPr>
      <w:r w:rsidRPr="008A1252">
        <w:t xml:space="preserve">For UN </w:t>
      </w:r>
      <w:r w:rsidR="0020628D">
        <w:t>No.</w:t>
      </w:r>
      <w:r w:rsidR="0020628D" w:rsidRPr="008A1252">
        <w:t xml:space="preserve"> </w:t>
      </w:r>
      <w:r w:rsidRPr="008A1252">
        <w:t>2031, second entry, in column (18), insert:</w:t>
      </w:r>
      <w:r>
        <w:t xml:space="preserve"> </w:t>
      </w:r>
      <w:r w:rsidRPr="008A1252">
        <w:t>"CW24/CV24".</w:t>
      </w:r>
    </w:p>
    <w:p w14:paraId="4A3CD91C" w14:textId="06C9B53A" w:rsidR="007B1AC0" w:rsidRPr="008F6792" w:rsidRDefault="00AD7BF3" w:rsidP="007B1AC0">
      <w:pPr>
        <w:pStyle w:val="SingleTxtG"/>
        <w:rPr>
          <w:i/>
        </w:rPr>
      </w:pPr>
      <w:r>
        <w:rPr>
          <w:i/>
        </w:rPr>
        <w:t>(</w:t>
      </w:r>
      <w:r w:rsidR="007B1AC0" w:rsidRPr="008F6792">
        <w:rPr>
          <w:i/>
        </w:rPr>
        <w:t>Reference document: ECE/TRANS/WP.15/AC.1/2018/5</w:t>
      </w:r>
      <w:r>
        <w:rPr>
          <w:i/>
        </w:rPr>
        <w:t>)</w:t>
      </w:r>
    </w:p>
    <w:p w14:paraId="1B61E549" w14:textId="77777777" w:rsidR="007B1AC0" w:rsidRPr="00181C73" w:rsidRDefault="007B1AC0" w:rsidP="007B1AC0">
      <w:pPr>
        <w:pStyle w:val="H1G"/>
      </w:pPr>
      <w:r>
        <w:lastRenderedPageBreak/>
        <w:tab/>
      </w:r>
      <w:r>
        <w:tab/>
      </w:r>
      <w:r>
        <w:tab/>
        <w:t>Chapter 4</w:t>
      </w:r>
      <w:r w:rsidRPr="00181C73">
        <w:t>.1</w:t>
      </w:r>
    </w:p>
    <w:p w14:paraId="15A5DA65" w14:textId="77777777" w:rsidR="007B1AC0" w:rsidRPr="00FF4461" w:rsidRDefault="007B1AC0" w:rsidP="007B1AC0">
      <w:pPr>
        <w:pStyle w:val="SingleTxtG"/>
      </w:pPr>
      <w:r w:rsidRPr="00FF4461">
        <w:t>4.1.6.8</w:t>
      </w:r>
      <w:r w:rsidRPr="00FF4461">
        <w:tab/>
      </w:r>
      <w:r w:rsidRPr="00FF4461">
        <w:tab/>
        <w:t>In the first sentence after "Valves", insert:</w:t>
      </w:r>
      <w:r>
        <w:t xml:space="preserve"> </w:t>
      </w:r>
      <w:r w:rsidRPr="00FF4461">
        <w:t>"and other components which are to remain connected to the valve during carriage (e.g. handling devices or adaptors)".</w:t>
      </w:r>
    </w:p>
    <w:p w14:paraId="16B80300" w14:textId="660D5C91" w:rsidR="007B1AC0" w:rsidRPr="001433D8" w:rsidRDefault="00AD7BF3"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INF.44</w:t>
      </w:r>
      <w:r>
        <w:rPr>
          <w:i/>
          <w:lang w:val="fr-FR"/>
        </w:rPr>
        <w:t>)</w:t>
      </w:r>
    </w:p>
    <w:p w14:paraId="2C57D438" w14:textId="77777777" w:rsidR="007B1AC0" w:rsidRPr="008A1252" w:rsidRDefault="007B1AC0" w:rsidP="007B1AC0">
      <w:pPr>
        <w:pStyle w:val="H1G"/>
      </w:pPr>
      <w:r w:rsidRPr="001433D8">
        <w:rPr>
          <w:lang w:val="fr-FR"/>
        </w:rPr>
        <w:tab/>
      </w:r>
      <w:r w:rsidRPr="001433D8">
        <w:rPr>
          <w:lang w:val="fr-FR"/>
        </w:rPr>
        <w:tab/>
      </w:r>
      <w:r w:rsidRPr="008A1252">
        <w:t>Chapter 5.2</w:t>
      </w:r>
    </w:p>
    <w:p w14:paraId="40752B2E" w14:textId="77777777" w:rsidR="007B1AC0" w:rsidRPr="008A1252" w:rsidRDefault="007B1AC0" w:rsidP="007B1AC0">
      <w:pPr>
        <w:pStyle w:val="SingleTxtG"/>
      </w:pPr>
      <w:r w:rsidRPr="008A1252">
        <w:t>5.2.1.5</w:t>
      </w:r>
      <w:r w:rsidRPr="008A1252">
        <w:tab/>
      </w:r>
      <w:r w:rsidRPr="008A1252">
        <w:tab/>
        <w:t>Amend the second sentence to read as follows:</w:t>
      </w:r>
    </w:p>
    <w:p w14:paraId="6A065E72" w14:textId="29A51E0A" w:rsidR="007B1AC0" w:rsidRPr="008A1252" w:rsidRDefault="007B1AC0" w:rsidP="007B1AC0">
      <w:pPr>
        <w:pStyle w:val="SingleTxtG"/>
      </w:pPr>
      <w:r w:rsidRPr="008A1252">
        <w:t xml:space="preserve">"The mark, which shall be clearly legible and indelible, shall be in one or more languages, one of which </w:t>
      </w:r>
      <w:r w:rsidR="00060186">
        <w:t>shall</w:t>
      </w:r>
      <w:r w:rsidR="00060186" w:rsidRPr="008A1252">
        <w:t xml:space="preserve"> </w:t>
      </w:r>
      <w:r w:rsidRPr="008A1252">
        <w:t>be French, German or English, unless any agreements concluded between the countries concerned in the transport operation provide otherwise."</w:t>
      </w:r>
    </w:p>
    <w:p w14:paraId="11623A59" w14:textId="0C10D9BC" w:rsidR="007B1AC0" w:rsidRPr="001433D8" w:rsidRDefault="00AD7BF3" w:rsidP="007B1AC0">
      <w:pPr>
        <w:pStyle w:val="SingleTxtG"/>
        <w:rPr>
          <w:i/>
        </w:rPr>
      </w:pPr>
      <w:r>
        <w:rPr>
          <w:i/>
        </w:rPr>
        <w:t>(</w:t>
      </w:r>
      <w:r w:rsidR="007B1AC0" w:rsidRPr="001433D8">
        <w:rPr>
          <w:i/>
        </w:rPr>
        <w:t>Reference document: ECE/TRANS/WP.15/AC.1/2018/1, Option 1</w:t>
      </w:r>
      <w:r>
        <w:rPr>
          <w:i/>
        </w:rPr>
        <w:t>)</w:t>
      </w:r>
    </w:p>
    <w:p w14:paraId="00651046" w14:textId="77777777" w:rsidR="007B1AC0" w:rsidRPr="00C80440" w:rsidRDefault="007B1AC0" w:rsidP="007B1AC0">
      <w:pPr>
        <w:pStyle w:val="H1G"/>
      </w:pPr>
      <w:r>
        <w:tab/>
      </w:r>
      <w:r>
        <w:tab/>
      </w:r>
      <w:r w:rsidRPr="00C80440">
        <w:t>Chapter 5.3</w:t>
      </w:r>
    </w:p>
    <w:p w14:paraId="402DF9CA" w14:textId="5DCE7C18" w:rsidR="007B1AC0" w:rsidRPr="00FF4461" w:rsidRDefault="007B1AC0" w:rsidP="007B1AC0">
      <w:pPr>
        <w:pStyle w:val="SingleTxtG"/>
      </w:pPr>
      <w:r w:rsidRPr="00FF4461">
        <w:t>5.3.1.7.1</w:t>
      </w:r>
      <w:r w:rsidRPr="00FF4461">
        <w:tab/>
        <w:t>The amendments to the second paragraph in the French version do not apply to the English text.</w:t>
      </w:r>
    </w:p>
    <w:p w14:paraId="3ED4823E" w14:textId="77777777" w:rsidR="007B1AC0" w:rsidRPr="00FF4461" w:rsidRDefault="007B1AC0" w:rsidP="007B1AC0">
      <w:pPr>
        <w:pStyle w:val="SingleTxtG"/>
      </w:pPr>
      <w:r w:rsidRPr="00FF4461">
        <w:t>5.3.1.7.1</w:t>
      </w:r>
      <w:r w:rsidRPr="00FF4461">
        <w:tab/>
        <w:t>At the end, add the following sentence:</w:t>
      </w:r>
      <w:r>
        <w:t xml:space="preserve"> </w:t>
      </w:r>
      <w:r w:rsidRPr="00FF4461">
        <w:t>"The deviations specified in 5.2.2.2.1, second sentence, 5.2.2.2.1.3, third sentence and 5.2.2.2.1.5 for danger labels also apply to placards."</w:t>
      </w:r>
    </w:p>
    <w:p w14:paraId="79954DCD" w14:textId="02814E46" w:rsidR="007B1AC0" w:rsidRPr="001433D8" w:rsidRDefault="00AD7BF3"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INF.43</w:t>
      </w:r>
      <w:r>
        <w:rPr>
          <w:i/>
          <w:lang w:val="fr-FR"/>
        </w:rPr>
        <w:t>)</w:t>
      </w:r>
    </w:p>
    <w:p w14:paraId="6FD6A409" w14:textId="03E9832F" w:rsidR="007B1AC0" w:rsidRPr="008A1252" w:rsidRDefault="007B1AC0" w:rsidP="007B1AC0">
      <w:pPr>
        <w:pStyle w:val="SingleTxtG"/>
      </w:pPr>
      <w:r w:rsidRPr="008A1252">
        <w:t>5.3.3</w:t>
      </w:r>
      <w:r w:rsidRPr="008A1252">
        <w:tab/>
      </w:r>
      <w:r w:rsidRPr="008A1252">
        <w:tab/>
        <w:t>The amendment to the French version does not apply to the English text.</w:t>
      </w:r>
    </w:p>
    <w:p w14:paraId="185FE322" w14:textId="143D77A6" w:rsidR="007B1AC0" w:rsidRPr="003B4B6D" w:rsidRDefault="00AD7BF3" w:rsidP="007B1AC0">
      <w:pPr>
        <w:pStyle w:val="SingleTxtG"/>
        <w:rPr>
          <w:i/>
          <w:lang w:val="fr-FR"/>
        </w:rPr>
      </w:pPr>
      <w:r>
        <w:rPr>
          <w:i/>
          <w:lang w:val="fr-FR"/>
        </w:rPr>
        <w:t>(</w:t>
      </w:r>
      <w:r w:rsidR="007B1AC0" w:rsidRPr="003B4B6D">
        <w:rPr>
          <w:i/>
          <w:lang w:val="fr-FR"/>
        </w:rPr>
        <w:t xml:space="preserve">Reference document: </w:t>
      </w:r>
      <w:proofErr w:type="spellStart"/>
      <w:r w:rsidR="007B1AC0" w:rsidRPr="003B4B6D">
        <w:rPr>
          <w:i/>
          <w:lang w:val="fr-FR"/>
        </w:rPr>
        <w:t>informal</w:t>
      </w:r>
      <w:proofErr w:type="spellEnd"/>
      <w:r w:rsidR="007B1AC0" w:rsidRPr="003B4B6D">
        <w:rPr>
          <w:i/>
          <w:lang w:val="fr-FR"/>
        </w:rPr>
        <w:t xml:space="preserve"> d</w:t>
      </w:r>
      <w:r w:rsidR="007B1AC0">
        <w:rPr>
          <w:i/>
          <w:lang w:val="fr-FR"/>
        </w:rPr>
        <w:t>ocument INF.4</w:t>
      </w:r>
      <w:r>
        <w:rPr>
          <w:i/>
          <w:lang w:val="fr-FR"/>
        </w:rPr>
        <w:t>)</w:t>
      </w:r>
    </w:p>
    <w:p w14:paraId="31995E8D" w14:textId="77777777" w:rsidR="007B1AC0" w:rsidRPr="00C80440" w:rsidRDefault="007B1AC0" w:rsidP="007B1AC0">
      <w:pPr>
        <w:pStyle w:val="H1G"/>
      </w:pPr>
      <w:r>
        <w:tab/>
      </w:r>
      <w:r>
        <w:tab/>
      </w:r>
      <w:r w:rsidRPr="00C80440">
        <w:t xml:space="preserve">Chapter </w:t>
      </w:r>
      <w:r>
        <w:t>6.2</w:t>
      </w:r>
    </w:p>
    <w:p w14:paraId="63CD20D6" w14:textId="77777777" w:rsidR="007B1AC0" w:rsidRPr="00C50EC7" w:rsidRDefault="007B1AC0" w:rsidP="007B1AC0">
      <w:pPr>
        <w:pStyle w:val="SingleTxtG"/>
        <w:tabs>
          <w:tab w:val="left" w:pos="2268"/>
        </w:tabs>
      </w:pPr>
      <w:r w:rsidRPr="00C50EC7">
        <w:t>6.2.4.1</w:t>
      </w:r>
      <w:r w:rsidRPr="00C50EC7">
        <w:tab/>
        <w:t>Amend the Table, under "</w:t>
      </w:r>
      <w:r>
        <w:t>F</w:t>
      </w:r>
      <w:r w:rsidRPr="00C50EC7">
        <w:t>or design and construction", as follows:</w:t>
      </w:r>
    </w:p>
    <w:p w14:paraId="4F7194DF" w14:textId="77777777" w:rsidR="007B1AC0" w:rsidRPr="00175B46" w:rsidRDefault="007B1AC0" w:rsidP="007B1AC0">
      <w:pPr>
        <w:pStyle w:val="SingleTxtG"/>
        <w:rPr>
          <w:rFonts w:cs="Arial"/>
          <w:szCs w:val="22"/>
        </w:rPr>
      </w:pPr>
      <w:r w:rsidRPr="00175B46">
        <w:rPr>
          <w:rFonts w:cs="Arial"/>
          <w:szCs w:val="22"/>
        </w:rPr>
        <w:t>–</w:t>
      </w:r>
      <w:r w:rsidRPr="00175B46">
        <w:rPr>
          <w:rFonts w:cs="Arial"/>
          <w:szCs w:val="22"/>
        </w:rPr>
        <w:tab/>
        <w:t>For standard "</w:t>
      </w:r>
      <w:r w:rsidRPr="00175B46">
        <w:t>EN 1442:2006 + A1:2008</w:t>
      </w:r>
      <w:r w:rsidRPr="00175B46">
        <w:rPr>
          <w:rFonts w:cs="Arial"/>
          <w:szCs w:val="22"/>
        </w:rPr>
        <w:t>", in column (4), replace "Until further notice" by:</w:t>
      </w:r>
      <w:r>
        <w:rPr>
          <w:rFonts w:cs="Arial"/>
          <w:szCs w:val="22"/>
        </w:rPr>
        <w:t xml:space="preserve"> </w:t>
      </w:r>
      <w:r w:rsidRPr="00175B46">
        <w:rPr>
          <w:rFonts w:cs="Arial"/>
          <w:szCs w:val="22"/>
        </w:rPr>
        <w:t>"Between 1 January 2009 and 31 December 2020".</w:t>
      </w:r>
    </w:p>
    <w:p w14:paraId="536914C3" w14:textId="1A58F97A" w:rsidR="007B1AC0" w:rsidRPr="001433D8" w:rsidRDefault="00AD7BF3"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INF.45</w:t>
      </w:r>
      <w:r>
        <w:rPr>
          <w:i/>
          <w:lang w:val="fr-FR"/>
        </w:rPr>
        <w:t>)</w:t>
      </w:r>
    </w:p>
    <w:p w14:paraId="014E704F" w14:textId="77777777" w:rsidR="007B1AC0" w:rsidRPr="00175B46" w:rsidRDefault="007B1AC0" w:rsidP="007B1AC0">
      <w:pPr>
        <w:pStyle w:val="SingleTxtG"/>
        <w:rPr>
          <w:rFonts w:cs="Arial"/>
          <w:szCs w:val="22"/>
        </w:rPr>
      </w:pPr>
      <w:r w:rsidRPr="00175B46">
        <w:rPr>
          <w:rFonts w:cs="Arial"/>
          <w:szCs w:val="22"/>
        </w:rPr>
        <w:t>–</w:t>
      </w:r>
      <w:r w:rsidRPr="00175B46">
        <w:rPr>
          <w:rFonts w:cs="Arial"/>
          <w:szCs w:val="22"/>
        </w:rPr>
        <w:tab/>
        <w:t>After standard "</w:t>
      </w:r>
      <w:r w:rsidRPr="00175B46">
        <w:t>EN 1442:2006 + A1:2008</w:t>
      </w:r>
      <w:r w:rsidRPr="00175B46">
        <w:rPr>
          <w:rFonts w:cs="Arial"/>
          <w:szCs w:val="22"/>
        </w:rPr>
        <w:t>", insert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1040"/>
        <w:gridCol w:w="982"/>
        <w:gridCol w:w="682"/>
      </w:tblGrid>
      <w:tr w:rsidR="007B1AC0" w:rsidRPr="00175B46" w14:paraId="09A18317" w14:textId="77777777" w:rsidTr="009D0070">
        <w:tc>
          <w:tcPr>
            <w:tcW w:w="1679" w:type="dxa"/>
            <w:tcBorders>
              <w:top w:val="single" w:sz="4" w:space="0" w:color="auto"/>
              <w:left w:val="single" w:sz="4" w:space="0" w:color="auto"/>
              <w:bottom w:val="single" w:sz="4" w:space="0" w:color="auto"/>
              <w:right w:val="single" w:sz="4" w:space="0" w:color="auto"/>
            </w:tcBorders>
            <w:vAlign w:val="center"/>
            <w:hideMark/>
          </w:tcPr>
          <w:p w14:paraId="393736A7" w14:textId="77777777" w:rsidR="007B1AC0" w:rsidRPr="00175B46" w:rsidRDefault="007B1AC0" w:rsidP="009D0070">
            <w:pPr>
              <w:widowControl w:val="0"/>
              <w:tabs>
                <w:tab w:val="left" w:pos="708"/>
              </w:tabs>
              <w:rPr>
                <w:rFonts w:cs="Arial"/>
                <w:sz w:val="18"/>
                <w:szCs w:val="18"/>
              </w:rPr>
            </w:pPr>
            <w:r w:rsidRPr="00175B46">
              <w:rPr>
                <w:rFonts w:cs="Arial"/>
                <w:iCs/>
                <w:sz w:val="18"/>
                <w:szCs w:val="18"/>
              </w:rPr>
              <w:t>EN 1442:2017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38881A" w14:textId="77777777" w:rsidR="007B1AC0" w:rsidRPr="00175B46" w:rsidRDefault="007B1AC0" w:rsidP="009D0070">
            <w:pPr>
              <w:widowControl w:val="0"/>
              <w:tabs>
                <w:tab w:val="left" w:pos="708"/>
              </w:tabs>
              <w:rPr>
                <w:rFonts w:cs="Arial"/>
                <w:sz w:val="18"/>
                <w:szCs w:val="18"/>
              </w:rPr>
            </w:pPr>
            <w:r w:rsidRPr="00175B46">
              <w:rPr>
                <w:rFonts w:cs="Arial"/>
                <w:bCs/>
                <w:iCs/>
                <w:sz w:val="18"/>
                <w:szCs w:val="18"/>
              </w:rPr>
              <w:t>LPG equipment and accessories – Transportable refillable welded steel cylinders for LPG – Design and construction</w:t>
            </w:r>
          </w:p>
        </w:tc>
        <w:tc>
          <w:tcPr>
            <w:tcW w:w="1012" w:type="dxa"/>
            <w:tcBorders>
              <w:top w:val="single" w:sz="4" w:space="0" w:color="auto"/>
              <w:left w:val="single" w:sz="4" w:space="0" w:color="auto"/>
              <w:bottom w:val="single" w:sz="4" w:space="0" w:color="auto"/>
              <w:right w:val="single" w:sz="4" w:space="0" w:color="auto"/>
            </w:tcBorders>
            <w:vAlign w:val="center"/>
            <w:hideMark/>
          </w:tcPr>
          <w:p w14:paraId="11CA0DD0" w14:textId="77777777" w:rsidR="007B1AC0" w:rsidRPr="00175B46" w:rsidRDefault="007B1AC0" w:rsidP="009D0070">
            <w:pPr>
              <w:widowControl w:val="0"/>
              <w:tabs>
                <w:tab w:val="left" w:pos="708"/>
              </w:tabs>
              <w:rPr>
                <w:rFonts w:cs="Arial"/>
                <w:sz w:val="18"/>
                <w:szCs w:val="18"/>
              </w:rPr>
            </w:pPr>
            <w:r w:rsidRPr="00175B46">
              <w:rPr>
                <w:rFonts w:cs="Arial"/>
                <w:sz w:val="18"/>
                <w:szCs w:val="18"/>
              </w:rPr>
              <w:t>6.2.3.1 and 6.2.3.4</w:t>
            </w:r>
          </w:p>
        </w:tc>
        <w:tc>
          <w:tcPr>
            <w:tcW w:w="956" w:type="dxa"/>
            <w:tcBorders>
              <w:top w:val="single" w:sz="4" w:space="0" w:color="auto"/>
              <w:left w:val="single" w:sz="4" w:space="0" w:color="auto"/>
              <w:bottom w:val="single" w:sz="4" w:space="0" w:color="auto"/>
              <w:right w:val="single" w:sz="4" w:space="0" w:color="auto"/>
            </w:tcBorders>
            <w:vAlign w:val="center"/>
            <w:hideMark/>
          </w:tcPr>
          <w:p w14:paraId="0F80992A" w14:textId="77777777" w:rsidR="007B1AC0" w:rsidRPr="00175B46" w:rsidRDefault="007B1AC0" w:rsidP="009D0070">
            <w:pPr>
              <w:widowControl w:val="0"/>
              <w:tabs>
                <w:tab w:val="left" w:pos="708"/>
              </w:tabs>
              <w:jc w:val="center"/>
              <w:rPr>
                <w:rFonts w:cs="Arial"/>
                <w:sz w:val="18"/>
                <w:szCs w:val="18"/>
              </w:rPr>
            </w:pPr>
            <w:r w:rsidRPr="00175B46">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14:paraId="5380A75D" w14:textId="77777777" w:rsidR="007B1AC0" w:rsidRPr="00175B46" w:rsidRDefault="007B1AC0" w:rsidP="009D0070">
            <w:pPr>
              <w:widowControl w:val="0"/>
              <w:tabs>
                <w:tab w:val="left" w:pos="708"/>
              </w:tabs>
              <w:rPr>
                <w:rFonts w:cs="Arial"/>
                <w:sz w:val="18"/>
                <w:szCs w:val="18"/>
              </w:rPr>
            </w:pPr>
          </w:p>
        </w:tc>
      </w:tr>
    </w:tbl>
    <w:p w14:paraId="142EB6D7" w14:textId="37112041" w:rsidR="007B1AC0" w:rsidRDefault="00AD7BF3" w:rsidP="007B1AC0">
      <w:pPr>
        <w:pStyle w:val="SingleTxtG"/>
        <w:spacing w:before="120"/>
        <w:rPr>
          <w:i/>
          <w:lang w:val="fr-FR"/>
        </w:rPr>
      </w:pPr>
      <w:r>
        <w:rPr>
          <w:i/>
          <w:lang w:val="fr-FR"/>
        </w:rPr>
        <w:t>(</w:t>
      </w:r>
      <w:r w:rsidR="007B1AC0" w:rsidRPr="00C50EC7">
        <w:rPr>
          <w:i/>
          <w:lang w:val="fr-FR"/>
        </w:rPr>
        <w:t xml:space="preserve">Reference document: </w:t>
      </w:r>
      <w:proofErr w:type="spellStart"/>
      <w:r w:rsidR="007B1AC0" w:rsidRPr="00C50EC7">
        <w:rPr>
          <w:i/>
          <w:lang w:val="fr-FR"/>
        </w:rPr>
        <w:t>informal</w:t>
      </w:r>
      <w:proofErr w:type="spellEnd"/>
      <w:r w:rsidR="007B1AC0" w:rsidRPr="00C50EC7">
        <w:rPr>
          <w:i/>
          <w:lang w:val="fr-FR"/>
        </w:rPr>
        <w:t xml:space="preserve"> document INF.45</w:t>
      </w:r>
      <w:r>
        <w:rPr>
          <w:i/>
          <w:lang w:val="fr-FR"/>
        </w:rPr>
        <w:t>)</w:t>
      </w:r>
    </w:p>
    <w:p w14:paraId="5F291365" w14:textId="77777777" w:rsidR="007B1AC0" w:rsidRPr="0036031C" w:rsidRDefault="007B1AC0" w:rsidP="007B1AC0">
      <w:pPr>
        <w:pStyle w:val="SingleTxtG"/>
      </w:pPr>
      <w:r w:rsidRPr="0036031C">
        <w:t>–</w:t>
      </w:r>
      <w:r w:rsidRPr="0036031C">
        <w:tab/>
        <w:t>For standard "EN 12245:2002", in column (5), insert:</w:t>
      </w:r>
      <w:r>
        <w:t xml:space="preserve"> </w:t>
      </w:r>
      <w:r w:rsidRPr="0036031C">
        <w:t>"31 December 2019, for cylinders and tubes without a liner, manufactured in two parts joined together".</w:t>
      </w:r>
    </w:p>
    <w:p w14:paraId="45D9F9DC" w14:textId="0C791E35" w:rsidR="007B1AC0" w:rsidRPr="0036031C" w:rsidRDefault="00AD7BF3" w:rsidP="007B1AC0">
      <w:pPr>
        <w:pStyle w:val="SingleTxtG"/>
        <w:rPr>
          <w:i/>
        </w:rPr>
      </w:pPr>
      <w:r>
        <w:rPr>
          <w:i/>
        </w:rPr>
        <w:t>(</w:t>
      </w:r>
      <w:r w:rsidR="007B1AC0" w:rsidRPr="0036031C">
        <w:rPr>
          <w:i/>
        </w:rPr>
        <w:t>Reference documents: informal documents INF.28 and INF.45</w:t>
      </w:r>
      <w:r>
        <w:rPr>
          <w:i/>
        </w:rPr>
        <w:t>)</w:t>
      </w:r>
    </w:p>
    <w:p w14:paraId="5653438A" w14:textId="77777777" w:rsidR="007B1AC0" w:rsidRPr="0036031C" w:rsidRDefault="007B1AC0" w:rsidP="007B1AC0">
      <w:pPr>
        <w:pStyle w:val="SingleTxtG"/>
      </w:pPr>
      <w:r w:rsidRPr="0036031C">
        <w:t>–</w:t>
      </w:r>
      <w:r w:rsidRPr="0036031C">
        <w:tab/>
        <w:t>For standard "EN 12245:2009 + A1:2011", in column (2), add the following Note:</w:t>
      </w:r>
    </w:p>
    <w:p w14:paraId="5352DE12" w14:textId="77777777" w:rsidR="007B1AC0" w:rsidRPr="0036031C" w:rsidRDefault="007B1AC0" w:rsidP="007B1AC0">
      <w:pPr>
        <w:pStyle w:val="SingleTxtG"/>
      </w:pPr>
      <w:r w:rsidRPr="0036031C">
        <w:t>"</w:t>
      </w:r>
      <w:r w:rsidRPr="0036031C">
        <w:rPr>
          <w:b/>
          <w:i/>
        </w:rPr>
        <w:t>NOTE:</w:t>
      </w:r>
      <w:r w:rsidRPr="0036031C">
        <w:rPr>
          <w:i/>
        </w:rPr>
        <w:tab/>
        <w:t>This standard shall not be used for cylinders and tubes without a liner, manufactured from two parts joined together.</w:t>
      </w:r>
      <w:r w:rsidRPr="0036031C">
        <w:t>"</w:t>
      </w:r>
    </w:p>
    <w:p w14:paraId="2D1E49AF" w14:textId="18EEA8BD" w:rsidR="007B1AC0" w:rsidRPr="0036031C" w:rsidRDefault="00AD7BF3" w:rsidP="007B1AC0">
      <w:pPr>
        <w:pStyle w:val="SingleTxtG"/>
        <w:rPr>
          <w:i/>
        </w:rPr>
      </w:pPr>
      <w:r>
        <w:rPr>
          <w:i/>
        </w:rPr>
        <w:t>(</w:t>
      </w:r>
      <w:r w:rsidR="007B1AC0" w:rsidRPr="0036031C">
        <w:rPr>
          <w:i/>
        </w:rPr>
        <w:t>Reference documents: informal documents INF.28 and INF.45</w:t>
      </w:r>
      <w:r>
        <w:rPr>
          <w:i/>
        </w:rPr>
        <w:t>)</w:t>
      </w:r>
    </w:p>
    <w:p w14:paraId="7DFD7CB0" w14:textId="77777777" w:rsidR="007B1AC0" w:rsidRPr="0036031C" w:rsidRDefault="007B1AC0" w:rsidP="007B1AC0">
      <w:pPr>
        <w:pStyle w:val="SingleTxtG"/>
      </w:pPr>
      <w:r w:rsidRPr="0036031C">
        <w:lastRenderedPageBreak/>
        <w:t>–</w:t>
      </w:r>
      <w:r w:rsidRPr="0036031C">
        <w:tab/>
        <w:t>For standard "EN 12245:2009 + A1:2011", in column (5), insert:</w:t>
      </w:r>
      <w:r>
        <w:t xml:space="preserve"> </w:t>
      </w:r>
      <w:r w:rsidRPr="0036031C">
        <w:t>"31 December 2019, for cylinders and tubes without a liner, manufactured in two parts joined together".</w:t>
      </w:r>
    </w:p>
    <w:p w14:paraId="00A55C09" w14:textId="307A6188" w:rsidR="007B1AC0" w:rsidRPr="0036031C" w:rsidRDefault="00AD7BF3" w:rsidP="007B1AC0">
      <w:pPr>
        <w:pStyle w:val="SingleTxtG"/>
        <w:rPr>
          <w:i/>
        </w:rPr>
      </w:pPr>
      <w:r>
        <w:rPr>
          <w:i/>
        </w:rPr>
        <w:t>(</w:t>
      </w:r>
      <w:r w:rsidR="007B1AC0" w:rsidRPr="0036031C">
        <w:rPr>
          <w:i/>
        </w:rPr>
        <w:t>Reference documents: informal documents INF.28 and INF.45</w:t>
      </w:r>
      <w:r>
        <w:rPr>
          <w:i/>
        </w:rPr>
        <w:t>)</w:t>
      </w:r>
    </w:p>
    <w:p w14:paraId="62C86E8E" w14:textId="77777777" w:rsidR="007B1AC0" w:rsidRPr="00175B46" w:rsidRDefault="007B1AC0" w:rsidP="007B1AC0">
      <w:pPr>
        <w:pStyle w:val="SingleTxtG"/>
      </w:pPr>
      <w:r w:rsidRPr="00926B9D">
        <w:t>6.2.4.1</w:t>
      </w:r>
      <w:r w:rsidRPr="00926B9D">
        <w:tab/>
      </w:r>
      <w:r>
        <w:tab/>
      </w:r>
      <w:r w:rsidRPr="00175B46">
        <w:t>Amend the Table, under "for closures", as follows:</w:t>
      </w:r>
    </w:p>
    <w:p w14:paraId="3E461AA6" w14:textId="77777777" w:rsidR="007B1AC0" w:rsidRPr="00175B46" w:rsidRDefault="007B1AC0" w:rsidP="007B1AC0">
      <w:pPr>
        <w:pStyle w:val="SingleTxtG"/>
        <w:rPr>
          <w:rFonts w:cs="Arial"/>
          <w:szCs w:val="22"/>
        </w:rPr>
      </w:pPr>
      <w:r w:rsidRPr="00175B46">
        <w:rPr>
          <w:rFonts w:cs="Arial"/>
          <w:szCs w:val="22"/>
        </w:rPr>
        <w:t>–</w:t>
      </w:r>
      <w:r w:rsidRPr="00175B46">
        <w:rPr>
          <w:rFonts w:cs="Arial"/>
          <w:szCs w:val="22"/>
        </w:rPr>
        <w:tab/>
        <w:t>For standard "</w:t>
      </w:r>
      <w:r w:rsidRPr="00175B46">
        <w:t>EN ISO </w:t>
      </w:r>
      <w:r w:rsidRPr="00175B46">
        <w:rPr>
          <w:iCs/>
        </w:rPr>
        <w:t>14246:2014</w:t>
      </w:r>
      <w:r w:rsidRPr="00175B46">
        <w:rPr>
          <w:rFonts w:cs="Arial"/>
          <w:szCs w:val="22"/>
        </w:rPr>
        <w:t>", in column (4), replace "Until further notice" by:</w:t>
      </w:r>
      <w:r>
        <w:rPr>
          <w:rFonts w:cs="Arial"/>
          <w:szCs w:val="22"/>
        </w:rPr>
        <w:t xml:space="preserve"> </w:t>
      </w:r>
      <w:r w:rsidRPr="00175B46">
        <w:rPr>
          <w:rFonts w:cs="Arial"/>
          <w:szCs w:val="22"/>
        </w:rPr>
        <w:t>"Between 1 January 2015 and 31 December 2020".</w:t>
      </w:r>
    </w:p>
    <w:p w14:paraId="2279282D" w14:textId="2A032413" w:rsidR="007B1AC0" w:rsidRPr="001433D8" w:rsidRDefault="00AD7BF3"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INF.45</w:t>
      </w:r>
      <w:r>
        <w:rPr>
          <w:i/>
          <w:lang w:val="fr-FR"/>
        </w:rPr>
        <w:t>)</w:t>
      </w:r>
    </w:p>
    <w:p w14:paraId="1D06FFF8" w14:textId="77777777" w:rsidR="007B1AC0" w:rsidRPr="00175B46" w:rsidRDefault="007B1AC0" w:rsidP="007B1AC0">
      <w:pPr>
        <w:pStyle w:val="SingleTxtG"/>
        <w:rPr>
          <w:rFonts w:cs="Arial"/>
          <w:szCs w:val="22"/>
        </w:rPr>
      </w:pPr>
      <w:r w:rsidRPr="00175B46">
        <w:rPr>
          <w:rFonts w:cs="Arial"/>
          <w:szCs w:val="22"/>
        </w:rPr>
        <w:t>–</w:t>
      </w:r>
      <w:r w:rsidRPr="00175B46">
        <w:rPr>
          <w:rFonts w:cs="Arial"/>
          <w:szCs w:val="22"/>
        </w:rPr>
        <w:tab/>
        <w:t>After standard "</w:t>
      </w:r>
      <w:r w:rsidRPr="00175B46">
        <w:t>EN ISO </w:t>
      </w:r>
      <w:r w:rsidRPr="00175B46">
        <w:rPr>
          <w:iCs/>
        </w:rPr>
        <w:t>14246:2014</w:t>
      </w:r>
      <w:r w:rsidRPr="00175B46">
        <w:rPr>
          <w:rFonts w:cs="Arial"/>
          <w:szCs w:val="22"/>
        </w:rPr>
        <w:t>", insert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1040"/>
        <w:gridCol w:w="982"/>
        <w:gridCol w:w="682"/>
      </w:tblGrid>
      <w:tr w:rsidR="007B1AC0" w:rsidRPr="00175B46" w14:paraId="07C16A85" w14:textId="77777777" w:rsidTr="009D0070">
        <w:tc>
          <w:tcPr>
            <w:tcW w:w="1679" w:type="dxa"/>
            <w:tcBorders>
              <w:top w:val="single" w:sz="4" w:space="0" w:color="auto"/>
              <w:left w:val="single" w:sz="4" w:space="0" w:color="auto"/>
              <w:bottom w:val="single" w:sz="4" w:space="0" w:color="auto"/>
              <w:right w:val="single" w:sz="4" w:space="0" w:color="auto"/>
            </w:tcBorders>
            <w:vAlign w:val="center"/>
            <w:hideMark/>
          </w:tcPr>
          <w:p w14:paraId="30969AB9" w14:textId="77777777" w:rsidR="007B1AC0" w:rsidRPr="00175B46" w:rsidRDefault="007B1AC0" w:rsidP="009D0070">
            <w:pPr>
              <w:widowControl w:val="0"/>
              <w:tabs>
                <w:tab w:val="left" w:pos="708"/>
              </w:tabs>
              <w:rPr>
                <w:rFonts w:cs="Arial"/>
                <w:sz w:val="18"/>
                <w:szCs w:val="18"/>
              </w:rPr>
            </w:pPr>
            <w:r w:rsidRPr="00175B46">
              <w:rPr>
                <w:rFonts w:cs="Arial"/>
                <w:iCs/>
                <w:sz w:val="18"/>
                <w:szCs w:val="18"/>
              </w:rPr>
              <w:t>EN ISO 14246:2014 + A1:2017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CBA6594" w14:textId="77777777" w:rsidR="007B1AC0" w:rsidRPr="00175B46" w:rsidRDefault="007B1AC0" w:rsidP="009D0070">
            <w:pPr>
              <w:widowControl w:val="0"/>
              <w:tabs>
                <w:tab w:val="left" w:pos="708"/>
              </w:tabs>
              <w:rPr>
                <w:rFonts w:cs="Arial"/>
                <w:sz w:val="18"/>
                <w:szCs w:val="18"/>
              </w:rPr>
            </w:pPr>
            <w:r w:rsidRPr="00175B46">
              <w:rPr>
                <w:rFonts w:cs="Arial"/>
                <w:bCs/>
                <w:iCs/>
                <w:sz w:val="18"/>
                <w:szCs w:val="18"/>
              </w:rPr>
              <w:t>Gas cylinders – Cylinder valves – Manufacturing tests and examinations</w:t>
            </w:r>
          </w:p>
        </w:tc>
        <w:tc>
          <w:tcPr>
            <w:tcW w:w="1012" w:type="dxa"/>
            <w:tcBorders>
              <w:top w:val="single" w:sz="4" w:space="0" w:color="auto"/>
              <w:left w:val="single" w:sz="4" w:space="0" w:color="auto"/>
              <w:bottom w:val="single" w:sz="4" w:space="0" w:color="auto"/>
              <w:right w:val="single" w:sz="4" w:space="0" w:color="auto"/>
            </w:tcBorders>
            <w:vAlign w:val="center"/>
            <w:hideMark/>
          </w:tcPr>
          <w:p w14:paraId="35D7A559" w14:textId="77777777" w:rsidR="007B1AC0" w:rsidRPr="00175B46" w:rsidRDefault="007B1AC0" w:rsidP="009D0070">
            <w:pPr>
              <w:widowControl w:val="0"/>
              <w:tabs>
                <w:tab w:val="left" w:pos="708"/>
              </w:tabs>
              <w:rPr>
                <w:rFonts w:cs="Arial"/>
                <w:sz w:val="18"/>
                <w:szCs w:val="18"/>
              </w:rPr>
            </w:pPr>
            <w:r w:rsidRPr="00175B46">
              <w:rPr>
                <w:rFonts w:cs="Arial"/>
                <w:sz w:val="18"/>
                <w:szCs w:val="18"/>
              </w:rPr>
              <w:t>6.2.3.1 and 6.2.3.4</w:t>
            </w:r>
          </w:p>
        </w:tc>
        <w:tc>
          <w:tcPr>
            <w:tcW w:w="956" w:type="dxa"/>
            <w:tcBorders>
              <w:top w:val="single" w:sz="4" w:space="0" w:color="auto"/>
              <w:left w:val="single" w:sz="4" w:space="0" w:color="auto"/>
              <w:bottom w:val="single" w:sz="4" w:space="0" w:color="auto"/>
              <w:right w:val="single" w:sz="4" w:space="0" w:color="auto"/>
            </w:tcBorders>
            <w:vAlign w:val="center"/>
            <w:hideMark/>
          </w:tcPr>
          <w:p w14:paraId="2CEF2538" w14:textId="77777777" w:rsidR="007B1AC0" w:rsidRPr="00175B46" w:rsidRDefault="007B1AC0" w:rsidP="009D0070">
            <w:pPr>
              <w:widowControl w:val="0"/>
              <w:tabs>
                <w:tab w:val="left" w:pos="708"/>
              </w:tabs>
              <w:jc w:val="center"/>
              <w:rPr>
                <w:rFonts w:cs="Arial"/>
                <w:sz w:val="18"/>
                <w:szCs w:val="18"/>
              </w:rPr>
            </w:pPr>
            <w:r w:rsidRPr="00175B46">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14:paraId="6D739FAC" w14:textId="77777777" w:rsidR="007B1AC0" w:rsidRPr="00175B46" w:rsidRDefault="007B1AC0" w:rsidP="009D0070">
            <w:pPr>
              <w:widowControl w:val="0"/>
              <w:tabs>
                <w:tab w:val="left" w:pos="708"/>
              </w:tabs>
              <w:rPr>
                <w:rFonts w:cs="Arial"/>
                <w:sz w:val="18"/>
                <w:szCs w:val="18"/>
              </w:rPr>
            </w:pPr>
          </w:p>
        </w:tc>
      </w:tr>
    </w:tbl>
    <w:p w14:paraId="22202C7C" w14:textId="6B493BBE" w:rsidR="007B1AC0" w:rsidRPr="00C50EC7" w:rsidRDefault="00AD7BF3" w:rsidP="007B1AC0">
      <w:pPr>
        <w:pStyle w:val="SingleTxtG"/>
        <w:rPr>
          <w:i/>
          <w:lang w:val="fr-FR"/>
        </w:rPr>
      </w:pPr>
      <w:r>
        <w:rPr>
          <w:i/>
          <w:lang w:val="fr-FR"/>
        </w:rPr>
        <w:t>(</w:t>
      </w:r>
      <w:r w:rsidR="007B1AC0" w:rsidRPr="00C50EC7">
        <w:rPr>
          <w:i/>
          <w:lang w:val="fr-FR"/>
        </w:rPr>
        <w:t xml:space="preserve">Reference document: </w:t>
      </w:r>
      <w:proofErr w:type="spellStart"/>
      <w:r w:rsidR="007B1AC0" w:rsidRPr="00C50EC7">
        <w:rPr>
          <w:i/>
          <w:lang w:val="fr-FR"/>
        </w:rPr>
        <w:t>informal</w:t>
      </w:r>
      <w:proofErr w:type="spellEnd"/>
      <w:r w:rsidR="007B1AC0" w:rsidRPr="00C50EC7">
        <w:rPr>
          <w:i/>
          <w:lang w:val="fr-FR"/>
        </w:rPr>
        <w:t xml:space="preserve"> document INF.45</w:t>
      </w:r>
      <w:r>
        <w:rPr>
          <w:i/>
          <w:lang w:val="fr-FR"/>
        </w:rPr>
        <w:t>)</w:t>
      </w:r>
    </w:p>
    <w:p w14:paraId="4757656A" w14:textId="77777777" w:rsidR="007B1AC0" w:rsidRDefault="007B1AC0" w:rsidP="007B1AC0">
      <w:pPr>
        <w:pStyle w:val="H1G"/>
      </w:pPr>
      <w:r w:rsidRPr="001433D8">
        <w:rPr>
          <w:lang w:val="fr-FR"/>
        </w:rPr>
        <w:tab/>
      </w:r>
      <w:r w:rsidRPr="001433D8">
        <w:rPr>
          <w:lang w:val="fr-FR"/>
        </w:rPr>
        <w:tab/>
      </w:r>
      <w:r w:rsidRPr="00175B46">
        <w:t>Chapter 6.8</w:t>
      </w:r>
    </w:p>
    <w:p w14:paraId="7EDA8193" w14:textId="77777777" w:rsidR="007B1AC0" w:rsidRPr="0036031C" w:rsidRDefault="007B1AC0" w:rsidP="007B1AC0">
      <w:pPr>
        <w:pStyle w:val="SingleTxtG"/>
      </w:pPr>
      <w:r w:rsidRPr="0036031C">
        <w:t>6.8.2.1.2</w:t>
      </w:r>
      <w:r w:rsidRPr="0036031C">
        <w:tab/>
        <w:t>In the text of the right-hand column, after "Tank-container", insert a reference to a footnote 2/1 to read as follows:</w:t>
      </w:r>
    </w:p>
    <w:p w14:paraId="1FA9DE17" w14:textId="77777777" w:rsidR="007B1AC0" w:rsidRPr="0036031C" w:rsidRDefault="007B1AC0" w:rsidP="007B1AC0">
      <w:pPr>
        <w:pStyle w:val="SingleTxtG"/>
      </w:pPr>
      <w:r w:rsidRPr="0036031C">
        <w:t>"</w:t>
      </w:r>
      <w:r w:rsidRPr="0036031C">
        <w:rPr>
          <w:vertAlign w:val="superscript"/>
        </w:rPr>
        <w:t>2/1</w:t>
      </w:r>
      <w:r w:rsidRPr="0036031C">
        <w:tab/>
        <w:t>See also 7.1.3."</w:t>
      </w:r>
    </w:p>
    <w:p w14:paraId="52B9CB3B" w14:textId="6DFDA682" w:rsidR="007B1AC0" w:rsidRPr="0036031C" w:rsidRDefault="007B1AC0" w:rsidP="007B1AC0">
      <w:pPr>
        <w:pStyle w:val="SingleTxtG"/>
      </w:pPr>
      <w:r w:rsidRPr="0036031C">
        <w:t xml:space="preserve">Footnotes 2/1 to 21/18 become footnotes </w:t>
      </w:r>
      <w:r w:rsidR="0020628D">
        <w:t>3</w:t>
      </w:r>
      <w:r w:rsidRPr="0036031C">
        <w:t>/</w:t>
      </w:r>
      <w:r w:rsidR="0020628D">
        <w:t>2</w:t>
      </w:r>
      <w:r w:rsidRPr="0036031C">
        <w:t xml:space="preserve"> to 22/19.</w:t>
      </w:r>
    </w:p>
    <w:p w14:paraId="3CB67D16" w14:textId="41295AFC" w:rsidR="007B1AC0" w:rsidRPr="0036031C" w:rsidRDefault="00AD7BF3" w:rsidP="007B1AC0">
      <w:pPr>
        <w:pStyle w:val="SingleTxtG"/>
        <w:rPr>
          <w:i/>
        </w:rPr>
      </w:pPr>
      <w:r>
        <w:rPr>
          <w:i/>
        </w:rPr>
        <w:t>(</w:t>
      </w:r>
      <w:r w:rsidR="007B1AC0" w:rsidRPr="0036031C">
        <w:rPr>
          <w:i/>
        </w:rPr>
        <w:t>Reference documents: informal documents INF.19 and INF.47</w:t>
      </w:r>
      <w:r>
        <w:rPr>
          <w:i/>
        </w:rPr>
        <w:t>)</w:t>
      </w:r>
    </w:p>
    <w:p w14:paraId="3FE988FD" w14:textId="56F877A9" w:rsidR="007B1AC0" w:rsidRPr="00FB6F1F" w:rsidRDefault="007B1AC0" w:rsidP="007B1AC0">
      <w:pPr>
        <w:pStyle w:val="SingleTxtG"/>
        <w:tabs>
          <w:tab w:val="left" w:pos="2268"/>
        </w:tabs>
      </w:pPr>
      <w:r w:rsidRPr="00FB6F1F">
        <w:t>6.8.2.3.4</w:t>
      </w:r>
      <w:r w:rsidRPr="00FB6F1F">
        <w:tab/>
        <w:t>The amendments in the French version do not apply to the English text.</w:t>
      </w:r>
    </w:p>
    <w:p w14:paraId="7D391D22" w14:textId="278C5533" w:rsidR="007B1AC0" w:rsidRPr="0036031C" w:rsidRDefault="00AD7BF3" w:rsidP="007B1AC0">
      <w:pPr>
        <w:pStyle w:val="SingleTxtG"/>
        <w:rPr>
          <w:i/>
        </w:rPr>
      </w:pPr>
      <w:r>
        <w:rPr>
          <w:i/>
        </w:rPr>
        <w:t>(</w:t>
      </w:r>
      <w:r w:rsidR="007B1AC0" w:rsidRPr="0036031C">
        <w:rPr>
          <w:i/>
        </w:rPr>
        <w:t>Reference documents: informal documents INF.19 and INF.47</w:t>
      </w:r>
      <w:r>
        <w:rPr>
          <w:i/>
        </w:rPr>
        <w:t>)</w:t>
      </w:r>
    </w:p>
    <w:p w14:paraId="131FAFA5" w14:textId="77777777" w:rsidR="007B1AC0" w:rsidRPr="00C50EC7" w:rsidRDefault="007B1AC0" w:rsidP="007B1AC0">
      <w:pPr>
        <w:pStyle w:val="SingleTxtG"/>
      </w:pPr>
      <w:r w:rsidRPr="00C50EC7">
        <w:t>[6.8.2.6.1</w:t>
      </w:r>
      <w:r w:rsidRPr="00C50EC7">
        <w:tab/>
        <w:t>Amend the Table, under "For design and construction of tanks", as follows:</w:t>
      </w:r>
    </w:p>
    <w:p w14:paraId="41A1FE05" w14:textId="77777777" w:rsidR="007B1AC0" w:rsidRPr="00175B46" w:rsidRDefault="007B1AC0" w:rsidP="007B1AC0">
      <w:pPr>
        <w:pStyle w:val="SingleTxtG"/>
        <w:rPr>
          <w:rFonts w:cs="Arial"/>
          <w:szCs w:val="22"/>
        </w:rPr>
      </w:pPr>
      <w:r w:rsidRPr="00175B46">
        <w:rPr>
          <w:rFonts w:cs="Arial"/>
          <w:szCs w:val="22"/>
        </w:rPr>
        <w:t>–</w:t>
      </w:r>
      <w:r w:rsidRPr="00175B46">
        <w:rPr>
          <w:rFonts w:cs="Arial"/>
          <w:szCs w:val="22"/>
        </w:rPr>
        <w:tab/>
        <w:t xml:space="preserve">For standard </w:t>
      </w:r>
      <w:r w:rsidRPr="00175B46">
        <w:rPr>
          <w:snapToGrid w:val="0"/>
        </w:rPr>
        <w:t>"EN 14025:2013 + A1:2016"</w:t>
      </w:r>
      <w:r w:rsidRPr="00175B46">
        <w:rPr>
          <w:rFonts w:cs="Arial"/>
          <w:szCs w:val="22"/>
        </w:rPr>
        <w:t>, in column (4), replace "Until further notice" by:</w:t>
      </w:r>
      <w:r>
        <w:rPr>
          <w:rFonts w:cs="Arial"/>
          <w:szCs w:val="22"/>
        </w:rPr>
        <w:t xml:space="preserve"> </w:t>
      </w:r>
      <w:r w:rsidRPr="00175B46">
        <w:rPr>
          <w:rFonts w:cs="Arial"/>
          <w:szCs w:val="22"/>
        </w:rPr>
        <w:t>"Between 1 January 20</w:t>
      </w:r>
      <w:r>
        <w:rPr>
          <w:rFonts w:cs="Arial"/>
          <w:szCs w:val="22"/>
        </w:rPr>
        <w:t>17</w:t>
      </w:r>
      <w:r w:rsidRPr="00175B46">
        <w:rPr>
          <w:rFonts w:cs="Arial"/>
          <w:szCs w:val="22"/>
        </w:rPr>
        <w:t xml:space="preserve"> and 31 December 2020".</w:t>
      </w:r>
    </w:p>
    <w:p w14:paraId="7E9ADEAE" w14:textId="0C702A82" w:rsidR="007B1AC0" w:rsidRPr="001433D8" w:rsidRDefault="005440A3" w:rsidP="007B1AC0">
      <w:pPr>
        <w:pStyle w:val="SingleTxtG"/>
        <w:rPr>
          <w:i/>
        </w:rPr>
      </w:pPr>
      <w:r>
        <w:rPr>
          <w:i/>
        </w:rPr>
        <w:t>(</w:t>
      </w:r>
      <w:r w:rsidR="007B1AC0" w:rsidRPr="001433D8">
        <w:rPr>
          <w:i/>
        </w:rPr>
        <w:t>Reference document: informal document INF.45</w:t>
      </w:r>
      <w:r>
        <w:rPr>
          <w:i/>
        </w:rPr>
        <w:t>)</w:t>
      </w:r>
    </w:p>
    <w:p w14:paraId="165DA363" w14:textId="77777777" w:rsidR="007B1AC0" w:rsidRPr="00175B46" w:rsidRDefault="007B1AC0" w:rsidP="007B1AC0">
      <w:pPr>
        <w:pStyle w:val="SingleTxtG"/>
        <w:rPr>
          <w:color w:val="000000"/>
        </w:rPr>
      </w:pPr>
      <w:r w:rsidRPr="00175B46">
        <w:t>–</w:t>
      </w:r>
      <w:r w:rsidRPr="00175B46">
        <w:tab/>
        <w:t>After the standard "EN 14025:2013 + A1:2016", insert the following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720"/>
        <w:gridCol w:w="1302"/>
        <w:gridCol w:w="682"/>
      </w:tblGrid>
      <w:tr w:rsidR="007B1AC0" w:rsidRPr="00175B46" w14:paraId="3C4998D6" w14:textId="77777777" w:rsidTr="009D0070">
        <w:tc>
          <w:tcPr>
            <w:tcW w:w="1724" w:type="dxa"/>
            <w:tcBorders>
              <w:top w:val="single" w:sz="4" w:space="0" w:color="auto"/>
              <w:left w:val="single" w:sz="4" w:space="0" w:color="auto"/>
              <w:bottom w:val="single" w:sz="4" w:space="0" w:color="auto"/>
              <w:right w:val="single" w:sz="4" w:space="0" w:color="auto"/>
            </w:tcBorders>
            <w:vAlign w:val="center"/>
            <w:hideMark/>
          </w:tcPr>
          <w:p w14:paraId="2151CF47" w14:textId="77777777" w:rsidR="007B1AC0" w:rsidRPr="00175B46" w:rsidRDefault="007B1AC0" w:rsidP="009D0070">
            <w:pPr>
              <w:widowControl w:val="0"/>
              <w:rPr>
                <w:rFonts w:cs="Arial"/>
                <w:sz w:val="18"/>
                <w:szCs w:val="18"/>
              </w:rPr>
            </w:pPr>
            <w:r w:rsidRPr="00175B46">
              <w:rPr>
                <w:rFonts w:cs="Arial"/>
                <w:bCs/>
                <w:iCs/>
                <w:sz w:val="18"/>
                <w:szCs w:val="18"/>
              </w:rPr>
              <w:t>EN </w:t>
            </w:r>
            <w:r w:rsidRPr="00175B46">
              <w:rPr>
                <w:rFonts w:cs="Arial"/>
                <w:bCs/>
                <w:sz w:val="18"/>
                <w:szCs w:val="18"/>
              </w:rPr>
              <w:t>14025:2018</w:t>
            </w:r>
          </w:p>
        </w:tc>
        <w:tc>
          <w:tcPr>
            <w:tcW w:w="4077" w:type="dxa"/>
            <w:tcBorders>
              <w:top w:val="single" w:sz="4" w:space="0" w:color="auto"/>
              <w:left w:val="single" w:sz="4" w:space="0" w:color="auto"/>
              <w:bottom w:val="single" w:sz="4" w:space="0" w:color="auto"/>
              <w:right w:val="single" w:sz="4" w:space="0" w:color="auto"/>
            </w:tcBorders>
            <w:vAlign w:val="center"/>
            <w:hideMark/>
          </w:tcPr>
          <w:p w14:paraId="5A89A71D" w14:textId="77777777" w:rsidR="007B1AC0" w:rsidRPr="00175B46" w:rsidRDefault="007B1AC0" w:rsidP="009D0070">
            <w:pPr>
              <w:widowControl w:val="0"/>
              <w:rPr>
                <w:rFonts w:cs="Arial"/>
                <w:sz w:val="18"/>
                <w:szCs w:val="18"/>
              </w:rPr>
            </w:pPr>
            <w:r w:rsidRPr="00175B46">
              <w:rPr>
                <w:rFonts w:cs="Arial"/>
                <w:bCs/>
                <w:sz w:val="18"/>
                <w:szCs w:val="18"/>
              </w:rPr>
              <w:t>Tanks for the transport of dangerous goods – Metallic pressure tanks – Design and construction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DCF8F2" w14:textId="77777777" w:rsidR="007B1AC0" w:rsidRPr="00175B46" w:rsidRDefault="007B1AC0" w:rsidP="009D0070">
            <w:pPr>
              <w:widowControl w:val="0"/>
              <w:rPr>
                <w:rFonts w:cs="Arial"/>
                <w:sz w:val="18"/>
                <w:szCs w:val="18"/>
              </w:rPr>
            </w:pPr>
            <w:r w:rsidRPr="00175B46">
              <w:rPr>
                <w:rFonts w:cs="Arial"/>
                <w:sz w:val="18"/>
                <w:szCs w:val="18"/>
              </w:rPr>
              <w:t>6.8.2.1 and 6.8.2.3</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1474DF4" w14:textId="461B7C77" w:rsidR="007B1AC0" w:rsidRPr="00175B46" w:rsidRDefault="0020628D" w:rsidP="009D0070">
            <w:pPr>
              <w:widowControl w:val="0"/>
              <w:jc w:val="center"/>
              <w:rPr>
                <w:rFonts w:cs="Arial"/>
                <w:sz w:val="18"/>
                <w:szCs w:val="18"/>
              </w:rPr>
            </w:pPr>
            <w:r>
              <w:rPr>
                <w:rFonts w:cs="Arial"/>
                <w:bCs/>
                <w:sz w:val="18"/>
                <w:szCs w:val="18"/>
              </w:rPr>
              <w:t>Until further notice</w:t>
            </w:r>
          </w:p>
        </w:tc>
        <w:tc>
          <w:tcPr>
            <w:tcW w:w="682" w:type="dxa"/>
            <w:tcBorders>
              <w:top w:val="single" w:sz="4" w:space="0" w:color="auto"/>
              <w:left w:val="single" w:sz="4" w:space="0" w:color="auto"/>
              <w:bottom w:val="single" w:sz="4" w:space="0" w:color="auto"/>
              <w:right w:val="single" w:sz="4" w:space="0" w:color="auto"/>
            </w:tcBorders>
            <w:vAlign w:val="center"/>
          </w:tcPr>
          <w:p w14:paraId="3786752A" w14:textId="77777777" w:rsidR="007B1AC0" w:rsidRPr="00175B46" w:rsidRDefault="007B1AC0" w:rsidP="009D0070">
            <w:pPr>
              <w:widowControl w:val="0"/>
              <w:rPr>
                <w:rFonts w:cs="Arial"/>
                <w:sz w:val="18"/>
                <w:szCs w:val="18"/>
              </w:rPr>
            </w:pPr>
          </w:p>
        </w:tc>
      </w:tr>
    </w:tbl>
    <w:p w14:paraId="6E7915A4" w14:textId="5F0FDF09" w:rsidR="007B1AC0" w:rsidRPr="001433D8" w:rsidRDefault="005440A3" w:rsidP="007B1AC0">
      <w:pPr>
        <w:pStyle w:val="SingleTxtG"/>
        <w:spacing w:before="120"/>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INF.45</w:t>
      </w:r>
      <w:r>
        <w:rPr>
          <w:i/>
          <w:lang w:val="fr-FR"/>
        </w:rPr>
        <w:t>)</w:t>
      </w:r>
    </w:p>
    <w:p w14:paraId="364034DB" w14:textId="77777777" w:rsidR="007B1AC0" w:rsidRPr="00175B46" w:rsidRDefault="007B1AC0" w:rsidP="007B1AC0">
      <w:pPr>
        <w:pStyle w:val="SingleTxtG"/>
      </w:pPr>
      <w:r w:rsidRPr="00175B46">
        <w:t>–</w:t>
      </w:r>
      <w:r w:rsidRPr="00175B46">
        <w:tab/>
        <w:t>After the new standard "EN 14025:2018", insert the following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862"/>
        <w:gridCol w:w="1160"/>
        <w:gridCol w:w="682"/>
      </w:tblGrid>
      <w:tr w:rsidR="007B1AC0" w:rsidRPr="00175B46" w14:paraId="69F76FEE" w14:textId="77777777" w:rsidTr="009D0070">
        <w:tc>
          <w:tcPr>
            <w:tcW w:w="1724" w:type="dxa"/>
            <w:tcBorders>
              <w:top w:val="single" w:sz="4" w:space="0" w:color="auto"/>
              <w:left w:val="single" w:sz="4" w:space="0" w:color="auto"/>
              <w:bottom w:val="single" w:sz="4" w:space="0" w:color="auto"/>
              <w:right w:val="single" w:sz="4" w:space="0" w:color="auto"/>
            </w:tcBorders>
            <w:vAlign w:val="center"/>
            <w:hideMark/>
          </w:tcPr>
          <w:p w14:paraId="58388E33" w14:textId="77777777" w:rsidR="007B1AC0" w:rsidRPr="00175B46" w:rsidRDefault="007B1AC0" w:rsidP="009D0070">
            <w:pPr>
              <w:widowControl w:val="0"/>
              <w:rPr>
                <w:rFonts w:cs="Arial"/>
                <w:sz w:val="18"/>
                <w:szCs w:val="18"/>
              </w:rPr>
            </w:pPr>
            <w:r w:rsidRPr="00175B46">
              <w:rPr>
                <w:rFonts w:cs="Arial"/>
                <w:bCs/>
                <w:sz w:val="18"/>
                <w:szCs w:val="18"/>
              </w:rPr>
              <w:t>EN 12972:2018</w:t>
            </w:r>
          </w:p>
        </w:tc>
        <w:tc>
          <w:tcPr>
            <w:tcW w:w="4077" w:type="dxa"/>
            <w:tcBorders>
              <w:top w:val="single" w:sz="4" w:space="0" w:color="auto"/>
              <w:left w:val="single" w:sz="4" w:space="0" w:color="auto"/>
              <w:bottom w:val="single" w:sz="4" w:space="0" w:color="auto"/>
              <w:right w:val="single" w:sz="4" w:space="0" w:color="auto"/>
            </w:tcBorders>
            <w:vAlign w:val="center"/>
            <w:hideMark/>
          </w:tcPr>
          <w:p w14:paraId="0CB40FCD" w14:textId="77777777" w:rsidR="007B1AC0" w:rsidRPr="00175B46" w:rsidRDefault="007B1AC0" w:rsidP="009D0070">
            <w:pPr>
              <w:widowControl w:val="0"/>
              <w:rPr>
                <w:rFonts w:cs="Arial"/>
                <w:sz w:val="18"/>
                <w:szCs w:val="18"/>
              </w:rPr>
            </w:pPr>
            <w:r w:rsidRPr="00175B46">
              <w:rPr>
                <w:rFonts w:cs="Arial"/>
                <w:bCs/>
                <w:sz w:val="18"/>
                <w:szCs w:val="18"/>
              </w:rPr>
              <w:t>Tanks for transport of dangerous goods – Testing, inspection and marking of metallic tanks</w:t>
            </w:r>
          </w:p>
        </w:tc>
        <w:tc>
          <w:tcPr>
            <w:tcW w:w="862" w:type="dxa"/>
            <w:tcBorders>
              <w:top w:val="single" w:sz="4" w:space="0" w:color="auto"/>
              <w:left w:val="single" w:sz="4" w:space="0" w:color="auto"/>
              <w:bottom w:val="single" w:sz="4" w:space="0" w:color="auto"/>
              <w:right w:val="single" w:sz="4" w:space="0" w:color="auto"/>
            </w:tcBorders>
            <w:vAlign w:val="center"/>
            <w:hideMark/>
          </w:tcPr>
          <w:p w14:paraId="72CED3B5" w14:textId="77777777" w:rsidR="007B1AC0" w:rsidRPr="00175B46" w:rsidRDefault="007B1AC0" w:rsidP="009D0070">
            <w:pPr>
              <w:widowControl w:val="0"/>
              <w:rPr>
                <w:rFonts w:cs="Arial"/>
                <w:sz w:val="18"/>
                <w:szCs w:val="18"/>
              </w:rPr>
            </w:pPr>
            <w:r w:rsidRPr="00175B46">
              <w:rPr>
                <w:rFonts w:cs="Arial"/>
                <w:sz w:val="18"/>
                <w:szCs w:val="18"/>
              </w:rPr>
              <w:t>6.8.2.3</w:t>
            </w:r>
          </w:p>
        </w:tc>
        <w:tc>
          <w:tcPr>
            <w:tcW w:w="1160" w:type="dxa"/>
            <w:tcBorders>
              <w:top w:val="single" w:sz="4" w:space="0" w:color="auto"/>
              <w:left w:val="single" w:sz="4" w:space="0" w:color="auto"/>
              <w:bottom w:val="single" w:sz="4" w:space="0" w:color="auto"/>
              <w:right w:val="single" w:sz="4" w:space="0" w:color="auto"/>
            </w:tcBorders>
            <w:vAlign w:val="center"/>
            <w:hideMark/>
          </w:tcPr>
          <w:p w14:paraId="039CB55A" w14:textId="7EEC3EF2" w:rsidR="007B1AC0" w:rsidRPr="00175B46" w:rsidRDefault="0020628D" w:rsidP="003E15E4">
            <w:pPr>
              <w:widowControl w:val="0"/>
              <w:jc w:val="center"/>
              <w:rPr>
                <w:rFonts w:cs="Arial"/>
                <w:sz w:val="18"/>
                <w:szCs w:val="18"/>
              </w:rPr>
            </w:pPr>
            <w:r>
              <w:rPr>
                <w:rFonts w:cs="Arial"/>
                <w:bCs/>
                <w:sz w:val="18"/>
                <w:szCs w:val="18"/>
              </w:rPr>
              <w:t xml:space="preserve">Mandatorily from 1 January </w:t>
            </w:r>
            <w:r w:rsidR="003F5D3E">
              <w:rPr>
                <w:rFonts w:cs="Arial"/>
                <w:bCs/>
                <w:sz w:val="18"/>
                <w:szCs w:val="18"/>
              </w:rPr>
              <w:t>2021</w:t>
            </w:r>
          </w:p>
        </w:tc>
        <w:tc>
          <w:tcPr>
            <w:tcW w:w="682" w:type="dxa"/>
            <w:tcBorders>
              <w:top w:val="single" w:sz="4" w:space="0" w:color="auto"/>
              <w:left w:val="single" w:sz="4" w:space="0" w:color="auto"/>
              <w:bottom w:val="single" w:sz="4" w:space="0" w:color="auto"/>
              <w:right w:val="single" w:sz="4" w:space="0" w:color="auto"/>
            </w:tcBorders>
            <w:vAlign w:val="center"/>
          </w:tcPr>
          <w:p w14:paraId="2DE5F512" w14:textId="77777777" w:rsidR="007B1AC0" w:rsidRPr="00175B46" w:rsidRDefault="007B1AC0" w:rsidP="009D0070">
            <w:pPr>
              <w:widowControl w:val="0"/>
              <w:rPr>
                <w:rFonts w:cs="Arial"/>
                <w:sz w:val="18"/>
                <w:szCs w:val="18"/>
              </w:rPr>
            </w:pPr>
          </w:p>
        </w:tc>
      </w:tr>
    </w:tbl>
    <w:p w14:paraId="548DE6BC" w14:textId="77777777" w:rsidR="007B1AC0" w:rsidRPr="00C50EC7" w:rsidRDefault="007B1AC0" w:rsidP="007B1AC0">
      <w:pPr>
        <w:pStyle w:val="SingleTxtG"/>
      </w:pPr>
      <w:r w:rsidRPr="00C50EC7">
        <w:t>]</w:t>
      </w:r>
    </w:p>
    <w:p w14:paraId="62D99C00" w14:textId="209683F5" w:rsidR="007B1AC0" w:rsidRPr="001433D8" w:rsidRDefault="005440A3"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INF.45</w:t>
      </w:r>
      <w:r>
        <w:rPr>
          <w:i/>
          <w:lang w:val="fr-FR"/>
        </w:rPr>
        <w:t>)</w:t>
      </w:r>
    </w:p>
    <w:p w14:paraId="5142A6CF" w14:textId="77777777" w:rsidR="007B1AC0" w:rsidRDefault="007B1AC0" w:rsidP="007B1AC0">
      <w:pPr>
        <w:pStyle w:val="SingleTxtG"/>
      </w:pPr>
      <w:r>
        <w:t>(ADR:)</w:t>
      </w:r>
    </w:p>
    <w:p w14:paraId="050621E1" w14:textId="77777777" w:rsidR="007B1AC0" w:rsidRPr="00691A32" w:rsidRDefault="007B1AC0" w:rsidP="007B1AC0">
      <w:pPr>
        <w:pStyle w:val="SingleTxtG"/>
      </w:pPr>
      <w:r w:rsidRPr="00691A32">
        <w:t>–</w:t>
      </w:r>
      <w:r w:rsidRPr="00691A32">
        <w:tab/>
        <w:t xml:space="preserve">For standard "EN 13094:2015", in column (2), </w:t>
      </w:r>
      <w:r>
        <w:t xml:space="preserve">add </w:t>
      </w:r>
      <w:r w:rsidRPr="00691A32">
        <w:t>the following Note:</w:t>
      </w:r>
    </w:p>
    <w:p w14:paraId="574E5D93" w14:textId="77777777" w:rsidR="007B1AC0" w:rsidRDefault="007B1AC0" w:rsidP="007B1AC0">
      <w:pPr>
        <w:pStyle w:val="SingleTxtG"/>
      </w:pPr>
      <w:r>
        <w:lastRenderedPageBreak/>
        <w:t>"</w:t>
      </w:r>
      <w:r w:rsidRPr="00FB6F1F">
        <w:rPr>
          <w:b/>
          <w:i/>
        </w:rPr>
        <w:t>NOTE:</w:t>
      </w:r>
      <w:r w:rsidRPr="00FB6F1F">
        <w:rPr>
          <w:i/>
        </w:rPr>
        <w:tab/>
        <w:t>See also the guideline on the website</w:t>
      </w:r>
      <w:r>
        <w:rPr>
          <w:i/>
        </w:rPr>
        <w:t xml:space="preserve"> </w:t>
      </w:r>
      <w:r w:rsidRPr="004749EE">
        <w:rPr>
          <w:i/>
        </w:rPr>
        <w:t>of the secretariat of the United Nations Economic Commission for Europe</w:t>
      </w:r>
      <w:r>
        <w:rPr>
          <w:i/>
        </w:rPr>
        <w:t xml:space="preserve"> </w:t>
      </w:r>
      <w:r w:rsidRPr="004749EE">
        <w:rPr>
          <w:i/>
        </w:rPr>
        <w:t>(http://www.unece.org/trans/danger/danger.htm</w:t>
      </w:r>
      <w:r>
        <w:rPr>
          <w:i/>
        </w:rPr>
        <w:t>l</w:t>
      </w:r>
      <w:r w:rsidRPr="004749EE">
        <w:rPr>
          <w:i/>
        </w:rPr>
        <w:t>)</w:t>
      </w:r>
      <w:r w:rsidRPr="00FB6F1F">
        <w:rPr>
          <w:i/>
        </w:rPr>
        <w:t>.</w:t>
      </w:r>
      <w:r>
        <w:t>"</w:t>
      </w:r>
    </w:p>
    <w:p w14:paraId="7468AA04" w14:textId="48950519" w:rsidR="007B1AC0" w:rsidRDefault="00DD6D19" w:rsidP="007B1AC0">
      <w:pPr>
        <w:pStyle w:val="SingleTxtG"/>
        <w:rPr>
          <w:i/>
        </w:rPr>
      </w:pPr>
      <w:r>
        <w:rPr>
          <w:i/>
        </w:rPr>
        <w:t>(</w:t>
      </w:r>
      <w:r w:rsidR="007B1AC0" w:rsidRPr="001433D8">
        <w:rPr>
          <w:i/>
        </w:rPr>
        <w:t xml:space="preserve">Reference documents: ECE/TRANS/WP.15/AC.1/2018/12 and </w:t>
      </w:r>
      <w:proofErr w:type="spellStart"/>
      <w:r w:rsidR="007B1AC0" w:rsidRPr="003B4B6D">
        <w:rPr>
          <w:i/>
          <w:lang w:val="fr-FR"/>
        </w:rPr>
        <w:t>informal</w:t>
      </w:r>
      <w:proofErr w:type="spellEnd"/>
      <w:r w:rsidR="007B1AC0" w:rsidRPr="003B4B6D">
        <w:rPr>
          <w:i/>
          <w:lang w:val="fr-FR"/>
        </w:rPr>
        <w:t xml:space="preserve"> document </w:t>
      </w:r>
      <w:r w:rsidR="007B1AC0" w:rsidRPr="001433D8">
        <w:rPr>
          <w:i/>
        </w:rPr>
        <w:t>INF.47</w:t>
      </w:r>
      <w:r>
        <w:rPr>
          <w:i/>
        </w:rPr>
        <w:t>)</w:t>
      </w:r>
    </w:p>
    <w:p w14:paraId="6E4F3E95" w14:textId="77777777" w:rsidR="007B1AC0" w:rsidRPr="007E4A8F" w:rsidRDefault="007B1AC0" w:rsidP="007B1AC0">
      <w:pPr>
        <w:pStyle w:val="SingleTxtG"/>
      </w:pPr>
      <w:r>
        <w:t>(RID/ADR:)</w:t>
      </w:r>
    </w:p>
    <w:p w14:paraId="7120BFF4" w14:textId="77777777" w:rsidR="007B1AC0" w:rsidRDefault="007B1AC0" w:rsidP="007B1AC0">
      <w:pPr>
        <w:pStyle w:val="SingleTxtG"/>
      </w:pPr>
      <w:r w:rsidRPr="00C50EC7">
        <w:t>6.8.2.6.1</w:t>
      </w:r>
      <w:r w:rsidRPr="00C50EC7">
        <w:tab/>
      </w:r>
      <w:r w:rsidRPr="00EF4C1B">
        <w:t xml:space="preserve">Amend the Table, under "For </w:t>
      </w:r>
      <w:r>
        <w:t>equipment</w:t>
      </w:r>
      <w:r w:rsidRPr="00EF4C1B">
        <w:t>", as follows:</w:t>
      </w:r>
    </w:p>
    <w:p w14:paraId="1070EE27" w14:textId="77777777" w:rsidR="007B1AC0" w:rsidRDefault="007B1AC0" w:rsidP="007B1AC0">
      <w:pPr>
        <w:pStyle w:val="SingleTxtG"/>
      </w:pPr>
      <w:r>
        <w:t>–</w:t>
      </w:r>
      <w:r>
        <w:tab/>
        <w:t xml:space="preserve">For standard </w:t>
      </w:r>
      <w:r w:rsidRPr="00EF4C1B">
        <w:t>"EN 14432:2014", amend the Note in column (2) to read as follows:</w:t>
      </w:r>
    </w:p>
    <w:p w14:paraId="576D010B" w14:textId="77777777" w:rsidR="007B1AC0" w:rsidRDefault="007B1AC0" w:rsidP="007B1AC0">
      <w:pPr>
        <w:pStyle w:val="SingleTxtG"/>
      </w:pPr>
      <w:r>
        <w:t>"</w:t>
      </w:r>
      <w:r w:rsidRPr="004749EE">
        <w:rPr>
          <w:b/>
          <w:i/>
        </w:rPr>
        <w:t>NOTE:</w:t>
      </w:r>
      <w:r w:rsidRPr="004749EE">
        <w:rPr>
          <w:i/>
        </w:rPr>
        <w:tab/>
        <w:t>This standard may also be used for gravity-discharge tanks.</w:t>
      </w:r>
      <w:r>
        <w:t>"</w:t>
      </w:r>
    </w:p>
    <w:p w14:paraId="0BCDE9A7" w14:textId="24F7A335" w:rsidR="007B1AC0" w:rsidRPr="004749EE" w:rsidRDefault="00DD6D19" w:rsidP="007B1AC0">
      <w:pPr>
        <w:pStyle w:val="SingleTxtG"/>
        <w:rPr>
          <w:i/>
        </w:rPr>
      </w:pPr>
      <w:r>
        <w:rPr>
          <w:i/>
        </w:rPr>
        <w:t>(</w:t>
      </w:r>
      <w:r w:rsidR="007B1AC0" w:rsidRPr="004749EE">
        <w:rPr>
          <w:i/>
        </w:rPr>
        <w:t>Reference documents: informal documents INF.40 and INF.47</w:t>
      </w:r>
      <w:r>
        <w:rPr>
          <w:i/>
        </w:rPr>
        <w:t>)</w:t>
      </w:r>
    </w:p>
    <w:p w14:paraId="7589594C" w14:textId="77777777" w:rsidR="007B1AC0" w:rsidRDefault="007B1AC0" w:rsidP="007B1AC0">
      <w:pPr>
        <w:pStyle w:val="SingleTxtG"/>
      </w:pPr>
      <w:r>
        <w:t>–</w:t>
      </w:r>
      <w:r>
        <w:tab/>
        <w:t xml:space="preserve">For standard </w:t>
      </w:r>
      <w:r w:rsidRPr="00EF4C1B">
        <w:t>"EN 1443</w:t>
      </w:r>
      <w:r>
        <w:t>3</w:t>
      </w:r>
      <w:r w:rsidRPr="00EF4C1B">
        <w:t>:2014", amend the Note in column (2) to read as follows:</w:t>
      </w:r>
    </w:p>
    <w:p w14:paraId="3133AA34" w14:textId="77777777" w:rsidR="007B1AC0" w:rsidRDefault="007B1AC0" w:rsidP="007B1AC0">
      <w:pPr>
        <w:pStyle w:val="SingleTxtG"/>
      </w:pPr>
      <w:r>
        <w:t>"</w:t>
      </w:r>
      <w:r w:rsidRPr="004749EE">
        <w:rPr>
          <w:b/>
          <w:i/>
        </w:rPr>
        <w:t>NOTE:</w:t>
      </w:r>
      <w:r w:rsidRPr="004749EE">
        <w:rPr>
          <w:i/>
        </w:rPr>
        <w:tab/>
        <w:t>This standard may also be used for gravity-discharge tanks.</w:t>
      </w:r>
      <w:r>
        <w:t>"</w:t>
      </w:r>
    </w:p>
    <w:p w14:paraId="26154E74" w14:textId="7CCE582D" w:rsidR="007B1AC0" w:rsidRPr="004749EE" w:rsidRDefault="00DD6D19" w:rsidP="007B1AC0">
      <w:pPr>
        <w:pStyle w:val="SingleTxtG"/>
        <w:rPr>
          <w:i/>
        </w:rPr>
      </w:pPr>
      <w:r>
        <w:rPr>
          <w:i/>
        </w:rPr>
        <w:t>(</w:t>
      </w:r>
      <w:r w:rsidR="007B1AC0" w:rsidRPr="004749EE">
        <w:rPr>
          <w:i/>
        </w:rPr>
        <w:t>Reference documents: informal documents INF.40 and INF.47</w:t>
      </w:r>
      <w:r>
        <w:rPr>
          <w:i/>
        </w:rPr>
        <w:t>)</w:t>
      </w:r>
    </w:p>
    <w:p w14:paraId="1A6F8F82" w14:textId="77777777" w:rsidR="007B1AC0" w:rsidRPr="00C50EC7" w:rsidRDefault="007B1AC0" w:rsidP="007B1AC0">
      <w:pPr>
        <w:pStyle w:val="SingleTxtG"/>
      </w:pPr>
      <w:r w:rsidRPr="00C50EC7">
        <w:t>[6.8.2.6.2</w:t>
      </w:r>
      <w:r w:rsidRPr="00C50EC7">
        <w:tab/>
        <w:t>Amend the Table as follows:</w:t>
      </w:r>
    </w:p>
    <w:p w14:paraId="44E14020" w14:textId="77777777" w:rsidR="007B1AC0" w:rsidRPr="00C50EC7" w:rsidRDefault="007B1AC0" w:rsidP="007B1AC0">
      <w:pPr>
        <w:pStyle w:val="SingleTxtG"/>
      </w:pPr>
      <w:r w:rsidRPr="00C50EC7">
        <w:t>–</w:t>
      </w:r>
      <w:r w:rsidRPr="00C50EC7">
        <w:tab/>
        <w:t>For standard "EN 12972:2007", in column (4), replace "Until further notice" by:</w:t>
      </w:r>
      <w:r>
        <w:t xml:space="preserve"> </w:t>
      </w:r>
      <w:r w:rsidRPr="00C50EC7">
        <w:t>"Until 30 June 2019".</w:t>
      </w:r>
    </w:p>
    <w:p w14:paraId="1065D38F" w14:textId="592D170B" w:rsidR="007B1AC0" w:rsidRPr="001433D8" w:rsidRDefault="005440A3"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INF.45</w:t>
      </w:r>
      <w:r>
        <w:rPr>
          <w:i/>
          <w:lang w:val="fr-FR"/>
        </w:rPr>
        <w:t>)</w:t>
      </w:r>
    </w:p>
    <w:p w14:paraId="2D71D6D0" w14:textId="77777777" w:rsidR="007B1AC0" w:rsidRPr="00C50EC7" w:rsidRDefault="007B1AC0" w:rsidP="007B1AC0">
      <w:pPr>
        <w:pStyle w:val="SingleTxtG"/>
      </w:pPr>
      <w:r w:rsidRPr="00C50EC7">
        <w:t>–</w:t>
      </w:r>
      <w:r w:rsidRPr="00C50EC7">
        <w:tab/>
        <w:t>After the standard "EN 12972:2007", insert the following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862"/>
        <w:gridCol w:w="1160"/>
        <w:gridCol w:w="682"/>
      </w:tblGrid>
      <w:tr w:rsidR="007B1AC0" w:rsidRPr="00175B46" w14:paraId="1CE800B5" w14:textId="77777777" w:rsidTr="009D0070">
        <w:tc>
          <w:tcPr>
            <w:tcW w:w="1724" w:type="dxa"/>
            <w:tcBorders>
              <w:top w:val="single" w:sz="4" w:space="0" w:color="auto"/>
              <w:left w:val="single" w:sz="4" w:space="0" w:color="auto"/>
              <w:bottom w:val="single" w:sz="4" w:space="0" w:color="auto"/>
              <w:right w:val="single" w:sz="4" w:space="0" w:color="auto"/>
            </w:tcBorders>
            <w:vAlign w:val="center"/>
            <w:hideMark/>
          </w:tcPr>
          <w:p w14:paraId="034AB671" w14:textId="77777777" w:rsidR="007B1AC0" w:rsidRPr="003E15E4" w:rsidRDefault="007B1AC0" w:rsidP="009D0070">
            <w:pPr>
              <w:widowControl w:val="0"/>
              <w:rPr>
                <w:rFonts w:cs="Arial"/>
                <w:sz w:val="18"/>
                <w:szCs w:val="18"/>
              </w:rPr>
            </w:pPr>
            <w:r w:rsidRPr="003E15E4">
              <w:rPr>
                <w:rFonts w:cs="Arial"/>
                <w:bCs/>
                <w:sz w:val="18"/>
                <w:szCs w:val="18"/>
              </w:rPr>
              <w:t>EN 12972:2018</w:t>
            </w:r>
          </w:p>
        </w:tc>
        <w:tc>
          <w:tcPr>
            <w:tcW w:w="4077" w:type="dxa"/>
            <w:tcBorders>
              <w:top w:val="single" w:sz="4" w:space="0" w:color="auto"/>
              <w:left w:val="single" w:sz="4" w:space="0" w:color="auto"/>
              <w:bottom w:val="single" w:sz="4" w:space="0" w:color="auto"/>
              <w:right w:val="single" w:sz="4" w:space="0" w:color="auto"/>
            </w:tcBorders>
            <w:vAlign w:val="center"/>
            <w:hideMark/>
          </w:tcPr>
          <w:p w14:paraId="6445CE76" w14:textId="77777777" w:rsidR="007B1AC0" w:rsidRPr="000650FD" w:rsidRDefault="007B1AC0" w:rsidP="009D0070">
            <w:pPr>
              <w:widowControl w:val="0"/>
              <w:rPr>
                <w:rFonts w:cs="Arial"/>
                <w:sz w:val="18"/>
                <w:szCs w:val="18"/>
              </w:rPr>
            </w:pPr>
            <w:r w:rsidRPr="000650FD">
              <w:rPr>
                <w:rFonts w:cs="Arial"/>
                <w:bCs/>
                <w:sz w:val="18"/>
                <w:szCs w:val="18"/>
              </w:rPr>
              <w:t>Tanks for transport of dangerous goods – Testing, inspection and marking of metallic tanks</w:t>
            </w:r>
          </w:p>
        </w:tc>
        <w:tc>
          <w:tcPr>
            <w:tcW w:w="862" w:type="dxa"/>
            <w:tcBorders>
              <w:top w:val="single" w:sz="4" w:space="0" w:color="auto"/>
              <w:left w:val="single" w:sz="4" w:space="0" w:color="auto"/>
              <w:bottom w:val="single" w:sz="4" w:space="0" w:color="auto"/>
              <w:right w:val="single" w:sz="4" w:space="0" w:color="auto"/>
            </w:tcBorders>
            <w:vAlign w:val="center"/>
            <w:hideMark/>
          </w:tcPr>
          <w:p w14:paraId="650E74A9" w14:textId="4B0721DB" w:rsidR="007B1AC0" w:rsidRPr="000650FD" w:rsidRDefault="007B1AC0" w:rsidP="009D0070">
            <w:pPr>
              <w:widowControl w:val="0"/>
              <w:rPr>
                <w:rFonts w:cs="Arial"/>
                <w:sz w:val="18"/>
                <w:szCs w:val="18"/>
              </w:rPr>
            </w:pPr>
            <w:r w:rsidRPr="000650FD">
              <w:rPr>
                <w:rFonts w:cs="Arial"/>
                <w:sz w:val="18"/>
                <w:szCs w:val="18"/>
              </w:rPr>
              <w:t>6.8.2.4</w:t>
            </w:r>
            <w:r w:rsidR="00060186" w:rsidRPr="000650FD">
              <w:rPr>
                <w:rFonts w:cs="Arial"/>
                <w:sz w:val="18"/>
                <w:szCs w:val="18"/>
              </w:rPr>
              <w:t xml:space="preserve"> and</w:t>
            </w:r>
          </w:p>
          <w:p w14:paraId="769E6889" w14:textId="77777777" w:rsidR="007B1AC0" w:rsidRPr="000650FD" w:rsidRDefault="007B1AC0" w:rsidP="009D0070">
            <w:pPr>
              <w:widowControl w:val="0"/>
              <w:rPr>
                <w:rFonts w:cs="Arial"/>
                <w:sz w:val="18"/>
                <w:szCs w:val="18"/>
              </w:rPr>
            </w:pPr>
            <w:r w:rsidRPr="000650FD">
              <w:rPr>
                <w:rFonts w:cs="Arial"/>
                <w:sz w:val="18"/>
                <w:szCs w:val="18"/>
              </w:rPr>
              <w:t>6.8.3.4</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61D3440" w14:textId="1192888B" w:rsidR="007B1AC0" w:rsidRPr="00175B46" w:rsidRDefault="007B1AC0" w:rsidP="003E15E4">
            <w:pPr>
              <w:widowControl w:val="0"/>
              <w:jc w:val="center"/>
              <w:rPr>
                <w:rFonts w:cs="Arial"/>
                <w:sz w:val="18"/>
                <w:szCs w:val="18"/>
              </w:rPr>
            </w:pPr>
            <w:r w:rsidRPr="000650FD">
              <w:rPr>
                <w:rFonts w:cs="Arial"/>
                <w:bCs/>
                <w:sz w:val="18"/>
                <w:szCs w:val="18"/>
              </w:rPr>
              <w:t>Mandatorily from 1 </w:t>
            </w:r>
            <w:r w:rsidR="00060186" w:rsidRPr="000650FD">
              <w:rPr>
                <w:rFonts w:cs="Arial"/>
                <w:bCs/>
                <w:sz w:val="18"/>
                <w:szCs w:val="18"/>
              </w:rPr>
              <w:t>July 2019</w:t>
            </w:r>
          </w:p>
        </w:tc>
        <w:tc>
          <w:tcPr>
            <w:tcW w:w="682" w:type="dxa"/>
            <w:tcBorders>
              <w:top w:val="single" w:sz="4" w:space="0" w:color="auto"/>
              <w:left w:val="single" w:sz="4" w:space="0" w:color="auto"/>
              <w:bottom w:val="single" w:sz="4" w:space="0" w:color="auto"/>
              <w:right w:val="single" w:sz="4" w:space="0" w:color="auto"/>
            </w:tcBorders>
            <w:vAlign w:val="center"/>
          </w:tcPr>
          <w:p w14:paraId="196A450F" w14:textId="77777777" w:rsidR="007B1AC0" w:rsidRPr="00175B46" w:rsidRDefault="007B1AC0" w:rsidP="009D0070">
            <w:pPr>
              <w:widowControl w:val="0"/>
              <w:rPr>
                <w:rFonts w:cs="Arial"/>
                <w:sz w:val="18"/>
                <w:szCs w:val="18"/>
              </w:rPr>
            </w:pPr>
          </w:p>
        </w:tc>
      </w:tr>
    </w:tbl>
    <w:p w14:paraId="0B6FD256" w14:textId="77777777" w:rsidR="007B1AC0" w:rsidRPr="00C50EC7" w:rsidRDefault="007B1AC0" w:rsidP="007B1AC0">
      <w:pPr>
        <w:pStyle w:val="SingleTxtG"/>
      </w:pPr>
      <w:r w:rsidRPr="00C50EC7">
        <w:t>]</w:t>
      </w:r>
    </w:p>
    <w:p w14:paraId="5BE4D1A8" w14:textId="61386823" w:rsidR="007B1AC0" w:rsidRPr="001433D8" w:rsidRDefault="005440A3"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INF.45</w:t>
      </w:r>
      <w:r>
        <w:rPr>
          <w:i/>
          <w:lang w:val="fr-FR"/>
        </w:rPr>
        <w:t>)</w:t>
      </w:r>
    </w:p>
    <w:p w14:paraId="744BFE82" w14:textId="77777777" w:rsidR="007B1AC0" w:rsidRPr="00C50EC7" w:rsidRDefault="007B1AC0" w:rsidP="007B1AC0">
      <w:pPr>
        <w:pStyle w:val="SingleTxtG"/>
      </w:pPr>
      <w:r w:rsidRPr="00C50EC7">
        <w:t>[(ADR:)</w:t>
      </w:r>
    </w:p>
    <w:p w14:paraId="226FB152" w14:textId="77777777" w:rsidR="007B1AC0" w:rsidRPr="00C50EC7" w:rsidRDefault="007B1AC0" w:rsidP="007B1AC0">
      <w:pPr>
        <w:pStyle w:val="SingleTxtG"/>
      </w:pPr>
      <w:r w:rsidRPr="00C50EC7">
        <w:t>6.8.4 (d)</w:t>
      </w:r>
      <w:r>
        <w:t xml:space="preserve">, </w:t>
      </w:r>
      <w:r w:rsidRPr="00C50EC7">
        <w:t>TT11</w:t>
      </w:r>
      <w:r w:rsidRPr="00C50EC7">
        <w:tab/>
        <w:t>In the paragraph after the Table, replace "EN 14025:2013 + A1:2016" by:</w:t>
      </w:r>
      <w:r>
        <w:t xml:space="preserve"> </w:t>
      </w:r>
      <w:r w:rsidRPr="00C50EC7">
        <w:t>"EN 14025:2018".]</w:t>
      </w:r>
    </w:p>
    <w:p w14:paraId="31F26670" w14:textId="36D165A8" w:rsidR="007B1AC0" w:rsidRPr="00E1115E" w:rsidRDefault="000650FD" w:rsidP="007B1AC0">
      <w:pPr>
        <w:pStyle w:val="SingleTxtG"/>
        <w:rPr>
          <w:i/>
        </w:rPr>
      </w:pPr>
      <w:r>
        <w:rPr>
          <w:i/>
        </w:rPr>
        <w:t>(</w:t>
      </w:r>
      <w:r w:rsidR="007B1AC0" w:rsidRPr="00E1115E">
        <w:rPr>
          <w:i/>
        </w:rPr>
        <w:t>Reference document: informal document INF.45, consequential amendment</w:t>
      </w:r>
      <w:r>
        <w:rPr>
          <w:i/>
        </w:rPr>
        <w:t>)</w:t>
      </w:r>
    </w:p>
    <w:p w14:paraId="3B50B3C0" w14:textId="77777777" w:rsidR="007B1AC0" w:rsidRPr="00C50EC7" w:rsidRDefault="007B1AC0" w:rsidP="007B1AC0">
      <w:pPr>
        <w:pStyle w:val="SingleTxtG"/>
      </w:pPr>
      <w:r w:rsidRPr="00C50EC7">
        <w:t>[6.8.5.4</w:t>
      </w:r>
      <w:r w:rsidRPr="00C50EC7">
        <w:tab/>
        <w:t>Replace "EN 1252-2:2001 Cryogenic vessels – Materials – Part 2: Toughness requirements for temperature be-tween –80 °C and –20 °C" by:</w:t>
      </w:r>
      <w:r>
        <w:t xml:space="preserve"> </w:t>
      </w:r>
      <w:r w:rsidRPr="00C50EC7">
        <w:t>"EN ISO 21028-2:2018 Cryogenic vessels – Toughness requirements for materials at cryogenic temperature – Part 2: Temperatures between -80 °C and -20 °C".]</w:t>
      </w:r>
    </w:p>
    <w:p w14:paraId="220C9728" w14:textId="1A968F48" w:rsidR="007B1AC0" w:rsidRPr="001433D8" w:rsidRDefault="000650FD"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INF.45</w:t>
      </w:r>
      <w:r>
        <w:rPr>
          <w:i/>
          <w:lang w:val="fr-FR"/>
        </w:rPr>
        <w:t>)</w:t>
      </w:r>
    </w:p>
    <w:p w14:paraId="580F9B2B" w14:textId="77777777" w:rsidR="007B1AC0" w:rsidRPr="00FE4BFC" w:rsidRDefault="007B1AC0" w:rsidP="007B1AC0">
      <w:pPr>
        <w:pStyle w:val="H1G"/>
      </w:pPr>
      <w:r w:rsidRPr="001433D8">
        <w:rPr>
          <w:lang w:val="fr-FR"/>
        </w:rPr>
        <w:tab/>
      </w:r>
      <w:r w:rsidRPr="001433D8">
        <w:rPr>
          <w:lang w:val="fr-FR"/>
        </w:rPr>
        <w:tab/>
      </w:r>
      <w:r w:rsidRPr="00B73881">
        <w:t>(ADR:)</w:t>
      </w:r>
      <w:r>
        <w:t xml:space="preserve"> </w:t>
      </w:r>
      <w:r w:rsidRPr="00FE4BFC">
        <w:t>Chapter 7.5</w:t>
      </w:r>
    </w:p>
    <w:p w14:paraId="69C09EF4" w14:textId="77777777" w:rsidR="007B1AC0" w:rsidRPr="00E40B4A" w:rsidRDefault="007B1AC0" w:rsidP="007B1AC0">
      <w:pPr>
        <w:pStyle w:val="SingleTxtG"/>
      </w:pPr>
      <w:r w:rsidRPr="00E40B4A">
        <w:t>7.5.7.6.1</w:t>
      </w:r>
      <w:r w:rsidRPr="00E40B4A">
        <w:tab/>
        <w:t>In the second sentence and in footnote 2, replace "ECE Regulation" by:</w:t>
      </w:r>
      <w:r>
        <w:t xml:space="preserve"> </w:t>
      </w:r>
      <w:r w:rsidRPr="00E40B4A">
        <w:t>"UN Regulation".</w:t>
      </w:r>
    </w:p>
    <w:p w14:paraId="1D9EEAC8" w14:textId="280D6823"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74A1C2F6" w14:textId="77777777" w:rsidR="007B1AC0" w:rsidRPr="00B73881" w:rsidRDefault="007B1AC0" w:rsidP="007B1AC0">
      <w:pPr>
        <w:pStyle w:val="H1G"/>
      </w:pPr>
      <w:r w:rsidRPr="001433D8">
        <w:rPr>
          <w:lang w:val="fr-FR"/>
        </w:rPr>
        <w:tab/>
      </w:r>
      <w:r w:rsidRPr="001433D8">
        <w:rPr>
          <w:lang w:val="fr-FR"/>
        </w:rPr>
        <w:tab/>
      </w:r>
      <w:r w:rsidRPr="00B73881">
        <w:t>(ADR:)</w:t>
      </w:r>
      <w:r>
        <w:t xml:space="preserve"> </w:t>
      </w:r>
      <w:r w:rsidRPr="00B73881">
        <w:t>Chapter 9.1</w:t>
      </w:r>
    </w:p>
    <w:p w14:paraId="7CC13C11" w14:textId="2560D3BE" w:rsidR="007B1AC0" w:rsidRPr="00E40B4A" w:rsidRDefault="007B1AC0" w:rsidP="007B1AC0">
      <w:pPr>
        <w:pStyle w:val="SingleTxtG"/>
      </w:pPr>
      <w:r w:rsidRPr="00E40B4A">
        <w:t>9.1.1.2</w:t>
      </w:r>
      <w:r w:rsidRPr="00E40B4A">
        <w:tab/>
      </w:r>
      <w:r w:rsidRPr="00E40B4A">
        <w:tab/>
        <w:t>In the definition of "Type-approved vehicle" and in footnote 2, replace "ECE</w:t>
      </w:r>
      <w:r w:rsidR="00DD6D19">
        <w:t> </w:t>
      </w:r>
      <w:r w:rsidRPr="00E40B4A">
        <w:t>Regulation" by:</w:t>
      </w:r>
      <w:r>
        <w:t xml:space="preserve"> </w:t>
      </w:r>
      <w:r w:rsidRPr="00E40B4A">
        <w:t>"UN Regulation".</w:t>
      </w:r>
    </w:p>
    <w:p w14:paraId="1C2A5D2D" w14:textId="5B96F710" w:rsidR="007B1AC0" w:rsidRPr="001433D8" w:rsidRDefault="00DD6D19" w:rsidP="007B1AC0">
      <w:pPr>
        <w:pStyle w:val="SingleTxtG"/>
        <w:rPr>
          <w:i/>
          <w:lang w:val="fr-FR"/>
        </w:rPr>
      </w:pPr>
      <w:r>
        <w:rPr>
          <w:i/>
          <w:lang w:val="fr-FR"/>
        </w:rPr>
        <w:lastRenderedPageBreak/>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20454AB6" w14:textId="4990FBB3" w:rsidR="007B1AC0" w:rsidRPr="00E40B4A" w:rsidRDefault="007B1AC0" w:rsidP="007B1AC0">
      <w:pPr>
        <w:pStyle w:val="SingleTxtG"/>
      </w:pPr>
      <w:r w:rsidRPr="00E40B4A">
        <w:t>9.1.2.1</w:t>
      </w:r>
      <w:r w:rsidRPr="00E40B4A">
        <w:tab/>
      </w:r>
      <w:r w:rsidRPr="00E40B4A">
        <w:tab/>
        <w:t>In the last paragraph and in footnote 3, replace "ECE Regulation" by:</w:t>
      </w:r>
      <w:r>
        <w:t xml:space="preserve"> </w:t>
      </w:r>
      <w:r w:rsidRPr="00E40B4A">
        <w:t>"UN</w:t>
      </w:r>
      <w:r w:rsidR="00DD6D19">
        <w:t> </w:t>
      </w:r>
      <w:r w:rsidRPr="00E40B4A">
        <w:t>Regulation".</w:t>
      </w:r>
    </w:p>
    <w:p w14:paraId="1D4FE6E9" w14:textId="6F296F76"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1D5A345D" w14:textId="23A5FBB4" w:rsidR="007B1AC0" w:rsidRPr="00E40B4A" w:rsidRDefault="007B1AC0" w:rsidP="007B1AC0">
      <w:pPr>
        <w:pStyle w:val="SingleTxtG"/>
      </w:pPr>
      <w:r w:rsidRPr="00E40B4A">
        <w:t>9.1.2.2</w:t>
      </w:r>
      <w:r w:rsidRPr="00E40B4A">
        <w:tab/>
      </w:r>
      <w:r w:rsidRPr="00E40B4A">
        <w:tab/>
        <w:t>In the first paragraph and in footnote 2, replace "ECE Regulation" by:</w:t>
      </w:r>
      <w:r>
        <w:t xml:space="preserve"> </w:t>
      </w:r>
      <w:r w:rsidRPr="00E40B4A">
        <w:t>"UN</w:t>
      </w:r>
      <w:r w:rsidR="00DD6D19">
        <w:t> </w:t>
      </w:r>
      <w:r w:rsidRPr="00E40B4A">
        <w:t>Regulation" (twice).</w:t>
      </w:r>
    </w:p>
    <w:p w14:paraId="2897A4B6" w14:textId="2AC60E0B"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5C96942F" w14:textId="77777777" w:rsidR="007B1AC0" w:rsidRPr="00B73881" w:rsidRDefault="007B1AC0" w:rsidP="007B1AC0">
      <w:pPr>
        <w:pStyle w:val="H1G"/>
      </w:pPr>
      <w:r w:rsidRPr="001433D8">
        <w:rPr>
          <w:lang w:val="fr-FR"/>
        </w:rPr>
        <w:tab/>
      </w:r>
      <w:r w:rsidRPr="001433D8">
        <w:rPr>
          <w:lang w:val="fr-FR"/>
        </w:rPr>
        <w:tab/>
      </w:r>
      <w:r w:rsidRPr="00B73881">
        <w:t>(ADR:)</w:t>
      </w:r>
      <w:r>
        <w:t xml:space="preserve"> </w:t>
      </w:r>
      <w:r w:rsidRPr="00B73881">
        <w:t>Chapter 9.</w:t>
      </w:r>
      <w:r>
        <w:t>2</w:t>
      </w:r>
    </w:p>
    <w:p w14:paraId="17BFC683" w14:textId="77777777" w:rsidR="007B1AC0" w:rsidRPr="00E40B4A" w:rsidRDefault="007B1AC0" w:rsidP="007B1AC0">
      <w:pPr>
        <w:pStyle w:val="SingleTxtG"/>
      </w:pPr>
      <w:r w:rsidRPr="00E40B4A">
        <w:t>9.2.1.1</w:t>
      </w:r>
      <w:r w:rsidRPr="00E40B4A">
        <w:tab/>
      </w:r>
      <w:r w:rsidRPr="00E40B4A">
        <w:tab/>
        <w:t>Replace "ECE Regulation" by:</w:t>
      </w:r>
      <w:r>
        <w:t xml:space="preserve"> </w:t>
      </w:r>
      <w:r w:rsidRPr="00E40B4A">
        <w:t>"UN Regulation" (twice).</w:t>
      </w:r>
    </w:p>
    <w:p w14:paraId="332F5799" w14:textId="54225B6F"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3A40516A" w14:textId="451A8F5C" w:rsidR="007B1AC0" w:rsidRPr="00E40B4A" w:rsidRDefault="007B1AC0" w:rsidP="007B1AC0">
      <w:pPr>
        <w:pStyle w:val="SingleTxtG"/>
      </w:pPr>
      <w:r w:rsidRPr="00E40B4A">
        <w:t>9.2.2.6.2</w:t>
      </w:r>
      <w:r w:rsidRPr="00E40B4A">
        <w:tab/>
        <w:t>In the second indent and in footnote 2, replace "ECE Regulation" by:</w:t>
      </w:r>
      <w:r>
        <w:t xml:space="preserve"> </w:t>
      </w:r>
      <w:r w:rsidRPr="00E40B4A">
        <w:t>"UN</w:t>
      </w:r>
      <w:r w:rsidR="00DD6D19">
        <w:t> </w:t>
      </w:r>
      <w:r w:rsidRPr="00E40B4A">
        <w:t>Regulation".</w:t>
      </w:r>
    </w:p>
    <w:p w14:paraId="50801843" w14:textId="7626FCB9"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5D2FAA7D" w14:textId="77777777" w:rsidR="007B1AC0" w:rsidRPr="00E40B4A" w:rsidRDefault="007B1AC0" w:rsidP="007B1AC0">
      <w:pPr>
        <w:pStyle w:val="SingleTxtG"/>
      </w:pPr>
      <w:r w:rsidRPr="00E40B4A">
        <w:t>9.2.3.1.1</w:t>
      </w:r>
      <w:r w:rsidRPr="00E40B4A">
        <w:tab/>
        <w:t>In the text of the paragraph and in footnote 4, replace "ECE Regulation" by:</w:t>
      </w:r>
      <w:r>
        <w:t xml:space="preserve"> </w:t>
      </w:r>
      <w:r w:rsidRPr="00E40B4A">
        <w:t>"UN Regulation".</w:t>
      </w:r>
    </w:p>
    <w:p w14:paraId="08AC69AF" w14:textId="166CEEA7"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595F241B" w14:textId="77777777" w:rsidR="007B1AC0" w:rsidRPr="00E40B4A" w:rsidRDefault="007B1AC0" w:rsidP="007B1AC0">
      <w:pPr>
        <w:pStyle w:val="SingleTxtG"/>
      </w:pPr>
      <w:r w:rsidRPr="00E40B4A">
        <w:t>9.2.3.1.2</w:t>
      </w:r>
      <w:r w:rsidRPr="00E40B4A">
        <w:tab/>
        <w:t>Replace "ECE Regulation" by:</w:t>
      </w:r>
      <w:r>
        <w:t xml:space="preserve"> </w:t>
      </w:r>
      <w:r w:rsidRPr="00E40B4A">
        <w:t>"UN Regulation".</w:t>
      </w:r>
    </w:p>
    <w:p w14:paraId="31F90F3A" w14:textId="2DD8C800"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3ACA01BB" w14:textId="707D619E" w:rsidR="007B1AC0" w:rsidRPr="00E40B4A" w:rsidRDefault="007B1AC0" w:rsidP="007B1AC0">
      <w:pPr>
        <w:pStyle w:val="SingleTxtG"/>
        <w:tabs>
          <w:tab w:val="left" w:pos="2268"/>
        </w:tabs>
      </w:pPr>
      <w:r w:rsidRPr="00E40B4A">
        <w:t>9.2.4.3</w:t>
      </w:r>
      <w:r w:rsidRPr="00E40B4A">
        <w:tab/>
      </w:r>
      <w:r w:rsidRPr="00E40B4A">
        <w:tab/>
        <w:t>In paragraph (b) (three times) and in footnotes 5, 6 and 7, replace "ECE</w:t>
      </w:r>
      <w:r w:rsidR="00DD6D19">
        <w:t> </w:t>
      </w:r>
      <w:r w:rsidRPr="00E40B4A">
        <w:t>Regulation" by:</w:t>
      </w:r>
      <w:r>
        <w:t xml:space="preserve"> </w:t>
      </w:r>
      <w:r w:rsidRPr="00E40B4A">
        <w:t>"UN Regulation".</w:t>
      </w:r>
    </w:p>
    <w:p w14:paraId="72B13EB8" w14:textId="295E5CB3"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14C0063E" w14:textId="77777777" w:rsidR="007B1AC0" w:rsidRPr="00E40B4A" w:rsidRDefault="007B1AC0" w:rsidP="007B1AC0">
      <w:pPr>
        <w:pStyle w:val="SingleTxtG"/>
        <w:tabs>
          <w:tab w:val="left" w:pos="2268"/>
        </w:tabs>
      </w:pPr>
      <w:r w:rsidRPr="00E40B4A">
        <w:t>9.2.4.4</w:t>
      </w:r>
      <w:r w:rsidRPr="00E40B4A">
        <w:tab/>
        <w:t>Replace "ECE Regulation" by:</w:t>
      </w:r>
      <w:r>
        <w:t xml:space="preserve"> </w:t>
      </w:r>
      <w:r w:rsidRPr="00E40B4A">
        <w:t>"UN Regulation" (four times).</w:t>
      </w:r>
    </w:p>
    <w:p w14:paraId="25BC337E" w14:textId="223F0F8F"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401040BD" w14:textId="77777777" w:rsidR="007B1AC0" w:rsidRPr="00E40B4A" w:rsidRDefault="007B1AC0" w:rsidP="007B1AC0">
      <w:pPr>
        <w:pStyle w:val="SingleTxtG"/>
      </w:pPr>
      <w:r w:rsidRPr="00E40B4A">
        <w:t>9.2.4.7.1</w:t>
      </w:r>
      <w:r w:rsidRPr="00E40B4A">
        <w:tab/>
        <w:t>In the text of the paragraph and in footnote 8, replace "ECE Regulation" by:</w:t>
      </w:r>
      <w:r>
        <w:t xml:space="preserve"> </w:t>
      </w:r>
      <w:r w:rsidRPr="00E40B4A">
        <w:t>"UN Regulation".</w:t>
      </w:r>
    </w:p>
    <w:p w14:paraId="4A9075F1" w14:textId="2D6BA3D4"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23096BE1" w14:textId="1578B81C" w:rsidR="007B1AC0" w:rsidRPr="00E40B4A" w:rsidRDefault="007B1AC0" w:rsidP="007B1AC0">
      <w:pPr>
        <w:pStyle w:val="SingleTxtG"/>
        <w:tabs>
          <w:tab w:val="left" w:pos="2268"/>
        </w:tabs>
      </w:pPr>
      <w:r w:rsidRPr="00E40B4A">
        <w:t>9.2.5</w:t>
      </w:r>
      <w:r w:rsidRPr="00E40B4A">
        <w:tab/>
      </w:r>
      <w:r w:rsidRPr="00E40B4A">
        <w:tab/>
        <w:t>In the first sentence and in footnote 9, replace "ECE Regulation" by:</w:t>
      </w:r>
      <w:r>
        <w:t xml:space="preserve"> </w:t>
      </w:r>
      <w:r w:rsidRPr="00E40B4A">
        <w:t>"UN</w:t>
      </w:r>
      <w:r w:rsidR="00DD6D19">
        <w:t> </w:t>
      </w:r>
      <w:r w:rsidRPr="00E40B4A">
        <w:t>Regulation".</w:t>
      </w:r>
    </w:p>
    <w:p w14:paraId="3B7C5B99" w14:textId="39C9EE3B"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2CD2D3A6" w14:textId="77777777" w:rsidR="007B1AC0" w:rsidRPr="00E40B4A" w:rsidRDefault="007B1AC0" w:rsidP="007B1AC0">
      <w:pPr>
        <w:pStyle w:val="SingleTxtG"/>
      </w:pPr>
      <w:r w:rsidRPr="00E40B4A">
        <w:t>9.2.6</w:t>
      </w:r>
      <w:r w:rsidRPr="00E40B4A">
        <w:tab/>
      </w:r>
      <w:r w:rsidRPr="00E40B4A">
        <w:tab/>
        <w:t>In the text of the paragraph and in footnote 2, replace "ECE Regulation" by:</w:t>
      </w:r>
      <w:r>
        <w:t xml:space="preserve"> </w:t>
      </w:r>
      <w:r w:rsidRPr="00E40B4A">
        <w:t>"UN Regulation".</w:t>
      </w:r>
    </w:p>
    <w:p w14:paraId="2F0E63B1" w14:textId="2F780600"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561355B7" w14:textId="77777777" w:rsidR="007B1AC0" w:rsidRPr="009E35C8" w:rsidRDefault="007B1AC0" w:rsidP="007B1AC0">
      <w:pPr>
        <w:pStyle w:val="H1G"/>
      </w:pPr>
      <w:r w:rsidRPr="001433D8">
        <w:rPr>
          <w:lang w:val="fr-FR"/>
        </w:rPr>
        <w:tab/>
      </w:r>
      <w:r w:rsidRPr="001433D8">
        <w:rPr>
          <w:lang w:val="fr-FR"/>
        </w:rPr>
        <w:tab/>
      </w:r>
      <w:r w:rsidRPr="00B73881">
        <w:t>(ADR:)</w:t>
      </w:r>
      <w:r>
        <w:t xml:space="preserve"> </w:t>
      </w:r>
      <w:r w:rsidRPr="009E35C8">
        <w:t>Chapter 9.7</w:t>
      </w:r>
    </w:p>
    <w:p w14:paraId="3ECC3435" w14:textId="2A8B02E5" w:rsidR="007B1AC0" w:rsidRPr="00E40B4A" w:rsidRDefault="007B1AC0" w:rsidP="007B1AC0">
      <w:pPr>
        <w:pStyle w:val="SingleTxtG"/>
      </w:pPr>
      <w:r w:rsidRPr="00E40B4A">
        <w:t>9.7.5.2</w:t>
      </w:r>
      <w:r w:rsidRPr="00E40B4A">
        <w:tab/>
      </w:r>
      <w:r w:rsidRPr="00E40B4A">
        <w:tab/>
        <w:t>In the first sentence and in footnote 1, replace "ECE Regulation" by:</w:t>
      </w:r>
      <w:r>
        <w:t xml:space="preserve"> </w:t>
      </w:r>
      <w:r w:rsidRPr="00E40B4A">
        <w:t>"UN</w:t>
      </w:r>
      <w:r w:rsidR="00DD6D19">
        <w:t> </w:t>
      </w:r>
      <w:r w:rsidRPr="00E40B4A">
        <w:t>Regulation".</w:t>
      </w:r>
    </w:p>
    <w:p w14:paraId="00F599F2" w14:textId="24E5AFE0" w:rsidR="007B1AC0" w:rsidRDefault="00DD6D19" w:rsidP="006C19BA">
      <w:pPr>
        <w:pStyle w:val="SingleTxtG"/>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r w:rsidR="007B1AC0">
        <w:br w:type="page"/>
      </w:r>
    </w:p>
    <w:p w14:paraId="5596CC4E" w14:textId="5931034F" w:rsidR="007B1AC0" w:rsidRPr="009D0070" w:rsidRDefault="007B1AC0" w:rsidP="006C19BA">
      <w:pPr>
        <w:pStyle w:val="HChG"/>
        <w:tabs>
          <w:tab w:val="clear" w:pos="851"/>
        </w:tabs>
        <w:ind w:firstLine="0"/>
      </w:pPr>
      <w:r>
        <w:lastRenderedPageBreak/>
        <w:t>Annex</w:t>
      </w:r>
      <w:r w:rsidRPr="009D0070">
        <w:t xml:space="preserve"> III</w:t>
      </w:r>
    </w:p>
    <w:p w14:paraId="7B148197" w14:textId="3B7A02DC" w:rsidR="007B1AC0" w:rsidRDefault="007B1AC0" w:rsidP="006C19BA">
      <w:pPr>
        <w:pStyle w:val="HChG"/>
        <w:tabs>
          <w:tab w:val="clear" w:pos="851"/>
        </w:tabs>
        <w:ind w:firstLine="0"/>
      </w:pPr>
      <w:r w:rsidRPr="006C19BA">
        <w:t xml:space="preserve">Corrections and modifications to the draft amendments in </w:t>
      </w:r>
      <w:r w:rsidR="000650FD">
        <w:t xml:space="preserve">documents </w:t>
      </w:r>
      <w:r w:rsidRPr="006C19BA">
        <w:t>ECE/TRANS/WP.15/240 and OTIF/RID/CE/GTP/2017/15</w:t>
      </w:r>
    </w:p>
    <w:p w14:paraId="69E2FB83" w14:textId="6CB9B542" w:rsidR="007B1AC0" w:rsidRDefault="007B1AC0" w:rsidP="006C19BA">
      <w:pPr>
        <w:pStyle w:val="H1G"/>
      </w:pPr>
      <w:r w:rsidRPr="00960236">
        <w:tab/>
      </w:r>
      <w:r>
        <w:t>A.</w:t>
      </w:r>
      <w:r w:rsidRPr="00960236">
        <w:tab/>
      </w:r>
      <w:r w:rsidRPr="008A1252">
        <w:t xml:space="preserve">Corrections to the draft amendments in </w:t>
      </w:r>
      <w:r w:rsidR="000650FD">
        <w:t xml:space="preserve">documents </w:t>
      </w:r>
      <w:r w:rsidRPr="008A1252">
        <w:t>ECE/TRANS/WP.15/240 and OTIF/RID/CE/GTP/2017/15</w:t>
      </w:r>
    </w:p>
    <w:p w14:paraId="43D7C4E1" w14:textId="77777777" w:rsidR="007B1AC0" w:rsidRPr="00E63B55" w:rsidRDefault="007B1AC0" w:rsidP="007B1AC0">
      <w:pPr>
        <w:pStyle w:val="H23G"/>
      </w:pPr>
      <w:r>
        <w:tab/>
      </w:r>
      <w:r>
        <w:tab/>
      </w:r>
      <w:r w:rsidRPr="00E63B55">
        <w:t>Chapter 1.6</w:t>
      </w:r>
      <w:r>
        <w:t>, new transitional measure 1.6.3.49</w:t>
      </w:r>
    </w:p>
    <w:p w14:paraId="47A8C1FB" w14:textId="77777777" w:rsidR="007B1AC0" w:rsidRPr="00E63B55" w:rsidRDefault="007B1AC0" w:rsidP="007B1AC0">
      <w:pPr>
        <w:pStyle w:val="SingleTxtG"/>
      </w:pPr>
      <w:r w:rsidRPr="00D141A6">
        <w:rPr>
          <w:i/>
        </w:rPr>
        <w:t>For</w:t>
      </w:r>
      <w:r w:rsidRPr="00E63B55">
        <w:t xml:space="preserve"> nominal pressure of the bursting disc </w:t>
      </w:r>
      <w:r w:rsidRPr="00D141A6">
        <w:rPr>
          <w:i/>
        </w:rPr>
        <w:t>read</w:t>
      </w:r>
      <w:r>
        <w:t xml:space="preserve"> </w:t>
      </w:r>
      <w:r w:rsidRPr="00E63B55">
        <w:t>burst pressure of the bursting disc</w:t>
      </w:r>
    </w:p>
    <w:p w14:paraId="302696A5" w14:textId="58F77589" w:rsidR="007B1AC0" w:rsidRDefault="00DD6D19" w:rsidP="007B1AC0">
      <w:pPr>
        <w:pStyle w:val="SingleTxtG"/>
        <w:rPr>
          <w:i/>
        </w:rPr>
      </w:pPr>
      <w:r>
        <w:rPr>
          <w:i/>
        </w:rPr>
        <w:t>(</w:t>
      </w:r>
      <w:r w:rsidR="007B1AC0" w:rsidRPr="00D141A6">
        <w:rPr>
          <w:i/>
        </w:rPr>
        <w:t>Reference documents: informal documents INF.32/Rev.1 and INF.47</w:t>
      </w:r>
      <w:r>
        <w:rPr>
          <w:i/>
        </w:rPr>
        <w:t>)</w:t>
      </w:r>
    </w:p>
    <w:p w14:paraId="536E1753" w14:textId="77777777" w:rsidR="007B1AC0" w:rsidRDefault="007B1AC0" w:rsidP="007B1AC0">
      <w:pPr>
        <w:pStyle w:val="H23G"/>
      </w:pPr>
      <w:r>
        <w:tab/>
      </w:r>
      <w:r>
        <w:tab/>
      </w:r>
      <w:r w:rsidRPr="00E63B55">
        <w:t>Chapter 1.6</w:t>
      </w:r>
      <w:r>
        <w:t xml:space="preserve">, new transitional measure </w:t>
      </w:r>
      <w:r w:rsidRPr="00D141A6">
        <w:t>1.6.4.51</w:t>
      </w:r>
    </w:p>
    <w:p w14:paraId="4181ADC2" w14:textId="77777777" w:rsidR="007B1AC0" w:rsidRPr="00D141A6" w:rsidRDefault="007B1AC0" w:rsidP="007B1AC0">
      <w:pPr>
        <w:pStyle w:val="SingleTxtG"/>
      </w:pPr>
      <w:r w:rsidRPr="00D141A6">
        <w:rPr>
          <w:i/>
        </w:rPr>
        <w:t>For</w:t>
      </w:r>
      <w:r w:rsidRPr="00D141A6">
        <w:t xml:space="preserve"> nominal pressure of the bursting disc </w:t>
      </w:r>
      <w:r w:rsidRPr="00D141A6">
        <w:rPr>
          <w:i/>
        </w:rPr>
        <w:t>read</w:t>
      </w:r>
      <w:r>
        <w:t xml:space="preserve"> </w:t>
      </w:r>
      <w:r w:rsidRPr="00D141A6">
        <w:t>burst pressure of the bursting disc</w:t>
      </w:r>
    </w:p>
    <w:p w14:paraId="26F3C6D1" w14:textId="2B66BD57" w:rsidR="007B1AC0" w:rsidRPr="00D141A6" w:rsidRDefault="00DD6D19" w:rsidP="007B1AC0">
      <w:pPr>
        <w:pStyle w:val="SingleTxtG"/>
        <w:rPr>
          <w:i/>
        </w:rPr>
      </w:pPr>
      <w:r>
        <w:rPr>
          <w:i/>
        </w:rPr>
        <w:t>(</w:t>
      </w:r>
      <w:r w:rsidR="007B1AC0" w:rsidRPr="00D141A6">
        <w:rPr>
          <w:i/>
        </w:rPr>
        <w:t>Reference documents: informal documents INF.32/Rev.1 and INF.47</w:t>
      </w:r>
      <w:r>
        <w:rPr>
          <w:i/>
        </w:rPr>
        <w:t>)</w:t>
      </w:r>
    </w:p>
    <w:p w14:paraId="711F0382" w14:textId="77777777" w:rsidR="007B1AC0" w:rsidRPr="003E15E4" w:rsidRDefault="007B1AC0" w:rsidP="007B1AC0">
      <w:pPr>
        <w:pStyle w:val="H23G"/>
      </w:pPr>
      <w:r w:rsidRPr="003E15E4">
        <w:tab/>
      </w:r>
      <w:r w:rsidRPr="003E15E4">
        <w:tab/>
      </w:r>
      <w:r w:rsidRPr="006C19BA">
        <w:t xml:space="preserve">Chapter 2.2, </w:t>
      </w:r>
      <w:r w:rsidRPr="003E15E4">
        <w:t xml:space="preserve">amendment to </w:t>
      </w:r>
      <w:r w:rsidRPr="006C19BA">
        <w:t>2.2.9.1.7, new sub-</w:t>
      </w:r>
      <w:r w:rsidRPr="003E15E4">
        <w:t xml:space="preserve"> paragraph (g), after "cells or batteries"</w:t>
      </w:r>
    </w:p>
    <w:p w14:paraId="4DD68C49" w14:textId="77777777" w:rsidR="007B1AC0" w:rsidRPr="00502E7F" w:rsidRDefault="007B1AC0" w:rsidP="007B1AC0">
      <w:pPr>
        <w:pStyle w:val="SingleTxtG"/>
        <w:tabs>
          <w:tab w:val="left" w:pos="2268"/>
        </w:tabs>
      </w:pPr>
      <w:r w:rsidRPr="001433D8">
        <w:rPr>
          <w:i/>
        </w:rPr>
        <w:t>Insert</w:t>
      </w:r>
      <w:r>
        <w:t xml:space="preserve"> </w:t>
      </w:r>
      <w:r w:rsidRPr="00502E7F">
        <w:t>manufactured after 30 June 2003</w:t>
      </w:r>
    </w:p>
    <w:p w14:paraId="3AD0A250" w14:textId="77A426E5" w:rsidR="007B1AC0" w:rsidRPr="00DC5F4E" w:rsidRDefault="00DD6D19" w:rsidP="007B1AC0">
      <w:pPr>
        <w:pStyle w:val="SingleTxtG"/>
        <w:tabs>
          <w:tab w:val="left" w:pos="2268"/>
        </w:tabs>
        <w:rPr>
          <w:i/>
        </w:rPr>
      </w:pPr>
      <w:r>
        <w:rPr>
          <w:i/>
        </w:rPr>
        <w:t>(</w:t>
      </w:r>
      <w:r w:rsidR="007B1AC0" w:rsidRPr="00DC5F4E">
        <w:rPr>
          <w:i/>
        </w:rPr>
        <w:t>Reference document: informal document INF.37</w:t>
      </w:r>
      <w:r>
        <w:rPr>
          <w:i/>
        </w:rPr>
        <w:t>)</w:t>
      </w:r>
    </w:p>
    <w:p w14:paraId="70EFB013" w14:textId="3EB0332F" w:rsidR="007B1AC0" w:rsidRPr="00B05543" w:rsidRDefault="007B1AC0" w:rsidP="007B1AC0">
      <w:pPr>
        <w:pStyle w:val="H23G"/>
      </w:pPr>
      <w:r>
        <w:tab/>
      </w:r>
      <w:r>
        <w:tab/>
      </w:r>
      <w:r w:rsidRPr="00B05543">
        <w:t xml:space="preserve">Chapter 3.3, </w:t>
      </w:r>
      <w:r>
        <w:t>i</w:t>
      </w:r>
      <w:r w:rsidRPr="00B05543">
        <w:t xml:space="preserve">n new </w:t>
      </w:r>
      <w:r>
        <w:t xml:space="preserve">special provision </w:t>
      </w:r>
      <w:r w:rsidRPr="00B05543">
        <w:t xml:space="preserve">392, in sub-paragraph (a), in the </w:t>
      </w:r>
      <w:r>
        <w:t>t</w:t>
      </w:r>
      <w:r w:rsidRPr="00B05543">
        <w:t>able (</w:t>
      </w:r>
      <w:r w:rsidR="000650FD">
        <w:t>six</w:t>
      </w:r>
      <w:r w:rsidRPr="00B05543">
        <w:t xml:space="preserve"> times)</w:t>
      </w:r>
    </w:p>
    <w:p w14:paraId="3642C103" w14:textId="77777777" w:rsidR="007B1AC0" w:rsidRPr="00B05543" w:rsidRDefault="007B1AC0" w:rsidP="007B1AC0">
      <w:pPr>
        <w:pStyle w:val="SingleTxtG"/>
      </w:pPr>
      <w:r w:rsidRPr="00B05543">
        <w:rPr>
          <w:i/>
        </w:rPr>
        <w:t>For</w:t>
      </w:r>
      <w:r>
        <w:t xml:space="preserve"> </w:t>
      </w:r>
      <w:r w:rsidRPr="00B05543">
        <w:t xml:space="preserve">ECE </w:t>
      </w:r>
      <w:r>
        <w:t>Regulation</w:t>
      </w:r>
      <w:r w:rsidRPr="00B05543">
        <w:t xml:space="preserve"> </w:t>
      </w:r>
      <w:r w:rsidRPr="00B05543">
        <w:rPr>
          <w:i/>
        </w:rPr>
        <w:t>read</w:t>
      </w:r>
      <w:r w:rsidRPr="00B05543">
        <w:t xml:space="preserve"> </w:t>
      </w:r>
      <w:r>
        <w:t>UN Regulation</w:t>
      </w:r>
    </w:p>
    <w:p w14:paraId="39F37086" w14:textId="7221AF53"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INF.30</w:t>
      </w:r>
      <w:r>
        <w:rPr>
          <w:i/>
          <w:lang w:val="fr-FR"/>
        </w:rPr>
        <w:t>)</w:t>
      </w:r>
    </w:p>
    <w:p w14:paraId="4B3095C0" w14:textId="77777777" w:rsidR="007B1AC0" w:rsidRDefault="007B1AC0" w:rsidP="007B1AC0">
      <w:pPr>
        <w:pStyle w:val="H23G"/>
      </w:pPr>
      <w:r w:rsidRPr="001433D8">
        <w:rPr>
          <w:lang w:val="fr-FR"/>
        </w:rPr>
        <w:tab/>
      </w:r>
      <w:r w:rsidRPr="001433D8">
        <w:rPr>
          <w:lang w:val="fr-FR"/>
        </w:rPr>
        <w:tab/>
      </w:r>
      <w:r w:rsidRPr="00502E7F">
        <w:t>Chapter 5.3</w:t>
      </w:r>
      <w:r>
        <w:t>, amendment to 5.3.1.2</w:t>
      </w:r>
    </w:p>
    <w:p w14:paraId="21EDD51F" w14:textId="77777777" w:rsidR="007B1AC0" w:rsidRPr="001433D8" w:rsidRDefault="007B1AC0" w:rsidP="007B1AC0">
      <w:pPr>
        <w:pStyle w:val="SingleTxtG"/>
        <w:rPr>
          <w:i/>
        </w:rPr>
      </w:pPr>
      <w:r>
        <w:t xml:space="preserve">For the existing text, </w:t>
      </w:r>
      <w:r>
        <w:rPr>
          <w:i/>
        </w:rPr>
        <w:t>substitute</w:t>
      </w:r>
    </w:p>
    <w:p w14:paraId="3C15CF18" w14:textId="77777777" w:rsidR="007B1AC0" w:rsidRPr="00502E7F" w:rsidRDefault="007B1AC0" w:rsidP="007B1AC0">
      <w:pPr>
        <w:pStyle w:val="SingleTxtG"/>
        <w:tabs>
          <w:tab w:val="left" w:pos="2268"/>
        </w:tabs>
      </w:pPr>
      <w:r w:rsidRPr="00502E7F">
        <w:t>(RID:)</w:t>
      </w:r>
    </w:p>
    <w:p w14:paraId="2BB6947A" w14:textId="77777777" w:rsidR="007B1AC0" w:rsidRPr="00502E7F" w:rsidRDefault="007B1AC0" w:rsidP="007B1AC0">
      <w:pPr>
        <w:pStyle w:val="SingleTxtG"/>
        <w:tabs>
          <w:tab w:val="left" w:pos="2268"/>
        </w:tabs>
      </w:pPr>
      <w:r w:rsidRPr="00502E7F">
        <w:t>5.3.1.2</w:t>
      </w:r>
      <w:r w:rsidRPr="00502E7F">
        <w:tab/>
        <w:t>In the title, after "large containers,", insert:</w:t>
      </w:r>
      <w:r>
        <w:t xml:space="preserve"> </w:t>
      </w:r>
      <w:r w:rsidRPr="00502E7F">
        <w:t>"bulk containers,".</w:t>
      </w:r>
    </w:p>
    <w:p w14:paraId="166ACE1C" w14:textId="77777777" w:rsidR="007B1AC0" w:rsidRPr="00502E7F" w:rsidRDefault="007B1AC0" w:rsidP="007B1AC0">
      <w:pPr>
        <w:pStyle w:val="SingleTxtG"/>
      </w:pPr>
      <w:r w:rsidRPr="00233E98">
        <w:t>5.3.1.2</w:t>
      </w:r>
      <w:r w:rsidRPr="00233E98">
        <w:tab/>
      </w:r>
      <w:r>
        <w:tab/>
      </w:r>
      <w:r w:rsidRPr="00502E7F">
        <w:t>Amend the first sentence to read as follows:</w:t>
      </w:r>
    </w:p>
    <w:p w14:paraId="1A71CE15" w14:textId="77777777" w:rsidR="007B1AC0" w:rsidRPr="00502E7F" w:rsidRDefault="007B1AC0" w:rsidP="007B1AC0">
      <w:pPr>
        <w:pStyle w:val="SingleTxtG"/>
      </w:pPr>
      <w:r w:rsidRPr="00502E7F">
        <w:t>"The placards shall be affixed to both sides and at each end of the large container, bulk container, MEGC, tank-container or portable tank and to two opposite sides in the case of flexible bulk containers."</w:t>
      </w:r>
    </w:p>
    <w:p w14:paraId="1AFBC12A" w14:textId="05F3E23A"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INF.20</w:t>
      </w:r>
      <w:r>
        <w:rPr>
          <w:i/>
          <w:lang w:val="fr-FR"/>
        </w:rPr>
        <w:t>)</w:t>
      </w:r>
    </w:p>
    <w:p w14:paraId="472E3150" w14:textId="77777777" w:rsidR="007B1AC0" w:rsidRPr="00502E7F" w:rsidRDefault="007B1AC0" w:rsidP="007B1AC0">
      <w:pPr>
        <w:pStyle w:val="SingleTxtG"/>
      </w:pPr>
      <w:r w:rsidRPr="00502E7F">
        <w:t>(ADR:)</w:t>
      </w:r>
    </w:p>
    <w:p w14:paraId="5226A7B9" w14:textId="77777777" w:rsidR="007B1AC0" w:rsidRPr="00502E7F" w:rsidRDefault="007B1AC0" w:rsidP="007B1AC0">
      <w:pPr>
        <w:pStyle w:val="SingleTxtG"/>
      </w:pPr>
      <w:r w:rsidRPr="00502E7F">
        <w:t>5.3.1.2</w:t>
      </w:r>
      <w:r>
        <w:tab/>
      </w:r>
      <w:r w:rsidRPr="00502E7F">
        <w:tab/>
        <w:t>In the title, after "containers,", insert:</w:t>
      </w:r>
      <w:r>
        <w:t xml:space="preserve"> </w:t>
      </w:r>
      <w:r w:rsidRPr="00502E7F">
        <w:t>"bulk containers,".</w:t>
      </w:r>
    </w:p>
    <w:p w14:paraId="2FFD3FFF" w14:textId="77777777" w:rsidR="007B1AC0" w:rsidRPr="00502E7F" w:rsidRDefault="007B1AC0" w:rsidP="007B1AC0">
      <w:pPr>
        <w:pStyle w:val="SingleTxtG"/>
      </w:pPr>
      <w:r w:rsidRPr="00233E98">
        <w:t>5.3.1.2</w:t>
      </w:r>
      <w:r w:rsidRPr="00233E98">
        <w:tab/>
      </w:r>
      <w:r>
        <w:tab/>
      </w:r>
      <w:r w:rsidRPr="00502E7F">
        <w:t>Amend the first paragraph after the Note to read as follows:</w:t>
      </w:r>
    </w:p>
    <w:p w14:paraId="218CE0AC" w14:textId="77777777" w:rsidR="007B1AC0" w:rsidRPr="00502E7F" w:rsidRDefault="007B1AC0" w:rsidP="007B1AC0">
      <w:pPr>
        <w:pStyle w:val="SingleTxtG"/>
      </w:pPr>
      <w:r w:rsidRPr="00502E7F">
        <w:t>"The placards shall be affixed to both sides and at each end of the container, bulk container, MEGC, tank-container or portable tank and to two opposite sides in the case of flexible bulk containers."</w:t>
      </w:r>
    </w:p>
    <w:p w14:paraId="3493E174" w14:textId="4D5CAE89" w:rsidR="007B1AC0" w:rsidRPr="001433D8" w:rsidRDefault="00DD6D19" w:rsidP="007B1AC0">
      <w:pPr>
        <w:pStyle w:val="SingleTxtG"/>
        <w:rPr>
          <w:i/>
          <w:lang w:val="fr-FR"/>
        </w:rPr>
      </w:pPr>
      <w:r>
        <w:rPr>
          <w:i/>
          <w:lang w:val="fr-FR"/>
        </w:rPr>
        <w:lastRenderedPageBreak/>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INF.20</w:t>
      </w:r>
      <w:r>
        <w:rPr>
          <w:i/>
          <w:lang w:val="fr-FR"/>
        </w:rPr>
        <w:t>)</w:t>
      </w:r>
    </w:p>
    <w:p w14:paraId="283CF71C" w14:textId="77777777" w:rsidR="007B1AC0" w:rsidRDefault="007B1AC0" w:rsidP="007B1AC0">
      <w:pPr>
        <w:pStyle w:val="H23G"/>
      </w:pPr>
      <w:r w:rsidRPr="001433D8">
        <w:rPr>
          <w:lang w:val="fr-FR"/>
        </w:rPr>
        <w:tab/>
      </w:r>
      <w:r w:rsidRPr="001433D8">
        <w:rPr>
          <w:lang w:val="fr-FR"/>
        </w:rPr>
        <w:tab/>
      </w:r>
      <w:r>
        <w:t xml:space="preserve">Chapter 6.8, </w:t>
      </w:r>
      <w:r w:rsidRPr="00065F83">
        <w:t>6.8.2.1.23</w:t>
      </w:r>
      <w:r>
        <w:t>, first amendment</w:t>
      </w:r>
    </w:p>
    <w:p w14:paraId="45E0AA17" w14:textId="77777777" w:rsidR="007B1AC0" w:rsidRPr="001433D8" w:rsidRDefault="007B1AC0" w:rsidP="007B1AC0">
      <w:pPr>
        <w:pStyle w:val="SingleTxtG"/>
        <w:rPr>
          <w:i/>
        </w:rPr>
      </w:pPr>
      <w:r>
        <w:t xml:space="preserve">For the existing text, </w:t>
      </w:r>
      <w:r>
        <w:rPr>
          <w:i/>
        </w:rPr>
        <w:t>substitute</w:t>
      </w:r>
    </w:p>
    <w:p w14:paraId="56EA01AE" w14:textId="77777777" w:rsidR="007B1AC0" w:rsidRPr="00065F83" w:rsidRDefault="007B1AC0" w:rsidP="007B1AC0">
      <w:pPr>
        <w:pStyle w:val="SingleTxtG"/>
      </w:pPr>
      <w:r w:rsidRPr="00065F83">
        <w:t>6.8.2.1.23</w:t>
      </w:r>
      <w:r w:rsidRPr="00065F83">
        <w:tab/>
      </w:r>
      <w:r>
        <w:t>Replace</w:t>
      </w:r>
      <w:r w:rsidRPr="00065F83">
        <w:t xml:space="preserve"> the first two sentences </w:t>
      </w:r>
      <w:r>
        <w:t>by the following</w:t>
      </w:r>
      <w:r w:rsidRPr="00065F83">
        <w:t>:</w:t>
      </w:r>
    </w:p>
    <w:p w14:paraId="6A4F5B6E" w14:textId="77777777" w:rsidR="007B1AC0" w:rsidRPr="00065F83" w:rsidRDefault="007B1AC0" w:rsidP="007B1AC0">
      <w:pPr>
        <w:pStyle w:val="SingleTxtG"/>
      </w:pPr>
      <w:r w:rsidRPr="00065F83">
        <w:t>"The ability of the manufacturer to perform welding operations shall be verified and confirmed by either the competent authority or by the body designated by this authority. The ability of the maintenance or repair shop to perform welding operations shall be verified and confirmed by the inspection body according to 6.8.2.4.5. A weld quality assurance system shall be operated by the manufacturer or the maintenance or repair shop."</w:t>
      </w:r>
    </w:p>
    <w:p w14:paraId="01738865" w14:textId="31F9F2BD" w:rsidR="007B1AC0" w:rsidRPr="00B71373" w:rsidRDefault="00DD6D19" w:rsidP="007B1AC0">
      <w:pPr>
        <w:pStyle w:val="SingleTxtG"/>
        <w:rPr>
          <w:i/>
        </w:rPr>
      </w:pPr>
      <w:r>
        <w:rPr>
          <w:i/>
        </w:rPr>
        <w:t>(</w:t>
      </w:r>
      <w:r w:rsidR="007B1AC0" w:rsidRPr="00B71373">
        <w:rPr>
          <w:i/>
        </w:rPr>
        <w:t xml:space="preserve">Reference documents: ECE/TRANS/WP.15/AC.1/2018/9 and </w:t>
      </w:r>
      <w:proofErr w:type="spellStart"/>
      <w:r w:rsidR="007B1AC0" w:rsidRPr="003B4B6D">
        <w:rPr>
          <w:i/>
          <w:lang w:val="fr-FR"/>
        </w:rPr>
        <w:t>informal</w:t>
      </w:r>
      <w:proofErr w:type="spellEnd"/>
      <w:r w:rsidR="007B1AC0" w:rsidRPr="003B4B6D">
        <w:rPr>
          <w:i/>
          <w:lang w:val="fr-FR"/>
        </w:rPr>
        <w:t xml:space="preserve"> document </w:t>
      </w:r>
      <w:r w:rsidR="007B1AC0" w:rsidRPr="00B71373">
        <w:rPr>
          <w:i/>
        </w:rPr>
        <w:t>INF.47</w:t>
      </w:r>
      <w:r>
        <w:rPr>
          <w:i/>
        </w:rPr>
        <w:t>)</w:t>
      </w:r>
    </w:p>
    <w:p w14:paraId="484440B7" w14:textId="77777777" w:rsidR="007B1AC0" w:rsidRPr="00065F83" w:rsidRDefault="007B1AC0" w:rsidP="007B1AC0">
      <w:pPr>
        <w:pStyle w:val="H23G"/>
      </w:pPr>
      <w:r>
        <w:tab/>
      </w:r>
      <w:r>
        <w:tab/>
        <w:t xml:space="preserve">Chapter 6.8, amendment to </w:t>
      </w:r>
      <w:r w:rsidRPr="00065F83">
        <w:t>6.8.2.2.10</w:t>
      </w:r>
    </w:p>
    <w:p w14:paraId="7D7384E5" w14:textId="77777777" w:rsidR="007B1AC0" w:rsidRPr="00B9198F" w:rsidRDefault="007B1AC0" w:rsidP="007B1AC0">
      <w:pPr>
        <w:pStyle w:val="SingleTxtG"/>
        <w:rPr>
          <w:i/>
        </w:rPr>
      </w:pPr>
      <w:r>
        <w:t xml:space="preserve">For the existing text, </w:t>
      </w:r>
      <w:r>
        <w:rPr>
          <w:i/>
        </w:rPr>
        <w:t>substitute</w:t>
      </w:r>
    </w:p>
    <w:p w14:paraId="53BE3762" w14:textId="77777777" w:rsidR="007B1AC0" w:rsidRPr="00065F83" w:rsidRDefault="007B1AC0" w:rsidP="007B1AC0">
      <w:pPr>
        <w:pStyle w:val="SingleTxtG"/>
      </w:pPr>
      <w:r w:rsidRPr="00065F83">
        <w:t>6.8.2.2.10</w:t>
      </w:r>
      <w:r w:rsidRPr="00065F83">
        <w:tab/>
        <w:t>Amend the second paragraph to read as follows:</w:t>
      </w:r>
    </w:p>
    <w:p w14:paraId="435F7D8C" w14:textId="77777777" w:rsidR="007B1AC0" w:rsidRPr="00065F83" w:rsidRDefault="007B1AC0" w:rsidP="007B1AC0">
      <w:pPr>
        <w:pStyle w:val="SingleTxtG"/>
      </w:pPr>
      <w:r w:rsidRPr="00065F83">
        <w:t>"Except for tanks intended for the carriage of compressed, liquefied or dissolved gases where the arrangement of the bursting disc and safety valve shall be such as to satisfy the competent authority, burst pressures of the bursting disc shall satisfy the following requirements:</w:t>
      </w:r>
    </w:p>
    <w:p w14:paraId="4160409F" w14:textId="77777777" w:rsidR="007B1AC0" w:rsidRPr="00065F83" w:rsidRDefault="007B1AC0" w:rsidP="007B1AC0">
      <w:pPr>
        <w:pStyle w:val="SingleTxtG"/>
      </w:pPr>
      <w:r w:rsidRPr="00065F83">
        <w:t>–</w:t>
      </w:r>
      <w:r w:rsidRPr="00065F83">
        <w:tab/>
        <w:t xml:space="preserve">the minimum burst pressure at </w:t>
      </w:r>
      <w:smartTag w:uri="urn:schemas-microsoft-com:office:smarttags" w:element="metricconverter">
        <w:smartTagPr>
          <w:attr w:name="ProductID" w:val="20 °C"/>
        </w:smartTagPr>
        <w:r w:rsidRPr="00065F83">
          <w:t>20 °C</w:t>
        </w:r>
      </w:smartTag>
      <w:r w:rsidRPr="00065F83">
        <w:t>, tolerances included, shall be greater than or equal to 0.8 times the test pressure</w:t>
      </w:r>
      <w:r>
        <w:t>;</w:t>
      </w:r>
    </w:p>
    <w:p w14:paraId="249BE8A8" w14:textId="77777777" w:rsidR="007B1AC0" w:rsidRPr="00065F83" w:rsidRDefault="007B1AC0" w:rsidP="007B1AC0">
      <w:pPr>
        <w:pStyle w:val="SingleTxtG"/>
      </w:pPr>
      <w:r w:rsidRPr="00065F83">
        <w:t>–</w:t>
      </w:r>
      <w:r w:rsidRPr="00065F83">
        <w:tab/>
        <w:t xml:space="preserve">the maximum burst pressure at </w:t>
      </w:r>
      <w:smartTag w:uri="urn:schemas-microsoft-com:office:smarttags" w:element="metricconverter">
        <w:smartTagPr>
          <w:attr w:name="ProductID" w:val="20 °C"/>
        </w:smartTagPr>
        <w:r w:rsidRPr="00065F83">
          <w:t>20 °C</w:t>
        </w:r>
      </w:smartTag>
      <w:r w:rsidRPr="00065F83">
        <w:t>, tolerances included, shall be less than or equal to 1.1 times the test pressure</w:t>
      </w:r>
      <w:r>
        <w:t>;</w:t>
      </w:r>
      <w:r w:rsidRPr="00065F83">
        <w:t xml:space="preserve"> and</w:t>
      </w:r>
    </w:p>
    <w:p w14:paraId="0C394728" w14:textId="77777777" w:rsidR="007B1AC0" w:rsidRDefault="007B1AC0" w:rsidP="007B1AC0">
      <w:pPr>
        <w:pStyle w:val="SingleTxtG"/>
      </w:pPr>
      <w:r w:rsidRPr="00065F83">
        <w:t>–</w:t>
      </w:r>
      <w:r w:rsidRPr="00065F83">
        <w:tab/>
        <w:t>the burst pressure at the maximum service temperature shall be greater than the maximum working pressure.</w:t>
      </w:r>
    </w:p>
    <w:p w14:paraId="0C6B8002" w14:textId="77777777" w:rsidR="007B1AC0" w:rsidRPr="00065F83" w:rsidRDefault="007B1AC0" w:rsidP="007B1AC0">
      <w:pPr>
        <w:pStyle w:val="SingleTxtG"/>
      </w:pPr>
      <w:r w:rsidRPr="004D59CF">
        <w:rPr>
          <w:color w:val="000000"/>
        </w:rPr>
        <w:t>A pressure gauge or another suitable indicator shall be provided in the space between the bursting disc and the safety valve, to enable detection of any rupture, perforation or leakage of the disc.</w:t>
      </w:r>
    </w:p>
    <w:p w14:paraId="131A823A" w14:textId="66BE6AAA" w:rsidR="007B1AC0" w:rsidRPr="001433D8" w:rsidRDefault="00DD6D19" w:rsidP="007B1AC0">
      <w:pPr>
        <w:pStyle w:val="SingleTxtG"/>
        <w:rPr>
          <w:i/>
        </w:rPr>
      </w:pPr>
      <w:r>
        <w:rPr>
          <w:i/>
        </w:rPr>
        <w:t>(</w:t>
      </w:r>
      <w:r w:rsidR="007B1AC0" w:rsidRPr="001433D8">
        <w:rPr>
          <w:i/>
        </w:rPr>
        <w:t>Reference documents: informal documents INF.32/Rev.1 and INF.47, as amended</w:t>
      </w:r>
      <w:r>
        <w:rPr>
          <w:i/>
        </w:rPr>
        <w:t>)</w:t>
      </w:r>
    </w:p>
    <w:p w14:paraId="7B02B911" w14:textId="77777777" w:rsidR="007B1AC0" w:rsidRDefault="007B1AC0" w:rsidP="007B1AC0">
      <w:pPr>
        <w:pStyle w:val="H23G"/>
      </w:pPr>
      <w:r>
        <w:tab/>
      </w:r>
      <w:r>
        <w:tab/>
        <w:t xml:space="preserve">Chapter 6.8, in the new indent under </w:t>
      </w:r>
      <w:r w:rsidRPr="00065F83">
        <w:t>6.8.5.1.2</w:t>
      </w:r>
      <w:r>
        <w:t xml:space="preserve"> (a)</w:t>
      </w:r>
      <w:r w:rsidRPr="00065F83">
        <w:t xml:space="preserve"> </w:t>
      </w:r>
    </w:p>
    <w:p w14:paraId="3282C4C0" w14:textId="77777777" w:rsidR="007B1AC0" w:rsidRPr="00065F83" w:rsidRDefault="007B1AC0" w:rsidP="007B1AC0">
      <w:pPr>
        <w:pStyle w:val="SingleTxtG"/>
      </w:pPr>
      <w:r w:rsidRPr="001433D8">
        <w:rPr>
          <w:i/>
        </w:rPr>
        <w:t>For</w:t>
      </w:r>
      <w:r>
        <w:t xml:space="preserve"> </w:t>
      </w:r>
      <w:r w:rsidRPr="00065F83">
        <w:t xml:space="preserve">-40 °C </w:t>
      </w:r>
      <w:r w:rsidRPr="001433D8">
        <w:rPr>
          <w:i/>
        </w:rPr>
        <w:t>read</w:t>
      </w:r>
      <w:r>
        <w:t xml:space="preserve"> </w:t>
      </w:r>
      <w:r w:rsidRPr="00065F83">
        <w:t>-60 °C</w:t>
      </w:r>
    </w:p>
    <w:p w14:paraId="5DC2D217" w14:textId="0111136A" w:rsidR="007B1AC0" w:rsidRPr="001433D8" w:rsidRDefault="00DD6D19" w:rsidP="007B1AC0">
      <w:pPr>
        <w:pStyle w:val="SingleTxtG"/>
        <w:rPr>
          <w:i/>
        </w:rPr>
      </w:pPr>
      <w:r>
        <w:rPr>
          <w:i/>
        </w:rPr>
        <w:t>(</w:t>
      </w:r>
      <w:r w:rsidR="007B1AC0" w:rsidRPr="001433D8">
        <w:rPr>
          <w:i/>
        </w:rPr>
        <w:t>Reference documents: ECE/TRANS/WP.15/AC.1/2018/11 and INF.47</w:t>
      </w:r>
      <w:r>
        <w:rPr>
          <w:i/>
        </w:rPr>
        <w:t>)</w:t>
      </w:r>
    </w:p>
    <w:p w14:paraId="2FC4725A" w14:textId="77777777" w:rsidR="00D4386C" w:rsidRDefault="00D4386C" w:rsidP="00D4386C">
      <w:pPr>
        <w:pStyle w:val="H1G"/>
      </w:pPr>
      <w:r>
        <w:tab/>
      </w:r>
    </w:p>
    <w:p w14:paraId="71461750" w14:textId="77777777" w:rsidR="00D4386C" w:rsidRDefault="00D4386C">
      <w:pPr>
        <w:suppressAutoHyphens w:val="0"/>
        <w:spacing w:line="240" w:lineRule="auto"/>
        <w:rPr>
          <w:b/>
          <w:sz w:val="24"/>
        </w:rPr>
      </w:pPr>
      <w:r>
        <w:br w:type="page"/>
      </w:r>
    </w:p>
    <w:p w14:paraId="7153FA98" w14:textId="5492793F" w:rsidR="007B1AC0" w:rsidRDefault="00D4386C" w:rsidP="006C19BA">
      <w:pPr>
        <w:pStyle w:val="H1G"/>
      </w:pPr>
      <w:r>
        <w:lastRenderedPageBreak/>
        <w:tab/>
      </w:r>
      <w:r w:rsidR="007B1AC0">
        <w:t>B.</w:t>
      </w:r>
      <w:r w:rsidR="007B1AC0">
        <w:tab/>
      </w:r>
      <w:r w:rsidR="007B1AC0" w:rsidRPr="006C19BA">
        <w:t xml:space="preserve">Modifications to document </w:t>
      </w:r>
      <w:r w:rsidR="007B1AC0" w:rsidRPr="008A1252">
        <w:t>OTIF/RID/CE/GTP/2017/15</w:t>
      </w:r>
    </w:p>
    <w:p w14:paraId="3DC181AB" w14:textId="77777777" w:rsidR="007B1AC0" w:rsidRPr="006C19BA" w:rsidRDefault="007B1AC0" w:rsidP="006C19BA">
      <w:pPr>
        <w:pStyle w:val="H23G"/>
      </w:pPr>
      <w:r w:rsidRPr="006C19BA">
        <w:tab/>
      </w:r>
      <w:r w:rsidRPr="006C19BA">
        <w:tab/>
        <w:t>Chapter 2.2</w:t>
      </w:r>
    </w:p>
    <w:p w14:paraId="43985F0D" w14:textId="77777777" w:rsidR="007B1AC0" w:rsidRPr="00A558C1" w:rsidRDefault="007B1AC0" w:rsidP="007B1AC0">
      <w:pPr>
        <w:pStyle w:val="SingleTxtG"/>
      </w:pPr>
      <w:r w:rsidRPr="00A558C1">
        <w:t>2.2.43.3</w:t>
      </w:r>
      <w:r w:rsidRPr="00A558C1">
        <w:tab/>
        <w:t>For UN No. 3543, replace "ARTICLES CONTAINING A SUBSTANCE WHICH EMITS FLAMMABLE GAS IN CONTACT WITH WATER, N.O.S." by:</w:t>
      </w:r>
    </w:p>
    <w:p w14:paraId="47835F12" w14:textId="77777777" w:rsidR="007B1AC0" w:rsidRPr="00A558C1" w:rsidRDefault="007B1AC0" w:rsidP="006C19BA">
      <w:pPr>
        <w:pStyle w:val="SingleTxtG"/>
        <w:spacing w:line="240" w:lineRule="auto"/>
      </w:pPr>
      <w:r w:rsidRPr="00A558C1">
        <w:t>"ARTICLES CONTAINING A SUBSTANCE WHICH IN CONTACT WITH WATER EMITS FLAMMABLE GASES, N.O.S.".</w:t>
      </w:r>
    </w:p>
    <w:p w14:paraId="15E31E37" w14:textId="6D52EC7F" w:rsidR="007B1AC0" w:rsidRPr="001433D8" w:rsidRDefault="00DD6D19" w:rsidP="006C19BA">
      <w:pPr>
        <w:pStyle w:val="SingleTxtG"/>
        <w:spacing w:line="240" w:lineRule="auto"/>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INF.31</w:t>
      </w:r>
      <w:r>
        <w:rPr>
          <w:i/>
          <w:lang w:val="fr-FR"/>
        </w:rPr>
        <w:t>)</w:t>
      </w:r>
    </w:p>
    <w:p w14:paraId="450AF44E" w14:textId="77777777" w:rsidR="007B1AC0" w:rsidRPr="00A558C1" w:rsidRDefault="007B1AC0" w:rsidP="006C19BA">
      <w:pPr>
        <w:pStyle w:val="H23G"/>
      </w:pPr>
      <w:r w:rsidRPr="006C19BA">
        <w:tab/>
      </w:r>
      <w:r w:rsidRPr="006C19BA">
        <w:tab/>
      </w:r>
      <w:r w:rsidRPr="00A558C1">
        <w:t>Chapter 3.2</w:t>
      </w:r>
    </w:p>
    <w:p w14:paraId="504B2362" w14:textId="77777777" w:rsidR="007B1AC0" w:rsidRPr="00A558C1" w:rsidRDefault="007B1AC0" w:rsidP="006C19BA">
      <w:pPr>
        <w:pStyle w:val="SingleTxtG"/>
        <w:keepNext/>
        <w:keepLines/>
      </w:pPr>
      <w:r w:rsidRPr="00A558C1">
        <w:t>3.2.1</w:t>
      </w:r>
    </w:p>
    <w:p w14:paraId="6D9958A4" w14:textId="77777777" w:rsidR="007B1AC0" w:rsidRPr="00A558C1" w:rsidRDefault="007B1AC0" w:rsidP="007B1AC0">
      <w:pPr>
        <w:pStyle w:val="SingleTxtG"/>
      </w:pPr>
      <w:r w:rsidRPr="00A558C1">
        <w:t>Table A</w:t>
      </w:r>
      <w:r w:rsidRPr="00A558C1">
        <w:tab/>
        <w:t>For UN No. 3543, replace "ARTICLES CONTAINING A SUBSTANCE WHICH EMITS FLAMMABLE GAS IN CONTACT WITH WATER, N.O.S." by:</w:t>
      </w:r>
    </w:p>
    <w:p w14:paraId="2EEA76F4" w14:textId="77777777" w:rsidR="007B1AC0" w:rsidRPr="00A558C1" w:rsidRDefault="007B1AC0" w:rsidP="006C19BA">
      <w:pPr>
        <w:pStyle w:val="SingleTxtG"/>
        <w:spacing w:line="240" w:lineRule="auto"/>
      </w:pPr>
      <w:r w:rsidRPr="00A558C1">
        <w:t>"ARTICLES CONTAINING A SUBSTANCE WHICH IN CONTACT WITH WATER EMITS FLAMMABLE GASES, N.O.S.".</w:t>
      </w:r>
    </w:p>
    <w:p w14:paraId="73E22D5A" w14:textId="328260F1"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INF.31</w:t>
      </w:r>
      <w:r>
        <w:rPr>
          <w:i/>
          <w:lang w:val="fr-FR"/>
        </w:rPr>
        <w:t>)</w:t>
      </w:r>
    </w:p>
    <w:p w14:paraId="46F2D72C" w14:textId="77777777" w:rsidR="007B1AC0" w:rsidRPr="00A558C1" w:rsidRDefault="007B1AC0" w:rsidP="007B1AC0">
      <w:pPr>
        <w:pStyle w:val="SingleTxtG"/>
      </w:pPr>
      <w:r w:rsidRPr="00A558C1">
        <w:t>3.2.2</w:t>
      </w:r>
    </w:p>
    <w:p w14:paraId="6D358807" w14:textId="77777777" w:rsidR="007B1AC0" w:rsidRPr="00A558C1" w:rsidRDefault="007B1AC0" w:rsidP="007B1AC0">
      <w:pPr>
        <w:pStyle w:val="SingleTxtG"/>
      </w:pPr>
      <w:r w:rsidRPr="00A558C1">
        <w:t>Table B</w:t>
      </w:r>
      <w:r w:rsidRPr="00A558C1">
        <w:tab/>
        <w:t>For UN No. 3543, replace "ARTICLES CONTAINING A SUBSTANCE WHICH EMITS FLAMMABLE GAS IN CONTACT WITH WATER, N.O.S." by:</w:t>
      </w:r>
    </w:p>
    <w:p w14:paraId="39B0549A" w14:textId="77777777" w:rsidR="007B1AC0" w:rsidRPr="00A558C1" w:rsidRDefault="007B1AC0" w:rsidP="006C19BA">
      <w:pPr>
        <w:pStyle w:val="SingleTxtG"/>
        <w:spacing w:line="240" w:lineRule="auto"/>
      </w:pPr>
      <w:r w:rsidRPr="00A558C1">
        <w:t>"ARTICLES CONTAINING A SUBSTANCE WHICH IN CONTACT WITH WATER EMITS FLAMMABLE GASES, N.O.S.".</w:t>
      </w:r>
    </w:p>
    <w:p w14:paraId="3CAA6CB1" w14:textId="0526A611"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INF.31</w:t>
      </w:r>
      <w:r>
        <w:rPr>
          <w:i/>
          <w:lang w:val="fr-FR"/>
        </w:rPr>
        <w:t>)</w:t>
      </w:r>
    </w:p>
    <w:p w14:paraId="7118867C" w14:textId="77777777" w:rsidR="007B1AC0" w:rsidRPr="00A558C1" w:rsidRDefault="007B1AC0" w:rsidP="006C19BA">
      <w:pPr>
        <w:pStyle w:val="H23G"/>
      </w:pPr>
      <w:r w:rsidRPr="006C19BA">
        <w:tab/>
      </w:r>
      <w:r w:rsidRPr="006C19BA">
        <w:tab/>
      </w:r>
      <w:r w:rsidRPr="00A558C1">
        <w:t>Chapter 3.3</w:t>
      </w:r>
    </w:p>
    <w:p w14:paraId="54EC2820" w14:textId="28EA815A" w:rsidR="007B1AC0" w:rsidRPr="00A558C1" w:rsidRDefault="00DD6D19" w:rsidP="007B1AC0">
      <w:pPr>
        <w:pStyle w:val="SingleTxtG"/>
      </w:pPr>
      <w:r>
        <w:t>SP</w:t>
      </w:r>
      <w:r w:rsidR="007B1AC0" w:rsidRPr="00A558C1">
        <w:t>392</w:t>
      </w:r>
      <w:r w:rsidR="007B1AC0" w:rsidRPr="00A558C1">
        <w:tab/>
      </w:r>
      <w:r>
        <w:tab/>
      </w:r>
      <w:r w:rsidR="007B1AC0" w:rsidRPr="00A558C1">
        <w:t>In paragraph (c), amend the second sentence to read:</w:t>
      </w:r>
    </w:p>
    <w:p w14:paraId="02CC2ED1" w14:textId="77777777" w:rsidR="007B1AC0" w:rsidRPr="00A558C1" w:rsidRDefault="007B1AC0" w:rsidP="006C19BA">
      <w:pPr>
        <w:pStyle w:val="SingleTxtG"/>
        <w:spacing w:line="240" w:lineRule="auto"/>
      </w:pPr>
      <w:r w:rsidRPr="00A558C1">
        <w:t>"If only one valve exists or only one valve works, all openings with the exception of the opening of the pressure relief device shall be closed as to be gastight under normal conditions of carriage;".</w:t>
      </w:r>
    </w:p>
    <w:p w14:paraId="6E2CBD92" w14:textId="32DE72C1" w:rsidR="007B1AC0" w:rsidRPr="001433D8" w:rsidRDefault="00DD6D19" w:rsidP="007B1AC0">
      <w:pPr>
        <w:pStyle w:val="SingleTxtG"/>
        <w:rPr>
          <w:i/>
          <w:lang w:val="fr-FR"/>
        </w:rPr>
      </w:pPr>
      <w:r>
        <w:rPr>
          <w:i/>
          <w:lang w:val="fr-FR"/>
        </w:rPr>
        <w:t>(</w:t>
      </w:r>
      <w:r w:rsidR="007B1AC0" w:rsidRPr="001433D8">
        <w:rPr>
          <w:i/>
          <w:lang w:val="fr-FR"/>
        </w:rPr>
        <w:t xml:space="preserve">Reference document: </w:t>
      </w:r>
      <w:proofErr w:type="spellStart"/>
      <w:r w:rsidR="007B1AC0" w:rsidRPr="001433D8">
        <w:rPr>
          <w:i/>
          <w:lang w:val="fr-FR"/>
        </w:rPr>
        <w:t>informal</w:t>
      </w:r>
      <w:proofErr w:type="spellEnd"/>
      <w:r w:rsidR="007B1AC0" w:rsidRPr="001433D8">
        <w:rPr>
          <w:i/>
          <w:lang w:val="fr-FR"/>
        </w:rPr>
        <w:t xml:space="preserve"> document INF.31</w:t>
      </w:r>
      <w:r>
        <w:rPr>
          <w:i/>
          <w:lang w:val="fr-FR"/>
        </w:rPr>
        <w:t>)</w:t>
      </w:r>
    </w:p>
    <w:p w14:paraId="45718C57" w14:textId="77777777" w:rsidR="007B1AC0" w:rsidRPr="00A558C1" w:rsidRDefault="007B1AC0" w:rsidP="006C19BA">
      <w:pPr>
        <w:pStyle w:val="H23G"/>
      </w:pPr>
      <w:r w:rsidRPr="006C19BA">
        <w:tab/>
      </w:r>
      <w:r w:rsidRPr="006C19BA">
        <w:tab/>
      </w:r>
      <w:r w:rsidRPr="00A558C1">
        <w:t>Chapter 4.1</w:t>
      </w:r>
    </w:p>
    <w:p w14:paraId="1C71EACB" w14:textId="6E292B3C" w:rsidR="007B1AC0" w:rsidRPr="00A558C1" w:rsidRDefault="00DD6D19" w:rsidP="006C19BA">
      <w:pPr>
        <w:pStyle w:val="SingleTxtG"/>
        <w:spacing w:line="240" w:lineRule="auto"/>
      </w:pPr>
      <w:r>
        <w:t>P</w:t>
      </w:r>
      <w:r w:rsidR="007B1AC0" w:rsidRPr="00A558C1">
        <w:t>907</w:t>
      </w:r>
      <w:r w:rsidR="007B1AC0" w:rsidRPr="00A558C1">
        <w:tab/>
      </w:r>
      <w:r w:rsidR="007B1AC0" w:rsidRPr="00A558C1">
        <w:tab/>
        <w:t>In the second paragraph, in the second sentence, replace "filling density" by:</w:t>
      </w:r>
      <w:r w:rsidR="00D4386C">
        <w:t xml:space="preserve"> </w:t>
      </w:r>
      <w:r w:rsidR="007B1AC0" w:rsidRPr="00A558C1">
        <w:t>"filling ratio".</w:t>
      </w:r>
    </w:p>
    <w:p w14:paraId="594920EC" w14:textId="4AD196E8" w:rsidR="007B1AC0" w:rsidRPr="001433D8" w:rsidRDefault="00DD6D19" w:rsidP="007B1AC0">
      <w:pPr>
        <w:pStyle w:val="SingleTxtG"/>
        <w:rPr>
          <w:i/>
        </w:rPr>
      </w:pPr>
      <w:r>
        <w:rPr>
          <w:i/>
        </w:rPr>
        <w:t>(</w:t>
      </w:r>
      <w:r w:rsidR="007B1AC0" w:rsidRPr="001433D8">
        <w:rPr>
          <w:i/>
        </w:rPr>
        <w:t>Reference document: informal document INF.31</w:t>
      </w:r>
      <w:r>
        <w:rPr>
          <w:i/>
        </w:rPr>
        <w:t>)</w:t>
      </w:r>
    </w:p>
    <w:p w14:paraId="6580D9E5" w14:textId="77777777" w:rsidR="007B1AC0" w:rsidRPr="00A558C1" w:rsidRDefault="007B1AC0" w:rsidP="006C19BA">
      <w:pPr>
        <w:pStyle w:val="H23G"/>
      </w:pPr>
      <w:r>
        <w:tab/>
      </w:r>
      <w:r>
        <w:tab/>
      </w:r>
      <w:r w:rsidRPr="00A558C1">
        <w:t>Chapter 4.2</w:t>
      </w:r>
    </w:p>
    <w:p w14:paraId="7282FFC1" w14:textId="3E3DD31E" w:rsidR="007B1AC0" w:rsidRPr="00A558C1" w:rsidRDefault="007B1AC0" w:rsidP="007B1AC0">
      <w:pPr>
        <w:pStyle w:val="SingleTxtG"/>
      </w:pPr>
      <w:r w:rsidRPr="00A558C1">
        <w:t>4.2.5.3</w:t>
      </w:r>
      <w:r w:rsidR="000650FD">
        <w:t xml:space="preserve">, </w:t>
      </w:r>
      <w:r w:rsidR="00DD6D19">
        <w:t>TP</w:t>
      </w:r>
      <w:r w:rsidRPr="00A558C1">
        <w:t>10</w:t>
      </w:r>
      <w:r w:rsidRPr="00A558C1">
        <w:tab/>
      </w:r>
      <w:r w:rsidR="00D4386C">
        <w:t xml:space="preserve"> </w:t>
      </w:r>
      <w:r w:rsidRPr="00A558C1">
        <w:t>Replace "beyond the date of expiry of the last testing" by:</w:t>
      </w:r>
      <w:r w:rsidR="00D4386C">
        <w:t xml:space="preserve"> </w:t>
      </w:r>
      <w:r w:rsidRPr="00A558C1">
        <w:t>"beyond that date".</w:t>
      </w:r>
    </w:p>
    <w:p w14:paraId="269A8726" w14:textId="6EAB6E48" w:rsidR="007B1AC0" w:rsidRDefault="00DD6D19" w:rsidP="007B1AC0">
      <w:pPr>
        <w:pStyle w:val="SingleTxtG"/>
      </w:pPr>
      <w:r>
        <w:rPr>
          <w:i/>
        </w:rPr>
        <w:t>(</w:t>
      </w:r>
      <w:r w:rsidR="007B1AC0" w:rsidRPr="00B9198F">
        <w:rPr>
          <w:i/>
        </w:rPr>
        <w:t>Reference document: informal document INF.31</w:t>
      </w:r>
      <w:r>
        <w:rPr>
          <w:i/>
        </w:rPr>
        <w:t>)</w:t>
      </w:r>
    </w:p>
    <w:p w14:paraId="113F9659" w14:textId="77777777" w:rsidR="007B1AC0" w:rsidRDefault="007B1AC0" w:rsidP="006C19BA">
      <w:pPr>
        <w:pStyle w:val="H23G"/>
      </w:pPr>
      <w:r>
        <w:tab/>
      </w:r>
      <w:r>
        <w:tab/>
        <w:t>Chapter 6.8</w:t>
      </w:r>
    </w:p>
    <w:p w14:paraId="4F778A21" w14:textId="7B5B70EF" w:rsidR="007B1AC0" w:rsidRDefault="007B1AC0" w:rsidP="007B1AC0">
      <w:pPr>
        <w:pStyle w:val="SingleTxtG"/>
      </w:pPr>
      <w:r w:rsidRPr="00E63B55">
        <w:t>6.8.2.1.18</w:t>
      </w:r>
      <w:r w:rsidRPr="00E63B55">
        <w:tab/>
        <w:t>Delete the amendment in square brackets.</w:t>
      </w:r>
    </w:p>
    <w:p w14:paraId="7E0875EF" w14:textId="2C917AD3" w:rsidR="000650FD" w:rsidRPr="00E63B55" w:rsidRDefault="000650FD" w:rsidP="007B1AC0">
      <w:pPr>
        <w:pStyle w:val="SingleTxtG"/>
      </w:pPr>
      <w:r>
        <w:t>6.8.5.1.2</w:t>
      </w:r>
      <w:r>
        <w:tab/>
        <w:t>Delete the square brackets.</w:t>
      </w:r>
    </w:p>
    <w:p w14:paraId="70D68A20" w14:textId="69515A94" w:rsidR="007B1AC0" w:rsidRDefault="00DD6D19" w:rsidP="006C19BA">
      <w:pPr>
        <w:pStyle w:val="SingleTxtG"/>
      </w:pPr>
      <w:r>
        <w:rPr>
          <w:i/>
        </w:rPr>
        <w:t>(</w:t>
      </w:r>
      <w:r w:rsidR="007B1AC0" w:rsidRPr="00065F83">
        <w:rPr>
          <w:i/>
        </w:rPr>
        <w:t>Reference documents: informal documents INF.36 and INF.47</w:t>
      </w:r>
      <w:r>
        <w:rPr>
          <w:i/>
        </w:rPr>
        <w:t>)</w:t>
      </w:r>
      <w:r w:rsidR="007B1AC0">
        <w:br w:type="page"/>
      </w:r>
    </w:p>
    <w:p w14:paraId="3507AAF3" w14:textId="616182BC" w:rsidR="007B1AC0" w:rsidRPr="008B438C" w:rsidRDefault="007B1AC0" w:rsidP="007B1AC0">
      <w:pPr>
        <w:pStyle w:val="HChG"/>
        <w:tabs>
          <w:tab w:val="clear" w:pos="851"/>
        </w:tabs>
        <w:ind w:firstLine="0"/>
      </w:pPr>
      <w:r>
        <w:lastRenderedPageBreak/>
        <w:t>Annex</w:t>
      </w:r>
      <w:r w:rsidRPr="008B438C">
        <w:t xml:space="preserve"> I</w:t>
      </w:r>
      <w:r>
        <w:t>V</w:t>
      </w:r>
    </w:p>
    <w:p w14:paraId="5CBC89BF" w14:textId="3566E521" w:rsidR="007B1AC0" w:rsidRDefault="007B1AC0" w:rsidP="006C19BA">
      <w:pPr>
        <w:pStyle w:val="HChG"/>
        <w:tabs>
          <w:tab w:val="clear" w:pos="851"/>
        </w:tabs>
        <w:ind w:firstLine="0"/>
      </w:pPr>
      <w:r w:rsidRPr="006C19BA">
        <w:tab/>
        <w:t>Draft amendments to RID/ADR/ADN for entry into force on 1 January 2021</w:t>
      </w:r>
    </w:p>
    <w:p w14:paraId="72006F8D" w14:textId="6AF44A94" w:rsidR="007B1AC0" w:rsidRPr="007E4A8F" w:rsidRDefault="007B1AC0" w:rsidP="007B1AC0">
      <w:pPr>
        <w:pStyle w:val="H1G"/>
      </w:pPr>
      <w:r>
        <w:tab/>
      </w:r>
      <w:r>
        <w:tab/>
      </w:r>
      <w:r w:rsidRPr="007E4A8F">
        <w:t>Chapter 6.8</w:t>
      </w:r>
    </w:p>
    <w:p w14:paraId="15C47BEC" w14:textId="77777777" w:rsidR="007B1AC0" w:rsidRPr="00E63B55" w:rsidRDefault="007B1AC0" w:rsidP="007B1AC0">
      <w:pPr>
        <w:pStyle w:val="SingleTxtG"/>
      </w:pPr>
      <w:r w:rsidRPr="00E63B55">
        <w:t>6.8.2.1.18</w:t>
      </w:r>
      <w:r w:rsidRPr="00E63B55">
        <w:tab/>
        <w:t>Add the following sentence at the end of footnote 4/2:</w:t>
      </w:r>
    </w:p>
    <w:p w14:paraId="2DD2BE6A" w14:textId="77777777" w:rsidR="007B1AC0" w:rsidRPr="00E63B55" w:rsidRDefault="007B1AC0" w:rsidP="007B1AC0">
      <w:pPr>
        <w:pStyle w:val="SingleTxtG"/>
      </w:pPr>
      <w:r w:rsidRPr="00E63B55">
        <w:t>"However the cross section of shells according to 6.8.2.1.14 (a) may contain recesses or protrusions such as sumps, cut-outs or recessed manhole constructions. They may be constructed of flat or shaped (concave or convex) sheet metal. Dents and other unintended deformations shall not be regarded as recesses or protrusions."</w:t>
      </w:r>
    </w:p>
    <w:p w14:paraId="08DFAC66" w14:textId="772CFA61" w:rsidR="007B1AC0" w:rsidRPr="00065F83" w:rsidRDefault="00DD6D19" w:rsidP="007B1AC0">
      <w:pPr>
        <w:pStyle w:val="SingleTxtG"/>
        <w:rPr>
          <w:i/>
        </w:rPr>
      </w:pPr>
      <w:r>
        <w:rPr>
          <w:i/>
        </w:rPr>
        <w:t>(</w:t>
      </w:r>
      <w:r w:rsidR="007B1AC0" w:rsidRPr="00065F83">
        <w:rPr>
          <w:i/>
        </w:rPr>
        <w:t>Reference documents: informal documents INF.36 and INF.47</w:t>
      </w:r>
      <w:r>
        <w:rPr>
          <w:i/>
        </w:rPr>
        <w:t>)</w:t>
      </w:r>
    </w:p>
    <w:p w14:paraId="4770E467" w14:textId="77777777" w:rsidR="007B1AC0" w:rsidRPr="006C19BA" w:rsidRDefault="007B1AC0" w:rsidP="006C19BA"/>
    <w:p w14:paraId="0CFBB31A" w14:textId="19749CEA" w:rsidR="007B1AC0" w:rsidRDefault="007B1AC0">
      <w:pPr>
        <w:suppressAutoHyphens w:val="0"/>
        <w:spacing w:line="240" w:lineRule="auto"/>
        <w:rPr>
          <w:color w:val="000000"/>
          <w:lang w:eastAsia="en-GB"/>
        </w:rPr>
      </w:pPr>
      <w:r>
        <w:rPr>
          <w:color w:val="000000"/>
          <w:lang w:eastAsia="en-GB"/>
        </w:rPr>
        <w:br w:type="page"/>
      </w:r>
    </w:p>
    <w:p w14:paraId="60A5ABC6" w14:textId="4FCFC7FC" w:rsidR="007B1AC0" w:rsidRPr="008B438C" w:rsidRDefault="007B1AC0" w:rsidP="007B1AC0">
      <w:pPr>
        <w:pStyle w:val="HChG"/>
        <w:tabs>
          <w:tab w:val="clear" w:pos="851"/>
        </w:tabs>
        <w:ind w:firstLine="0"/>
      </w:pPr>
      <w:r>
        <w:lastRenderedPageBreak/>
        <w:t>Annex</w:t>
      </w:r>
      <w:r w:rsidRPr="008B438C">
        <w:t xml:space="preserve"> </w:t>
      </w:r>
      <w:r>
        <w:t>V</w:t>
      </w:r>
    </w:p>
    <w:p w14:paraId="47FD4305" w14:textId="26BD8A2D" w:rsidR="007B1AC0" w:rsidRPr="006C19BA" w:rsidRDefault="007B1AC0" w:rsidP="006C19BA">
      <w:pPr>
        <w:pStyle w:val="HChG"/>
        <w:tabs>
          <w:tab w:val="clear" w:pos="851"/>
        </w:tabs>
        <w:ind w:firstLine="0"/>
      </w:pPr>
      <w:r w:rsidRPr="006C19BA">
        <w:tab/>
        <w:t>Guidelines for the application of EN 13094:2015 for compliance with ADR 2017 and 2019</w:t>
      </w:r>
    </w:p>
    <w:p w14:paraId="4FFE825B" w14:textId="77777777" w:rsidR="007B1AC0" w:rsidRPr="00691A32" w:rsidRDefault="007B1AC0" w:rsidP="007B1AC0">
      <w:pPr>
        <w:pStyle w:val="SingleTxtG"/>
      </w:pPr>
      <w:r w:rsidRPr="00691A32">
        <w:t>The European standard EN 13094 specifies requirements for the design and construction of metallic gravity-discharge tanks intended for the carriage of substances having a vapour pressure not exceeding 110 kPa (absolute pressure) for which a tank code with letter "G" is given in Chapter 3.2 of ADR.</w:t>
      </w:r>
    </w:p>
    <w:p w14:paraId="71DBAB35" w14:textId="77777777" w:rsidR="007B1AC0" w:rsidRPr="00691A32" w:rsidRDefault="007B1AC0" w:rsidP="007B1AC0">
      <w:pPr>
        <w:pStyle w:val="SingleTxtG"/>
      </w:pPr>
      <w:r w:rsidRPr="00691A32">
        <w:t>In order to comply with the requirements of ADR, the following amendments to EN 13094:2015 shall be made.</w:t>
      </w:r>
    </w:p>
    <w:p w14:paraId="1343FB68" w14:textId="77777777" w:rsidR="007B1AC0" w:rsidRPr="00691A32" w:rsidRDefault="007B1AC0" w:rsidP="007B1AC0">
      <w:pPr>
        <w:pStyle w:val="SingleTxtG"/>
      </w:pPr>
      <w:r w:rsidRPr="00691A32">
        <w:t>1.</w:t>
      </w:r>
      <w:r w:rsidRPr="00691A32">
        <w:tab/>
        <w:t>Amendment of 3.1, Terms and definitions</w:t>
      </w:r>
    </w:p>
    <w:p w14:paraId="32106EAB" w14:textId="77777777" w:rsidR="007B1AC0" w:rsidRPr="00691A32" w:rsidRDefault="007B1AC0" w:rsidP="007B1AC0">
      <w:pPr>
        <w:pStyle w:val="SingleTxtG"/>
        <w:rPr>
          <w:i/>
          <w:iCs/>
        </w:rPr>
      </w:pPr>
      <w:r>
        <w:rPr>
          <w:i/>
          <w:iCs/>
        </w:rPr>
        <w:tab/>
      </w:r>
      <w:r>
        <w:rPr>
          <w:i/>
          <w:iCs/>
        </w:rPr>
        <w:tab/>
      </w:r>
      <w:r w:rsidRPr="00691A32">
        <w:rPr>
          <w:i/>
          <w:iCs/>
        </w:rPr>
        <w:t>Delete the definition of maximum working pressure in 3.1.4.</w:t>
      </w:r>
    </w:p>
    <w:p w14:paraId="3B725E34" w14:textId="77777777" w:rsidR="007B1AC0" w:rsidRPr="00691A32" w:rsidRDefault="007B1AC0" w:rsidP="007B1AC0">
      <w:pPr>
        <w:pStyle w:val="SingleTxtG"/>
      </w:pPr>
      <w:r w:rsidRPr="00691A32">
        <w:t>2.</w:t>
      </w:r>
      <w:r w:rsidRPr="00691A32">
        <w:tab/>
        <w:t>Amendment of 6.4, Dynamic conditions</w:t>
      </w:r>
    </w:p>
    <w:p w14:paraId="2D94C0B1" w14:textId="00A9ABEF" w:rsidR="007B1AC0" w:rsidRPr="00691A32" w:rsidRDefault="007B1AC0" w:rsidP="007B1AC0">
      <w:pPr>
        <w:pStyle w:val="SingleTxtG"/>
      </w:pPr>
      <w:r>
        <w:rPr>
          <w:i/>
          <w:iCs/>
        </w:rPr>
        <w:tab/>
      </w:r>
      <w:r>
        <w:rPr>
          <w:i/>
          <w:iCs/>
        </w:rPr>
        <w:tab/>
      </w:r>
      <w:r w:rsidRPr="00691A32">
        <w:rPr>
          <w:i/>
          <w:iCs/>
        </w:rPr>
        <w:t>In the first paragraph of 6.4.2, replace</w:t>
      </w:r>
      <w:r w:rsidRPr="00691A32">
        <w:t xml:space="preserve"> </w:t>
      </w:r>
      <w:r w:rsidRPr="00691A32">
        <w:rPr>
          <w:i/>
        </w:rPr>
        <w:t>"</w:t>
      </w:r>
      <w:proofErr w:type="spellStart"/>
      <w:r w:rsidRPr="00691A32">
        <w:rPr>
          <w:i/>
          <w:iCs/>
        </w:rPr>
        <w:t>P</w:t>
      </w:r>
      <w:r w:rsidRPr="00691A32">
        <w:rPr>
          <w:i/>
          <w:vertAlign w:val="subscript"/>
        </w:rPr>
        <w:t>v</w:t>
      </w:r>
      <w:proofErr w:type="spellEnd"/>
      <w:r w:rsidRPr="00691A32">
        <w:rPr>
          <w:i/>
        </w:rPr>
        <w:t xml:space="preserve">" </w:t>
      </w:r>
      <w:r w:rsidRPr="00691A32">
        <w:rPr>
          <w:i/>
          <w:iCs/>
        </w:rPr>
        <w:t>with</w:t>
      </w:r>
      <w:r w:rsidRPr="00691A32">
        <w:rPr>
          <w:i/>
        </w:rPr>
        <w:t xml:space="preserve"> "</w:t>
      </w:r>
      <w:proofErr w:type="spellStart"/>
      <w:r w:rsidRPr="00691A32">
        <w:rPr>
          <w:i/>
          <w:iCs/>
        </w:rPr>
        <w:t>P</w:t>
      </w:r>
      <w:r w:rsidRPr="00691A32">
        <w:rPr>
          <w:i/>
          <w:vertAlign w:val="subscript"/>
        </w:rPr>
        <w:t>ta</w:t>
      </w:r>
      <w:proofErr w:type="spellEnd"/>
      <w:r w:rsidRPr="00691A32">
        <w:rPr>
          <w:i/>
        </w:rPr>
        <w:t>"</w:t>
      </w:r>
      <w:r w:rsidRPr="00691A32">
        <w:t>,</w:t>
      </w:r>
      <w:r>
        <w:t xml:space="preserve"> </w:t>
      </w:r>
      <w:r w:rsidRPr="00691A32">
        <w:rPr>
          <w:i/>
        </w:rPr>
        <w:t>where</w:t>
      </w:r>
      <w:r w:rsidRPr="00691A32">
        <w:t xml:space="preserve"> </w:t>
      </w:r>
      <w:proofErr w:type="spellStart"/>
      <w:r w:rsidRPr="00691A32">
        <w:rPr>
          <w:i/>
          <w:iCs/>
        </w:rPr>
        <w:t>P</w:t>
      </w:r>
      <w:r w:rsidRPr="00691A32">
        <w:rPr>
          <w:vertAlign w:val="subscript"/>
        </w:rPr>
        <w:t>ta</w:t>
      </w:r>
      <w:proofErr w:type="spellEnd"/>
      <w:r w:rsidRPr="00691A32">
        <w:t xml:space="preserve"> = </w:t>
      </w:r>
      <w:r w:rsidRPr="00691A32">
        <w:rPr>
          <w:i/>
        </w:rPr>
        <w:t>static pressure (gauge pressure) in Mega</w:t>
      </w:r>
      <w:r w:rsidR="00A50E36">
        <w:rPr>
          <w:i/>
        </w:rPr>
        <w:t>p</w:t>
      </w:r>
      <w:r w:rsidRPr="00691A32">
        <w:rPr>
          <w:i/>
        </w:rPr>
        <w:t>ascals (</w:t>
      </w:r>
      <w:proofErr w:type="spellStart"/>
      <w:r w:rsidRPr="00691A32">
        <w:rPr>
          <w:i/>
        </w:rPr>
        <w:t>MPa</w:t>
      </w:r>
      <w:proofErr w:type="spellEnd"/>
      <w:r w:rsidRPr="00691A32">
        <w:rPr>
          <w:i/>
        </w:rPr>
        <w:t>)</w:t>
      </w:r>
      <w:r w:rsidRPr="00691A32">
        <w:t>.</w:t>
      </w:r>
    </w:p>
    <w:p w14:paraId="3EB10AEF" w14:textId="77777777" w:rsidR="007B1AC0" w:rsidRPr="00691A32" w:rsidRDefault="007B1AC0" w:rsidP="007B1AC0">
      <w:pPr>
        <w:pStyle w:val="SingleTxtG"/>
      </w:pPr>
      <w:r w:rsidRPr="00691A32">
        <w:t>3.</w:t>
      </w:r>
      <w:r w:rsidRPr="00691A32">
        <w:tab/>
        <w:t>Amendment of 6.5, Pressure conditions</w:t>
      </w:r>
    </w:p>
    <w:p w14:paraId="28FD5B5A" w14:textId="77777777" w:rsidR="007B1AC0" w:rsidRPr="00691A32" w:rsidRDefault="007B1AC0" w:rsidP="007B1AC0">
      <w:pPr>
        <w:pStyle w:val="SingleTxtG"/>
      </w:pPr>
      <w:r w:rsidRPr="00691A32">
        <w:t>3.1</w:t>
      </w:r>
      <w:r w:rsidRPr="00691A32">
        <w:tab/>
        <w:t>Amendment of 6.5.1</w:t>
      </w:r>
    </w:p>
    <w:p w14:paraId="1AA64E16" w14:textId="77777777" w:rsidR="007B1AC0" w:rsidRPr="00691A32" w:rsidRDefault="007B1AC0" w:rsidP="007B1AC0">
      <w:pPr>
        <w:pStyle w:val="SingleTxtG"/>
        <w:rPr>
          <w:i/>
          <w:iCs/>
        </w:rPr>
      </w:pPr>
      <w:r>
        <w:rPr>
          <w:i/>
          <w:iCs/>
        </w:rPr>
        <w:tab/>
      </w:r>
      <w:r>
        <w:rPr>
          <w:i/>
          <w:iCs/>
        </w:rPr>
        <w:tab/>
      </w:r>
      <w:r w:rsidRPr="00691A32">
        <w:rPr>
          <w:i/>
          <w:iCs/>
        </w:rPr>
        <w:t>Delete "c) 1.3 times the maximum working pressure".</w:t>
      </w:r>
    </w:p>
    <w:p w14:paraId="790E52EB" w14:textId="77777777" w:rsidR="007B1AC0" w:rsidRPr="00691A32" w:rsidRDefault="007B1AC0" w:rsidP="007B1AC0">
      <w:pPr>
        <w:pStyle w:val="SingleTxtG"/>
      </w:pPr>
      <w:r w:rsidRPr="00691A32">
        <w:t>3.2</w:t>
      </w:r>
      <w:r w:rsidRPr="00691A32">
        <w:tab/>
        <w:t>Amendment of 6.5.2</w:t>
      </w:r>
    </w:p>
    <w:p w14:paraId="358FF2AA" w14:textId="77777777" w:rsidR="007B1AC0" w:rsidRPr="00691A32" w:rsidRDefault="007B1AC0" w:rsidP="007B1AC0">
      <w:pPr>
        <w:pStyle w:val="SingleTxtG"/>
        <w:rPr>
          <w:i/>
        </w:rPr>
      </w:pPr>
      <w:r>
        <w:rPr>
          <w:i/>
          <w:iCs/>
        </w:rPr>
        <w:tab/>
      </w:r>
      <w:r>
        <w:rPr>
          <w:i/>
          <w:iCs/>
        </w:rPr>
        <w:tab/>
      </w:r>
      <w:r w:rsidRPr="00691A32">
        <w:rPr>
          <w:i/>
          <w:iCs/>
        </w:rPr>
        <w:t>Replace</w:t>
      </w:r>
      <w:r w:rsidRPr="00691A32">
        <w:rPr>
          <w:i/>
        </w:rPr>
        <w:t xml:space="preserve"> "1.3 × (</w:t>
      </w:r>
      <w:proofErr w:type="spellStart"/>
      <w:r w:rsidRPr="00691A32">
        <w:rPr>
          <w:i/>
          <w:iCs/>
        </w:rPr>
        <w:t>P</w:t>
      </w:r>
      <w:r w:rsidRPr="00691A32">
        <w:rPr>
          <w:i/>
          <w:vertAlign w:val="subscript"/>
        </w:rPr>
        <w:t>ta</w:t>
      </w:r>
      <w:proofErr w:type="spellEnd"/>
      <w:r w:rsidRPr="00691A32">
        <w:rPr>
          <w:i/>
        </w:rPr>
        <w:t xml:space="preserve"> + </w:t>
      </w:r>
      <w:r w:rsidRPr="00691A32">
        <w:rPr>
          <w:i/>
          <w:iCs/>
        </w:rPr>
        <w:t>P</w:t>
      </w:r>
      <w:r w:rsidRPr="00691A32">
        <w:rPr>
          <w:i/>
          <w:vertAlign w:val="subscript"/>
        </w:rPr>
        <w:t>ts</w:t>
      </w:r>
      <w:r w:rsidRPr="00691A32">
        <w:rPr>
          <w:i/>
        </w:rPr>
        <w:t xml:space="preserve">)" </w:t>
      </w:r>
      <w:r w:rsidRPr="00691A32">
        <w:rPr>
          <w:i/>
          <w:iCs/>
        </w:rPr>
        <w:t>with</w:t>
      </w:r>
      <w:r w:rsidRPr="00691A32">
        <w:rPr>
          <w:i/>
        </w:rPr>
        <w:t xml:space="preserve"> "max (0.2; 1.3 × </w:t>
      </w:r>
      <w:proofErr w:type="spellStart"/>
      <w:r w:rsidRPr="00691A32">
        <w:rPr>
          <w:i/>
          <w:iCs/>
        </w:rPr>
        <w:t>P</w:t>
      </w:r>
      <w:r w:rsidRPr="00691A32">
        <w:rPr>
          <w:i/>
          <w:vertAlign w:val="subscript"/>
        </w:rPr>
        <w:t>ta</w:t>
      </w:r>
      <w:proofErr w:type="spellEnd"/>
      <w:r w:rsidRPr="00691A32">
        <w:rPr>
          <w:i/>
          <w:vertAlign w:val="subscript"/>
        </w:rPr>
        <w:t xml:space="preserve"> water</w:t>
      </w:r>
      <w:r w:rsidRPr="00691A32">
        <w:rPr>
          <w:i/>
        </w:rPr>
        <w:t xml:space="preserve">; 1.3 × </w:t>
      </w:r>
      <w:proofErr w:type="spellStart"/>
      <w:r w:rsidRPr="00691A32">
        <w:rPr>
          <w:i/>
          <w:iCs/>
        </w:rPr>
        <w:t>P</w:t>
      </w:r>
      <w:r w:rsidRPr="00691A32">
        <w:rPr>
          <w:i/>
          <w:vertAlign w:val="subscript"/>
        </w:rPr>
        <w:t>ta</w:t>
      </w:r>
      <w:proofErr w:type="spellEnd"/>
      <w:r w:rsidRPr="00691A32">
        <w:rPr>
          <w:i/>
        </w:rPr>
        <w:t>)".</w:t>
      </w:r>
    </w:p>
    <w:p w14:paraId="6E5D2FCF" w14:textId="77777777" w:rsidR="007B1AC0" w:rsidRPr="00691A32" w:rsidRDefault="007B1AC0" w:rsidP="007B1AC0">
      <w:pPr>
        <w:pStyle w:val="SingleTxtG"/>
      </w:pPr>
      <w:r w:rsidRPr="00691A32">
        <w:t>4.</w:t>
      </w:r>
      <w:r w:rsidRPr="00691A32">
        <w:tab/>
        <w:t>Amendment of Annex A, A.5 Calculation method – Worksheet</w:t>
      </w:r>
    </w:p>
    <w:p w14:paraId="0800000E" w14:textId="77777777" w:rsidR="007B1AC0" w:rsidRPr="00691A32" w:rsidRDefault="007B1AC0" w:rsidP="007B1AC0">
      <w:pPr>
        <w:pStyle w:val="SingleTxtG"/>
      </w:pPr>
      <w:r w:rsidRPr="00691A32">
        <w:t>4.1</w:t>
      </w:r>
      <w:r w:rsidRPr="00691A32">
        <w:tab/>
        <w:t>Amendment of A.5.2.2.1, Table A.2, Pressures</w:t>
      </w:r>
    </w:p>
    <w:p w14:paraId="030EC346" w14:textId="3F8EAE20" w:rsidR="007B1AC0" w:rsidRPr="00691A32" w:rsidRDefault="007B1AC0" w:rsidP="007B1AC0">
      <w:pPr>
        <w:pStyle w:val="SingleTxtG"/>
        <w:rPr>
          <w:i/>
        </w:rPr>
      </w:pPr>
      <w:r>
        <w:rPr>
          <w:i/>
          <w:iCs/>
        </w:rPr>
        <w:tab/>
      </w:r>
      <w:r>
        <w:rPr>
          <w:i/>
          <w:iCs/>
        </w:rPr>
        <w:tab/>
      </w:r>
      <w:r w:rsidRPr="00691A32">
        <w:rPr>
          <w:i/>
          <w:iCs/>
        </w:rPr>
        <w:t>Replace N° 2</w:t>
      </w:r>
      <w:r w:rsidRPr="00691A32">
        <w:rPr>
          <w:i/>
        </w:rPr>
        <w:t xml:space="preserve"> "Maximum working </w:t>
      </w:r>
      <w:proofErr w:type="spellStart"/>
      <w:r w:rsidRPr="00691A32">
        <w:rPr>
          <w:i/>
        </w:rPr>
        <w:t>pressure</w:t>
      </w:r>
      <w:r w:rsidRPr="00691A32">
        <w:rPr>
          <w:i/>
          <w:vertAlign w:val="superscript"/>
        </w:rPr>
        <w:t>b</w:t>
      </w:r>
      <w:proofErr w:type="spellEnd"/>
      <w:r w:rsidRPr="00691A32">
        <w:rPr>
          <w:i/>
        </w:rPr>
        <w:t xml:space="preserve">, </w:t>
      </w:r>
      <w:proofErr w:type="spellStart"/>
      <w:r w:rsidRPr="00691A32">
        <w:rPr>
          <w:i/>
          <w:iCs/>
        </w:rPr>
        <w:t>P</w:t>
      </w:r>
      <w:r w:rsidRPr="00691A32">
        <w:rPr>
          <w:i/>
          <w:vertAlign w:val="subscript"/>
        </w:rPr>
        <w:t>ms</w:t>
      </w:r>
      <w:proofErr w:type="spellEnd"/>
      <w:r w:rsidRPr="00691A32">
        <w:rPr>
          <w:i/>
        </w:rPr>
        <w:t xml:space="preserve">" </w:t>
      </w:r>
      <w:r w:rsidRPr="00691A32">
        <w:rPr>
          <w:i/>
          <w:iCs/>
        </w:rPr>
        <w:t>with</w:t>
      </w:r>
      <w:r w:rsidRPr="00691A32">
        <w:rPr>
          <w:i/>
        </w:rPr>
        <w:t xml:space="preserve"> "Opening pressure of the breather device, </w:t>
      </w:r>
      <w:r w:rsidRPr="00691A32">
        <w:rPr>
          <w:i/>
          <w:iCs/>
        </w:rPr>
        <w:t>P</w:t>
      </w:r>
      <w:r w:rsidRPr="00691A32">
        <w:rPr>
          <w:i/>
          <w:vertAlign w:val="subscript"/>
        </w:rPr>
        <w:t>ts</w:t>
      </w:r>
      <w:r w:rsidRPr="00691A32">
        <w:rPr>
          <w:i/>
        </w:rPr>
        <w:t>".</w:t>
      </w:r>
    </w:p>
    <w:p w14:paraId="68661205" w14:textId="77777777" w:rsidR="007B1AC0" w:rsidRPr="00691A32" w:rsidRDefault="007B1AC0" w:rsidP="007B1AC0">
      <w:pPr>
        <w:pStyle w:val="SingleTxtG"/>
        <w:rPr>
          <w:i/>
        </w:rPr>
      </w:pPr>
      <w:r>
        <w:rPr>
          <w:i/>
          <w:iCs/>
        </w:rPr>
        <w:tab/>
      </w:r>
      <w:r>
        <w:rPr>
          <w:i/>
          <w:iCs/>
        </w:rPr>
        <w:tab/>
      </w:r>
      <w:r w:rsidRPr="00691A32">
        <w:rPr>
          <w:i/>
          <w:iCs/>
        </w:rPr>
        <w:t>Delete</w:t>
      </w:r>
      <w:r w:rsidRPr="00691A32">
        <w:rPr>
          <w:i/>
        </w:rPr>
        <w:t xml:space="preserve"> "</w:t>
      </w:r>
      <w:r>
        <w:rPr>
          <w:i/>
          <w:vertAlign w:val="superscript"/>
        </w:rPr>
        <w:t xml:space="preserve">b </w:t>
      </w:r>
      <w:proofErr w:type="spellStart"/>
      <w:r w:rsidRPr="00691A32">
        <w:rPr>
          <w:i/>
          <w:iCs/>
        </w:rPr>
        <w:t>P</w:t>
      </w:r>
      <w:r w:rsidRPr="00691A32">
        <w:rPr>
          <w:i/>
          <w:vertAlign w:val="subscript"/>
        </w:rPr>
        <w:t>ms</w:t>
      </w:r>
      <w:proofErr w:type="spellEnd"/>
      <w:r w:rsidRPr="00691A32">
        <w:rPr>
          <w:i/>
        </w:rPr>
        <w:t xml:space="preserve"> is the maximum of </w:t>
      </w:r>
      <w:proofErr w:type="spellStart"/>
      <w:r w:rsidRPr="00691A32">
        <w:rPr>
          <w:i/>
        </w:rPr>
        <w:t>P</w:t>
      </w:r>
      <w:r w:rsidRPr="00691A32">
        <w:rPr>
          <w:i/>
          <w:vertAlign w:val="subscript"/>
        </w:rPr>
        <w:t>vd</w:t>
      </w:r>
      <w:proofErr w:type="spellEnd"/>
      <w:r w:rsidRPr="00691A32">
        <w:rPr>
          <w:i/>
        </w:rPr>
        <w:t>, P</w:t>
      </w:r>
      <w:r w:rsidRPr="00691A32">
        <w:rPr>
          <w:i/>
          <w:vertAlign w:val="subscript"/>
        </w:rPr>
        <w:t>ts</w:t>
      </w:r>
      <w:r w:rsidRPr="00691A32">
        <w:rPr>
          <w:i/>
        </w:rPr>
        <w:t xml:space="preserve">, </w:t>
      </w:r>
      <w:proofErr w:type="spellStart"/>
      <w:r w:rsidRPr="00691A32">
        <w:rPr>
          <w:i/>
          <w:iCs/>
        </w:rPr>
        <w:t>P</w:t>
      </w:r>
      <w:r w:rsidRPr="00691A32">
        <w:rPr>
          <w:i/>
          <w:vertAlign w:val="subscript"/>
        </w:rPr>
        <w:t>d</w:t>
      </w:r>
      <w:proofErr w:type="spellEnd"/>
      <w:r w:rsidRPr="00691A32">
        <w:rPr>
          <w:i/>
        </w:rPr>
        <w:t xml:space="preserve"> and </w:t>
      </w:r>
      <w:proofErr w:type="spellStart"/>
      <w:r w:rsidRPr="00691A32">
        <w:rPr>
          <w:i/>
          <w:iCs/>
        </w:rPr>
        <w:t>P</w:t>
      </w:r>
      <w:r w:rsidRPr="00691A32">
        <w:rPr>
          <w:i/>
          <w:vertAlign w:val="subscript"/>
        </w:rPr>
        <w:t>r</w:t>
      </w:r>
      <w:proofErr w:type="spellEnd"/>
      <w:r w:rsidRPr="00691A32">
        <w:rPr>
          <w:i/>
        </w:rPr>
        <w:t>".</w:t>
      </w:r>
    </w:p>
    <w:p w14:paraId="2ECE2F7F" w14:textId="77777777" w:rsidR="007B1AC0" w:rsidRPr="00691A32" w:rsidRDefault="007B1AC0" w:rsidP="007B1AC0">
      <w:pPr>
        <w:pStyle w:val="SingleTxtG"/>
      </w:pPr>
      <w:r w:rsidRPr="00691A32">
        <w:t>4.2</w:t>
      </w:r>
      <w:r w:rsidRPr="00691A32">
        <w:tab/>
        <w:t>Amendment of A.5.2.2.2, Table A.3, Calculation pressure in service conditions</w:t>
      </w:r>
    </w:p>
    <w:p w14:paraId="3700F846" w14:textId="77777777" w:rsidR="007B1AC0" w:rsidRPr="00691A32" w:rsidRDefault="007B1AC0" w:rsidP="007B1AC0">
      <w:pPr>
        <w:pStyle w:val="SingleTxtG"/>
        <w:rPr>
          <w:i/>
        </w:rPr>
      </w:pPr>
      <w:r>
        <w:rPr>
          <w:i/>
          <w:iCs/>
        </w:rPr>
        <w:tab/>
      </w:r>
      <w:r>
        <w:rPr>
          <w:i/>
          <w:iCs/>
        </w:rPr>
        <w:tab/>
      </w:r>
      <w:r w:rsidRPr="00691A32">
        <w:rPr>
          <w:i/>
          <w:iCs/>
        </w:rPr>
        <w:t>In 4, 5, 6 and 7, replace</w:t>
      </w:r>
      <w:r w:rsidRPr="00691A32">
        <w:rPr>
          <w:i/>
        </w:rPr>
        <w:t xml:space="preserve"> "</w:t>
      </w:r>
      <w:proofErr w:type="spellStart"/>
      <w:r w:rsidRPr="00691A32">
        <w:rPr>
          <w:i/>
          <w:iCs/>
        </w:rPr>
        <w:t>P</w:t>
      </w:r>
      <w:r w:rsidRPr="00691A32">
        <w:rPr>
          <w:i/>
          <w:vertAlign w:val="subscript"/>
        </w:rPr>
        <w:t>ms</w:t>
      </w:r>
      <w:proofErr w:type="spellEnd"/>
      <w:r w:rsidRPr="00691A32">
        <w:rPr>
          <w:i/>
        </w:rPr>
        <w:t xml:space="preserve">" </w:t>
      </w:r>
      <w:r w:rsidRPr="00691A32">
        <w:rPr>
          <w:i/>
          <w:iCs/>
        </w:rPr>
        <w:t>with</w:t>
      </w:r>
      <w:r w:rsidRPr="00691A32">
        <w:rPr>
          <w:i/>
        </w:rPr>
        <w:t xml:space="preserve"> "</w:t>
      </w:r>
      <w:r w:rsidRPr="00691A32">
        <w:rPr>
          <w:i/>
          <w:iCs/>
        </w:rPr>
        <w:t>P</w:t>
      </w:r>
      <w:r w:rsidRPr="00691A32">
        <w:rPr>
          <w:i/>
          <w:vertAlign w:val="subscript"/>
        </w:rPr>
        <w:t>ts</w:t>
      </w:r>
      <w:r w:rsidRPr="00691A32">
        <w:rPr>
          <w:i/>
        </w:rPr>
        <w:t>".</w:t>
      </w:r>
    </w:p>
    <w:p w14:paraId="3B4166CD" w14:textId="77777777" w:rsidR="007B1AC0" w:rsidRPr="00691A32" w:rsidRDefault="007B1AC0" w:rsidP="007B1AC0">
      <w:pPr>
        <w:pStyle w:val="SingleTxtG"/>
      </w:pPr>
      <w:r w:rsidRPr="00691A32">
        <w:t>4.3</w:t>
      </w:r>
      <w:r w:rsidRPr="00691A32">
        <w:tab/>
        <w:t>Amendment of 5.6.2.1.2, Tensile stress due to pressure during transport</w:t>
      </w:r>
    </w:p>
    <w:p w14:paraId="5711AA5A" w14:textId="77777777" w:rsidR="007B1AC0" w:rsidRDefault="007B1AC0" w:rsidP="007B1AC0">
      <w:pPr>
        <w:pStyle w:val="SingleTxtG"/>
      </w:pPr>
      <w:r>
        <w:rPr>
          <w:i/>
          <w:iCs/>
        </w:rPr>
        <w:tab/>
      </w:r>
      <w:r>
        <w:rPr>
          <w:i/>
          <w:iCs/>
        </w:rPr>
        <w:tab/>
      </w:r>
      <w:r w:rsidRPr="00691A32">
        <w:rPr>
          <w:i/>
          <w:iCs/>
        </w:rPr>
        <w:t>In a) Force, replace</w:t>
      </w:r>
      <w:r w:rsidRPr="00691A32">
        <w:rPr>
          <w:i/>
        </w:rPr>
        <w:t xml:space="preserve"> "</w:t>
      </w:r>
      <w:proofErr w:type="spellStart"/>
      <w:r w:rsidRPr="00691A32">
        <w:rPr>
          <w:i/>
          <w:iCs/>
        </w:rPr>
        <w:t>P</w:t>
      </w:r>
      <w:r w:rsidRPr="00691A32">
        <w:rPr>
          <w:i/>
          <w:vertAlign w:val="subscript"/>
        </w:rPr>
        <w:t>ms</w:t>
      </w:r>
      <w:proofErr w:type="spellEnd"/>
      <w:r w:rsidRPr="00691A32">
        <w:rPr>
          <w:i/>
        </w:rPr>
        <w:t xml:space="preserve">" </w:t>
      </w:r>
      <w:r w:rsidRPr="00691A32">
        <w:rPr>
          <w:i/>
          <w:iCs/>
        </w:rPr>
        <w:t>with</w:t>
      </w:r>
      <w:r w:rsidRPr="00691A32">
        <w:rPr>
          <w:i/>
        </w:rPr>
        <w:t xml:space="preserve"> "</w:t>
      </w:r>
      <w:r w:rsidRPr="00691A32">
        <w:rPr>
          <w:i/>
          <w:iCs/>
        </w:rPr>
        <w:t>P</w:t>
      </w:r>
      <w:r w:rsidRPr="00691A32">
        <w:rPr>
          <w:i/>
          <w:vertAlign w:val="subscript"/>
        </w:rPr>
        <w:t>ts</w:t>
      </w:r>
      <w:r w:rsidRPr="00691A32">
        <w:rPr>
          <w:i/>
        </w:rPr>
        <w:t>".</w:t>
      </w:r>
      <w:r w:rsidRPr="00691A32">
        <w:t>"</w:t>
      </w:r>
    </w:p>
    <w:p w14:paraId="1E30B927" w14:textId="4043E8CE" w:rsidR="00220BDC" w:rsidRPr="007B1AC0" w:rsidRDefault="00386DC2" w:rsidP="006C19BA">
      <w:pPr>
        <w:pStyle w:val="SingleTxtG"/>
      </w:pPr>
      <w:r>
        <w:rPr>
          <w:i/>
          <w:iCs/>
        </w:rPr>
        <w:t>(</w:t>
      </w:r>
      <w:r w:rsidR="007B1AC0" w:rsidRPr="006703A4">
        <w:rPr>
          <w:i/>
          <w:iCs/>
        </w:rPr>
        <w:t>Reference documents: ECE/TRANS/WP.15/AC.1/2018/12 and INF.47</w:t>
      </w:r>
      <w:r>
        <w:rPr>
          <w:i/>
          <w:iCs/>
        </w:rPr>
        <w:t>)</w:t>
      </w:r>
    </w:p>
    <w:p w14:paraId="02DE595D" w14:textId="77777777" w:rsidR="009F6234" w:rsidRPr="00C164D9" w:rsidRDefault="009F6234" w:rsidP="009F6234">
      <w:pPr>
        <w:spacing w:before="240"/>
        <w:ind w:left="1134" w:right="1134"/>
        <w:jc w:val="center"/>
        <w:rPr>
          <w:u w:val="single"/>
          <w:lang w:val="fr-CH"/>
        </w:rPr>
      </w:pPr>
      <w:r w:rsidRPr="00C164D9">
        <w:rPr>
          <w:u w:val="single"/>
          <w:lang w:val="fr-CH"/>
        </w:rPr>
        <w:tab/>
      </w:r>
      <w:r w:rsidRPr="00C164D9">
        <w:rPr>
          <w:u w:val="single"/>
          <w:lang w:val="fr-CH"/>
        </w:rPr>
        <w:tab/>
      </w:r>
      <w:r w:rsidRPr="00C164D9">
        <w:rPr>
          <w:u w:val="single"/>
          <w:lang w:val="fr-CH"/>
        </w:rPr>
        <w:tab/>
      </w:r>
    </w:p>
    <w:sectPr w:rsidR="009F6234" w:rsidRPr="00C164D9" w:rsidSect="00426D58">
      <w:headerReference w:type="first" r:id="rId13"/>
      <w:footerReference w:type="first" r:id="rId14"/>
      <w:footnotePr>
        <w:numStart w:val="5"/>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7C6C" w14:textId="77777777" w:rsidR="00292AEC" w:rsidRDefault="00292AEC"/>
  </w:endnote>
  <w:endnote w:type="continuationSeparator" w:id="0">
    <w:p w14:paraId="251EE70D" w14:textId="77777777" w:rsidR="00292AEC" w:rsidRDefault="00292AEC"/>
  </w:endnote>
  <w:endnote w:type="continuationNotice" w:id="1">
    <w:p w14:paraId="6C297411" w14:textId="77777777" w:rsidR="00292AEC" w:rsidRDefault="00292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CBAA" w14:textId="5574FD06" w:rsidR="00292AEC" w:rsidRPr="00B35F15" w:rsidRDefault="00292AEC">
    <w:pPr>
      <w:pStyle w:val="Footer"/>
      <w:rPr>
        <w:b/>
        <w:sz w:val="18"/>
        <w:szCs w:val="18"/>
      </w:rPr>
    </w:pPr>
    <w:r w:rsidRPr="00B35F15">
      <w:rPr>
        <w:b/>
        <w:sz w:val="18"/>
        <w:szCs w:val="18"/>
      </w:rPr>
      <w:fldChar w:fldCharType="begin"/>
    </w:r>
    <w:r w:rsidRPr="00B35F15">
      <w:rPr>
        <w:b/>
        <w:sz w:val="18"/>
        <w:szCs w:val="18"/>
      </w:rPr>
      <w:instrText xml:space="preserve"> PAGE   \* MERGEFORMAT </w:instrText>
    </w:r>
    <w:r w:rsidRPr="00B35F15">
      <w:rPr>
        <w:b/>
        <w:sz w:val="18"/>
        <w:szCs w:val="18"/>
      </w:rPr>
      <w:fldChar w:fldCharType="separate"/>
    </w:r>
    <w:r w:rsidR="00236DEB">
      <w:rPr>
        <w:b/>
        <w:noProof/>
        <w:sz w:val="18"/>
        <w:szCs w:val="18"/>
      </w:rPr>
      <w:t>22</w:t>
    </w:r>
    <w:r w:rsidRPr="00B35F15">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A89B" w14:textId="2968DF8E" w:rsidR="00292AEC" w:rsidRPr="00B35F15" w:rsidRDefault="00292AEC">
    <w:pPr>
      <w:pStyle w:val="Footer"/>
      <w:jc w:val="right"/>
      <w:rPr>
        <w:b/>
        <w:sz w:val="18"/>
        <w:szCs w:val="18"/>
      </w:rPr>
    </w:pPr>
    <w:r w:rsidRPr="00B35F15">
      <w:rPr>
        <w:b/>
        <w:sz w:val="18"/>
        <w:szCs w:val="18"/>
      </w:rPr>
      <w:fldChar w:fldCharType="begin"/>
    </w:r>
    <w:r w:rsidRPr="00B35F15">
      <w:rPr>
        <w:b/>
        <w:sz w:val="18"/>
        <w:szCs w:val="18"/>
      </w:rPr>
      <w:instrText xml:space="preserve"> PAGE   \* MERGEFORMAT </w:instrText>
    </w:r>
    <w:r w:rsidRPr="00B35F15">
      <w:rPr>
        <w:b/>
        <w:sz w:val="18"/>
        <w:szCs w:val="18"/>
      </w:rPr>
      <w:fldChar w:fldCharType="separate"/>
    </w:r>
    <w:r w:rsidR="00236DEB">
      <w:rPr>
        <w:b/>
        <w:noProof/>
        <w:sz w:val="18"/>
        <w:szCs w:val="18"/>
      </w:rPr>
      <w:t>21</w:t>
    </w:r>
    <w:r w:rsidRPr="00B35F15">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180885"/>
      <w:docPartObj>
        <w:docPartGallery w:val="Page Numbers (Bottom of Page)"/>
        <w:docPartUnique/>
      </w:docPartObj>
    </w:sdtPr>
    <w:sdtEndPr>
      <w:rPr>
        <w:b/>
        <w:noProof/>
      </w:rPr>
    </w:sdtEndPr>
    <w:sdtContent>
      <w:p w14:paraId="0818409F" w14:textId="72962A98" w:rsidR="00292AEC" w:rsidRPr="00DE171E" w:rsidRDefault="00292AEC" w:rsidP="006C19BA">
        <w:pPr>
          <w:pStyle w:val="Footer"/>
          <w:rPr>
            <w:b/>
          </w:rPr>
        </w:pPr>
        <w:r w:rsidRPr="00DE171E">
          <w:rPr>
            <w:b/>
          </w:rPr>
          <w:fldChar w:fldCharType="begin"/>
        </w:r>
        <w:r w:rsidRPr="00DE171E">
          <w:rPr>
            <w:b/>
          </w:rPr>
          <w:instrText xml:space="preserve"> PAGE   \* MERGEFORMAT </w:instrText>
        </w:r>
        <w:r w:rsidRPr="00DE171E">
          <w:rPr>
            <w:b/>
          </w:rPr>
          <w:fldChar w:fldCharType="separate"/>
        </w:r>
        <w:r w:rsidR="00236DEB">
          <w:rPr>
            <w:b/>
            <w:noProof/>
          </w:rPr>
          <w:t>4</w:t>
        </w:r>
        <w:r w:rsidRPr="00DE171E">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5174A" w14:textId="77777777" w:rsidR="00292AEC" w:rsidRPr="000B175B" w:rsidRDefault="00292AEC" w:rsidP="000B175B">
      <w:pPr>
        <w:tabs>
          <w:tab w:val="right" w:pos="2155"/>
        </w:tabs>
        <w:spacing w:after="80"/>
        <w:ind w:left="680"/>
        <w:rPr>
          <w:u w:val="single"/>
        </w:rPr>
      </w:pPr>
      <w:r>
        <w:rPr>
          <w:u w:val="single"/>
        </w:rPr>
        <w:tab/>
      </w:r>
    </w:p>
  </w:footnote>
  <w:footnote w:type="continuationSeparator" w:id="0">
    <w:p w14:paraId="3219B64C" w14:textId="77777777" w:rsidR="00292AEC" w:rsidRPr="00FC68B7" w:rsidRDefault="00292AEC" w:rsidP="00FC68B7">
      <w:pPr>
        <w:tabs>
          <w:tab w:val="left" w:pos="2155"/>
        </w:tabs>
        <w:spacing w:after="80"/>
        <w:ind w:left="680"/>
        <w:rPr>
          <w:u w:val="single"/>
        </w:rPr>
      </w:pPr>
      <w:r>
        <w:rPr>
          <w:u w:val="single"/>
        </w:rPr>
        <w:tab/>
      </w:r>
    </w:p>
  </w:footnote>
  <w:footnote w:type="continuationNotice" w:id="1">
    <w:p w14:paraId="269F46ED" w14:textId="77777777" w:rsidR="00292AEC" w:rsidRDefault="00292AEC"/>
  </w:footnote>
  <w:footnote w:id="2">
    <w:p w14:paraId="59280131" w14:textId="722AAFF3" w:rsidR="00292AEC" w:rsidRPr="00B85F40" w:rsidRDefault="00292AEC">
      <w:pPr>
        <w:pStyle w:val="FootnoteText"/>
        <w:rPr>
          <w:sz w:val="20"/>
          <w:lang w:val="fr-CH"/>
        </w:rPr>
      </w:pPr>
      <w:r>
        <w:rPr>
          <w:sz w:val="20"/>
        </w:rPr>
        <w:tab/>
      </w:r>
      <w:r w:rsidRPr="00B85F40">
        <w:rPr>
          <w:rStyle w:val="FootnoteReference"/>
          <w:sz w:val="20"/>
        </w:rPr>
        <w:footnoteRef/>
      </w:r>
      <w:r>
        <w:rPr>
          <w:sz w:val="20"/>
        </w:rPr>
        <w:tab/>
      </w:r>
      <w:r>
        <w:t>Circulated by the Intergovernmental Organisation for International Carriage by Rail (OTIF) under the symbol OTIF/RID/RC/2018-A.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493AD34A" w14:textId="77777777" w:rsidR="00292AEC" w:rsidRPr="00426D58" w:rsidRDefault="00292AEC" w:rsidP="00BB3B6B">
      <w:pPr>
        <w:pStyle w:val="FootnoteText"/>
        <w:tabs>
          <w:tab w:val="clear" w:pos="1021"/>
        </w:tabs>
        <w:ind w:left="1701" w:hanging="561"/>
        <w:rPr>
          <w:lang w:val="fr-CH"/>
        </w:rPr>
      </w:pPr>
      <w:r w:rsidRPr="00426D58">
        <w:rPr>
          <w:rStyle w:val="FootnoteReference"/>
          <w:b/>
          <w:sz w:val="20"/>
        </w:rPr>
        <w:t>**</w:t>
      </w:r>
      <w:r>
        <w:tab/>
      </w:r>
      <w:r w:rsidRPr="00D53C21">
        <w:rPr>
          <w:rStyle w:val="FootnoteReference"/>
          <w:vertAlign w:val="baseline"/>
        </w:rPr>
        <w:t>F</w:t>
      </w:r>
      <w:r>
        <w:t>or practical reasons, annex I has been published as an addendum, with the symbol ECE/TRANS/WP.15/AC.1/150/Add.1.</w:t>
      </w:r>
    </w:p>
  </w:footnote>
  <w:footnote w:id="4">
    <w:p w14:paraId="3D258A5E" w14:textId="64AC3632" w:rsidR="00292AEC" w:rsidRPr="000C69F1" w:rsidRDefault="00292AEC" w:rsidP="005437D3">
      <w:pPr>
        <w:pStyle w:val="FootnoteText"/>
        <w:rPr>
          <w:lang w:val="fr-CH"/>
        </w:rPr>
      </w:pPr>
      <w:r>
        <w:tab/>
      </w:r>
      <w:r>
        <w:rPr>
          <w:rStyle w:val="FootnoteReference"/>
        </w:rPr>
        <w:footnoteRef/>
      </w:r>
      <w:r>
        <w:t xml:space="preserve"> </w:t>
      </w:r>
      <w:r>
        <w:tab/>
      </w:r>
      <w:proofErr w:type="spellStart"/>
      <w:r>
        <w:rPr>
          <w:lang w:val="fr-CH"/>
        </w:rPr>
        <w:t>See</w:t>
      </w:r>
      <w:proofErr w:type="spellEnd"/>
      <w:r>
        <w:rPr>
          <w:lang w:val="fr-CH"/>
        </w:rPr>
        <w:t xml:space="preserve"> document ECE/TRANS/SC.1/S/397 (</w:t>
      </w:r>
      <w:r w:rsidRPr="000C69F1">
        <w:rPr>
          <w:lang w:val="fr-CH"/>
        </w:rPr>
        <w:t>http://www.unece.org/trans/main/sc1/sc1age.html</w:t>
      </w:r>
      <w:r>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4D69" w14:textId="77777777" w:rsidR="00292AEC" w:rsidRPr="00C34EE0" w:rsidRDefault="00292AEC" w:rsidP="00C34EE0">
    <w:pPr>
      <w:pStyle w:val="Header"/>
    </w:pPr>
    <w:r>
      <w:t>ECE/TRANS/WP.15/AC.1/150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4F60" w14:textId="77777777" w:rsidR="00292AEC" w:rsidRDefault="00292AEC" w:rsidP="00B35F15">
    <w:pPr>
      <w:pStyle w:val="Header"/>
      <w:jc w:val="right"/>
    </w:pPr>
    <w:r>
      <w:t>ECE/TRANS/WP.15/AC.1/150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0D67" w14:textId="7259B9FC" w:rsidR="00292AEC" w:rsidRDefault="00292AEC" w:rsidP="006C19BA">
    <w:pPr>
      <w:pStyle w:val="Header"/>
    </w:pPr>
    <w:r>
      <w:t>ECE/TRANS/WP.15/AC.1/150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8" w15:restartNumberingAfterBreak="0">
    <w:nsid w:val="747C779E"/>
    <w:multiLevelType w:val="hybridMultilevel"/>
    <w:tmpl w:val="8BE092B8"/>
    <w:lvl w:ilvl="0" w:tplc="23027046">
      <w:start w:val="4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5"/>
  </w:num>
  <w:num w:numId="19">
    <w:abstractNumId w:val="18"/>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Fmt w:val="chicago"/>
    <w:numStart w:val="5"/>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3A"/>
    <w:rsid w:val="00000169"/>
    <w:rsid w:val="0000040B"/>
    <w:rsid w:val="0000340E"/>
    <w:rsid w:val="0000392D"/>
    <w:rsid w:val="00003DF1"/>
    <w:rsid w:val="00004A3F"/>
    <w:rsid w:val="000060DC"/>
    <w:rsid w:val="00013EA8"/>
    <w:rsid w:val="000145EF"/>
    <w:rsid w:val="00015D98"/>
    <w:rsid w:val="00017DD9"/>
    <w:rsid w:val="00024C06"/>
    <w:rsid w:val="00025892"/>
    <w:rsid w:val="00025B8D"/>
    <w:rsid w:val="00031528"/>
    <w:rsid w:val="00031D0B"/>
    <w:rsid w:val="00032082"/>
    <w:rsid w:val="00033207"/>
    <w:rsid w:val="000335E0"/>
    <w:rsid w:val="00037E7D"/>
    <w:rsid w:val="00040B67"/>
    <w:rsid w:val="00042325"/>
    <w:rsid w:val="00045E85"/>
    <w:rsid w:val="00046B1F"/>
    <w:rsid w:val="0004788F"/>
    <w:rsid w:val="00050F6B"/>
    <w:rsid w:val="00050FD1"/>
    <w:rsid w:val="000514E1"/>
    <w:rsid w:val="00051C0C"/>
    <w:rsid w:val="00052E33"/>
    <w:rsid w:val="00057E97"/>
    <w:rsid w:val="00060186"/>
    <w:rsid w:val="000607B7"/>
    <w:rsid w:val="0006190A"/>
    <w:rsid w:val="00063631"/>
    <w:rsid w:val="000650FD"/>
    <w:rsid w:val="0006542A"/>
    <w:rsid w:val="00065EA7"/>
    <w:rsid w:val="00066D85"/>
    <w:rsid w:val="00067B61"/>
    <w:rsid w:val="00067BA0"/>
    <w:rsid w:val="00072C8C"/>
    <w:rsid w:val="000733B5"/>
    <w:rsid w:val="00077281"/>
    <w:rsid w:val="0008071E"/>
    <w:rsid w:val="00081815"/>
    <w:rsid w:val="000831C3"/>
    <w:rsid w:val="00084E26"/>
    <w:rsid w:val="0008582F"/>
    <w:rsid w:val="0008607E"/>
    <w:rsid w:val="000906D8"/>
    <w:rsid w:val="000931C0"/>
    <w:rsid w:val="0009389A"/>
    <w:rsid w:val="00093D15"/>
    <w:rsid w:val="000A0D1A"/>
    <w:rsid w:val="000A1232"/>
    <w:rsid w:val="000A13CD"/>
    <w:rsid w:val="000A2EFE"/>
    <w:rsid w:val="000A35FB"/>
    <w:rsid w:val="000A5081"/>
    <w:rsid w:val="000A6228"/>
    <w:rsid w:val="000A6BD2"/>
    <w:rsid w:val="000A7BD6"/>
    <w:rsid w:val="000B0595"/>
    <w:rsid w:val="000B09B7"/>
    <w:rsid w:val="000B175B"/>
    <w:rsid w:val="000B3A0F"/>
    <w:rsid w:val="000B4EF7"/>
    <w:rsid w:val="000B5312"/>
    <w:rsid w:val="000B77A4"/>
    <w:rsid w:val="000C295D"/>
    <w:rsid w:val="000C2C03"/>
    <w:rsid w:val="000C2D2E"/>
    <w:rsid w:val="000C4C4B"/>
    <w:rsid w:val="000C6040"/>
    <w:rsid w:val="000C7522"/>
    <w:rsid w:val="000D1F64"/>
    <w:rsid w:val="000D2DE2"/>
    <w:rsid w:val="000E0415"/>
    <w:rsid w:val="000E23AA"/>
    <w:rsid w:val="000E6E84"/>
    <w:rsid w:val="000F007A"/>
    <w:rsid w:val="000F0B5A"/>
    <w:rsid w:val="000F3F1C"/>
    <w:rsid w:val="000F573C"/>
    <w:rsid w:val="0010043A"/>
    <w:rsid w:val="001051E8"/>
    <w:rsid w:val="0010596B"/>
    <w:rsid w:val="00105A2A"/>
    <w:rsid w:val="00105F31"/>
    <w:rsid w:val="001103AA"/>
    <w:rsid w:val="001133C8"/>
    <w:rsid w:val="00113550"/>
    <w:rsid w:val="00114C40"/>
    <w:rsid w:val="00116601"/>
    <w:rsid w:val="0011666B"/>
    <w:rsid w:val="001174BE"/>
    <w:rsid w:val="0012068C"/>
    <w:rsid w:val="00121952"/>
    <w:rsid w:val="0012297E"/>
    <w:rsid w:val="00126A4F"/>
    <w:rsid w:val="00132273"/>
    <w:rsid w:val="00132CFF"/>
    <w:rsid w:val="00134B3B"/>
    <w:rsid w:val="00136960"/>
    <w:rsid w:val="0014183A"/>
    <w:rsid w:val="00143F5E"/>
    <w:rsid w:val="00145652"/>
    <w:rsid w:val="001465B0"/>
    <w:rsid w:val="00146BB2"/>
    <w:rsid w:val="00146DBB"/>
    <w:rsid w:val="00146DBC"/>
    <w:rsid w:val="00152726"/>
    <w:rsid w:val="00152CBA"/>
    <w:rsid w:val="001533C5"/>
    <w:rsid w:val="00153A81"/>
    <w:rsid w:val="00155294"/>
    <w:rsid w:val="00155E2E"/>
    <w:rsid w:val="00164462"/>
    <w:rsid w:val="001651F3"/>
    <w:rsid w:val="00165F3A"/>
    <w:rsid w:val="001707B7"/>
    <w:rsid w:val="00171481"/>
    <w:rsid w:val="001754EB"/>
    <w:rsid w:val="00177AF5"/>
    <w:rsid w:val="001831DF"/>
    <w:rsid w:val="00183776"/>
    <w:rsid w:val="0018638B"/>
    <w:rsid w:val="001942CC"/>
    <w:rsid w:val="001948F6"/>
    <w:rsid w:val="00197E29"/>
    <w:rsid w:val="001A0458"/>
    <w:rsid w:val="001A1FCE"/>
    <w:rsid w:val="001A3E62"/>
    <w:rsid w:val="001A7AAA"/>
    <w:rsid w:val="001B063A"/>
    <w:rsid w:val="001B15ED"/>
    <w:rsid w:val="001B3F17"/>
    <w:rsid w:val="001B4B04"/>
    <w:rsid w:val="001B5475"/>
    <w:rsid w:val="001B58D3"/>
    <w:rsid w:val="001B7DD3"/>
    <w:rsid w:val="001C0E86"/>
    <w:rsid w:val="001C1B54"/>
    <w:rsid w:val="001C30DE"/>
    <w:rsid w:val="001C4A14"/>
    <w:rsid w:val="001C4B8C"/>
    <w:rsid w:val="001C5C40"/>
    <w:rsid w:val="001C6159"/>
    <w:rsid w:val="001C6663"/>
    <w:rsid w:val="001C6664"/>
    <w:rsid w:val="001C6DDA"/>
    <w:rsid w:val="001C6E34"/>
    <w:rsid w:val="001C7020"/>
    <w:rsid w:val="001C72A0"/>
    <w:rsid w:val="001C7895"/>
    <w:rsid w:val="001C7EA6"/>
    <w:rsid w:val="001D0C8C"/>
    <w:rsid w:val="001D1419"/>
    <w:rsid w:val="001D26DF"/>
    <w:rsid w:val="001D3A03"/>
    <w:rsid w:val="001D4EB6"/>
    <w:rsid w:val="001D7E34"/>
    <w:rsid w:val="001E2CE9"/>
    <w:rsid w:val="001E3E31"/>
    <w:rsid w:val="001E4C9B"/>
    <w:rsid w:val="001E5FC4"/>
    <w:rsid w:val="001E7B67"/>
    <w:rsid w:val="001E7D66"/>
    <w:rsid w:val="001F2B5D"/>
    <w:rsid w:val="001F7E66"/>
    <w:rsid w:val="00200A8E"/>
    <w:rsid w:val="00201BF3"/>
    <w:rsid w:val="00202DA8"/>
    <w:rsid w:val="002033E0"/>
    <w:rsid w:val="00204086"/>
    <w:rsid w:val="00205E83"/>
    <w:rsid w:val="0020628D"/>
    <w:rsid w:val="00210426"/>
    <w:rsid w:val="00211D75"/>
    <w:rsid w:val="00211E0B"/>
    <w:rsid w:val="00213D05"/>
    <w:rsid w:val="0021409E"/>
    <w:rsid w:val="00214F95"/>
    <w:rsid w:val="002159BD"/>
    <w:rsid w:val="00220BDC"/>
    <w:rsid w:val="002214B3"/>
    <w:rsid w:val="00221D80"/>
    <w:rsid w:val="002234EA"/>
    <w:rsid w:val="00225A14"/>
    <w:rsid w:val="00231839"/>
    <w:rsid w:val="00231C60"/>
    <w:rsid w:val="00232AF1"/>
    <w:rsid w:val="00232EE0"/>
    <w:rsid w:val="00234850"/>
    <w:rsid w:val="00236B71"/>
    <w:rsid w:val="00236DEB"/>
    <w:rsid w:val="0023731E"/>
    <w:rsid w:val="00237950"/>
    <w:rsid w:val="00241D6D"/>
    <w:rsid w:val="0024641D"/>
    <w:rsid w:val="0024694D"/>
    <w:rsid w:val="00252BF2"/>
    <w:rsid w:val="002541DC"/>
    <w:rsid w:val="0025527B"/>
    <w:rsid w:val="00255BA1"/>
    <w:rsid w:val="002564A7"/>
    <w:rsid w:val="00257DFE"/>
    <w:rsid w:val="00260589"/>
    <w:rsid w:val="0026550C"/>
    <w:rsid w:val="00265697"/>
    <w:rsid w:val="00267268"/>
    <w:rsid w:val="00267F5F"/>
    <w:rsid w:val="00275B07"/>
    <w:rsid w:val="00276362"/>
    <w:rsid w:val="00282ADB"/>
    <w:rsid w:val="0028312B"/>
    <w:rsid w:val="00284661"/>
    <w:rsid w:val="00286B4D"/>
    <w:rsid w:val="00292AEC"/>
    <w:rsid w:val="002935A3"/>
    <w:rsid w:val="0029388C"/>
    <w:rsid w:val="00293DBE"/>
    <w:rsid w:val="00293F36"/>
    <w:rsid w:val="00297A22"/>
    <w:rsid w:val="002A2A86"/>
    <w:rsid w:val="002A749A"/>
    <w:rsid w:val="002B2F07"/>
    <w:rsid w:val="002B4251"/>
    <w:rsid w:val="002B49DE"/>
    <w:rsid w:val="002B4FCF"/>
    <w:rsid w:val="002B6EB2"/>
    <w:rsid w:val="002C1AD3"/>
    <w:rsid w:val="002C670F"/>
    <w:rsid w:val="002D4643"/>
    <w:rsid w:val="002D6C8A"/>
    <w:rsid w:val="002E33A2"/>
    <w:rsid w:val="002E46C0"/>
    <w:rsid w:val="002E5D30"/>
    <w:rsid w:val="002E5E51"/>
    <w:rsid w:val="002F175C"/>
    <w:rsid w:val="002F3F07"/>
    <w:rsid w:val="002F4FF9"/>
    <w:rsid w:val="00300E65"/>
    <w:rsid w:val="0030149D"/>
    <w:rsid w:val="003019B8"/>
    <w:rsid w:val="00302CDB"/>
    <w:rsid w:val="00302E18"/>
    <w:rsid w:val="003031FD"/>
    <w:rsid w:val="0030498D"/>
    <w:rsid w:val="003060F0"/>
    <w:rsid w:val="003114AF"/>
    <w:rsid w:val="00311695"/>
    <w:rsid w:val="0031657F"/>
    <w:rsid w:val="003229D8"/>
    <w:rsid w:val="00323199"/>
    <w:rsid w:val="00323A22"/>
    <w:rsid w:val="00325C17"/>
    <w:rsid w:val="00327CB5"/>
    <w:rsid w:val="003333E3"/>
    <w:rsid w:val="003341F1"/>
    <w:rsid w:val="003358A8"/>
    <w:rsid w:val="00336B57"/>
    <w:rsid w:val="003431D7"/>
    <w:rsid w:val="003435D5"/>
    <w:rsid w:val="00343C35"/>
    <w:rsid w:val="003456AF"/>
    <w:rsid w:val="00346B0D"/>
    <w:rsid w:val="003505A4"/>
    <w:rsid w:val="00350B16"/>
    <w:rsid w:val="00352709"/>
    <w:rsid w:val="00353E30"/>
    <w:rsid w:val="00353FB1"/>
    <w:rsid w:val="00361231"/>
    <w:rsid w:val="0036260D"/>
    <w:rsid w:val="00362ACF"/>
    <w:rsid w:val="00362DC3"/>
    <w:rsid w:val="00365426"/>
    <w:rsid w:val="00367985"/>
    <w:rsid w:val="0037007C"/>
    <w:rsid w:val="00371178"/>
    <w:rsid w:val="00372B53"/>
    <w:rsid w:val="00372D68"/>
    <w:rsid w:val="003744F6"/>
    <w:rsid w:val="00375309"/>
    <w:rsid w:val="0038084E"/>
    <w:rsid w:val="003812A1"/>
    <w:rsid w:val="00382A89"/>
    <w:rsid w:val="00383046"/>
    <w:rsid w:val="003833E4"/>
    <w:rsid w:val="003856C4"/>
    <w:rsid w:val="00386DC2"/>
    <w:rsid w:val="0039102C"/>
    <w:rsid w:val="00391772"/>
    <w:rsid w:val="00395244"/>
    <w:rsid w:val="003969E3"/>
    <w:rsid w:val="00397AB2"/>
    <w:rsid w:val="003A1EF9"/>
    <w:rsid w:val="003A208D"/>
    <w:rsid w:val="003A2438"/>
    <w:rsid w:val="003A5622"/>
    <w:rsid w:val="003A5A1B"/>
    <w:rsid w:val="003A61F7"/>
    <w:rsid w:val="003A6810"/>
    <w:rsid w:val="003B1F7C"/>
    <w:rsid w:val="003B3463"/>
    <w:rsid w:val="003B6AA8"/>
    <w:rsid w:val="003B7771"/>
    <w:rsid w:val="003C2CC4"/>
    <w:rsid w:val="003C2D56"/>
    <w:rsid w:val="003C37FF"/>
    <w:rsid w:val="003D1DE8"/>
    <w:rsid w:val="003D20D1"/>
    <w:rsid w:val="003D2A93"/>
    <w:rsid w:val="003D3238"/>
    <w:rsid w:val="003D4B23"/>
    <w:rsid w:val="003D607D"/>
    <w:rsid w:val="003D6718"/>
    <w:rsid w:val="003E14C0"/>
    <w:rsid w:val="003E15E4"/>
    <w:rsid w:val="003E2C8A"/>
    <w:rsid w:val="003E470D"/>
    <w:rsid w:val="003E65F0"/>
    <w:rsid w:val="003E6F29"/>
    <w:rsid w:val="003F1492"/>
    <w:rsid w:val="003F2858"/>
    <w:rsid w:val="003F2964"/>
    <w:rsid w:val="003F46A5"/>
    <w:rsid w:val="003F49D8"/>
    <w:rsid w:val="003F5D3E"/>
    <w:rsid w:val="003F6EC1"/>
    <w:rsid w:val="00400DE3"/>
    <w:rsid w:val="00404943"/>
    <w:rsid w:val="0040764D"/>
    <w:rsid w:val="00410C89"/>
    <w:rsid w:val="00411C25"/>
    <w:rsid w:val="004156A3"/>
    <w:rsid w:val="00417C74"/>
    <w:rsid w:val="00421B49"/>
    <w:rsid w:val="00422915"/>
    <w:rsid w:val="00422C12"/>
    <w:rsid w:val="00422E03"/>
    <w:rsid w:val="00423B2E"/>
    <w:rsid w:val="004265FA"/>
    <w:rsid w:val="00426B9B"/>
    <w:rsid w:val="00426D58"/>
    <w:rsid w:val="00426F8C"/>
    <w:rsid w:val="00430AAC"/>
    <w:rsid w:val="0043198D"/>
    <w:rsid w:val="004325CB"/>
    <w:rsid w:val="00433A3D"/>
    <w:rsid w:val="0043416B"/>
    <w:rsid w:val="0043491D"/>
    <w:rsid w:val="004357E8"/>
    <w:rsid w:val="004363DD"/>
    <w:rsid w:val="00436658"/>
    <w:rsid w:val="00436F16"/>
    <w:rsid w:val="00441EE6"/>
    <w:rsid w:val="0044258E"/>
    <w:rsid w:val="00442788"/>
    <w:rsid w:val="00442A83"/>
    <w:rsid w:val="004432D2"/>
    <w:rsid w:val="0044449A"/>
    <w:rsid w:val="004444AB"/>
    <w:rsid w:val="00445A15"/>
    <w:rsid w:val="00446E03"/>
    <w:rsid w:val="00447CB4"/>
    <w:rsid w:val="00453F31"/>
    <w:rsid w:val="0045495B"/>
    <w:rsid w:val="00454B66"/>
    <w:rsid w:val="00456B77"/>
    <w:rsid w:val="004576F1"/>
    <w:rsid w:val="004733EF"/>
    <w:rsid w:val="00473416"/>
    <w:rsid w:val="00474AF9"/>
    <w:rsid w:val="0047534E"/>
    <w:rsid w:val="0047557C"/>
    <w:rsid w:val="004760BD"/>
    <w:rsid w:val="00477B0D"/>
    <w:rsid w:val="00477D7B"/>
    <w:rsid w:val="00480877"/>
    <w:rsid w:val="00481937"/>
    <w:rsid w:val="004822A4"/>
    <w:rsid w:val="0048397A"/>
    <w:rsid w:val="00483FFD"/>
    <w:rsid w:val="00484858"/>
    <w:rsid w:val="00486BF7"/>
    <w:rsid w:val="00487CDE"/>
    <w:rsid w:val="0049052D"/>
    <w:rsid w:val="0049065C"/>
    <w:rsid w:val="0049193A"/>
    <w:rsid w:val="00491EC1"/>
    <w:rsid w:val="00494B6F"/>
    <w:rsid w:val="00494F4F"/>
    <w:rsid w:val="004956CA"/>
    <w:rsid w:val="00496F68"/>
    <w:rsid w:val="004A36AB"/>
    <w:rsid w:val="004A4AB2"/>
    <w:rsid w:val="004A56F9"/>
    <w:rsid w:val="004A62AD"/>
    <w:rsid w:val="004A7771"/>
    <w:rsid w:val="004B1672"/>
    <w:rsid w:val="004B358D"/>
    <w:rsid w:val="004B36D0"/>
    <w:rsid w:val="004B78F8"/>
    <w:rsid w:val="004C2461"/>
    <w:rsid w:val="004C2780"/>
    <w:rsid w:val="004C38FC"/>
    <w:rsid w:val="004C4858"/>
    <w:rsid w:val="004C4D9D"/>
    <w:rsid w:val="004C666C"/>
    <w:rsid w:val="004C7462"/>
    <w:rsid w:val="004D06E3"/>
    <w:rsid w:val="004D433B"/>
    <w:rsid w:val="004D4606"/>
    <w:rsid w:val="004D5AE4"/>
    <w:rsid w:val="004D6D47"/>
    <w:rsid w:val="004E2E1A"/>
    <w:rsid w:val="004E59C6"/>
    <w:rsid w:val="004E62FD"/>
    <w:rsid w:val="004E77B2"/>
    <w:rsid w:val="004E7FF8"/>
    <w:rsid w:val="004F4446"/>
    <w:rsid w:val="004F5C04"/>
    <w:rsid w:val="004F70A5"/>
    <w:rsid w:val="005009FC"/>
    <w:rsid w:val="00504B2D"/>
    <w:rsid w:val="0050537F"/>
    <w:rsid w:val="005072DC"/>
    <w:rsid w:val="00512F3E"/>
    <w:rsid w:val="0051339F"/>
    <w:rsid w:val="00513AA2"/>
    <w:rsid w:val="00513FFD"/>
    <w:rsid w:val="0052136D"/>
    <w:rsid w:val="005247F1"/>
    <w:rsid w:val="005270D8"/>
    <w:rsid w:val="0052775E"/>
    <w:rsid w:val="00530009"/>
    <w:rsid w:val="00532188"/>
    <w:rsid w:val="0053511C"/>
    <w:rsid w:val="00535495"/>
    <w:rsid w:val="0053759B"/>
    <w:rsid w:val="00537AF9"/>
    <w:rsid w:val="005419E5"/>
    <w:rsid w:val="005420F2"/>
    <w:rsid w:val="00542C3C"/>
    <w:rsid w:val="005437D3"/>
    <w:rsid w:val="005440A3"/>
    <w:rsid w:val="00544879"/>
    <w:rsid w:val="0054488D"/>
    <w:rsid w:val="005465F5"/>
    <w:rsid w:val="00550827"/>
    <w:rsid w:val="005513D0"/>
    <w:rsid w:val="00551D9D"/>
    <w:rsid w:val="0055431F"/>
    <w:rsid w:val="00556DCE"/>
    <w:rsid w:val="00560371"/>
    <w:rsid w:val="0056067E"/>
    <w:rsid w:val="005628B6"/>
    <w:rsid w:val="005639F7"/>
    <w:rsid w:val="0056408E"/>
    <w:rsid w:val="005644BA"/>
    <w:rsid w:val="00566D45"/>
    <w:rsid w:val="00570B87"/>
    <w:rsid w:val="00571C9C"/>
    <w:rsid w:val="00571F74"/>
    <w:rsid w:val="005736F8"/>
    <w:rsid w:val="005776C8"/>
    <w:rsid w:val="00577B35"/>
    <w:rsid w:val="00581F96"/>
    <w:rsid w:val="00583054"/>
    <w:rsid w:val="005858ED"/>
    <w:rsid w:val="00585A8E"/>
    <w:rsid w:val="00587574"/>
    <w:rsid w:val="00590B53"/>
    <w:rsid w:val="00592947"/>
    <w:rsid w:val="00593FED"/>
    <w:rsid w:val="00594022"/>
    <w:rsid w:val="00595497"/>
    <w:rsid w:val="00596C5B"/>
    <w:rsid w:val="005A1E46"/>
    <w:rsid w:val="005A6BEE"/>
    <w:rsid w:val="005B33AD"/>
    <w:rsid w:val="005B33B7"/>
    <w:rsid w:val="005B3DB3"/>
    <w:rsid w:val="005B4E13"/>
    <w:rsid w:val="005C105A"/>
    <w:rsid w:val="005C29C2"/>
    <w:rsid w:val="005C5226"/>
    <w:rsid w:val="005C77A9"/>
    <w:rsid w:val="005D0F9D"/>
    <w:rsid w:val="005D28DC"/>
    <w:rsid w:val="005D3823"/>
    <w:rsid w:val="005D426D"/>
    <w:rsid w:val="005E1941"/>
    <w:rsid w:val="005E5759"/>
    <w:rsid w:val="005E5AD7"/>
    <w:rsid w:val="005E68AA"/>
    <w:rsid w:val="005F5232"/>
    <w:rsid w:val="005F7B75"/>
    <w:rsid w:val="006001EE"/>
    <w:rsid w:val="0060240C"/>
    <w:rsid w:val="006032E5"/>
    <w:rsid w:val="00605042"/>
    <w:rsid w:val="0060714B"/>
    <w:rsid w:val="006105A3"/>
    <w:rsid w:val="00610634"/>
    <w:rsid w:val="00611B0F"/>
    <w:rsid w:val="00611B37"/>
    <w:rsid w:val="00611FC4"/>
    <w:rsid w:val="00611FCD"/>
    <w:rsid w:val="006176FB"/>
    <w:rsid w:val="00617E91"/>
    <w:rsid w:val="00622CAB"/>
    <w:rsid w:val="00624C84"/>
    <w:rsid w:val="006258F5"/>
    <w:rsid w:val="006317D3"/>
    <w:rsid w:val="00632429"/>
    <w:rsid w:val="0063275B"/>
    <w:rsid w:val="00633738"/>
    <w:rsid w:val="006357B7"/>
    <w:rsid w:val="00640B26"/>
    <w:rsid w:val="006444B6"/>
    <w:rsid w:val="00645CD8"/>
    <w:rsid w:val="00652D0A"/>
    <w:rsid w:val="006531E5"/>
    <w:rsid w:val="00653FE6"/>
    <w:rsid w:val="006541F7"/>
    <w:rsid w:val="0066208B"/>
    <w:rsid w:val="00662BB6"/>
    <w:rsid w:val="006649DD"/>
    <w:rsid w:val="00664FF5"/>
    <w:rsid w:val="0066735C"/>
    <w:rsid w:val="00667AC9"/>
    <w:rsid w:val="00670D50"/>
    <w:rsid w:val="00671568"/>
    <w:rsid w:val="00671767"/>
    <w:rsid w:val="00674184"/>
    <w:rsid w:val="00675C1F"/>
    <w:rsid w:val="00677B55"/>
    <w:rsid w:val="006801FC"/>
    <w:rsid w:val="006816AC"/>
    <w:rsid w:val="00683839"/>
    <w:rsid w:val="00684C21"/>
    <w:rsid w:val="00685273"/>
    <w:rsid w:val="006868E6"/>
    <w:rsid w:val="0069203A"/>
    <w:rsid w:val="00695210"/>
    <w:rsid w:val="0069634E"/>
    <w:rsid w:val="006968ED"/>
    <w:rsid w:val="00697634"/>
    <w:rsid w:val="006A20E0"/>
    <w:rsid w:val="006A2530"/>
    <w:rsid w:val="006A49FD"/>
    <w:rsid w:val="006A6497"/>
    <w:rsid w:val="006A76BD"/>
    <w:rsid w:val="006A7B1E"/>
    <w:rsid w:val="006B0835"/>
    <w:rsid w:val="006B27C8"/>
    <w:rsid w:val="006B5F46"/>
    <w:rsid w:val="006C0582"/>
    <w:rsid w:val="006C19BA"/>
    <w:rsid w:val="006C2AF5"/>
    <w:rsid w:val="006C3589"/>
    <w:rsid w:val="006C5611"/>
    <w:rsid w:val="006D0EFD"/>
    <w:rsid w:val="006D3354"/>
    <w:rsid w:val="006D37AF"/>
    <w:rsid w:val="006D3F5E"/>
    <w:rsid w:val="006D51D0"/>
    <w:rsid w:val="006D5FCA"/>
    <w:rsid w:val="006E0743"/>
    <w:rsid w:val="006E1098"/>
    <w:rsid w:val="006E373B"/>
    <w:rsid w:val="006E564B"/>
    <w:rsid w:val="006E7191"/>
    <w:rsid w:val="006F2405"/>
    <w:rsid w:val="006F2F25"/>
    <w:rsid w:val="006F384F"/>
    <w:rsid w:val="006F5323"/>
    <w:rsid w:val="006F5451"/>
    <w:rsid w:val="006F698E"/>
    <w:rsid w:val="0070161B"/>
    <w:rsid w:val="0070167D"/>
    <w:rsid w:val="007021B3"/>
    <w:rsid w:val="00703577"/>
    <w:rsid w:val="007037D1"/>
    <w:rsid w:val="007051D8"/>
    <w:rsid w:val="00705894"/>
    <w:rsid w:val="00705CEC"/>
    <w:rsid w:val="00711527"/>
    <w:rsid w:val="00712CDA"/>
    <w:rsid w:val="00712E41"/>
    <w:rsid w:val="007138DB"/>
    <w:rsid w:val="00714191"/>
    <w:rsid w:val="00715391"/>
    <w:rsid w:val="00715F79"/>
    <w:rsid w:val="00716106"/>
    <w:rsid w:val="00717AEC"/>
    <w:rsid w:val="00722EBC"/>
    <w:rsid w:val="0072336C"/>
    <w:rsid w:val="00723437"/>
    <w:rsid w:val="00724AD3"/>
    <w:rsid w:val="0072515C"/>
    <w:rsid w:val="0072632A"/>
    <w:rsid w:val="007279DE"/>
    <w:rsid w:val="007307CE"/>
    <w:rsid w:val="007327D5"/>
    <w:rsid w:val="007330A5"/>
    <w:rsid w:val="00736E7E"/>
    <w:rsid w:val="007374F0"/>
    <w:rsid w:val="007436AB"/>
    <w:rsid w:val="00744C35"/>
    <w:rsid w:val="00744CC0"/>
    <w:rsid w:val="007466E5"/>
    <w:rsid w:val="007506E7"/>
    <w:rsid w:val="00750827"/>
    <w:rsid w:val="00751129"/>
    <w:rsid w:val="0075564D"/>
    <w:rsid w:val="00755847"/>
    <w:rsid w:val="007559AD"/>
    <w:rsid w:val="007629C8"/>
    <w:rsid w:val="00763963"/>
    <w:rsid w:val="00767B7A"/>
    <w:rsid w:val="0077047D"/>
    <w:rsid w:val="00771A0B"/>
    <w:rsid w:val="007749DC"/>
    <w:rsid w:val="00774F28"/>
    <w:rsid w:val="007764B8"/>
    <w:rsid w:val="00776BBC"/>
    <w:rsid w:val="00777BC0"/>
    <w:rsid w:val="00780F4A"/>
    <w:rsid w:val="0078303B"/>
    <w:rsid w:val="00786509"/>
    <w:rsid w:val="00792301"/>
    <w:rsid w:val="007933A5"/>
    <w:rsid w:val="00794C60"/>
    <w:rsid w:val="00794DD2"/>
    <w:rsid w:val="00796FE8"/>
    <w:rsid w:val="00797CEA"/>
    <w:rsid w:val="007A36BD"/>
    <w:rsid w:val="007A6E87"/>
    <w:rsid w:val="007A7D2B"/>
    <w:rsid w:val="007A7E95"/>
    <w:rsid w:val="007B168D"/>
    <w:rsid w:val="007B1AC0"/>
    <w:rsid w:val="007B2392"/>
    <w:rsid w:val="007B2C78"/>
    <w:rsid w:val="007B4FC6"/>
    <w:rsid w:val="007B6AEB"/>
    <w:rsid w:val="007B6BA5"/>
    <w:rsid w:val="007B714D"/>
    <w:rsid w:val="007C017C"/>
    <w:rsid w:val="007C0774"/>
    <w:rsid w:val="007C3390"/>
    <w:rsid w:val="007C4F4B"/>
    <w:rsid w:val="007C65EF"/>
    <w:rsid w:val="007C6F84"/>
    <w:rsid w:val="007C7861"/>
    <w:rsid w:val="007D0E04"/>
    <w:rsid w:val="007D1070"/>
    <w:rsid w:val="007D1C06"/>
    <w:rsid w:val="007D629E"/>
    <w:rsid w:val="007D63DF"/>
    <w:rsid w:val="007E01E9"/>
    <w:rsid w:val="007E4A9C"/>
    <w:rsid w:val="007E5FAA"/>
    <w:rsid w:val="007E63F3"/>
    <w:rsid w:val="007E7601"/>
    <w:rsid w:val="007F0B48"/>
    <w:rsid w:val="007F4D7F"/>
    <w:rsid w:val="007F52F6"/>
    <w:rsid w:val="007F5C32"/>
    <w:rsid w:val="007F6611"/>
    <w:rsid w:val="00800004"/>
    <w:rsid w:val="00800DAD"/>
    <w:rsid w:val="00804002"/>
    <w:rsid w:val="008052FE"/>
    <w:rsid w:val="00806B6E"/>
    <w:rsid w:val="00807085"/>
    <w:rsid w:val="008101FD"/>
    <w:rsid w:val="00810700"/>
    <w:rsid w:val="00811920"/>
    <w:rsid w:val="00811FA4"/>
    <w:rsid w:val="00814460"/>
    <w:rsid w:val="00815AD0"/>
    <w:rsid w:val="00815C1E"/>
    <w:rsid w:val="008163C8"/>
    <w:rsid w:val="00822786"/>
    <w:rsid w:val="008242D7"/>
    <w:rsid w:val="008257B1"/>
    <w:rsid w:val="00826275"/>
    <w:rsid w:val="00827EB8"/>
    <w:rsid w:val="00830CAE"/>
    <w:rsid w:val="00831797"/>
    <w:rsid w:val="008325AF"/>
    <w:rsid w:val="00832B23"/>
    <w:rsid w:val="008355AF"/>
    <w:rsid w:val="00836914"/>
    <w:rsid w:val="00837DA7"/>
    <w:rsid w:val="00840CA0"/>
    <w:rsid w:val="00840E84"/>
    <w:rsid w:val="0084224F"/>
    <w:rsid w:val="00842423"/>
    <w:rsid w:val="00843767"/>
    <w:rsid w:val="008464E0"/>
    <w:rsid w:val="00846594"/>
    <w:rsid w:val="008468E4"/>
    <w:rsid w:val="008470ED"/>
    <w:rsid w:val="008471AE"/>
    <w:rsid w:val="00851FAB"/>
    <w:rsid w:val="008529F0"/>
    <w:rsid w:val="00854E27"/>
    <w:rsid w:val="00855716"/>
    <w:rsid w:val="0085638F"/>
    <w:rsid w:val="00856455"/>
    <w:rsid w:val="008566DF"/>
    <w:rsid w:val="00856878"/>
    <w:rsid w:val="00857287"/>
    <w:rsid w:val="00857655"/>
    <w:rsid w:val="008577EE"/>
    <w:rsid w:val="0086110C"/>
    <w:rsid w:val="00861757"/>
    <w:rsid w:val="00865832"/>
    <w:rsid w:val="00866321"/>
    <w:rsid w:val="00867262"/>
    <w:rsid w:val="0086758C"/>
    <w:rsid w:val="008679D9"/>
    <w:rsid w:val="00867F35"/>
    <w:rsid w:val="00873139"/>
    <w:rsid w:val="00873E92"/>
    <w:rsid w:val="0087713A"/>
    <w:rsid w:val="0087789A"/>
    <w:rsid w:val="00883445"/>
    <w:rsid w:val="00883C38"/>
    <w:rsid w:val="0088448B"/>
    <w:rsid w:val="00885463"/>
    <w:rsid w:val="00886020"/>
    <w:rsid w:val="008878DE"/>
    <w:rsid w:val="00890161"/>
    <w:rsid w:val="00892EB4"/>
    <w:rsid w:val="008933C6"/>
    <w:rsid w:val="008933FD"/>
    <w:rsid w:val="00894992"/>
    <w:rsid w:val="008979B1"/>
    <w:rsid w:val="008A2A4B"/>
    <w:rsid w:val="008A3663"/>
    <w:rsid w:val="008A469B"/>
    <w:rsid w:val="008A6B25"/>
    <w:rsid w:val="008A6C4F"/>
    <w:rsid w:val="008B2335"/>
    <w:rsid w:val="008B23C8"/>
    <w:rsid w:val="008B25D2"/>
    <w:rsid w:val="008B7466"/>
    <w:rsid w:val="008C2520"/>
    <w:rsid w:val="008C2625"/>
    <w:rsid w:val="008C26F9"/>
    <w:rsid w:val="008C3D32"/>
    <w:rsid w:val="008D01F8"/>
    <w:rsid w:val="008D201D"/>
    <w:rsid w:val="008D367F"/>
    <w:rsid w:val="008D36A9"/>
    <w:rsid w:val="008D48F9"/>
    <w:rsid w:val="008D4DD1"/>
    <w:rsid w:val="008D74D5"/>
    <w:rsid w:val="008E0678"/>
    <w:rsid w:val="008E37BA"/>
    <w:rsid w:val="008E3963"/>
    <w:rsid w:val="008F19E6"/>
    <w:rsid w:val="008F1C0D"/>
    <w:rsid w:val="008F2214"/>
    <w:rsid w:val="008F4018"/>
    <w:rsid w:val="008F5B2B"/>
    <w:rsid w:val="008F5CC5"/>
    <w:rsid w:val="008F6595"/>
    <w:rsid w:val="008F6AE7"/>
    <w:rsid w:val="0090195C"/>
    <w:rsid w:val="00901E72"/>
    <w:rsid w:val="009026BF"/>
    <w:rsid w:val="00902D7B"/>
    <w:rsid w:val="009034E0"/>
    <w:rsid w:val="009053D7"/>
    <w:rsid w:val="00905E26"/>
    <w:rsid w:val="009070DE"/>
    <w:rsid w:val="00907866"/>
    <w:rsid w:val="00910D42"/>
    <w:rsid w:val="00913B9C"/>
    <w:rsid w:val="00914E7F"/>
    <w:rsid w:val="009157E9"/>
    <w:rsid w:val="00921145"/>
    <w:rsid w:val="009223CA"/>
    <w:rsid w:val="00922634"/>
    <w:rsid w:val="009239D5"/>
    <w:rsid w:val="00923FF8"/>
    <w:rsid w:val="009258B2"/>
    <w:rsid w:val="00927BCC"/>
    <w:rsid w:val="00930A78"/>
    <w:rsid w:val="0093547A"/>
    <w:rsid w:val="00935E6C"/>
    <w:rsid w:val="0093656A"/>
    <w:rsid w:val="0094064C"/>
    <w:rsid w:val="00940F93"/>
    <w:rsid w:val="00946DF9"/>
    <w:rsid w:val="00947812"/>
    <w:rsid w:val="00947FDC"/>
    <w:rsid w:val="00951D5B"/>
    <w:rsid w:val="00953C69"/>
    <w:rsid w:val="009575B6"/>
    <w:rsid w:val="00961B0E"/>
    <w:rsid w:val="0096398A"/>
    <w:rsid w:val="009673BC"/>
    <w:rsid w:val="0097313D"/>
    <w:rsid w:val="00974FE7"/>
    <w:rsid w:val="009760F3"/>
    <w:rsid w:val="009774FA"/>
    <w:rsid w:val="0097765C"/>
    <w:rsid w:val="0098136F"/>
    <w:rsid w:val="00983D96"/>
    <w:rsid w:val="00986EDC"/>
    <w:rsid w:val="0098709D"/>
    <w:rsid w:val="009879AE"/>
    <w:rsid w:val="009919FB"/>
    <w:rsid w:val="00992104"/>
    <w:rsid w:val="009929ED"/>
    <w:rsid w:val="00992D7B"/>
    <w:rsid w:val="009A0AF8"/>
    <w:rsid w:val="009A0E8D"/>
    <w:rsid w:val="009A73C7"/>
    <w:rsid w:val="009B19B9"/>
    <w:rsid w:val="009B26E7"/>
    <w:rsid w:val="009B4ABB"/>
    <w:rsid w:val="009C0B4A"/>
    <w:rsid w:val="009C26F2"/>
    <w:rsid w:val="009C2F2D"/>
    <w:rsid w:val="009C3AA6"/>
    <w:rsid w:val="009C6954"/>
    <w:rsid w:val="009C737B"/>
    <w:rsid w:val="009D0070"/>
    <w:rsid w:val="009D028F"/>
    <w:rsid w:val="009D1184"/>
    <w:rsid w:val="009D3A6E"/>
    <w:rsid w:val="009D6AD8"/>
    <w:rsid w:val="009D7607"/>
    <w:rsid w:val="009E1D23"/>
    <w:rsid w:val="009E44B7"/>
    <w:rsid w:val="009F0DB7"/>
    <w:rsid w:val="009F6234"/>
    <w:rsid w:val="009F73F2"/>
    <w:rsid w:val="009F77FD"/>
    <w:rsid w:val="00A00A3F"/>
    <w:rsid w:val="00A01489"/>
    <w:rsid w:val="00A0578E"/>
    <w:rsid w:val="00A05F6A"/>
    <w:rsid w:val="00A06B93"/>
    <w:rsid w:val="00A100E9"/>
    <w:rsid w:val="00A16230"/>
    <w:rsid w:val="00A17035"/>
    <w:rsid w:val="00A2275D"/>
    <w:rsid w:val="00A23EBF"/>
    <w:rsid w:val="00A3026E"/>
    <w:rsid w:val="00A307A7"/>
    <w:rsid w:val="00A30D49"/>
    <w:rsid w:val="00A338F1"/>
    <w:rsid w:val="00A35B47"/>
    <w:rsid w:val="00A37B72"/>
    <w:rsid w:val="00A37D48"/>
    <w:rsid w:val="00A40DDB"/>
    <w:rsid w:val="00A40F81"/>
    <w:rsid w:val="00A42F4B"/>
    <w:rsid w:val="00A47A48"/>
    <w:rsid w:val="00A47A99"/>
    <w:rsid w:val="00A47DEA"/>
    <w:rsid w:val="00A50E36"/>
    <w:rsid w:val="00A55A83"/>
    <w:rsid w:val="00A55CF9"/>
    <w:rsid w:val="00A56987"/>
    <w:rsid w:val="00A61C5D"/>
    <w:rsid w:val="00A634B4"/>
    <w:rsid w:val="00A638D7"/>
    <w:rsid w:val="00A653D1"/>
    <w:rsid w:val="00A6710C"/>
    <w:rsid w:val="00A67A76"/>
    <w:rsid w:val="00A70C6D"/>
    <w:rsid w:val="00A72F22"/>
    <w:rsid w:val="00A7360F"/>
    <w:rsid w:val="00A748A6"/>
    <w:rsid w:val="00A769F4"/>
    <w:rsid w:val="00A76CA9"/>
    <w:rsid w:val="00A776B4"/>
    <w:rsid w:val="00A77861"/>
    <w:rsid w:val="00A8117F"/>
    <w:rsid w:val="00A827EF"/>
    <w:rsid w:val="00A84634"/>
    <w:rsid w:val="00A85414"/>
    <w:rsid w:val="00A90B58"/>
    <w:rsid w:val="00A94361"/>
    <w:rsid w:val="00AA09F5"/>
    <w:rsid w:val="00AA1878"/>
    <w:rsid w:val="00AA2760"/>
    <w:rsid w:val="00AA2847"/>
    <w:rsid w:val="00AA293C"/>
    <w:rsid w:val="00AA47D4"/>
    <w:rsid w:val="00AB4E8E"/>
    <w:rsid w:val="00AB791C"/>
    <w:rsid w:val="00AC5C57"/>
    <w:rsid w:val="00AC7E41"/>
    <w:rsid w:val="00AD69A4"/>
    <w:rsid w:val="00AD753A"/>
    <w:rsid w:val="00AD7BD1"/>
    <w:rsid w:val="00AD7BF3"/>
    <w:rsid w:val="00AE07BF"/>
    <w:rsid w:val="00AE56F3"/>
    <w:rsid w:val="00AE5C15"/>
    <w:rsid w:val="00AF1FF0"/>
    <w:rsid w:val="00AF5071"/>
    <w:rsid w:val="00B00D9D"/>
    <w:rsid w:val="00B01716"/>
    <w:rsid w:val="00B02D17"/>
    <w:rsid w:val="00B03318"/>
    <w:rsid w:val="00B0483C"/>
    <w:rsid w:val="00B0511F"/>
    <w:rsid w:val="00B06BB7"/>
    <w:rsid w:val="00B1315F"/>
    <w:rsid w:val="00B2085C"/>
    <w:rsid w:val="00B21995"/>
    <w:rsid w:val="00B227C5"/>
    <w:rsid w:val="00B30179"/>
    <w:rsid w:val="00B30607"/>
    <w:rsid w:val="00B33B5C"/>
    <w:rsid w:val="00B3531E"/>
    <w:rsid w:val="00B35F15"/>
    <w:rsid w:val="00B36C89"/>
    <w:rsid w:val="00B421C1"/>
    <w:rsid w:val="00B439CC"/>
    <w:rsid w:val="00B44A50"/>
    <w:rsid w:val="00B45B0B"/>
    <w:rsid w:val="00B45DC8"/>
    <w:rsid w:val="00B462A7"/>
    <w:rsid w:val="00B46B6E"/>
    <w:rsid w:val="00B50949"/>
    <w:rsid w:val="00B5473B"/>
    <w:rsid w:val="00B55C71"/>
    <w:rsid w:val="00B56E4A"/>
    <w:rsid w:val="00B56E9C"/>
    <w:rsid w:val="00B62D0E"/>
    <w:rsid w:val="00B64B1F"/>
    <w:rsid w:val="00B64E23"/>
    <w:rsid w:val="00B6553F"/>
    <w:rsid w:val="00B65B5D"/>
    <w:rsid w:val="00B67EC9"/>
    <w:rsid w:val="00B74E78"/>
    <w:rsid w:val="00B767A8"/>
    <w:rsid w:val="00B77D05"/>
    <w:rsid w:val="00B81206"/>
    <w:rsid w:val="00B81D6E"/>
    <w:rsid w:val="00B81E12"/>
    <w:rsid w:val="00B8309A"/>
    <w:rsid w:val="00B84CD6"/>
    <w:rsid w:val="00B85F40"/>
    <w:rsid w:val="00B91295"/>
    <w:rsid w:val="00B914CE"/>
    <w:rsid w:val="00B946FA"/>
    <w:rsid w:val="00B94783"/>
    <w:rsid w:val="00B950F1"/>
    <w:rsid w:val="00B957F9"/>
    <w:rsid w:val="00B96F3A"/>
    <w:rsid w:val="00BA0698"/>
    <w:rsid w:val="00BA2FD0"/>
    <w:rsid w:val="00BA3C4D"/>
    <w:rsid w:val="00BA5EE1"/>
    <w:rsid w:val="00BB0C8E"/>
    <w:rsid w:val="00BB1A7C"/>
    <w:rsid w:val="00BB3B6B"/>
    <w:rsid w:val="00BB4516"/>
    <w:rsid w:val="00BB5FDA"/>
    <w:rsid w:val="00BB6A80"/>
    <w:rsid w:val="00BB7886"/>
    <w:rsid w:val="00BC3CE0"/>
    <w:rsid w:val="00BC3FA0"/>
    <w:rsid w:val="00BC52BF"/>
    <w:rsid w:val="00BC5B09"/>
    <w:rsid w:val="00BC70DF"/>
    <w:rsid w:val="00BC74E9"/>
    <w:rsid w:val="00BC7C73"/>
    <w:rsid w:val="00BD100F"/>
    <w:rsid w:val="00BD11AA"/>
    <w:rsid w:val="00BD3F9F"/>
    <w:rsid w:val="00BD4AA8"/>
    <w:rsid w:val="00BD543B"/>
    <w:rsid w:val="00BD69AE"/>
    <w:rsid w:val="00BE14FF"/>
    <w:rsid w:val="00BE4EAF"/>
    <w:rsid w:val="00BE5F00"/>
    <w:rsid w:val="00BE6003"/>
    <w:rsid w:val="00BE6A1F"/>
    <w:rsid w:val="00BE7585"/>
    <w:rsid w:val="00BE7BE8"/>
    <w:rsid w:val="00BF32BE"/>
    <w:rsid w:val="00BF42EA"/>
    <w:rsid w:val="00BF62A8"/>
    <w:rsid w:val="00BF68A8"/>
    <w:rsid w:val="00C013CC"/>
    <w:rsid w:val="00C01BE0"/>
    <w:rsid w:val="00C033FD"/>
    <w:rsid w:val="00C05748"/>
    <w:rsid w:val="00C0621A"/>
    <w:rsid w:val="00C11A03"/>
    <w:rsid w:val="00C13475"/>
    <w:rsid w:val="00C1382B"/>
    <w:rsid w:val="00C14DBD"/>
    <w:rsid w:val="00C16466"/>
    <w:rsid w:val="00C16552"/>
    <w:rsid w:val="00C1778D"/>
    <w:rsid w:val="00C2017D"/>
    <w:rsid w:val="00C223E1"/>
    <w:rsid w:val="00C22C0C"/>
    <w:rsid w:val="00C22EAE"/>
    <w:rsid w:val="00C24968"/>
    <w:rsid w:val="00C269BE"/>
    <w:rsid w:val="00C3029C"/>
    <w:rsid w:val="00C32C10"/>
    <w:rsid w:val="00C337CC"/>
    <w:rsid w:val="00C34EE0"/>
    <w:rsid w:val="00C35A18"/>
    <w:rsid w:val="00C40255"/>
    <w:rsid w:val="00C42FB4"/>
    <w:rsid w:val="00C45224"/>
    <w:rsid w:val="00C4527F"/>
    <w:rsid w:val="00C4628F"/>
    <w:rsid w:val="00C463DD"/>
    <w:rsid w:val="00C4724C"/>
    <w:rsid w:val="00C50872"/>
    <w:rsid w:val="00C516FD"/>
    <w:rsid w:val="00C600E0"/>
    <w:rsid w:val="00C629A0"/>
    <w:rsid w:val="00C64629"/>
    <w:rsid w:val="00C66857"/>
    <w:rsid w:val="00C70C31"/>
    <w:rsid w:val="00C7158E"/>
    <w:rsid w:val="00C724BB"/>
    <w:rsid w:val="00C726AB"/>
    <w:rsid w:val="00C74338"/>
    <w:rsid w:val="00C745C3"/>
    <w:rsid w:val="00C7751A"/>
    <w:rsid w:val="00C8189C"/>
    <w:rsid w:val="00C83F4A"/>
    <w:rsid w:val="00C84FB9"/>
    <w:rsid w:val="00C85BE7"/>
    <w:rsid w:val="00C87D82"/>
    <w:rsid w:val="00C914D6"/>
    <w:rsid w:val="00C94147"/>
    <w:rsid w:val="00C951F1"/>
    <w:rsid w:val="00C9767C"/>
    <w:rsid w:val="00CA21ED"/>
    <w:rsid w:val="00CA5218"/>
    <w:rsid w:val="00CB2CB5"/>
    <w:rsid w:val="00CB3E03"/>
    <w:rsid w:val="00CB43CD"/>
    <w:rsid w:val="00CB6282"/>
    <w:rsid w:val="00CB67A9"/>
    <w:rsid w:val="00CC0793"/>
    <w:rsid w:val="00CC3A2E"/>
    <w:rsid w:val="00CC43C6"/>
    <w:rsid w:val="00CC4F3B"/>
    <w:rsid w:val="00CD2AF3"/>
    <w:rsid w:val="00CD33F2"/>
    <w:rsid w:val="00CD4A7D"/>
    <w:rsid w:val="00CE23CE"/>
    <w:rsid w:val="00CE249B"/>
    <w:rsid w:val="00CE4504"/>
    <w:rsid w:val="00CE4A8F"/>
    <w:rsid w:val="00CE612A"/>
    <w:rsid w:val="00CE6867"/>
    <w:rsid w:val="00CE7B3D"/>
    <w:rsid w:val="00CF18A2"/>
    <w:rsid w:val="00CF531B"/>
    <w:rsid w:val="00CF6044"/>
    <w:rsid w:val="00CF7564"/>
    <w:rsid w:val="00D054B1"/>
    <w:rsid w:val="00D06BF0"/>
    <w:rsid w:val="00D14FA5"/>
    <w:rsid w:val="00D2031B"/>
    <w:rsid w:val="00D207D2"/>
    <w:rsid w:val="00D245A5"/>
    <w:rsid w:val="00D25E86"/>
    <w:rsid w:val="00D25FE2"/>
    <w:rsid w:val="00D346E1"/>
    <w:rsid w:val="00D3604F"/>
    <w:rsid w:val="00D37C97"/>
    <w:rsid w:val="00D4212F"/>
    <w:rsid w:val="00D43252"/>
    <w:rsid w:val="00D4386C"/>
    <w:rsid w:val="00D44C2B"/>
    <w:rsid w:val="00D45856"/>
    <w:rsid w:val="00D46C1A"/>
    <w:rsid w:val="00D47EEA"/>
    <w:rsid w:val="00D51CDE"/>
    <w:rsid w:val="00D53C21"/>
    <w:rsid w:val="00D5463B"/>
    <w:rsid w:val="00D55FB5"/>
    <w:rsid w:val="00D576BC"/>
    <w:rsid w:val="00D62FF6"/>
    <w:rsid w:val="00D7065C"/>
    <w:rsid w:val="00D70B75"/>
    <w:rsid w:val="00D70CAE"/>
    <w:rsid w:val="00D71D60"/>
    <w:rsid w:val="00D73715"/>
    <w:rsid w:val="00D77267"/>
    <w:rsid w:val="00D773DF"/>
    <w:rsid w:val="00D779B7"/>
    <w:rsid w:val="00D77D82"/>
    <w:rsid w:val="00D8313E"/>
    <w:rsid w:val="00D837A0"/>
    <w:rsid w:val="00D90168"/>
    <w:rsid w:val="00D93B9F"/>
    <w:rsid w:val="00D942FF"/>
    <w:rsid w:val="00D95303"/>
    <w:rsid w:val="00D978C6"/>
    <w:rsid w:val="00DA0508"/>
    <w:rsid w:val="00DA0557"/>
    <w:rsid w:val="00DA2CCF"/>
    <w:rsid w:val="00DA3682"/>
    <w:rsid w:val="00DA37EB"/>
    <w:rsid w:val="00DA3845"/>
    <w:rsid w:val="00DA3C1C"/>
    <w:rsid w:val="00DA70EA"/>
    <w:rsid w:val="00DA73DE"/>
    <w:rsid w:val="00DB0603"/>
    <w:rsid w:val="00DB0B87"/>
    <w:rsid w:val="00DB2345"/>
    <w:rsid w:val="00DB2CE3"/>
    <w:rsid w:val="00DB46A9"/>
    <w:rsid w:val="00DC0466"/>
    <w:rsid w:val="00DC5F2F"/>
    <w:rsid w:val="00DC7A4B"/>
    <w:rsid w:val="00DD1336"/>
    <w:rsid w:val="00DD17CC"/>
    <w:rsid w:val="00DD28C6"/>
    <w:rsid w:val="00DD2F73"/>
    <w:rsid w:val="00DD4FB0"/>
    <w:rsid w:val="00DD6D19"/>
    <w:rsid w:val="00DD6D29"/>
    <w:rsid w:val="00DE171E"/>
    <w:rsid w:val="00DE243B"/>
    <w:rsid w:val="00DE295F"/>
    <w:rsid w:val="00DE2B7E"/>
    <w:rsid w:val="00DE529E"/>
    <w:rsid w:val="00DE5A00"/>
    <w:rsid w:val="00DE6779"/>
    <w:rsid w:val="00DE7D38"/>
    <w:rsid w:val="00DF05F6"/>
    <w:rsid w:val="00DF1C18"/>
    <w:rsid w:val="00DF440E"/>
    <w:rsid w:val="00DF5633"/>
    <w:rsid w:val="00DF5D1E"/>
    <w:rsid w:val="00E004ED"/>
    <w:rsid w:val="00E02837"/>
    <w:rsid w:val="00E046DF"/>
    <w:rsid w:val="00E1120C"/>
    <w:rsid w:val="00E1137D"/>
    <w:rsid w:val="00E11EEB"/>
    <w:rsid w:val="00E11EF5"/>
    <w:rsid w:val="00E12930"/>
    <w:rsid w:val="00E12BAB"/>
    <w:rsid w:val="00E12D7E"/>
    <w:rsid w:val="00E13EF8"/>
    <w:rsid w:val="00E1532C"/>
    <w:rsid w:val="00E1771E"/>
    <w:rsid w:val="00E2002E"/>
    <w:rsid w:val="00E205A9"/>
    <w:rsid w:val="00E20B55"/>
    <w:rsid w:val="00E23423"/>
    <w:rsid w:val="00E259B2"/>
    <w:rsid w:val="00E266B5"/>
    <w:rsid w:val="00E27346"/>
    <w:rsid w:val="00E33345"/>
    <w:rsid w:val="00E352D0"/>
    <w:rsid w:val="00E36AC9"/>
    <w:rsid w:val="00E40CD6"/>
    <w:rsid w:val="00E41D6A"/>
    <w:rsid w:val="00E42B08"/>
    <w:rsid w:val="00E442CB"/>
    <w:rsid w:val="00E4597A"/>
    <w:rsid w:val="00E523BF"/>
    <w:rsid w:val="00E53C9C"/>
    <w:rsid w:val="00E55D51"/>
    <w:rsid w:val="00E62A4C"/>
    <w:rsid w:val="00E62C25"/>
    <w:rsid w:val="00E6381F"/>
    <w:rsid w:val="00E63B75"/>
    <w:rsid w:val="00E64665"/>
    <w:rsid w:val="00E65539"/>
    <w:rsid w:val="00E718CE"/>
    <w:rsid w:val="00E71BC8"/>
    <w:rsid w:val="00E7260F"/>
    <w:rsid w:val="00E73059"/>
    <w:rsid w:val="00E73B48"/>
    <w:rsid w:val="00E73F5D"/>
    <w:rsid w:val="00E752DD"/>
    <w:rsid w:val="00E771F8"/>
    <w:rsid w:val="00E775D1"/>
    <w:rsid w:val="00E77E4E"/>
    <w:rsid w:val="00E80B61"/>
    <w:rsid w:val="00E82F5F"/>
    <w:rsid w:val="00E84B4F"/>
    <w:rsid w:val="00E91366"/>
    <w:rsid w:val="00E915A7"/>
    <w:rsid w:val="00E92F5D"/>
    <w:rsid w:val="00E94C44"/>
    <w:rsid w:val="00E95C49"/>
    <w:rsid w:val="00E96630"/>
    <w:rsid w:val="00E96661"/>
    <w:rsid w:val="00EA00C1"/>
    <w:rsid w:val="00EA3A2B"/>
    <w:rsid w:val="00EA5802"/>
    <w:rsid w:val="00EA7683"/>
    <w:rsid w:val="00EA789D"/>
    <w:rsid w:val="00EA796C"/>
    <w:rsid w:val="00EB3AA1"/>
    <w:rsid w:val="00EB5948"/>
    <w:rsid w:val="00EB7DDE"/>
    <w:rsid w:val="00EC1C01"/>
    <w:rsid w:val="00EC28CA"/>
    <w:rsid w:val="00EC30B8"/>
    <w:rsid w:val="00EC41EE"/>
    <w:rsid w:val="00EC5618"/>
    <w:rsid w:val="00EC5D0F"/>
    <w:rsid w:val="00EC63DC"/>
    <w:rsid w:val="00EC6527"/>
    <w:rsid w:val="00ED04F9"/>
    <w:rsid w:val="00ED08D7"/>
    <w:rsid w:val="00ED1464"/>
    <w:rsid w:val="00ED325A"/>
    <w:rsid w:val="00ED40D5"/>
    <w:rsid w:val="00ED5381"/>
    <w:rsid w:val="00ED7A2A"/>
    <w:rsid w:val="00EE04CF"/>
    <w:rsid w:val="00EE085F"/>
    <w:rsid w:val="00EE0F98"/>
    <w:rsid w:val="00EF1D7A"/>
    <w:rsid w:val="00EF1D7F"/>
    <w:rsid w:val="00EF297C"/>
    <w:rsid w:val="00EF2BBE"/>
    <w:rsid w:val="00EF6476"/>
    <w:rsid w:val="00F02137"/>
    <w:rsid w:val="00F073F2"/>
    <w:rsid w:val="00F075D2"/>
    <w:rsid w:val="00F07F0B"/>
    <w:rsid w:val="00F14E66"/>
    <w:rsid w:val="00F16B64"/>
    <w:rsid w:val="00F16E0F"/>
    <w:rsid w:val="00F16F24"/>
    <w:rsid w:val="00F23596"/>
    <w:rsid w:val="00F2387E"/>
    <w:rsid w:val="00F24B8B"/>
    <w:rsid w:val="00F26312"/>
    <w:rsid w:val="00F26E6D"/>
    <w:rsid w:val="00F27310"/>
    <w:rsid w:val="00F31053"/>
    <w:rsid w:val="00F31227"/>
    <w:rsid w:val="00F31E5F"/>
    <w:rsid w:val="00F31EE4"/>
    <w:rsid w:val="00F3597B"/>
    <w:rsid w:val="00F35AE9"/>
    <w:rsid w:val="00F35BD3"/>
    <w:rsid w:val="00F44E85"/>
    <w:rsid w:val="00F536D4"/>
    <w:rsid w:val="00F56707"/>
    <w:rsid w:val="00F56B9B"/>
    <w:rsid w:val="00F6100A"/>
    <w:rsid w:val="00F6201B"/>
    <w:rsid w:val="00F66048"/>
    <w:rsid w:val="00F67911"/>
    <w:rsid w:val="00F72BAC"/>
    <w:rsid w:val="00F735FB"/>
    <w:rsid w:val="00F75FE0"/>
    <w:rsid w:val="00F763F7"/>
    <w:rsid w:val="00F80B30"/>
    <w:rsid w:val="00F811E0"/>
    <w:rsid w:val="00F82A52"/>
    <w:rsid w:val="00F836EC"/>
    <w:rsid w:val="00F8566F"/>
    <w:rsid w:val="00F85AD1"/>
    <w:rsid w:val="00F90BA3"/>
    <w:rsid w:val="00F92E41"/>
    <w:rsid w:val="00F93781"/>
    <w:rsid w:val="00F93EBA"/>
    <w:rsid w:val="00F96492"/>
    <w:rsid w:val="00FA0395"/>
    <w:rsid w:val="00FA0F24"/>
    <w:rsid w:val="00FA23EA"/>
    <w:rsid w:val="00FA33C3"/>
    <w:rsid w:val="00FA408B"/>
    <w:rsid w:val="00FA5616"/>
    <w:rsid w:val="00FA58ED"/>
    <w:rsid w:val="00FB10EF"/>
    <w:rsid w:val="00FB3F92"/>
    <w:rsid w:val="00FB613B"/>
    <w:rsid w:val="00FC1AB2"/>
    <w:rsid w:val="00FC3057"/>
    <w:rsid w:val="00FC476A"/>
    <w:rsid w:val="00FC68B7"/>
    <w:rsid w:val="00FD2805"/>
    <w:rsid w:val="00FD28F8"/>
    <w:rsid w:val="00FE106A"/>
    <w:rsid w:val="00FE21F4"/>
    <w:rsid w:val="00FE5A08"/>
    <w:rsid w:val="00FE7B75"/>
    <w:rsid w:val="00FF145D"/>
    <w:rsid w:val="00FF3257"/>
    <w:rsid w:val="00FF352C"/>
    <w:rsid w:val="00FF4CF2"/>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395CE07E"/>
  <w15:docId w15:val="{DEA4380C-E1D2-475D-9162-8BC5E5FF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C1A"/>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qFormat/>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semiHidden/>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rsid w:val="00947812"/>
    <w:rPr>
      <w:b/>
      <w:sz w:val="28"/>
      <w:lang w:eastAsia="en-US"/>
    </w:rPr>
  </w:style>
  <w:style w:type="character" w:customStyle="1" w:styleId="FooterChar">
    <w:name w:val="Footer Char"/>
    <w:aliases w:val="3_G Char"/>
    <w:link w:val="Footer"/>
    <w:uiPriority w:val="99"/>
    <w:rsid w:val="00B35F15"/>
    <w:rPr>
      <w:sz w:val="16"/>
      <w:lang w:eastAsia="en-US"/>
    </w:rPr>
  </w:style>
  <w:style w:type="character" w:customStyle="1" w:styleId="FootnoteTextChar">
    <w:name w:val="Footnote Text Char"/>
    <w:aliases w:val="5_G Char"/>
    <w:link w:val="FootnoteText"/>
    <w:rsid w:val="00664FF5"/>
    <w:rPr>
      <w:sz w:val="18"/>
      <w:lang w:eastAsia="en-US"/>
    </w:rPr>
  </w:style>
  <w:style w:type="character" w:customStyle="1" w:styleId="H23GChar">
    <w:name w:val="_ H_2/3_G Char"/>
    <w:link w:val="H23G"/>
    <w:locked/>
    <w:rsid w:val="009F6234"/>
    <w:rPr>
      <w:b/>
      <w:lang w:val="en-GB" w:eastAsia="en-US"/>
    </w:rPr>
  </w:style>
  <w:style w:type="paragraph" w:customStyle="1" w:styleId="Default">
    <w:name w:val="Default"/>
    <w:rsid w:val="000E6E84"/>
    <w:pPr>
      <w:autoSpaceDE w:val="0"/>
      <w:autoSpaceDN w:val="0"/>
      <w:adjustRightInd w:val="0"/>
    </w:pPr>
    <w:rPr>
      <w:rFonts w:ascii="Arial" w:hAnsi="Arial" w:cs="Arial"/>
      <w:color w:val="000000"/>
      <w:sz w:val="24"/>
      <w:szCs w:val="24"/>
      <w:lang w:val="en-US"/>
    </w:rPr>
  </w:style>
  <w:style w:type="paragraph" w:styleId="CommentSubject">
    <w:name w:val="annotation subject"/>
    <w:basedOn w:val="CommentText"/>
    <w:next w:val="CommentText"/>
    <w:link w:val="CommentSubjectChar"/>
    <w:semiHidden/>
    <w:unhideWhenUsed/>
    <w:rsid w:val="007A36BD"/>
    <w:pPr>
      <w:spacing w:line="240" w:lineRule="auto"/>
    </w:pPr>
    <w:rPr>
      <w:b/>
      <w:bCs/>
    </w:rPr>
  </w:style>
  <w:style w:type="character" w:customStyle="1" w:styleId="CommentTextChar">
    <w:name w:val="Comment Text Char"/>
    <w:basedOn w:val="DefaultParagraphFont"/>
    <w:link w:val="CommentText"/>
    <w:semiHidden/>
    <w:rsid w:val="007A36BD"/>
    <w:rPr>
      <w:lang w:val="en-GB" w:eastAsia="en-US"/>
    </w:rPr>
  </w:style>
  <w:style w:type="character" w:customStyle="1" w:styleId="CommentSubjectChar">
    <w:name w:val="Comment Subject Char"/>
    <w:basedOn w:val="CommentTextChar"/>
    <w:link w:val="CommentSubject"/>
    <w:semiHidden/>
    <w:rsid w:val="007A36BD"/>
    <w:rPr>
      <w:b/>
      <w:bCs/>
      <w:lang w:val="en-GB" w:eastAsia="en-US"/>
    </w:rPr>
  </w:style>
  <w:style w:type="paragraph" w:styleId="Revision">
    <w:name w:val="Revision"/>
    <w:hidden/>
    <w:uiPriority w:val="99"/>
    <w:semiHidden/>
    <w:rsid w:val="007A36BD"/>
    <w:rPr>
      <w:lang w:val="en-GB" w:eastAsia="en-US"/>
    </w:rPr>
  </w:style>
  <w:style w:type="character" w:customStyle="1" w:styleId="HeaderChar">
    <w:name w:val="Header Char"/>
    <w:aliases w:val="6_G Char"/>
    <w:basedOn w:val="DefaultParagraphFont"/>
    <w:link w:val="Header"/>
    <w:uiPriority w:val="99"/>
    <w:rsid w:val="00DE171E"/>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D815-9B19-4CCC-A3A0-1D6FA74E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27</Pages>
  <Words>8682</Words>
  <Characters>49491</Characters>
  <Application>Microsoft Office Word</Application>
  <DocSecurity>0</DocSecurity>
  <Lines>412</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0924779</vt:lpstr>
      <vt:lpstr>0924779</vt:lpstr>
    </vt:vector>
  </TitlesOfParts>
  <Company>CSD</Company>
  <LinksUpToDate>false</LinksUpToDate>
  <CharactersWithSpaces>58057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0924779</dc:title>
  <dc:creator>EK-A</dc:creator>
  <cp:keywords>ECE/TRANS/WP.15/AC.1/116</cp:keywords>
  <dc:description>Final</dc:description>
  <cp:lastModifiedBy>Christine Barrio-Champeau</cp:lastModifiedBy>
  <cp:revision>65</cp:revision>
  <cp:lastPrinted>2018-04-09T12:27:00Z</cp:lastPrinted>
  <dcterms:created xsi:type="dcterms:W3CDTF">2018-03-19T14:39:00Z</dcterms:created>
  <dcterms:modified xsi:type="dcterms:W3CDTF">2018-04-10T09:09:00Z</dcterms:modified>
</cp:coreProperties>
</file>