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D0908" w:rsidRPr="001654A6" w14:paraId="2803E36F" w14:textId="77777777" w:rsidTr="00DA6CDE">
        <w:trPr>
          <w:trHeight w:hRule="exact" w:val="851"/>
        </w:trPr>
        <w:tc>
          <w:tcPr>
            <w:tcW w:w="1277" w:type="dxa"/>
            <w:tcBorders>
              <w:bottom w:val="single" w:sz="4" w:space="0" w:color="auto"/>
            </w:tcBorders>
          </w:tcPr>
          <w:p w14:paraId="611841E8" w14:textId="77777777" w:rsidR="009D0908" w:rsidRPr="007B4D8D" w:rsidRDefault="009D0908" w:rsidP="009D0908">
            <w:pPr>
              <w:rPr>
                <w:lang w:val="fr-FR"/>
              </w:rPr>
            </w:pPr>
          </w:p>
        </w:tc>
        <w:tc>
          <w:tcPr>
            <w:tcW w:w="2268" w:type="dxa"/>
            <w:tcBorders>
              <w:bottom w:val="single" w:sz="4" w:space="0" w:color="auto"/>
            </w:tcBorders>
            <w:vAlign w:val="bottom"/>
          </w:tcPr>
          <w:p w14:paraId="7AA53C64" w14:textId="77777777" w:rsidR="009D0908" w:rsidRPr="001654A6" w:rsidRDefault="009D0908" w:rsidP="009D0908">
            <w:pPr>
              <w:spacing w:after="80" w:line="300" w:lineRule="exact"/>
              <w:rPr>
                <w:sz w:val="28"/>
                <w:lang w:val="fr-FR"/>
              </w:rPr>
            </w:pPr>
            <w:r w:rsidRPr="001654A6">
              <w:rPr>
                <w:sz w:val="28"/>
                <w:lang w:val="fr-FR"/>
              </w:rPr>
              <w:t>Nations Unies</w:t>
            </w:r>
          </w:p>
        </w:tc>
        <w:tc>
          <w:tcPr>
            <w:tcW w:w="6094" w:type="dxa"/>
            <w:gridSpan w:val="2"/>
            <w:tcBorders>
              <w:bottom w:val="single" w:sz="4" w:space="0" w:color="auto"/>
            </w:tcBorders>
            <w:vAlign w:val="bottom"/>
          </w:tcPr>
          <w:p w14:paraId="300AC3BC" w14:textId="60DF75D0" w:rsidR="009D0908" w:rsidRPr="001654A6" w:rsidRDefault="009D0908" w:rsidP="009D0908">
            <w:pPr>
              <w:jc w:val="right"/>
              <w:rPr>
                <w:lang w:val="fr-FR"/>
              </w:rPr>
            </w:pPr>
            <w:r w:rsidRPr="001654A6">
              <w:rPr>
                <w:sz w:val="40"/>
                <w:lang w:val="fr-FR"/>
              </w:rPr>
              <w:t>ECE</w:t>
            </w:r>
            <w:r w:rsidRPr="001654A6">
              <w:rPr>
                <w:lang w:val="fr-FR"/>
              </w:rPr>
              <w:t>/TRANS/WP.15/240</w:t>
            </w:r>
          </w:p>
        </w:tc>
      </w:tr>
      <w:tr w:rsidR="009D0908" w:rsidRPr="001654A6" w14:paraId="2123DBD2" w14:textId="77777777" w:rsidTr="00DA6CDE">
        <w:trPr>
          <w:trHeight w:hRule="exact" w:val="2835"/>
        </w:trPr>
        <w:tc>
          <w:tcPr>
            <w:tcW w:w="1276" w:type="dxa"/>
            <w:tcBorders>
              <w:top w:val="single" w:sz="4" w:space="0" w:color="auto"/>
              <w:bottom w:val="single" w:sz="12" w:space="0" w:color="auto"/>
            </w:tcBorders>
          </w:tcPr>
          <w:p w14:paraId="3838CE86" w14:textId="77777777" w:rsidR="009D0908" w:rsidRPr="001654A6" w:rsidRDefault="009D0908" w:rsidP="009D0908">
            <w:pPr>
              <w:spacing w:before="120"/>
              <w:jc w:val="center"/>
              <w:rPr>
                <w:lang w:val="fr-FR"/>
              </w:rPr>
            </w:pPr>
            <w:r w:rsidRPr="001654A6">
              <w:rPr>
                <w:noProof/>
                <w:lang w:val="en-GB" w:eastAsia="en-GB"/>
              </w:rPr>
              <w:drawing>
                <wp:inline distT="0" distB="0" distL="0" distR="0" wp14:anchorId="313C9C29" wp14:editId="7D3FA7EC">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57C32B" w14:textId="77777777" w:rsidR="009D0908" w:rsidRPr="001654A6" w:rsidRDefault="009D0908" w:rsidP="009D0908">
            <w:pPr>
              <w:spacing w:before="120" w:line="420" w:lineRule="exact"/>
              <w:rPr>
                <w:b/>
                <w:sz w:val="40"/>
                <w:szCs w:val="40"/>
                <w:lang w:val="fr-FR"/>
              </w:rPr>
            </w:pPr>
            <w:r w:rsidRPr="001654A6">
              <w:rPr>
                <w:b/>
                <w:sz w:val="40"/>
                <w:szCs w:val="40"/>
                <w:lang w:val="fr-FR"/>
              </w:rPr>
              <w:t>Conseil économique et social</w:t>
            </w:r>
          </w:p>
        </w:tc>
        <w:tc>
          <w:tcPr>
            <w:tcW w:w="2835" w:type="dxa"/>
            <w:tcBorders>
              <w:top w:val="single" w:sz="4" w:space="0" w:color="auto"/>
              <w:bottom w:val="single" w:sz="12" w:space="0" w:color="auto"/>
            </w:tcBorders>
          </w:tcPr>
          <w:p w14:paraId="1FE73652" w14:textId="77777777" w:rsidR="009D0908" w:rsidRPr="001654A6" w:rsidRDefault="009D0908" w:rsidP="009D0908">
            <w:pPr>
              <w:spacing w:before="240" w:line="240" w:lineRule="exact"/>
              <w:rPr>
                <w:lang w:val="fr-FR"/>
              </w:rPr>
            </w:pPr>
            <w:r w:rsidRPr="001654A6">
              <w:rPr>
                <w:lang w:val="fr-FR"/>
              </w:rPr>
              <w:t>Distr. générale</w:t>
            </w:r>
          </w:p>
          <w:p w14:paraId="041B9846" w14:textId="0BB50977" w:rsidR="009D0908" w:rsidRPr="001654A6" w:rsidRDefault="00B76415" w:rsidP="009D0908">
            <w:pPr>
              <w:spacing w:line="240" w:lineRule="exact"/>
              <w:rPr>
                <w:lang w:val="fr-FR"/>
              </w:rPr>
            </w:pPr>
            <w:r>
              <w:rPr>
                <w:lang w:val="fr-FR"/>
              </w:rPr>
              <w:t>7 mars</w:t>
            </w:r>
            <w:r w:rsidR="009D0908" w:rsidRPr="005C3A8A">
              <w:rPr>
                <w:lang w:val="fr-FR"/>
              </w:rPr>
              <w:t xml:space="preserve"> 2018</w:t>
            </w:r>
          </w:p>
          <w:p w14:paraId="31AD568D" w14:textId="18A9EB63" w:rsidR="009D0908" w:rsidRPr="001654A6" w:rsidRDefault="009D0908" w:rsidP="009D0908">
            <w:pPr>
              <w:spacing w:line="240" w:lineRule="exact"/>
              <w:rPr>
                <w:lang w:val="fr-FR"/>
              </w:rPr>
            </w:pPr>
            <w:r w:rsidRPr="001654A6">
              <w:rPr>
                <w:lang w:val="fr-FR"/>
              </w:rPr>
              <w:t>Français</w:t>
            </w:r>
          </w:p>
          <w:p w14:paraId="61DE1DA3" w14:textId="4FFA6C9A" w:rsidR="009D0908" w:rsidRPr="001654A6" w:rsidRDefault="009D0908" w:rsidP="009D0908">
            <w:pPr>
              <w:spacing w:line="240" w:lineRule="exact"/>
              <w:rPr>
                <w:lang w:val="fr-FR"/>
              </w:rPr>
            </w:pPr>
            <w:r w:rsidRPr="001654A6">
              <w:rPr>
                <w:lang w:val="fr-FR"/>
              </w:rPr>
              <w:t xml:space="preserve">Original: anglais et français </w:t>
            </w:r>
          </w:p>
        </w:tc>
      </w:tr>
    </w:tbl>
    <w:p w14:paraId="77B4C673" w14:textId="77777777" w:rsidR="009D0908" w:rsidRPr="001654A6" w:rsidRDefault="009D0908" w:rsidP="009D0908">
      <w:pPr>
        <w:spacing w:before="120"/>
        <w:rPr>
          <w:b/>
          <w:sz w:val="28"/>
          <w:szCs w:val="28"/>
          <w:lang w:val="fr-FR"/>
        </w:rPr>
      </w:pPr>
      <w:r w:rsidRPr="001654A6">
        <w:rPr>
          <w:b/>
          <w:sz w:val="28"/>
          <w:szCs w:val="28"/>
          <w:lang w:val="fr-FR"/>
        </w:rPr>
        <w:t>Commission économique pour l’Europe</w:t>
      </w:r>
    </w:p>
    <w:p w14:paraId="6D2E2EB3" w14:textId="77777777" w:rsidR="009D0908" w:rsidRPr="001654A6" w:rsidRDefault="009D0908" w:rsidP="009D0908">
      <w:pPr>
        <w:spacing w:before="120"/>
        <w:rPr>
          <w:sz w:val="28"/>
          <w:szCs w:val="28"/>
          <w:lang w:val="fr-FR"/>
        </w:rPr>
      </w:pPr>
      <w:r w:rsidRPr="001654A6">
        <w:rPr>
          <w:sz w:val="28"/>
          <w:szCs w:val="28"/>
          <w:lang w:val="fr-FR"/>
        </w:rPr>
        <w:t>Comité des transports intérieurs</w:t>
      </w:r>
    </w:p>
    <w:p w14:paraId="1FC26BDC" w14:textId="77777777" w:rsidR="009D0908" w:rsidRPr="001654A6" w:rsidRDefault="009D0908" w:rsidP="009D0908">
      <w:pPr>
        <w:spacing w:before="120"/>
        <w:rPr>
          <w:b/>
          <w:sz w:val="24"/>
          <w:szCs w:val="24"/>
          <w:lang w:val="fr-FR"/>
        </w:rPr>
      </w:pPr>
      <w:r w:rsidRPr="001654A6">
        <w:rPr>
          <w:b/>
          <w:sz w:val="24"/>
          <w:szCs w:val="24"/>
          <w:lang w:val="fr-FR"/>
        </w:rPr>
        <w:t>Groupe de travail des transports de marchandises dangereuses</w:t>
      </w:r>
    </w:p>
    <w:p w14:paraId="2280B48E" w14:textId="77777777" w:rsidR="00DA6CDE" w:rsidRPr="001654A6" w:rsidRDefault="00DA6CDE" w:rsidP="00DA6CDE">
      <w:pPr>
        <w:pStyle w:val="HChG"/>
        <w:rPr>
          <w:lang w:val="fr-FR"/>
        </w:rPr>
      </w:pPr>
      <w:r w:rsidRPr="001654A6">
        <w:rPr>
          <w:lang w:val="fr-FR"/>
        </w:rPr>
        <w:tab/>
      </w:r>
      <w:r w:rsidRPr="001654A6">
        <w:rPr>
          <w:lang w:val="fr-FR"/>
        </w:rPr>
        <w:tab/>
        <w:t>Accord européen relatif au transport international des marchandises dangereuses par route (ADR)</w:t>
      </w:r>
    </w:p>
    <w:p w14:paraId="3E9B5F36" w14:textId="77777777" w:rsidR="00DA6CDE" w:rsidRPr="001654A6" w:rsidRDefault="00DA6CDE" w:rsidP="00DA6CDE">
      <w:pPr>
        <w:pStyle w:val="H1G"/>
        <w:outlineLvl w:val="0"/>
        <w:rPr>
          <w:lang w:val="fr-FR"/>
        </w:rPr>
      </w:pPr>
      <w:r w:rsidRPr="001654A6">
        <w:rPr>
          <w:lang w:val="fr-FR"/>
        </w:rPr>
        <w:tab/>
      </w:r>
      <w:r w:rsidRPr="001654A6">
        <w:rPr>
          <w:lang w:val="fr-FR"/>
        </w:rPr>
        <w:tab/>
        <w:t>Projet d'amendements aux annexes A et B de l'ADR</w:t>
      </w:r>
    </w:p>
    <w:p w14:paraId="69A07A39" w14:textId="5FE0FC05" w:rsidR="00DA6CDE" w:rsidRPr="001654A6" w:rsidRDefault="006B06C2" w:rsidP="00DA6CDE">
      <w:pPr>
        <w:pStyle w:val="SingleTxtG"/>
        <w:rPr>
          <w:lang w:val="fr-FR"/>
        </w:rPr>
      </w:pPr>
      <w:r>
        <w:rPr>
          <w:lang w:val="fr-FR"/>
        </w:rPr>
        <w:tab/>
      </w:r>
      <w:r w:rsidR="00DA6CDE" w:rsidRPr="001654A6">
        <w:rPr>
          <w:lang w:val="fr-FR"/>
        </w:rPr>
        <w:tab/>
        <w:t xml:space="preserve">À sa </w:t>
      </w:r>
      <w:r w:rsidR="00DA6CDE" w:rsidRPr="001654A6">
        <w:t xml:space="preserve">103e </w:t>
      </w:r>
      <w:r w:rsidR="00DA6CDE" w:rsidRPr="001654A6">
        <w:rPr>
          <w:lang w:val="fr-FR"/>
        </w:rPr>
        <w:t xml:space="preserve">session, le Groupe de travail des transports de marchandises dangereuses a prié le secrétariat de préparer une liste récapitulative de tous les amendements qu'il a adoptés pour entrée en vigueur le 1er janvier 2019 afin qu'ils puissent faire l'objet d'une proposition officielle conformément à la procédure de l'article 14 de l'ADR que, selon l'usage, le Président se chargera de transmettre au dépositaire par l'entremise de son Gouvernement. La notification devra être diffusée au plus tard le 1er juillet 2018 en mentionnant la date prévue d'entrée en vigueur du 1er janvier 2019 (voir ECE/TRANS/WP.15/239, paragraphe 66). </w:t>
      </w:r>
    </w:p>
    <w:p w14:paraId="4C7DD438" w14:textId="1781E330" w:rsidR="00DA6CDE" w:rsidRPr="001654A6" w:rsidRDefault="006B06C2" w:rsidP="00DA6CDE">
      <w:pPr>
        <w:pStyle w:val="SingleTxtG"/>
        <w:rPr>
          <w:bCs/>
          <w:lang w:val="fr-FR"/>
        </w:rPr>
      </w:pPr>
      <w:r>
        <w:rPr>
          <w:bCs/>
          <w:lang w:val="fr-FR"/>
        </w:rPr>
        <w:tab/>
      </w:r>
      <w:r w:rsidR="00DA6CDE" w:rsidRPr="001654A6">
        <w:rPr>
          <w:bCs/>
          <w:lang w:val="fr-FR"/>
        </w:rPr>
        <w:tab/>
        <w:t xml:space="preserve">Le présent document contient la liste requise des amendements adoptés par le Groupe de travail à ses 100e, 101e, 102e et 103e sessions (voir </w:t>
      </w:r>
      <w:r w:rsidR="00DA6CDE" w:rsidRPr="001654A6">
        <w:rPr>
          <w:lang w:val="fr-FR"/>
        </w:rPr>
        <w:t>ECE/TRANS/WP.15/</w:t>
      </w:r>
      <w:r w:rsidR="00A947F6" w:rsidRPr="001654A6">
        <w:rPr>
          <w:lang w:val="fr-FR"/>
        </w:rPr>
        <w:t>233</w:t>
      </w:r>
      <w:r w:rsidR="00DA6CDE" w:rsidRPr="001654A6">
        <w:rPr>
          <w:lang w:val="fr-FR"/>
        </w:rPr>
        <w:t>, annexe II, ECE/TRANS/WP.15/</w:t>
      </w:r>
      <w:r w:rsidR="00A947F6" w:rsidRPr="001654A6">
        <w:rPr>
          <w:lang w:val="fr-FR"/>
        </w:rPr>
        <w:t>235</w:t>
      </w:r>
      <w:r w:rsidR="00DA6CDE" w:rsidRPr="001654A6">
        <w:rPr>
          <w:lang w:val="fr-FR"/>
        </w:rPr>
        <w:t>, annexe I, ECE/TRANS/WP.15/</w:t>
      </w:r>
      <w:r w:rsidR="00A947F6" w:rsidRPr="001654A6">
        <w:rPr>
          <w:lang w:val="fr-FR"/>
        </w:rPr>
        <w:t>237</w:t>
      </w:r>
      <w:r w:rsidR="00DA6CDE" w:rsidRPr="001654A6">
        <w:rPr>
          <w:lang w:val="fr-FR"/>
        </w:rPr>
        <w:t>, annexe I et ECE/TRANS/WP.15/</w:t>
      </w:r>
      <w:r w:rsidR="00A947F6" w:rsidRPr="001654A6">
        <w:rPr>
          <w:lang w:val="fr-FR"/>
        </w:rPr>
        <w:t>239</w:t>
      </w:r>
      <w:r w:rsidR="00DA6CDE" w:rsidRPr="001654A6">
        <w:rPr>
          <w:lang w:val="fr-FR"/>
        </w:rPr>
        <w:t>, annexe I</w:t>
      </w:r>
      <w:r w:rsidR="00DA6CDE" w:rsidRPr="001654A6">
        <w:rPr>
          <w:bCs/>
          <w:lang w:val="fr-FR"/>
        </w:rPr>
        <w:t>).</w:t>
      </w:r>
    </w:p>
    <w:p w14:paraId="770760D9" w14:textId="62BD1A1A" w:rsidR="00FF35B7" w:rsidRPr="006774AA" w:rsidRDefault="00FF35B7" w:rsidP="002C052F">
      <w:pPr>
        <w:pStyle w:val="HChG"/>
        <w:rPr>
          <w:highlight w:val="yellow"/>
          <w:lang w:val="fr-FR"/>
        </w:rPr>
      </w:pPr>
      <w:r w:rsidRPr="006774AA">
        <w:rPr>
          <w:highlight w:val="yellow"/>
          <w:lang w:val="fr-FR"/>
        </w:rPr>
        <w:br w:type="page"/>
      </w:r>
    </w:p>
    <w:p w14:paraId="1DE8E5AF" w14:textId="0D5E7EEC" w:rsidR="00CA761A" w:rsidRPr="00CD6EB5" w:rsidRDefault="00CA761A" w:rsidP="00CA761A">
      <w:pPr>
        <w:pStyle w:val="H1G"/>
        <w:rPr>
          <w:lang w:val="fr-FR"/>
        </w:rPr>
      </w:pPr>
      <w:r w:rsidRPr="00CD6EB5">
        <w:rPr>
          <w:lang w:val="fr-FR"/>
        </w:rPr>
        <w:lastRenderedPageBreak/>
        <w:tab/>
      </w:r>
      <w:r w:rsidRPr="00CD6EB5">
        <w:rPr>
          <w:lang w:val="fr-FR"/>
        </w:rPr>
        <w:tab/>
        <w:t>Chapitre 1.1</w:t>
      </w:r>
    </w:p>
    <w:p w14:paraId="6C8BFA3E" w14:textId="2550FE52" w:rsidR="009D320C" w:rsidRPr="00CD6EB5" w:rsidRDefault="009D320C" w:rsidP="009574CE">
      <w:pPr>
        <w:pStyle w:val="SingleTxtG"/>
        <w:tabs>
          <w:tab w:val="left" w:pos="4395"/>
        </w:tabs>
        <w:rPr>
          <w:lang w:val="fr-FR"/>
        </w:rPr>
      </w:pPr>
      <w:r w:rsidRPr="00CD6EB5">
        <w:rPr>
          <w:lang w:val="fr-FR"/>
        </w:rPr>
        <w:t>Supprimer 1.1.3.1 b) et ajouter « b)</w:t>
      </w:r>
      <w:r w:rsidRPr="00CD6EB5">
        <w:rPr>
          <w:lang w:val="fr-FR"/>
        </w:rPr>
        <w:tab/>
      </w:r>
      <w:r w:rsidRPr="00CD6EB5">
        <w:rPr>
          <w:i/>
          <w:lang w:val="fr-FR"/>
        </w:rPr>
        <w:t>(Supprimé)</w:t>
      </w:r>
      <w:r w:rsidRPr="00CD6EB5">
        <w:rPr>
          <w:lang w:val="fr-FR"/>
        </w:rPr>
        <w:t> ».</w:t>
      </w:r>
    </w:p>
    <w:p w14:paraId="60032C5D" w14:textId="755000DD" w:rsidR="00CE0BE3" w:rsidRPr="00CD6EB5" w:rsidRDefault="00CE0BE3" w:rsidP="009D320C">
      <w:pPr>
        <w:pStyle w:val="SingleTxtG"/>
        <w:rPr>
          <w:lang w:val="fr-FR"/>
        </w:rPr>
      </w:pPr>
      <w:r w:rsidRPr="00CD6EB5">
        <w:rPr>
          <w:lang w:val="fr-FR"/>
        </w:rPr>
        <w:t>1.1.3.5</w:t>
      </w:r>
      <w:r w:rsidRPr="00CD6EB5">
        <w:rPr>
          <w:lang w:val="fr-FR"/>
        </w:rPr>
        <w:tab/>
      </w:r>
      <w:r w:rsidRPr="00CD6EB5">
        <w:rPr>
          <w:lang w:val="fr-FR"/>
        </w:rPr>
        <w:tab/>
        <w:t>Remplacer « risques » par « dangers » (trois fois).</w:t>
      </w:r>
    </w:p>
    <w:p w14:paraId="297537CE" w14:textId="77777777" w:rsidR="00970717" w:rsidRPr="006774AA" w:rsidRDefault="00970717" w:rsidP="00970717">
      <w:pPr>
        <w:pStyle w:val="SingleTxtG"/>
        <w:rPr>
          <w:lang w:val="fr-FR"/>
        </w:rPr>
      </w:pPr>
      <w:r w:rsidRPr="006774AA">
        <w:rPr>
          <w:lang w:val="fr-FR"/>
        </w:rPr>
        <w:t>1.1.3.6.3</w:t>
      </w:r>
      <w:r w:rsidRPr="006774AA">
        <w:rPr>
          <w:lang w:val="fr-FR"/>
        </w:rPr>
        <w:tab/>
        <w:t>Dans le titre de la colonne (3) du tableau, ajouter une note de bas de tableau b libellée comme suit:</w:t>
      </w:r>
    </w:p>
    <w:p w14:paraId="10EA97A8" w14:textId="7D7BE621" w:rsidR="00970717" w:rsidRPr="006774AA" w:rsidRDefault="00970717" w:rsidP="00970717">
      <w:pPr>
        <w:pStyle w:val="SingleTxtG"/>
      </w:pPr>
      <w:r w:rsidRPr="006774AA">
        <w:t>« </w:t>
      </w:r>
      <w:r w:rsidRPr="006774AA">
        <w:rPr>
          <w:rStyle w:val="FootnoteTextChar"/>
          <w:b/>
          <w:sz w:val="20"/>
          <w:vertAlign w:val="superscript"/>
        </w:rPr>
        <w:t>b</w:t>
      </w:r>
      <w:r w:rsidRPr="006774AA">
        <w:rPr>
          <w:rStyle w:val="FootnoteTextChar"/>
          <w:sz w:val="20"/>
        </w:rPr>
        <w:tab/>
        <w:t>La quantité maximale totale pour chaque catégorie de transport correspond à une valeur calculée de “1 000” (voir aussi le 1.1.3.6.4)</w:t>
      </w:r>
      <w:r w:rsidRPr="006774AA">
        <w:t>. ».</w:t>
      </w:r>
    </w:p>
    <w:p w14:paraId="3C0AE7B3" w14:textId="00EB5AB3" w:rsidR="009D320C" w:rsidRPr="00CD6EB5" w:rsidRDefault="009D320C" w:rsidP="009D320C">
      <w:pPr>
        <w:pStyle w:val="SingleTxtG"/>
        <w:rPr>
          <w:lang w:val="fr-FR"/>
        </w:rPr>
      </w:pPr>
      <w:r w:rsidRPr="00CD6EB5">
        <w:rPr>
          <w:lang w:val="fr-FR"/>
        </w:rPr>
        <w:t xml:space="preserve">1.1.3.6.3, dans le </w:t>
      </w:r>
      <w:r w:rsidR="0016286E" w:rsidRPr="00CD6EB5">
        <w:rPr>
          <w:lang w:val="fr-FR"/>
        </w:rPr>
        <w:t>tableau</w:t>
      </w:r>
      <w:r w:rsidRPr="00CD6EB5">
        <w:rPr>
          <w:lang w:val="fr-FR"/>
        </w:rPr>
        <w:t>, pour la catégorie 4, modifier le contenu de la colonne (2) pour lire comme suit :</w:t>
      </w:r>
    </w:p>
    <w:p w14:paraId="506189DC" w14:textId="1533F3AF" w:rsidR="009D320C" w:rsidRPr="00CD6EB5" w:rsidRDefault="009D320C" w:rsidP="009D320C">
      <w:pPr>
        <w:pStyle w:val="SingleTxtG"/>
        <w:spacing w:after="0"/>
        <w:rPr>
          <w:lang w:val="fr-FR"/>
        </w:rPr>
      </w:pPr>
      <w:r w:rsidRPr="00CD6EB5">
        <w:rPr>
          <w:lang w:val="fr-FR"/>
        </w:rPr>
        <w:t xml:space="preserve">« Classe 1: </w:t>
      </w:r>
      <w:r w:rsidRPr="00CD6EB5">
        <w:rPr>
          <w:lang w:val="fr-FR"/>
        </w:rPr>
        <w:tab/>
        <w:t>1.4S</w:t>
      </w:r>
    </w:p>
    <w:p w14:paraId="051839AC" w14:textId="29F63EF8" w:rsidR="009D320C" w:rsidRPr="00CD6EB5" w:rsidRDefault="009D320C" w:rsidP="009D320C">
      <w:pPr>
        <w:pStyle w:val="SingleTxtG"/>
        <w:spacing w:after="0"/>
        <w:rPr>
          <w:lang w:val="fr-FR"/>
        </w:rPr>
      </w:pPr>
      <w:r w:rsidRPr="00CD6EB5">
        <w:rPr>
          <w:lang w:val="fr-FR"/>
        </w:rPr>
        <w:t>Classe 2:</w:t>
      </w:r>
      <w:r w:rsidRPr="00CD6EB5">
        <w:rPr>
          <w:lang w:val="fr-FR"/>
        </w:rPr>
        <w:tab/>
        <w:t>Nos ONU 3537 à 3539</w:t>
      </w:r>
    </w:p>
    <w:p w14:paraId="0583BE8B" w14:textId="035EADC0" w:rsidR="009D320C" w:rsidRPr="00CD6EB5" w:rsidRDefault="009D320C" w:rsidP="009D320C">
      <w:pPr>
        <w:pStyle w:val="SingleTxtG"/>
        <w:spacing w:after="0"/>
        <w:rPr>
          <w:lang w:val="fr-FR"/>
        </w:rPr>
      </w:pPr>
      <w:r w:rsidRPr="00CD6EB5">
        <w:rPr>
          <w:lang w:val="fr-FR"/>
        </w:rPr>
        <w:t>Classe 3:</w:t>
      </w:r>
      <w:r w:rsidRPr="00CD6EB5">
        <w:rPr>
          <w:lang w:val="fr-FR"/>
        </w:rPr>
        <w:tab/>
        <w:t>No ONU 3540</w:t>
      </w:r>
    </w:p>
    <w:p w14:paraId="48F2AD77" w14:textId="02F4FB53" w:rsidR="009D320C" w:rsidRPr="00CD6EB5" w:rsidRDefault="009D320C" w:rsidP="009D320C">
      <w:pPr>
        <w:pStyle w:val="SingleTxtG"/>
        <w:spacing w:after="0"/>
        <w:rPr>
          <w:lang w:val="fr-FR"/>
        </w:rPr>
      </w:pPr>
      <w:r w:rsidRPr="00CD6EB5">
        <w:rPr>
          <w:lang w:val="fr-FR"/>
        </w:rPr>
        <w:t xml:space="preserve">Classe 4.1: </w:t>
      </w:r>
      <w:r w:rsidRPr="00CD6EB5">
        <w:rPr>
          <w:lang w:val="fr-FR"/>
        </w:rPr>
        <w:tab/>
        <w:t>Nos ONU 1331, 1345, 1944, 1945, 2254, 2623 et 3541</w:t>
      </w:r>
    </w:p>
    <w:p w14:paraId="20F58154" w14:textId="37DA0DAB" w:rsidR="009D320C" w:rsidRPr="00CD6EB5" w:rsidRDefault="009D320C" w:rsidP="009D320C">
      <w:pPr>
        <w:pStyle w:val="SingleTxtG"/>
        <w:spacing w:after="0"/>
        <w:rPr>
          <w:lang w:val="fr-FR"/>
        </w:rPr>
      </w:pPr>
      <w:r w:rsidRPr="00CD6EB5">
        <w:rPr>
          <w:lang w:val="fr-FR"/>
        </w:rPr>
        <w:t xml:space="preserve">Classe 4.2: </w:t>
      </w:r>
      <w:r w:rsidRPr="00CD6EB5">
        <w:rPr>
          <w:lang w:val="fr-FR"/>
        </w:rPr>
        <w:tab/>
        <w:t>Nos ONU 1361 et 1362 groupe d'emballage III et No ONU 3542</w:t>
      </w:r>
    </w:p>
    <w:p w14:paraId="28A79190" w14:textId="0FCBED1A" w:rsidR="009D320C" w:rsidRPr="00CD6EB5" w:rsidRDefault="009D320C" w:rsidP="009D320C">
      <w:pPr>
        <w:pStyle w:val="SingleTxtG"/>
        <w:spacing w:after="0"/>
        <w:rPr>
          <w:lang w:val="en-GB"/>
        </w:rPr>
      </w:pPr>
      <w:r w:rsidRPr="00CD6EB5">
        <w:rPr>
          <w:lang w:val="en-GB"/>
        </w:rPr>
        <w:t xml:space="preserve">Classe 4.3: </w:t>
      </w:r>
      <w:r w:rsidRPr="00CD6EB5">
        <w:rPr>
          <w:lang w:val="en-GB"/>
        </w:rPr>
        <w:tab/>
        <w:t>No ONU 3543</w:t>
      </w:r>
    </w:p>
    <w:p w14:paraId="3F87FB4F" w14:textId="654684EC" w:rsidR="009D320C" w:rsidRPr="00CD6EB5" w:rsidRDefault="009D320C" w:rsidP="009D320C">
      <w:pPr>
        <w:pStyle w:val="SingleTxtG"/>
        <w:spacing w:after="0"/>
        <w:rPr>
          <w:lang w:val="en-GB"/>
        </w:rPr>
      </w:pPr>
      <w:r w:rsidRPr="00CD6EB5">
        <w:rPr>
          <w:lang w:val="en-GB"/>
        </w:rPr>
        <w:t xml:space="preserve">Classe 5.1: </w:t>
      </w:r>
      <w:r w:rsidRPr="00CD6EB5">
        <w:rPr>
          <w:lang w:val="en-GB"/>
        </w:rPr>
        <w:tab/>
        <w:t>No ONU 3544</w:t>
      </w:r>
    </w:p>
    <w:p w14:paraId="5EC0CFCD" w14:textId="3FC13556" w:rsidR="009D320C" w:rsidRPr="00CD6EB5" w:rsidRDefault="009D320C" w:rsidP="009D320C">
      <w:pPr>
        <w:pStyle w:val="SingleTxtG"/>
        <w:spacing w:after="0"/>
        <w:rPr>
          <w:lang w:val="en-GB"/>
        </w:rPr>
      </w:pPr>
      <w:r w:rsidRPr="00CD6EB5">
        <w:rPr>
          <w:lang w:val="en-GB"/>
        </w:rPr>
        <w:t xml:space="preserve">Classe 5.2: </w:t>
      </w:r>
      <w:r w:rsidRPr="00CD6EB5">
        <w:rPr>
          <w:lang w:val="en-GB"/>
        </w:rPr>
        <w:tab/>
        <w:t>No ONU 3545</w:t>
      </w:r>
    </w:p>
    <w:p w14:paraId="0DB2D190" w14:textId="581A3B65" w:rsidR="009D320C" w:rsidRPr="00CD6EB5" w:rsidRDefault="009D320C" w:rsidP="009D320C">
      <w:pPr>
        <w:pStyle w:val="SingleTxtG"/>
        <w:spacing w:after="0"/>
        <w:rPr>
          <w:lang w:val="en-GB"/>
        </w:rPr>
      </w:pPr>
      <w:r w:rsidRPr="00CD6EB5">
        <w:rPr>
          <w:lang w:val="en-GB"/>
        </w:rPr>
        <w:t xml:space="preserve">Classe 6.1: </w:t>
      </w:r>
      <w:r w:rsidRPr="00CD6EB5">
        <w:rPr>
          <w:lang w:val="en-GB"/>
        </w:rPr>
        <w:tab/>
        <w:t>No ONU 3546</w:t>
      </w:r>
    </w:p>
    <w:p w14:paraId="056F37DB" w14:textId="022CA383" w:rsidR="009D320C" w:rsidRPr="00CD6EB5" w:rsidRDefault="009D320C" w:rsidP="009D320C">
      <w:pPr>
        <w:pStyle w:val="SingleTxtG"/>
        <w:spacing w:after="0"/>
        <w:rPr>
          <w:lang w:val="fr-FR"/>
        </w:rPr>
      </w:pPr>
      <w:r w:rsidRPr="00CD6EB5">
        <w:rPr>
          <w:lang w:val="fr-FR"/>
        </w:rPr>
        <w:t xml:space="preserve">Classe 7: </w:t>
      </w:r>
      <w:r w:rsidRPr="00CD6EB5">
        <w:rPr>
          <w:lang w:val="fr-FR"/>
        </w:rPr>
        <w:tab/>
        <w:t>Nos ONU 2908 à 2911</w:t>
      </w:r>
    </w:p>
    <w:p w14:paraId="0589973C" w14:textId="4F192BFC" w:rsidR="009D320C" w:rsidRPr="00CD6EB5" w:rsidRDefault="009D320C" w:rsidP="009D320C">
      <w:pPr>
        <w:pStyle w:val="SingleTxtG"/>
        <w:spacing w:after="0"/>
        <w:rPr>
          <w:lang w:val="fr-FR"/>
        </w:rPr>
      </w:pPr>
      <w:r w:rsidRPr="00CD6EB5">
        <w:rPr>
          <w:lang w:val="fr-FR"/>
        </w:rPr>
        <w:t xml:space="preserve">Classe 8: </w:t>
      </w:r>
      <w:r w:rsidRPr="00CD6EB5">
        <w:rPr>
          <w:lang w:val="fr-FR"/>
        </w:rPr>
        <w:tab/>
        <w:t>No ONU 3547</w:t>
      </w:r>
    </w:p>
    <w:p w14:paraId="16BE72DA" w14:textId="7BB29665" w:rsidR="009D320C" w:rsidRPr="00CD6EB5" w:rsidRDefault="009D320C" w:rsidP="009D320C">
      <w:pPr>
        <w:pStyle w:val="SingleTxtG"/>
        <w:spacing w:after="0"/>
        <w:rPr>
          <w:lang w:val="fr-FR"/>
        </w:rPr>
      </w:pPr>
      <w:r w:rsidRPr="00CD6EB5">
        <w:rPr>
          <w:lang w:val="fr-FR"/>
        </w:rPr>
        <w:t xml:space="preserve">Classe 9: </w:t>
      </w:r>
      <w:r w:rsidRPr="00CD6EB5">
        <w:rPr>
          <w:lang w:val="fr-FR"/>
        </w:rPr>
        <w:tab/>
        <w:t>Nos ONU 3268, 3499, 3508, 3509 et 3548</w:t>
      </w:r>
    </w:p>
    <w:p w14:paraId="3FB06553" w14:textId="04BBB717" w:rsidR="009D320C" w:rsidRPr="00CD6EB5" w:rsidRDefault="009D320C" w:rsidP="009D320C">
      <w:pPr>
        <w:pStyle w:val="SingleTxtG"/>
        <w:rPr>
          <w:lang w:val="fr-FR"/>
        </w:rPr>
      </w:pPr>
      <w:r w:rsidRPr="00CD6EB5">
        <w:rPr>
          <w:lang w:val="fr-FR"/>
        </w:rPr>
        <w:t>ainsi que les emballages vides non nettoyés ayant contenu des matières dangereuses, sauf ceux figurant sous la catégorie de transport 0 ».</w:t>
      </w:r>
    </w:p>
    <w:p w14:paraId="26537F39" w14:textId="68D94A32" w:rsidR="00BE507D" w:rsidRPr="00362B4E" w:rsidRDefault="00BE507D" w:rsidP="00BE507D">
      <w:pPr>
        <w:pStyle w:val="SingleTxtG"/>
      </w:pPr>
      <w:r w:rsidRPr="00362B4E">
        <w:t>1.1.3.6</w:t>
      </w:r>
      <w:r w:rsidR="000026A2" w:rsidRPr="00362B4E">
        <w:t>.3</w:t>
      </w:r>
      <w:r w:rsidRPr="00362B4E">
        <w:tab/>
        <w:t>Dans le texte après le tableau, au premier tiret, remplacer « masse brute en kilogrammes » par « masse totale en kilogrammes des objets sans leur</w:t>
      </w:r>
      <w:r w:rsidR="00577ED9" w:rsidRPr="00362B4E">
        <w:t>s</w:t>
      </w:r>
      <w:r w:rsidRPr="00362B4E">
        <w:t xml:space="preserve"> emballage</w:t>
      </w:r>
      <w:r w:rsidR="00577ED9" w:rsidRPr="00362B4E">
        <w:t>s</w:t>
      </w:r>
      <w:r w:rsidRPr="00362B4E">
        <w:t> ».</w:t>
      </w:r>
    </w:p>
    <w:p w14:paraId="66BA0DA3" w14:textId="7E351D9B" w:rsidR="00970717" w:rsidRPr="006774AA" w:rsidRDefault="00970717" w:rsidP="00970717">
      <w:pPr>
        <w:pStyle w:val="SingleTxtG"/>
        <w:rPr>
          <w:lang w:val="fr-FR"/>
        </w:rPr>
      </w:pPr>
      <w:r w:rsidRPr="006774AA">
        <w:rPr>
          <w:lang w:val="fr-FR"/>
        </w:rPr>
        <w:t>1.1.3.6.4</w:t>
      </w:r>
      <w:r w:rsidRPr="006774AA">
        <w:rPr>
          <w:lang w:val="fr-FR"/>
        </w:rPr>
        <w:tab/>
        <w:t xml:space="preserve">À la fin, après les tirets, après « ne doit pas dépasser », ajouter « une valeur calculée de ». </w:t>
      </w:r>
    </w:p>
    <w:p w14:paraId="306B93DF" w14:textId="0F34EA95" w:rsidR="00A95411" w:rsidRPr="00CD6EB5" w:rsidRDefault="00A95411" w:rsidP="009D320C">
      <w:pPr>
        <w:pStyle w:val="SingleTxtG"/>
        <w:rPr>
          <w:i/>
          <w:lang w:val="fr-FR"/>
        </w:rPr>
      </w:pPr>
      <w:r w:rsidRPr="00CD6EB5">
        <w:rPr>
          <w:lang w:val="fr-FR"/>
        </w:rPr>
        <w:t>1.1.4.2.1</w:t>
      </w:r>
      <w:r w:rsidRPr="00CD6EB5">
        <w:rPr>
          <w:lang w:val="fr-FR"/>
        </w:rPr>
        <w:tab/>
        <w:t>Dans la première phrase et à l’alinéa c), après « les conteneurs, » ajouter « les conteneurs pour vrac, ».</w:t>
      </w:r>
    </w:p>
    <w:p w14:paraId="032B0A75" w14:textId="61BF07EA" w:rsidR="00BE507D" w:rsidRPr="00362B4E" w:rsidRDefault="00BE507D" w:rsidP="00362B4E">
      <w:pPr>
        <w:pStyle w:val="SingleTxtG"/>
        <w:tabs>
          <w:tab w:val="left" w:pos="2268"/>
        </w:tabs>
        <w:rPr>
          <w:lang w:val="fr-FR"/>
        </w:rPr>
      </w:pPr>
      <w:r w:rsidRPr="00362B4E">
        <w:rPr>
          <w:lang w:val="fr-FR"/>
        </w:rPr>
        <w:t>1.1.4.3</w:t>
      </w:r>
      <w:r w:rsidRPr="00362B4E">
        <w:rPr>
          <w:lang w:val="fr-FR"/>
        </w:rPr>
        <w:tab/>
        <w:t>Dans la note de bas de page</w:t>
      </w:r>
      <w:r w:rsidR="00F16A49">
        <w:rPr>
          <w:lang w:val="fr-FR"/>
        </w:rPr>
        <w:t xml:space="preserve"> 1</w:t>
      </w:r>
      <w:r w:rsidRPr="00362B4E">
        <w:rPr>
          <w:lang w:val="fr-FR"/>
        </w:rPr>
        <w:t>, remplacer « </w:t>
      </w:r>
      <w:r w:rsidRPr="00362B4E">
        <w:t>DSC/Circ.12 (et ses rectificatifs) » par « CCC.1/Circ.3</w:t>
      </w:r>
      <w:r w:rsidR="006B06C2">
        <w:t> </w:t>
      </w:r>
      <w:r w:rsidRPr="00362B4E">
        <w:t>»</w:t>
      </w:r>
      <w:r w:rsidR="004655F6">
        <w:t>.</w:t>
      </w:r>
    </w:p>
    <w:p w14:paraId="77FF796F" w14:textId="493AB704" w:rsidR="006646BC" w:rsidRPr="00CD6EB5" w:rsidRDefault="00196C06" w:rsidP="006646BC">
      <w:pPr>
        <w:pStyle w:val="H1G"/>
        <w:rPr>
          <w:lang w:val="fr-FR"/>
        </w:rPr>
      </w:pPr>
      <w:r w:rsidRPr="00CD6EB5">
        <w:rPr>
          <w:lang w:val="fr-FR"/>
        </w:rPr>
        <w:tab/>
      </w:r>
      <w:r w:rsidRPr="00CD6EB5">
        <w:rPr>
          <w:lang w:val="fr-FR"/>
        </w:rPr>
        <w:tab/>
      </w:r>
      <w:r w:rsidR="006646BC" w:rsidRPr="00CD6EB5">
        <w:rPr>
          <w:lang w:val="fr-FR"/>
        </w:rPr>
        <w:t>Chapitre 1.2</w:t>
      </w:r>
    </w:p>
    <w:p w14:paraId="1EE290A3" w14:textId="06A2198D" w:rsidR="006646BC" w:rsidRPr="00CD6EB5" w:rsidRDefault="006646BC" w:rsidP="00AB70CA">
      <w:pPr>
        <w:pStyle w:val="SingleTxtG"/>
        <w:tabs>
          <w:tab w:val="left" w:pos="1985"/>
        </w:tabs>
        <w:rPr>
          <w:lang w:val="fr-FR"/>
        </w:rPr>
      </w:pPr>
      <w:r w:rsidRPr="00CD6EB5">
        <w:rPr>
          <w:lang w:val="fr-FR"/>
        </w:rPr>
        <w:t>1.2.1</w:t>
      </w:r>
      <w:r w:rsidRPr="00CD6EB5">
        <w:rPr>
          <w:lang w:val="fr-FR"/>
        </w:rPr>
        <w:tab/>
        <w:t>Dans la définition de «</w:t>
      </w:r>
      <w:r w:rsidR="00867522" w:rsidRPr="00CD6EB5">
        <w:rPr>
          <w:lang w:val="fr-FR"/>
        </w:rPr>
        <w:t> </w:t>
      </w:r>
      <w:r w:rsidRPr="00CD6EB5">
        <w:rPr>
          <w:i/>
          <w:iCs/>
          <w:lang w:val="fr-FR"/>
        </w:rPr>
        <w:t>Matériel animal</w:t>
      </w:r>
      <w:r w:rsidR="00867522" w:rsidRPr="00CD6EB5">
        <w:rPr>
          <w:i/>
          <w:iCs/>
          <w:lang w:val="fr-FR"/>
        </w:rPr>
        <w:t> </w:t>
      </w:r>
      <w:r w:rsidRPr="00CD6EB5">
        <w:rPr>
          <w:lang w:val="fr-FR"/>
        </w:rPr>
        <w:t>», remplacer «</w:t>
      </w:r>
      <w:r w:rsidR="00867522" w:rsidRPr="00CD6EB5">
        <w:rPr>
          <w:lang w:val="fr-FR"/>
        </w:rPr>
        <w:t> </w:t>
      </w:r>
      <w:r w:rsidRPr="00CD6EB5">
        <w:rPr>
          <w:lang w:val="fr-FR"/>
        </w:rPr>
        <w:t>ou des aliments pour animaux</w:t>
      </w:r>
      <w:r w:rsidR="00867522" w:rsidRPr="00CD6EB5">
        <w:rPr>
          <w:lang w:val="fr-FR"/>
        </w:rPr>
        <w:t> </w:t>
      </w:r>
      <w:r w:rsidRPr="00CD6EB5">
        <w:rPr>
          <w:lang w:val="fr-FR"/>
        </w:rPr>
        <w:t>» par «</w:t>
      </w:r>
      <w:r w:rsidR="00867522" w:rsidRPr="00CD6EB5">
        <w:rPr>
          <w:lang w:val="fr-FR"/>
        </w:rPr>
        <w:t> </w:t>
      </w:r>
      <w:r w:rsidRPr="00CD6EB5">
        <w:rPr>
          <w:lang w:val="fr-FR"/>
        </w:rPr>
        <w:t>ou des denrées alimentaires ou des aliments</w:t>
      </w:r>
      <w:r w:rsidR="00867522" w:rsidRPr="00CD6EB5">
        <w:rPr>
          <w:lang w:val="fr-FR"/>
        </w:rPr>
        <w:t> </w:t>
      </w:r>
      <w:r w:rsidRPr="00CD6EB5">
        <w:rPr>
          <w:lang w:val="fr-FR"/>
        </w:rPr>
        <w:t>».</w:t>
      </w:r>
    </w:p>
    <w:p w14:paraId="37427342" w14:textId="1121ED47" w:rsidR="00A95411" w:rsidRPr="00CD6EB5" w:rsidRDefault="00A95411" w:rsidP="00AB70CA">
      <w:pPr>
        <w:pStyle w:val="SingleTxtG"/>
        <w:tabs>
          <w:tab w:val="left" w:pos="1985"/>
        </w:tabs>
        <w:rPr>
          <w:lang w:val="fr-FR"/>
        </w:rPr>
      </w:pPr>
      <w:r w:rsidRPr="00CD6EB5">
        <w:rPr>
          <w:lang w:val="fr-FR"/>
        </w:rPr>
        <w:t>1.2.1</w:t>
      </w:r>
      <w:r w:rsidRPr="00CD6EB5">
        <w:rPr>
          <w:lang w:val="fr-FR"/>
        </w:rPr>
        <w:tab/>
        <w:t>Dans la définition de « </w:t>
      </w:r>
      <w:r w:rsidRPr="00CD6EB5">
        <w:rPr>
          <w:i/>
          <w:lang w:val="fr-FR"/>
        </w:rPr>
        <w:t>Température de régulation</w:t>
      </w:r>
      <w:r w:rsidRPr="00CD6EB5">
        <w:rPr>
          <w:lang w:val="fr-FR"/>
        </w:rPr>
        <w:t xml:space="preserve"> », remplacer « ou la matière auto-réactive » par « la matière auto-réactive ou la </w:t>
      </w:r>
      <w:r w:rsidRPr="00CD6EB5">
        <w:rPr>
          <w:bCs/>
          <w:lang w:val="fr-FR"/>
        </w:rPr>
        <w:t>matière qui polymérise ».</w:t>
      </w:r>
    </w:p>
    <w:p w14:paraId="2F8B6540" w14:textId="0AB1F753" w:rsidR="00C8061B" w:rsidRPr="00CD6EB5" w:rsidRDefault="00C8061B" w:rsidP="00AB70CA">
      <w:pPr>
        <w:pStyle w:val="SingleTxtG"/>
        <w:tabs>
          <w:tab w:val="left" w:pos="1985"/>
        </w:tabs>
        <w:rPr>
          <w:lang w:val="fr-FR"/>
        </w:rPr>
      </w:pPr>
      <w:r w:rsidRPr="00CD6EB5">
        <w:rPr>
          <w:lang w:val="fr-FR"/>
        </w:rPr>
        <w:t>1.2.1</w:t>
      </w:r>
      <w:r w:rsidRPr="00CD6EB5">
        <w:rPr>
          <w:lang w:val="fr-FR"/>
        </w:rPr>
        <w:tab/>
        <w:t>Dans la définition de «</w:t>
      </w:r>
      <w:r w:rsidR="00867522" w:rsidRPr="00CD6EB5">
        <w:rPr>
          <w:lang w:val="fr-FR"/>
        </w:rPr>
        <w:t> </w:t>
      </w:r>
      <w:r w:rsidRPr="00CD6EB5">
        <w:rPr>
          <w:i/>
          <w:lang w:val="fr-FR"/>
        </w:rPr>
        <w:t>SGH</w:t>
      </w:r>
      <w:r w:rsidR="00867522" w:rsidRPr="00CD6EB5">
        <w:rPr>
          <w:i/>
          <w:lang w:val="fr-FR"/>
        </w:rPr>
        <w:t> </w:t>
      </w:r>
      <w:r w:rsidRPr="00CD6EB5">
        <w:rPr>
          <w:lang w:val="fr-FR"/>
        </w:rPr>
        <w:t>»</w:t>
      </w:r>
      <w:r w:rsidR="001C6399" w:rsidRPr="00CD6EB5">
        <w:rPr>
          <w:lang w:val="fr-FR"/>
        </w:rPr>
        <w:t>, remplacer</w:t>
      </w:r>
      <w:r w:rsidR="00867522" w:rsidRPr="00CD6EB5">
        <w:rPr>
          <w:lang w:val="fr-FR"/>
        </w:rPr>
        <w:t xml:space="preserve"> « sixième »</w:t>
      </w:r>
      <w:r w:rsidR="001C6399" w:rsidRPr="00CD6EB5">
        <w:rPr>
          <w:lang w:val="fr-FR"/>
        </w:rPr>
        <w:t xml:space="preserve"> par</w:t>
      </w:r>
      <w:r w:rsidR="00867522" w:rsidRPr="00CD6EB5">
        <w:rPr>
          <w:lang w:val="fr-FR"/>
        </w:rPr>
        <w:t xml:space="preserve"> « septième »</w:t>
      </w:r>
      <w:r w:rsidR="001C6399" w:rsidRPr="00CD6EB5">
        <w:rPr>
          <w:lang w:val="fr-FR"/>
        </w:rPr>
        <w:t xml:space="preserve"> et remplacer «</w:t>
      </w:r>
      <w:r w:rsidR="00867522" w:rsidRPr="00CD6EB5">
        <w:rPr>
          <w:lang w:val="fr-FR"/>
        </w:rPr>
        <w:t> </w:t>
      </w:r>
      <w:r w:rsidR="001C6399" w:rsidRPr="00CD6EB5">
        <w:rPr>
          <w:lang w:val="fr-FR"/>
        </w:rPr>
        <w:t>ST/SG/</w:t>
      </w:r>
      <w:r w:rsidR="00CD6EB5">
        <w:rPr>
          <w:lang w:val="fr-FR"/>
        </w:rPr>
        <w:t>A</w:t>
      </w:r>
      <w:r w:rsidR="001C6399" w:rsidRPr="00CD6EB5">
        <w:rPr>
          <w:lang w:val="fr-FR"/>
        </w:rPr>
        <w:t>C.10/30/Rev.</w:t>
      </w:r>
      <w:r w:rsidR="00867522" w:rsidRPr="00CD6EB5">
        <w:rPr>
          <w:lang w:val="fr-FR"/>
        </w:rPr>
        <w:t>6 »</w:t>
      </w:r>
      <w:r w:rsidR="001C6399" w:rsidRPr="00CD6EB5">
        <w:rPr>
          <w:lang w:val="fr-FR"/>
        </w:rPr>
        <w:t xml:space="preserve"> par «</w:t>
      </w:r>
      <w:r w:rsidR="00867522" w:rsidRPr="00CD6EB5">
        <w:rPr>
          <w:lang w:val="fr-FR"/>
        </w:rPr>
        <w:t> </w:t>
      </w:r>
      <w:r w:rsidR="001C6399" w:rsidRPr="00CD6EB5">
        <w:rPr>
          <w:lang w:val="fr-FR"/>
        </w:rPr>
        <w:t>ST/SG/</w:t>
      </w:r>
      <w:r w:rsidR="00CD6EB5">
        <w:rPr>
          <w:lang w:val="fr-FR"/>
        </w:rPr>
        <w:t>A</w:t>
      </w:r>
      <w:r w:rsidR="001C6399" w:rsidRPr="00CD6EB5">
        <w:rPr>
          <w:lang w:val="fr-FR"/>
        </w:rPr>
        <w:t>C.10/30/Rev.7</w:t>
      </w:r>
      <w:r w:rsidR="00867522" w:rsidRPr="00CD6EB5">
        <w:rPr>
          <w:lang w:val="fr-FR"/>
        </w:rPr>
        <w:t> </w:t>
      </w:r>
      <w:r w:rsidR="001C6399" w:rsidRPr="00CD6EB5">
        <w:rPr>
          <w:lang w:val="fr-FR"/>
        </w:rPr>
        <w:t>».</w:t>
      </w:r>
    </w:p>
    <w:p w14:paraId="345CD067" w14:textId="311204B8" w:rsidR="00186FAC" w:rsidRPr="00CD6EB5" w:rsidRDefault="00186FAC" w:rsidP="00AB70CA">
      <w:pPr>
        <w:pStyle w:val="SingleTxtG"/>
        <w:tabs>
          <w:tab w:val="left" w:pos="1985"/>
        </w:tabs>
        <w:rPr>
          <w:lang w:val="fr-FR"/>
        </w:rPr>
      </w:pPr>
      <w:r w:rsidRPr="00CD6EB5">
        <w:rPr>
          <w:lang w:val="fr-FR"/>
        </w:rPr>
        <w:t>1.2.1</w:t>
      </w:r>
      <w:r w:rsidRPr="00CD6EB5">
        <w:rPr>
          <w:lang w:val="fr-FR"/>
        </w:rPr>
        <w:tab/>
        <w:t>Dans la définition de «</w:t>
      </w:r>
      <w:r w:rsidR="00867522" w:rsidRPr="00CD6EB5">
        <w:rPr>
          <w:lang w:val="fr-FR"/>
        </w:rPr>
        <w:t> </w:t>
      </w:r>
      <w:r w:rsidRPr="00CD6EB5">
        <w:rPr>
          <w:i/>
          <w:lang w:val="fr-FR"/>
        </w:rPr>
        <w:t>Manuel d’épreuves et de critères</w:t>
      </w:r>
      <w:r w:rsidR="00867522" w:rsidRPr="00CD6EB5">
        <w:rPr>
          <w:lang w:val="fr-FR"/>
        </w:rPr>
        <w:t> </w:t>
      </w:r>
      <w:r w:rsidRPr="00CD6EB5">
        <w:rPr>
          <w:lang w:val="fr-FR"/>
        </w:rPr>
        <w:t>», après «</w:t>
      </w:r>
      <w:r w:rsidR="00867522" w:rsidRPr="00CD6EB5">
        <w:rPr>
          <w:lang w:val="fr-FR"/>
        </w:rPr>
        <w:t> </w:t>
      </w:r>
      <w:r w:rsidRPr="00CD6EB5">
        <w:rPr>
          <w:lang w:val="fr-FR"/>
        </w:rPr>
        <w:t>ST/SG/AC.10/11/Rev.6</w:t>
      </w:r>
      <w:r w:rsidR="00867522" w:rsidRPr="00CD6EB5">
        <w:rPr>
          <w:lang w:val="fr-FR"/>
        </w:rPr>
        <w:t> </w:t>
      </w:r>
      <w:r w:rsidRPr="00CD6EB5">
        <w:rPr>
          <w:lang w:val="fr-FR"/>
        </w:rPr>
        <w:t>», ajouter «</w:t>
      </w:r>
      <w:r w:rsidR="00867522" w:rsidRPr="00CD6EB5">
        <w:rPr>
          <w:lang w:val="fr-FR"/>
        </w:rPr>
        <w:t> </w:t>
      </w:r>
      <w:r w:rsidRPr="00CD6EB5">
        <w:rPr>
          <w:lang w:val="fr-FR"/>
        </w:rPr>
        <w:t>et Amend.1</w:t>
      </w:r>
      <w:r w:rsidR="00867522" w:rsidRPr="00CD6EB5">
        <w:rPr>
          <w:lang w:val="fr-FR"/>
        </w:rPr>
        <w:t> </w:t>
      </w:r>
      <w:r w:rsidRPr="00CD6EB5">
        <w:rPr>
          <w:lang w:val="fr-FR"/>
        </w:rPr>
        <w:t>».</w:t>
      </w:r>
    </w:p>
    <w:p w14:paraId="66536262" w14:textId="240CBCA2" w:rsidR="00BE507D" w:rsidRPr="00362B4E" w:rsidRDefault="00BE507D" w:rsidP="00AB70CA">
      <w:pPr>
        <w:pStyle w:val="SingleTxtG"/>
        <w:tabs>
          <w:tab w:val="left" w:pos="1985"/>
        </w:tabs>
        <w:rPr>
          <w:lang w:val="fr-FR"/>
        </w:rPr>
      </w:pPr>
      <w:r w:rsidRPr="00362B4E">
        <w:rPr>
          <w:lang w:val="fr-FR"/>
        </w:rPr>
        <w:t>1.2.1</w:t>
      </w:r>
      <w:r w:rsidRPr="00362B4E">
        <w:rPr>
          <w:lang w:val="fr-FR"/>
        </w:rPr>
        <w:tab/>
        <w:t xml:space="preserve">Dans la définition de </w:t>
      </w:r>
      <w:r w:rsidR="00B76415">
        <w:rPr>
          <w:lang w:val="fr-FR"/>
        </w:rPr>
        <w:t>« </w:t>
      </w:r>
      <w:r w:rsidRPr="00B76415">
        <w:rPr>
          <w:i/>
          <w:lang w:val="fr-FR"/>
        </w:rPr>
        <w:t>Règlement type de l'ONU</w:t>
      </w:r>
      <w:r w:rsidR="00B76415">
        <w:rPr>
          <w:lang w:val="fr-FR"/>
        </w:rPr>
        <w:t> »</w:t>
      </w:r>
      <w:r w:rsidRPr="00362B4E">
        <w:rPr>
          <w:lang w:val="fr-FR"/>
        </w:rPr>
        <w:t>, remplacer « dix-neuvième » par « vingtième » et remplacer « (ST/SG/AC.10/1/Rev.19) » par « (ST/SG/AC.10/1/Rev.20) ».</w:t>
      </w:r>
    </w:p>
    <w:p w14:paraId="348B0035" w14:textId="7AEFABFA" w:rsidR="00970717" w:rsidRPr="006774AA" w:rsidRDefault="00970717" w:rsidP="00AB70CA">
      <w:pPr>
        <w:pStyle w:val="SingleTxtG"/>
        <w:tabs>
          <w:tab w:val="left" w:pos="1985"/>
          <w:tab w:val="left" w:pos="2268"/>
        </w:tabs>
        <w:rPr>
          <w:b/>
          <w:lang w:val="fr-FR"/>
        </w:rPr>
      </w:pPr>
      <w:r w:rsidRPr="006774AA">
        <w:rPr>
          <w:lang w:val="fr-FR"/>
        </w:rPr>
        <w:lastRenderedPageBreak/>
        <w:t>1.2.1</w:t>
      </w:r>
      <w:r w:rsidRPr="006774AA">
        <w:rPr>
          <w:lang w:val="fr-FR"/>
        </w:rPr>
        <w:tab/>
        <w:t>Modifier la définition de «</w:t>
      </w:r>
      <w:r w:rsidR="00872CCB" w:rsidRPr="006774AA">
        <w:rPr>
          <w:lang w:val="fr-FR"/>
        </w:rPr>
        <w:t> </w:t>
      </w:r>
      <w:r w:rsidR="006B06C2">
        <w:rPr>
          <w:lang w:val="fr-FR"/>
        </w:rPr>
        <w:t>C</w:t>
      </w:r>
      <w:r w:rsidRPr="006774AA">
        <w:rPr>
          <w:lang w:val="fr-FR"/>
        </w:rPr>
        <w:t>iterne fermée hermétiquement</w:t>
      </w:r>
      <w:r w:rsidR="00872CCB" w:rsidRPr="006774AA">
        <w:rPr>
          <w:lang w:val="fr-FR"/>
        </w:rPr>
        <w:t> </w:t>
      </w:r>
      <w:r w:rsidRPr="006774AA">
        <w:rPr>
          <w:lang w:val="fr-FR"/>
        </w:rPr>
        <w:t>» pour lire comme suit</w:t>
      </w:r>
      <w:r w:rsidR="00872CCB" w:rsidRPr="006774AA">
        <w:rPr>
          <w:lang w:val="fr-FR"/>
        </w:rPr>
        <w:t> </w:t>
      </w:r>
      <w:r w:rsidRPr="006774AA">
        <w:rPr>
          <w:lang w:val="fr-FR"/>
        </w:rPr>
        <w:t>:</w:t>
      </w:r>
    </w:p>
    <w:p w14:paraId="5393CBFE" w14:textId="2BC5CB12" w:rsidR="00970717" w:rsidRPr="006774AA" w:rsidRDefault="00970717" w:rsidP="00970717">
      <w:pPr>
        <w:pStyle w:val="SingleTxtG"/>
        <w:rPr>
          <w:lang w:val="fr-FR"/>
        </w:rPr>
      </w:pPr>
      <w:r w:rsidRPr="006774AA">
        <w:rPr>
          <w:lang w:val="fr-FR"/>
        </w:rPr>
        <w:t>« </w:t>
      </w:r>
      <w:r w:rsidRPr="006774AA">
        <w:rPr>
          <w:i/>
          <w:iCs/>
          <w:lang w:val="fr-FR"/>
        </w:rPr>
        <w:t>"</w:t>
      </w:r>
      <w:r w:rsidR="006B06C2">
        <w:rPr>
          <w:bCs/>
          <w:i/>
          <w:iCs/>
          <w:lang w:val="fr-FR"/>
        </w:rPr>
        <w:t>C</w:t>
      </w:r>
      <w:r w:rsidRPr="006774AA">
        <w:rPr>
          <w:bCs/>
          <w:i/>
          <w:iCs/>
          <w:lang w:val="fr-FR"/>
        </w:rPr>
        <w:t>iterne fermée hermétiquement</w:t>
      </w:r>
      <w:r w:rsidRPr="006774AA">
        <w:rPr>
          <w:i/>
          <w:iCs/>
          <w:lang w:val="fr-FR"/>
        </w:rPr>
        <w:t>"</w:t>
      </w:r>
      <w:r w:rsidRPr="006774AA">
        <w:rPr>
          <w:lang w:val="fr-FR"/>
        </w:rPr>
        <w:t>, une citerne qui:</w:t>
      </w:r>
    </w:p>
    <w:p w14:paraId="6805A7D6" w14:textId="77777777" w:rsidR="00970717" w:rsidRPr="006774AA" w:rsidRDefault="00970717" w:rsidP="00970717">
      <w:pPr>
        <w:pStyle w:val="SingleTxtG"/>
        <w:rPr>
          <w:lang w:val="fr-FR"/>
        </w:rPr>
      </w:pPr>
      <w:r w:rsidRPr="006774AA">
        <w:rPr>
          <w:lang w:val="fr-FR"/>
        </w:rPr>
        <w:t>‒</w:t>
      </w:r>
      <w:r w:rsidRPr="006774AA">
        <w:rPr>
          <w:lang w:val="fr-FR"/>
        </w:rPr>
        <w:tab/>
        <w:t xml:space="preserve">n’est pas équipée de </w:t>
      </w:r>
      <w:r w:rsidRPr="006774AA">
        <w:rPr>
          <w:iCs/>
          <w:lang w:val="fr-FR"/>
        </w:rPr>
        <w:t>soupapes de sécurité</w:t>
      </w:r>
      <w:r w:rsidRPr="006774AA">
        <w:rPr>
          <w:lang w:val="fr-FR"/>
        </w:rPr>
        <w:t xml:space="preserve">, de disques de rupture, d’autres dispositifs semblables de sécurité ou de </w:t>
      </w:r>
      <w:r w:rsidRPr="006774AA">
        <w:rPr>
          <w:iCs/>
          <w:lang w:val="fr-FR"/>
        </w:rPr>
        <w:t>soupapes de dépression</w:t>
      </w:r>
      <w:r w:rsidRPr="006774AA">
        <w:rPr>
          <w:lang w:val="fr-FR"/>
        </w:rPr>
        <w:t>; ou</w:t>
      </w:r>
    </w:p>
    <w:p w14:paraId="3C04B168" w14:textId="77777777" w:rsidR="00970717" w:rsidRPr="006774AA" w:rsidRDefault="00970717" w:rsidP="00970717">
      <w:pPr>
        <w:pStyle w:val="SingleTxtG"/>
        <w:rPr>
          <w:lang w:val="fr-FR"/>
        </w:rPr>
      </w:pPr>
      <w:r w:rsidRPr="006774AA">
        <w:rPr>
          <w:lang w:val="fr-FR"/>
        </w:rPr>
        <w:t>‒</w:t>
      </w:r>
      <w:r w:rsidRPr="006774AA">
        <w:rPr>
          <w:lang w:val="fr-FR"/>
        </w:rPr>
        <w:tab/>
        <w:t xml:space="preserve">est équipée de </w:t>
      </w:r>
      <w:r w:rsidRPr="006774AA">
        <w:rPr>
          <w:iCs/>
          <w:lang w:val="fr-FR"/>
        </w:rPr>
        <w:t>soupapes de sécurité</w:t>
      </w:r>
      <w:r w:rsidRPr="006774AA">
        <w:rPr>
          <w:lang w:val="fr-FR"/>
        </w:rPr>
        <w:t xml:space="preserve"> </w:t>
      </w:r>
      <w:r w:rsidRPr="006774AA">
        <w:rPr>
          <w:iCs/>
          <w:lang w:val="fr-FR"/>
        </w:rPr>
        <w:t>précédées</w:t>
      </w:r>
      <w:r w:rsidRPr="006774AA">
        <w:rPr>
          <w:lang w:val="fr-FR"/>
        </w:rPr>
        <w:t xml:space="preserve"> d’un disque de rupture conformément au 6.8.2.2.10, mais n’est pas équipée de </w:t>
      </w:r>
      <w:r w:rsidRPr="006774AA">
        <w:rPr>
          <w:iCs/>
          <w:lang w:val="fr-FR"/>
        </w:rPr>
        <w:t>soupapes de dépression</w:t>
      </w:r>
      <w:r w:rsidRPr="006774AA">
        <w:rPr>
          <w:lang w:val="fr-FR"/>
        </w:rPr>
        <w:t>.</w:t>
      </w:r>
    </w:p>
    <w:p w14:paraId="1B16B581" w14:textId="77777777" w:rsidR="00970717" w:rsidRPr="006774AA" w:rsidRDefault="00970717" w:rsidP="00970717">
      <w:pPr>
        <w:pStyle w:val="SingleTxtG"/>
        <w:rPr>
          <w:lang w:val="fr-FR"/>
        </w:rPr>
      </w:pPr>
      <w:r w:rsidRPr="006774AA">
        <w:rPr>
          <w:lang w:val="fr-FR"/>
        </w:rPr>
        <w:t xml:space="preserve">Une citerne destinée au transport de </w:t>
      </w:r>
      <w:r w:rsidRPr="006774AA">
        <w:rPr>
          <w:iCs/>
          <w:lang w:val="fr-FR"/>
        </w:rPr>
        <w:t>liquides</w:t>
      </w:r>
      <w:r w:rsidRPr="006774AA">
        <w:rPr>
          <w:lang w:val="fr-FR"/>
        </w:rPr>
        <w:t xml:space="preserve"> ayant une </w:t>
      </w:r>
      <w:r w:rsidRPr="006774AA">
        <w:rPr>
          <w:iCs/>
          <w:lang w:val="fr-FR"/>
        </w:rPr>
        <w:t>pression de calcul</w:t>
      </w:r>
      <w:r w:rsidRPr="006774AA">
        <w:rPr>
          <w:lang w:val="fr-FR"/>
        </w:rPr>
        <w:t xml:space="preserve"> d’au moins 4 bar ou destinée au transport de matières </w:t>
      </w:r>
      <w:r w:rsidRPr="006774AA">
        <w:rPr>
          <w:iCs/>
          <w:lang w:val="fr-FR"/>
        </w:rPr>
        <w:t>solides</w:t>
      </w:r>
      <w:r w:rsidRPr="006774AA">
        <w:rPr>
          <w:lang w:val="fr-FR"/>
        </w:rPr>
        <w:t xml:space="preserve"> (pulvérulentes ou granulaires) quelle que soit sa </w:t>
      </w:r>
      <w:r w:rsidRPr="006774AA">
        <w:rPr>
          <w:iCs/>
          <w:lang w:val="fr-FR"/>
        </w:rPr>
        <w:t>pression de calcul</w:t>
      </w:r>
      <w:r w:rsidRPr="006774AA">
        <w:rPr>
          <w:lang w:val="fr-FR"/>
        </w:rPr>
        <w:t>, est aussi considérée comme étant fermée hermétiquement si:</w:t>
      </w:r>
    </w:p>
    <w:p w14:paraId="513DDDB8" w14:textId="0B8F9BD3" w:rsidR="00970717" w:rsidRPr="006774AA" w:rsidRDefault="00970717" w:rsidP="00970717">
      <w:pPr>
        <w:pStyle w:val="SingleTxtG"/>
        <w:rPr>
          <w:lang w:val="fr-FR"/>
        </w:rPr>
      </w:pPr>
      <w:r w:rsidRPr="006774AA">
        <w:rPr>
          <w:lang w:val="fr-FR"/>
        </w:rPr>
        <w:t>‒</w:t>
      </w:r>
      <w:r w:rsidRPr="006774AA">
        <w:rPr>
          <w:lang w:val="fr-FR"/>
        </w:rPr>
        <w:tab/>
      </w:r>
      <w:r w:rsidR="006B06C2">
        <w:rPr>
          <w:lang w:val="fr-FR"/>
        </w:rPr>
        <w:t>e</w:t>
      </w:r>
      <w:r w:rsidRPr="006774AA">
        <w:rPr>
          <w:lang w:val="fr-FR"/>
        </w:rPr>
        <w:t xml:space="preserve">lle est équipée de </w:t>
      </w:r>
      <w:r w:rsidRPr="006774AA">
        <w:rPr>
          <w:iCs/>
          <w:lang w:val="fr-FR"/>
        </w:rPr>
        <w:t>soupapes de sécurité précédées</w:t>
      </w:r>
      <w:r w:rsidRPr="006774AA">
        <w:rPr>
          <w:lang w:val="fr-FR"/>
        </w:rPr>
        <w:t xml:space="preserve"> d’un disque de rupture conformément au 6.8.2.2.10, et de </w:t>
      </w:r>
      <w:r w:rsidRPr="006774AA">
        <w:rPr>
          <w:iCs/>
          <w:lang w:val="fr-FR"/>
        </w:rPr>
        <w:t>soupapes de dépression</w:t>
      </w:r>
      <w:r w:rsidRPr="006774AA">
        <w:rPr>
          <w:lang w:val="fr-FR"/>
        </w:rPr>
        <w:t xml:space="preserve"> conformément aux prescriptions du 6.8.2.2.3; ou</w:t>
      </w:r>
    </w:p>
    <w:p w14:paraId="4D6FBD1A" w14:textId="57CC833E" w:rsidR="00970717" w:rsidRPr="006774AA" w:rsidRDefault="00970717" w:rsidP="00970717">
      <w:pPr>
        <w:pStyle w:val="SingleTxtG"/>
        <w:rPr>
          <w:bCs/>
          <w:lang w:val="fr-FR"/>
        </w:rPr>
      </w:pPr>
      <w:r w:rsidRPr="006774AA">
        <w:rPr>
          <w:lang w:val="fr-FR"/>
        </w:rPr>
        <w:t>‒</w:t>
      </w:r>
      <w:r w:rsidRPr="006774AA">
        <w:rPr>
          <w:lang w:val="fr-FR"/>
        </w:rPr>
        <w:tab/>
      </w:r>
      <w:r w:rsidR="006B06C2">
        <w:rPr>
          <w:lang w:val="fr-FR"/>
        </w:rPr>
        <w:t>e</w:t>
      </w:r>
      <w:r w:rsidRPr="006774AA">
        <w:rPr>
          <w:lang w:val="fr-FR"/>
        </w:rPr>
        <w:t xml:space="preserve">lle n’est pas équipée de </w:t>
      </w:r>
      <w:r w:rsidRPr="006774AA">
        <w:rPr>
          <w:iCs/>
          <w:lang w:val="fr-FR"/>
        </w:rPr>
        <w:t>soupapes de sécurité</w:t>
      </w:r>
      <w:r w:rsidRPr="006774AA">
        <w:rPr>
          <w:lang w:val="fr-FR"/>
        </w:rPr>
        <w:t xml:space="preserve">, de disques de rupture ou d’autres dispositifs semblables de sécurité, mais est équipée de </w:t>
      </w:r>
      <w:r w:rsidRPr="006774AA">
        <w:rPr>
          <w:iCs/>
          <w:lang w:val="fr-FR"/>
        </w:rPr>
        <w:t>soupapes de dépression</w:t>
      </w:r>
      <w:r w:rsidRPr="006774AA">
        <w:rPr>
          <w:lang w:val="fr-FR"/>
        </w:rPr>
        <w:t xml:space="preserve"> conformément aux prescriptions du 6.8.2.2.3</w:t>
      </w:r>
      <w:r w:rsidRPr="006774AA">
        <w:rPr>
          <w:bCs/>
          <w:lang w:val="fr-FR"/>
        </w:rPr>
        <w:t>. ».</w:t>
      </w:r>
    </w:p>
    <w:p w14:paraId="5DE0D27C" w14:textId="77777777" w:rsidR="00970717" w:rsidRPr="006774AA" w:rsidRDefault="00970717" w:rsidP="00970717">
      <w:pPr>
        <w:pStyle w:val="SingleTxtG"/>
        <w:tabs>
          <w:tab w:val="left" w:pos="2268"/>
        </w:tabs>
        <w:rPr>
          <w:lang w:val="fr-FR"/>
        </w:rPr>
      </w:pPr>
      <w:r w:rsidRPr="006774AA">
        <w:rPr>
          <w:lang w:val="fr-FR"/>
        </w:rPr>
        <w:t>1.2.1</w:t>
      </w:r>
      <w:r w:rsidRPr="006774AA">
        <w:rPr>
          <w:lang w:val="fr-FR"/>
        </w:rPr>
        <w:tab/>
        <w:t>Insérer les nouvelles définitions suivantes dans l'ordre alphabétique:</w:t>
      </w:r>
    </w:p>
    <w:p w14:paraId="14F7CEEB" w14:textId="52DB30B9" w:rsidR="00970717" w:rsidRPr="006774AA" w:rsidRDefault="00970717" w:rsidP="00970717">
      <w:pPr>
        <w:pStyle w:val="SingleTxtG"/>
        <w:rPr>
          <w:lang w:val="fr-FR"/>
        </w:rPr>
      </w:pPr>
      <w:r w:rsidRPr="006774AA">
        <w:rPr>
          <w:lang w:val="fr-FR"/>
        </w:rPr>
        <w:t>« </w:t>
      </w:r>
      <w:r w:rsidR="00285CBD" w:rsidRPr="006774AA">
        <w:rPr>
          <w:i/>
          <w:iCs/>
          <w:lang w:val="fr-FR"/>
        </w:rPr>
        <w:t>"</w:t>
      </w:r>
      <w:r w:rsidRPr="006774AA">
        <w:rPr>
          <w:bCs/>
          <w:i/>
          <w:iCs/>
          <w:lang w:val="fr-FR"/>
        </w:rPr>
        <w:t>Diamètre</w:t>
      </w:r>
      <w:r w:rsidR="00285CBD" w:rsidRPr="006774AA">
        <w:rPr>
          <w:i/>
          <w:iCs/>
          <w:lang w:val="fr-FR"/>
        </w:rPr>
        <w:t>"</w:t>
      </w:r>
      <w:r w:rsidRPr="006774AA">
        <w:rPr>
          <w:lang w:val="fr-FR"/>
        </w:rPr>
        <w:t xml:space="preserve"> (pour les réservoirs de citernes)</w:t>
      </w:r>
      <w:r w:rsidRPr="006774AA">
        <w:rPr>
          <w:i/>
          <w:lang w:val="fr-FR"/>
        </w:rPr>
        <w:t xml:space="preserve">, </w:t>
      </w:r>
      <w:r w:rsidRPr="006774AA">
        <w:rPr>
          <w:lang w:val="fr-FR"/>
        </w:rPr>
        <w:t xml:space="preserve">le diamètre intérieur du </w:t>
      </w:r>
      <w:r w:rsidRPr="006774AA">
        <w:rPr>
          <w:iCs/>
          <w:lang w:val="fr-FR"/>
        </w:rPr>
        <w:t>réservoir</w:t>
      </w:r>
      <w:r w:rsidR="006B06C2">
        <w:rPr>
          <w:lang w:val="fr-FR"/>
        </w:rPr>
        <w:t>;</w:t>
      </w:r>
      <w:r w:rsidRPr="006774AA">
        <w:rPr>
          <w:lang w:val="fr-FR"/>
        </w:rPr>
        <w:t> ».</w:t>
      </w:r>
    </w:p>
    <w:p w14:paraId="350EE9F6" w14:textId="36E40565" w:rsidR="00970717" w:rsidRPr="006774AA" w:rsidRDefault="00970717" w:rsidP="00970717">
      <w:pPr>
        <w:pStyle w:val="SingleTxtG"/>
        <w:rPr>
          <w:rFonts w:eastAsia="MS Mincho"/>
          <w:lang w:val="fr-FR" w:eastAsia="en-GB"/>
        </w:rPr>
      </w:pPr>
      <w:r w:rsidRPr="006774AA">
        <w:rPr>
          <w:lang w:val="fr-FR"/>
        </w:rPr>
        <w:t>« </w:t>
      </w:r>
      <w:r w:rsidR="00285CBD" w:rsidRPr="006774AA">
        <w:rPr>
          <w:i/>
          <w:iCs/>
          <w:lang w:val="fr-FR"/>
        </w:rPr>
        <w:t>"</w:t>
      </w:r>
      <w:r w:rsidRPr="006774AA">
        <w:rPr>
          <w:i/>
          <w:lang w:val="fr-FR"/>
        </w:rPr>
        <w:t>Revêtement protecteur</w:t>
      </w:r>
      <w:r w:rsidR="00285CBD" w:rsidRPr="006774AA">
        <w:rPr>
          <w:i/>
          <w:iCs/>
          <w:lang w:val="fr-FR"/>
        </w:rPr>
        <w:t>"</w:t>
      </w:r>
      <w:r w:rsidRPr="006774AA">
        <w:rPr>
          <w:sz w:val="18"/>
          <w:szCs w:val="18"/>
          <w:lang w:val="fr-FR"/>
        </w:rPr>
        <w:t xml:space="preserve"> (</w:t>
      </w:r>
      <w:r w:rsidRPr="006774AA">
        <w:rPr>
          <w:rFonts w:eastAsia="MS Mincho"/>
          <w:lang w:val="fr-FR" w:eastAsia="en-GB"/>
        </w:rPr>
        <w:t>pour les citernes), revêtement protégeant le matériau métallique de la citerne des matières à transporter;</w:t>
      </w:r>
    </w:p>
    <w:p w14:paraId="18324BA7" w14:textId="66B4F03F" w:rsidR="00970717" w:rsidRPr="006774AA" w:rsidRDefault="00970717" w:rsidP="00970717">
      <w:pPr>
        <w:pStyle w:val="SingleTxtG"/>
        <w:rPr>
          <w:lang w:val="fr-FR"/>
        </w:rPr>
      </w:pPr>
      <w:r w:rsidRPr="006774AA">
        <w:rPr>
          <w:b/>
          <w:i/>
          <w:lang w:val="fr-FR"/>
        </w:rPr>
        <w:t xml:space="preserve">NOTA: </w:t>
      </w:r>
      <w:r w:rsidRPr="006774AA">
        <w:rPr>
          <w:i/>
          <w:lang w:val="fr-FR"/>
        </w:rPr>
        <w:t>Cette définition ne s’applique pas au revêtement servant uniquement à protéger la matière à transporter. </w:t>
      </w:r>
      <w:r w:rsidRPr="006774AA">
        <w:rPr>
          <w:lang w:val="fr-FR"/>
        </w:rPr>
        <w:t>».</w:t>
      </w:r>
    </w:p>
    <w:p w14:paraId="58448E25" w14:textId="19F1B299" w:rsidR="002008A2" w:rsidRPr="00782BE5" w:rsidRDefault="002008A2" w:rsidP="00970717">
      <w:pPr>
        <w:pStyle w:val="SingleTxtG"/>
        <w:rPr>
          <w:lang w:val="fr-FR"/>
        </w:rPr>
      </w:pPr>
      <w:r w:rsidRPr="00782BE5">
        <w:rPr>
          <w:lang w:val="fr-FR"/>
        </w:rPr>
        <w:t>« </w:t>
      </w:r>
      <w:r w:rsidR="006B06C2" w:rsidRPr="006774AA">
        <w:rPr>
          <w:i/>
          <w:iCs/>
          <w:lang w:val="fr-FR"/>
        </w:rPr>
        <w:t>"</w:t>
      </w:r>
      <w:r w:rsidRPr="00782BE5">
        <w:rPr>
          <w:i/>
          <w:lang w:val="fr-FR"/>
        </w:rPr>
        <w:t>Bouteille surmoulée</w:t>
      </w:r>
      <w:r w:rsidR="006B06C2" w:rsidRPr="006774AA">
        <w:rPr>
          <w:i/>
          <w:iCs/>
          <w:lang w:val="fr-FR"/>
        </w:rPr>
        <w:t>"</w:t>
      </w:r>
      <w:r w:rsidRPr="00782BE5">
        <w:rPr>
          <w:lang w:val="fr-FR"/>
        </w:rPr>
        <w:t>, une bouteille destinée au transport de GPL d’une capacité en eau ne dépassant pas 13 </w:t>
      </w:r>
      <w:r w:rsidRPr="00782BE5">
        <w:rPr>
          <w:i/>
          <w:lang w:val="fr-FR"/>
        </w:rPr>
        <w:t>l</w:t>
      </w:r>
      <w:r w:rsidRPr="00782BE5">
        <w:rPr>
          <w:lang w:val="fr-FR"/>
        </w:rPr>
        <w:t xml:space="preserve"> constituée d’une bouteille intérieure en acier soudé revêtue, protégée par une enveloppe surmoulée de matériau plastique cellulaire collée de manière indissociable à la paroi e</w:t>
      </w:r>
      <w:r w:rsidR="006B06C2">
        <w:rPr>
          <w:lang w:val="fr-FR"/>
        </w:rPr>
        <w:t>xtérieure du récipient en acier; ».</w:t>
      </w:r>
    </w:p>
    <w:p w14:paraId="367237B9" w14:textId="0B0E1C55" w:rsidR="00970717" w:rsidRPr="00B3247F" w:rsidRDefault="00970717" w:rsidP="00970717">
      <w:pPr>
        <w:pStyle w:val="H1G"/>
      </w:pPr>
      <w:r w:rsidRPr="00B3247F">
        <w:tab/>
      </w:r>
      <w:r w:rsidRPr="00B3247F">
        <w:tab/>
      </w:r>
      <w:r w:rsidR="007113F3" w:rsidRPr="00B3247F">
        <w:t xml:space="preserve">Chapitre </w:t>
      </w:r>
      <w:r w:rsidRPr="00B3247F">
        <w:t>1.4</w:t>
      </w:r>
    </w:p>
    <w:p w14:paraId="56D08AE6" w14:textId="080AEBE9" w:rsidR="00970717" w:rsidRPr="00B3247F" w:rsidRDefault="00970717" w:rsidP="00970717">
      <w:pPr>
        <w:pStyle w:val="SingleTxtG"/>
        <w:rPr>
          <w:lang w:val="fr-FR"/>
        </w:rPr>
      </w:pPr>
      <w:r w:rsidRPr="00B3247F">
        <w:rPr>
          <w:lang w:val="fr-FR"/>
        </w:rPr>
        <w:t>1.4.2.2.2</w:t>
      </w:r>
      <w:r w:rsidRPr="00B3247F">
        <w:rPr>
          <w:lang w:val="fr-FR"/>
        </w:rPr>
        <w:tab/>
        <w:t>Ajouter la nouvelle phrase suivante à la fin : « Dans le cas du 1.4.2.2.1 c), il peut se fier aux attestations du "certificat d’empotage du conteneur ou du véhicule" fourni conformément au 5.4.2. ».</w:t>
      </w:r>
    </w:p>
    <w:p w14:paraId="1B8B0F08" w14:textId="3F647D1A" w:rsidR="009B2786" w:rsidRPr="00782BE5" w:rsidRDefault="009B2786" w:rsidP="009B2786">
      <w:pPr>
        <w:pStyle w:val="H1G"/>
        <w:rPr>
          <w:lang w:val="fr-FR"/>
        </w:rPr>
      </w:pPr>
      <w:r w:rsidRPr="00782BE5">
        <w:rPr>
          <w:lang w:val="fr-FR"/>
        </w:rPr>
        <w:tab/>
      </w:r>
      <w:r w:rsidRPr="00782BE5">
        <w:rPr>
          <w:lang w:val="fr-FR"/>
        </w:rPr>
        <w:tab/>
        <w:t>Chapitre 1.6</w:t>
      </w:r>
    </w:p>
    <w:p w14:paraId="651507B9" w14:textId="77777777" w:rsidR="00A23ED2" w:rsidRPr="00782BE5" w:rsidRDefault="00A23ED2" w:rsidP="00A23ED2">
      <w:pPr>
        <w:tabs>
          <w:tab w:val="left" w:pos="1985"/>
          <w:tab w:val="left" w:pos="2268"/>
        </w:tabs>
        <w:spacing w:after="120"/>
        <w:ind w:left="1134" w:right="1134"/>
        <w:jc w:val="both"/>
      </w:pPr>
      <w:r w:rsidRPr="00782BE5">
        <w:t>1.6.1.1</w:t>
      </w:r>
      <w:r w:rsidRPr="00782BE5">
        <w:tab/>
        <w:t>Remplacer « 30 juin 2017 » par « 30 juin 2019 ». Remplacer « 31 décembre 2016 » par « 31 décembre 2018 ».</w:t>
      </w:r>
    </w:p>
    <w:p w14:paraId="2EE927C0" w14:textId="5B118124" w:rsidR="007E45F0" w:rsidRPr="000675AE" w:rsidRDefault="007E45F0" w:rsidP="007E45F0">
      <w:pPr>
        <w:pStyle w:val="SingleTxtG"/>
      </w:pPr>
      <w:r w:rsidRPr="000675AE">
        <w:t>Supprimer les mesures transitoires 1.6.1.21</w:t>
      </w:r>
      <w:r w:rsidR="000A4478">
        <w:t>,</w:t>
      </w:r>
      <w:r w:rsidRPr="000675AE">
        <w:t xml:space="preserve"> </w:t>
      </w:r>
      <w:r w:rsidR="000A4478">
        <w:t xml:space="preserve">1.6.1.25, </w:t>
      </w:r>
      <w:r w:rsidRPr="000675AE">
        <w:t>1.6.1.35</w:t>
      </w:r>
      <w:r w:rsidR="000A4478">
        <w:t>,</w:t>
      </w:r>
      <w:r w:rsidRPr="000675AE">
        <w:t xml:space="preserve"> </w:t>
      </w:r>
      <w:r w:rsidR="000A4478" w:rsidRPr="00782BE5">
        <w:t>1.6.1.39, 1.6.1.40 et 1.6.1.42</w:t>
      </w:r>
      <w:r w:rsidR="000A4478">
        <w:t xml:space="preserve"> </w:t>
      </w:r>
      <w:r w:rsidRPr="000675AE">
        <w:t>et ajouter « </w:t>
      </w:r>
      <w:r w:rsidRPr="000675AE">
        <w:rPr>
          <w:i/>
          <w:iCs/>
        </w:rPr>
        <w:t>(Supprimé)</w:t>
      </w:r>
      <w:r w:rsidRPr="000675AE">
        <w:t xml:space="preserve"> ». </w:t>
      </w:r>
    </w:p>
    <w:p w14:paraId="0D2014F5" w14:textId="0590432A" w:rsidR="009B2786" w:rsidRPr="00CD6EB5" w:rsidRDefault="009B2786" w:rsidP="009B2786">
      <w:pPr>
        <w:pStyle w:val="SingleTxtG"/>
        <w:rPr>
          <w:lang w:val="fr-FR"/>
        </w:rPr>
      </w:pPr>
      <w:r w:rsidRPr="00CD6EB5">
        <w:rPr>
          <w:lang w:val="fr-FR"/>
        </w:rPr>
        <w:t>1.6.1.40</w:t>
      </w:r>
      <w:r w:rsidRPr="00CD6EB5">
        <w:rPr>
          <w:lang w:val="fr-FR"/>
        </w:rPr>
        <w:tab/>
        <w:t>Remplacer « l’étiquette de risque subsidiaire » par « l’étiquette de danger subsidiaire ».</w:t>
      </w:r>
    </w:p>
    <w:p w14:paraId="0A6D6339" w14:textId="26A6A3A9" w:rsidR="009B2786" w:rsidRPr="00CD6EB5" w:rsidRDefault="009B2786" w:rsidP="009B2786">
      <w:pPr>
        <w:pStyle w:val="SingleTxtG"/>
        <w:rPr>
          <w:lang w:val="fr-FR"/>
        </w:rPr>
      </w:pPr>
      <w:r w:rsidRPr="00CD6EB5">
        <w:rPr>
          <w:lang w:val="fr-FR"/>
        </w:rPr>
        <w:t>1.6.1.43</w:t>
      </w:r>
      <w:r w:rsidRPr="00CD6EB5">
        <w:rPr>
          <w:lang w:val="fr-FR"/>
        </w:rPr>
        <w:tab/>
        <w:t xml:space="preserve">Remplacer « 240, 385 et 669 » par « 388 et 669 ». Remplacer « prescriptions du 2.2.9.1.7 » par « dispositions du 2.2.9.1.7 ». </w:t>
      </w:r>
    </w:p>
    <w:p w14:paraId="07CE4FFC" w14:textId="5044BF1C" w:rsidR="004069B1" w:rsidRPr="00B3247F" w:rsidRDefault="004069B1" w:rsidP="004069B1">
      <w:pPr>
        <w:pStyle w:val="SingleTxtG"/>
        <w:tabs>
          <w:tab w:val="left" w:pos="2268"/>
        </w:tabs>
        <w:rPr>
          <w:lang w:val="fr-FR"/>
        </w:rPr>
      </w:pPr>
      <w:r w:rsidRPr="00B3247F">
        <w:rPr>
          <w:lang w:val="fr-FR"/>
        </w:rPr>
        <w:t>1.6.1</w:t>
      </w:r>
      <w:r w:rsidRPr="00B3247F">
        <w:rPr>
          <w:lang w:val="fr-FR"/>
        </w:rPr>
        <w:tab/>
        <w:t>Ajouter les nouvelles mesures transitoires suivantes</w:t>
      </w:r>
      <w:r w:rsidR="00E70B2E" w:rsidRPr="00B3247F">
        <w:rPr>
          <w:lang w:val="fr-FR"/>
        </w:rPr>
        <w:t> </w:t>
      </w:r>
      <w:r w:rsidRPr="00B3247F">
        <w:rPr>
          <w:lang w:val="fr-FR"/>
        </w:rPr>
        <w:t>:</w:t>
      </w:r>
    </w:p>
    <w:p w14:paraId="10DF31BE" w14:textId="09A5AF63" w:rsidR="004069B1" w:rsidRPr="00B3247F" w:rsidRDefault="004069B1" w:rsidP="004069B1">
      <w:pPr>
        <w:pStyle w:val="SingleTxtG"/>
        <w:rPr>
          <w:lang w:val="fr-FR"/>
        </w:rPr>
      </w:pPr>
      <w:r w:rsidRPr="00B3247F">
        <w:rPr>
          <w:lang w:val="fr-FR"/>
        </w:rPr>
        <w:lastRenderedPageBreak/>
        <w:t>« 1.6.1.44</w:t>
      </w:r>
      <w:r w:rsidRPr="00B3247F">
        <w:rPr>
          <w:lang w:val="fr-FR"/>
        </w:rPr>
        <w:tab/>
        <w:t>Les entreprises qui participent au transport de marchandises dangereuses seulement en tant qu’expéditeurs et qui n’avaient pas l’obligation de désigner un conseiller à la sécurité sur la base des dispositions applicables jusqu'au 31 décembre 2018 devront, par dérogation aux dispositions du 1.8.3.1 applicables à partir du 1er janvier 2019, nommer un conseiller à la sécurité au plus tard le 31 décembre 2022. »</w:t>
      </w:r>
      <w:r w:rsidR="00E70B2E" w:rsidRPr="00B3247F">
        <w:rPr>
          <w:lang w:val="fr-FR"/>
        </w:rPr>
        <w:t>.</w:t>
      </w:r>
    </w:p>
    <w:p w14:paraId="2DE19453" w14:textId="2D79B303" w:rsidR="004069B1" w:rsidRPr="00B3247F" w:rsidRDefault="004069B1" w:rsidP="004069B1">
      <w:pPr>
        <w:pStyle w:val="SingleTxtG"/>
        <w:rPr>
          <w:iCs/>
          <w:lang w:val="fr-FR"/>
        </w:rPr>
      </w:pPr>
      <w:r w:rsidRPr="00B3247F">
        <w:rPr>
          <w:iCs/>
          <w:lang w:val="fr-FR"/>
        </w:rPr>
        <w:t>« 1.6.1.45</w:t>
      </w:r>
      <w:r w:rsidRPr="00B3247F">
        <w:rPr>
          <w:iCs/>
          <w:lang w:val="fr-FR"/>
        </w:rPr>
        <w:tab/>
      </w:r>
      <w:r w:rsidRPr="00B3247F">
        <w:rPr>
          <w:szCs w:val="24"/>
          <w:lang w:val="fr-FR"/>
        </w:rPr>
        <w:t>Les Parties contractantes pourront, jusqu’au 31 décembre 2020, continuer à délivrer des certificats de formation pour les conseillers à la sécurité conformes au modèle applicable jusqu’au 31 décembre 2018, en lieu et place des certificats conformes aux prescriptions du paragraphe 1.8.3.18 applicables à partir du 1er janvier 2019. Ces certificats pourront continuer à être utilisés jusqu’au terme de leur validité de cinq ans.</w:t>
      </w:r>
      <w:r w:rsidRPr="00B3247F">
        <w:rPr>
          <w:iCs/>
          <w:lang w:val="fr-FR"/>
        </w:rPr>
        <w:t> ».</w:t>
      </w:r>
    </w:p>
    <w:p w14:paraId="38D5714E" w14:textId="380417BD" w:rsidR="000826EA" w:rsidRPr="00154472" w:rsidRDefault="000826EA" w:rsidP="000826EA">
      <w:pPr>
        <w:pStyle w:val="SingleTxtG"/>
        <w:rPr>
          <w:lang w:val="fr-FR"/>
        </w:rPr>
      </w:pPr>
      <w:r w:rsidRPr="00154472">
        <w:rPr>
          <w:lang w:val="fr-FR"/>
        </w:rPr>
        <w:t>« </w:t>
      </w:r>
      <w:r>
        <w:rPr>
          <w:lang w:val="fr-FR"/>
        </w:rPr>
        <w:t>1.6.1.46</w:t>
      </w:r>
      <w:r w:rsidRPr="00154472">
        <w:rPr>
          <w:lang w:val="fr-FR"/>
        </w:rPr>
        <w:tab/>
        <w:t>Le transport de machines et matériels non spécifiés dans la présente annexe et qui comportent accessoirement des marchandises dangereuses dans leur structure ou leur circuit de fonctionnement et qui sont donc affectés aux Nos ONU 3363, 3537, 3538, 3539, 3540, 3541, 3542, 3543, 3544, 3545, 3546, 3547 ou 3548, qui était exempté des dispositions de l’ADR conformément au 1.1.3.1 b) applicable jusqu’au 31 décembre 2018</w:t>
      </w:r>
      <w:r w:rsidRPr="000826EA">
        <w:rPr>
          <w:lang w:val="fr-FR"/>
        </w:rPr>
        <w:t>, pourra encore être exempté</w:t>
      </w:r>
      <w:r w:rsidRPr="00154472">
        <w:rPr>
          <w:lang w:val="fr-FR"/>
        </w:rPr>
        <w:t xml:space="preserve"> des dispositions </w:t>
      </w:r>
      <w:r w:rsidR="000F50F8">
        <w:rPr>
          <w:lang w:val="fr-FR"/>
        </w:rPr>
        <w:t>de l’ADR</w:t>
      </w:r>
      <w:r w:rsidRPr="00154472">
        <w:rPr>
          <w:lang w:val="fr-FR"/>
        </w:rPr>
        <w:t xml:space="preserve"> jusqu’au </w:t>
      </w:r>
      <w:r>
        <w:rPr>
          <w:lang w:val="fr-FR"/>
        </w:rPr>
        <w:t>31 décembre 2022</w:t>
      </w:r>
      <w:r w:rsidRPr="00154472">
        <w:rPr>
          <w:lang w:val="fr-FR"/>
        </w:rPr>
        <w:t xml:space="preserve">, à condition que des mesures </w:t>
      </w:r>
      <w:r>
        <w:rPr>
          <w:lang w:val="fr-FR"/>
        </w:rPr>
        <w:t>aient été prises</w:t>
      </w:r>
      <w:r w:rsidRPr="00154472">
        <w:rPr>
          <w:lang w:val="fr-FR"/>
        </w:rPr>
        <w:t xml:space="preserve"> pour empêcher toute fuite de contenu dans des conditions normales de transport. ».</w:t>
      </w:r>
    </w:p>
    <w:p w14:paraId="75871438" w14:textId="05A7EA14" w:rsidR="00964098" w:rsidRDefault="00964098" w:rsidP="00964098">
      <w:pPr>
        <w:tabs>
          <w:tab w:val="left" w:pos="1985"/>
          <w:tab w:val="left" w:pos="2268"/>
        </w:tabs>
        <w:spacing w:after="120"/>
        <w:ind w:left="1134" w:right="1134"/>
        <w:jc w:val="both"/>
        <w:rPr>
          <w:i/>
        </w:rPr>
      </w:pPr>
      <w:r w:rsidRPr="003C4DF9">
        <w:t>1.6.</w:t>
      </w:r>
      <w:r>
        <w:t>3.17 et</w:t>
      </w:r>
      <w:r w:rsidRPr="003C4DF9">
        <w:t xml:space="preserve"> 1.6.</w:t>
      </w:r>
      <w:r>
        <w:t>3</w:t>
      </w:r>
      <w:r w:rsidRPr="003C4DF9">
        <w:t>.</w:t>
      </w:r>
      <w:r>
        <w:t>42</w:t>
      </w:r>
      <w:r w:rsidRPr="003C4DF9">
        <w:tab/>
        <w:t>Supprimer et ajouter «</w:t>
      </w:r>
      <w:r>
        <w:t> </w:t>
      </w:r>
      <w:r w:rsidRPr="00D44138">
        <w:rPr>
          <w:i/>
        </w:rPr>
        <w:t>(Supprimé)</w:t>
      </w:r>
      <w:r>
        <w:t> </w:t>
      </w:r>
      <w:r w:rsidRPr="003C4DF9">
        <w:t>».</w:t>
      </w:r>
      <w:r w:rsidRPr="003C4DF9">
        <w:rPr>
          <w:i/>
        </w:rPr>
        <w:t xml:space="preserve"> </w:t>
      </w:r>
    </w:p>
    <w:p w14:paraId="54C0A0CE" w14:textId="378AC455" w:rsidR="003778F9" w:rsidRPr="00964098" w:rsidRDefault="003778F9" w:rsidP="006B06C2">
      <w:pPr>
        <w:tabs>
          <w:tab w:val="left" w:pos="2268"/>
        </w:tabs>
        <w:spacing w:after="120"/>
        <w:ind w:left="1134" w:right="1134"/>
        <w:jc w:val="both"/>
      </w:pPr>
      <w:r w:rsidRPr="00964098">
        <w:t>1.6.3.44</w:t>
      </w:r>
      <w:r w:rsidRPr="00964098">
        <w:tab/>
        <w:t>Supprimer « , peuvent continuer à être utilisées jusqu’à leur premier contrôle intermédiaire ou périodique effectué après le 31 décembre 2015. Après cette date, elles ».</w:t>
      </w:r>
    </w:p>
    <w:p w14:paraId="0BF7115E" w14:textId="5CAF2BD9" w:rsidR="00E70B2E" w:rsidRPr="00B3247F" w:rsidRDefault="00E70B2E" w:rsidP="00E70B2E">
      <w:pPr>
        <w:pStyle w:val="SingleTxtG"/>
        <w:tabs>
          <w:tab w:val="left" w:pos="2268"/>
        </w:tabs>
        <w:rPr>
          <w:lang w:val="fr-FR"/>
        </w:rPr>
      </w:pPr>
      <w:r w:rsidRPr="00B3247F">
        <w:rPr>
          <w:lang w:val="fr-FR"/>
        </w:rPr>
        <w:t>1.6.3</w:t>
      </w:r>
      <w:r w:rsidRPr="00B3247F">
        <w:rPr>
          <w:lang w:val="fr-FR"/>
        </w:rPr>
        <w:tab/>
        <w:t>Ajouter les nouvelles mesures transitoire suivantes :</w:t>
      </w:r>
    </w:p>
    <w:p w14:paraId="206204F0" w14:textId="080FB4B5" w:rsidR="00E70B2E" w:rsidRPr="009040ED" w:rsidRDefault="00E70B2E" w:rsidP="00E70B2E">
      <w:pPr>
        <w:pStyle w:val="SingleTxtG"/>
        <w:rPr>
          <w:lang w:val="fr-FR"/>
        </w:rPr>
      </w:pPr>
      <w:r w:rsidRPr="00B3247F">
        <w:rPr>
          <w:lang w:val="fr-FR"/>
        </w:rPr>
        <w:t>« </w:t>
      </w:r>
      <w:r w:rsidRPr="00B3247F">
        <w:rPr>
          <w:bCs/>
          <w:lang w:val="fr-FR"/>
        </w:rPr>
        <w:t>1.6.3.47</w:t>
      </w:r>
      <w:r w:rsidRPr="00B3247F">
        <w:rPr>
          <w:lang w:val="fr-FR"/>
        </w:rPr>
        <w:tab/>
        <w:t>Les citernes fixes (véhicules-citernes) et citernes démontables construites avant le 1</w:t>
      </w:r>
      <w:r w:rsidRPr="009040ED">
        <w:rPr>
          <w:lang w:val="fr-FR"/>
        </w:rPr>
        <w:t>er</w:t>
      </w:r>
      <w:r w:rsidRPr="00B3247F">
        <w:rPr>
          <w:lang w:val="fr-FR"/>
        </w:rPr>
        <w:t xml:space="preserve"> juillet 2019, équipées de soupapes de sécurité répondant aux prescriptions applicables jusqu’au 31 décembre 2018, mais qui ne satisfont pas aux prescriptions du dernier paragraphe du 6.8.3.2.9 concernant leur conception ou protection applicables à partir du </w:t>
      </w:r>
      <w:r w:rsidRPr="009040ED">
        <w:rPr>
          <w:lang w:val="fr-FR"/>
        </w:rPr>
        <w:t>1er janvier 2019, pourront encore être utilisées jusqu’au prochain contrôle intermédiaire ou périodique devant avoir lieu après le 1er janvier 2021. ».</w:t>
      </w:r>
    </w:p>
    <w:p w14:paraId="7DBC519D" w14:textId="248C94C3" w:rsidR="00E70B2E" w:rsidRPr="00F7573F" w:rsidRDefault="00E70B2E" w:rsidP="00E70B2E">
      <w:pPr>
        <w:pStyle w:val="SingleTxtG"/>
        <w:rPr>
          <w:lang w:val="fr-FR"/>
        </w:rPr>
      </w:pPr>
      <w:r w:rsidRPr="00F7573F">
        <w:rPr>
          <w:bCs/>
          <w:lang w:val="fr-FR"/>
        </w:rPr>
        <w:t>« 1.6.3.48</w:t>
      </w:r>
      <w:r w:rsidRPr="00F7573F">
        <w:rPr>
          <w:b/>
          <w:lang w:val="fr-FR"/>
        </w:rPr>
        <w:tab/>
      </w:r>
      <w:r w:rsidRPr="00F7573F">
        <w:rPr>
          <w:lang w:val="fr-FR"/>
        </w:rPr>
        <w:t>Nonobstant les prescriptions de la disposition spéciale TU 42 du 4.3.5 applicables à partir du 1</w:t>
      </w:r>
      <w:r w:rsidRPr="009040ED">
        <w:rPr>
          <w:lang w:val="fr-FR"/>
        </w:rPr>
        <w:t>er </w:t>
      </w:r>
      <w:r w:rsidRPr="00F7573F">
        <w:rPr>
          <w:lang w:val="fr-FR"/>
        </w:rPr>
        <w:t xml:space="preserve">janvier 2019, les citernes fixes (véhicules-citernes) et citernes démontables dont le réservoir est construit en alliage d’aluminium, y compris celles équipées d’un revêtement protecteur, qui étaient utilisées avant le </w:t>
      </w:r>
      <w:r w:rsidRPr="009040ED">
        <w:rPr>
          <w:lang w:val="fr-FR"/>
        </w:rPr>
        <w:t>1er janvier</w:t>
      </w:r>
      <w:r w:rsidRPr="00F7573F">
        <w:rPr>
          <w:lang w:val="fr-FR"/>
        </w:rPr>
        <w:t xml:space="preserve"> 2019 pour le transport de matières avec un pH inférieur à 5,0 ou supérieur à 8,0, pourront encore être utilisées pour le transport de ces matières jusqu’au 31 décembre </w:t>
      </w:r>
      <w:r w:rsidR="00F7573F">
        <w:rPr>
          <w:lang w:val="fr-FR"/>
        </w:rPr>
        <w:t>2026</w:t>
      </w:r>
      <w:r w:rsidRPr="00F7573F">
        <w:rPr>
          <w:lang w:val="fr-FR"/>
        </w:rPr>
        <w:t>. ».</w:t>
      </w:r>
    </w:p>
    <w:p w14:paraId="1CABBE32" w14:textId="4B764343" w:rsidR="009040ED" w:rsidRPr="009040ED" w:rsidRDefault="009040ED" w:rsidP="00C677CA">
      <w:pPr>
        <w:pStyle w:val="SingleTxtG"/>
      </w:pPr>
      <w:r w:rsidRPr="00960B6C">
        <w:t>« </w:t>
      </w:r>
      <w:r w:rsidRPr="00960B6C">
        <w:rPr>
          <w:bCs/>
        </w:rPr>
        <w:t>1.6.3.49</w:t>
      </w:r>
      <w:r w:rsidRPr="00960B6C">
        <w:rPr>
          <w:b/>
        </w:rPr>
        <w:tab/>
      </w:r>
      <w:r w:rsidRPr="00960B6C">
        <w:t xml:space="preserve">Les citernes fixes (véhicules-citernes) et citernes démontables construites avant le </w:t>
      </w:r>
      <w:r w:rsidRPr="009040ED">
        <w:t>1er juillet 2019</w:t>
      </w:r>
      <w:r w:rsidRPr="00E871C8">
        <w:t xml:space="preserve"> </w:t>
      </w:r>
      <w:r w:rsidRPr="00960B6C">
        <w:t>conformément aux prescriptions applicables jusqu’au 31 décembre 2018, mais qui ne sont pas conformes aux prescriptions du 6.8.2.2.10 relatives à la pression nominale du disque de rupture applicables à partir du 1</w:t>
      </w:r>
      <w:r w:rsidRPr="00960B6C">
        <w:rPr>
          <w:vertAlign w:val="superscript"/>
        </w:rPr>
        <w:t>er</w:t>
      </w:r>
      <w:r w:rsidRPr="00960B6C">
        <w:t xml:space="preserve"> janvier 2019 pourront encore être utilisées. ».</w:t>
      </w:r>
    </w:p>
    <w:p w14:paraId="0C106095" w14:textId="3B574DC9" w:rsidR="00AD5DEF" w:rsidRPr="001654A6" w:rsidRDefault="00AD5DEF" w:rsidP="00AD5DEF">
      <w:pPr>
        <w:pStyle w:val="SingleTxtG"/>
      </w:pPr>
      <w:r w:rsidRPr="001654A6">
        <w:t>«</w:t>
      </w:r>
      <w:r w:rsidR="001654A6" w:rsidRPr="001654A6">
        <w:t> </w:t>
      </w:r>
      <w:r w:rsidRPr="001654A6">
        <w:rPr>
          <w:bCs/>
        </w:rPr>
        <w:t>1.6.3.50</w:t>
      </w:r>
      <w:r w:rsidRPr="001654A6">
        <w:rPr>
          <w:b/>
        </w:rPr>
        <w:tab/>
      </w:r>
      <w:r w:rsidRPr="001654A6">
        <w:t>Les citernes fixes (véhicules-citernes) et citernes démontables construites avant le 1er juillet 2019 conformément aux prescriptions du 6.8.2.2.3 applicables jusqu’au 31 décembre 2018, mais qui ne sont pas conformes aux prescriptions du dernier paragraphe du 6.8.2.2.3 relatives aux arrête-flammes pour les dispositifs de respiration applicables à partir du 1er janvier 2019 pourront encore être utilisées.</w:t>
      </w:r>
      <w:r w:rsidR="001654A6" w:rsidRPr="001654A6">
        <w:t> </w:t>
      </w:r>
      <w:r w:rsidRPr="001654A6">
        <w:t>».</w:t>
      </w:r>
    </w:p>
    <w:p w14:paraId="1089B6E1" w14:textId="2E004C5E" w:rsidR="00E70B2E" w:rsidRPr="009040ED" w:rsidRDefault="00E70B2E" w:rsidP="00AD5DEF">
      <w:pPr>
        <w:pStyle w:val="SingleTxtG"/>
        <w:rPr>
          <w:lang w:val="fr-FR"/>
        </w:rPr>
      </w:pPr>
      <w:r w:rsidRPr="009040ED">
        <w:rPr>
          <w:bCs/>
          <w:lang w:val="fr-FR"/>
        </w:rPr>
        <w:t>« 1.6.3.51</w:t>
      </w:r>
      <w:r w:rsidRPr="009040ED">
        <w:rPr>
          <w:b/>
          <w:lang w:val="fr-FR"/>
        </w:rPr>
        <w:tab/>
      </w:r>
      <w:r w:rsidRPr="009040ED">
        <w:rPr>
          <w:lang w:val="fr-FR"/>
        </w:rPr>
        <w:t xml:space="preserve">Les citernes fixes (véhicules-citernes) et citernes démontables construites avant le 1er juillet 2019 conformément aux prescriptions applicables jusqu’au 31 décembre 2018, mais qui ne sont pas conformes aux prescriptions du 6.8.2.1.23 en ce qui concerne le </w:t>
      </w:r>
      <w:r w:rsidRPr="009040ED">
        <w:rPr>
          <w:lang w:val="fr-FR"/>
        </w:rPr>
        <w:lastRenderedPageBreak/>
        <w:t>contrôle des soudures dans la carre des fonds de la citerne applicables à partir du 1er janvier 2019 pourront encore être utilisées. ».</w:t>
      </w:r>
    </w:p>
    <w:p w14:paraId="51A7E543" w14:textId="7D3AA0E7" w:rsidR="00E70B2E" w:rsidRPr="009040ED" w:rsidRDefault="00E70B2E" w:rsidP="00E70B2E">
      <w:pPr>
        <w:pStyle w:val="SingleTxtG"/>
        <w:rPr>
          <w:lang w:val="fr-FR"/>
        </w:rPr>
      </w:pPr>
      <w:r w:rsidRPr="00B3247F">
        <w:rPr>
          <w:bCs/>
          <w:lang w:val="fr-FR"/>
        </w:rPr>
        <w:t>« 1.6.3.52</w:t>
      </w:r>
      <w:r w:rsidRPr="00B3247F">
        <w:rPr>
          <w:b/>
          <w:lang w:val="fr-FR"/>
        </w:rPr>
        <w:tab/>
      </w:r>
      <w:r w:rsidRPr="00B3247F">
        <w:rPr>
          <w:lang w:val="fr-FR"/>
        </w:rPr>
        <w:t xml:space="preserve">Les citernes fixes (véhicules-citernes) et citernes démontables construites </w:t>
      </w:r>
      <w:r w:rsidRPr="009040ED">
        <w:rPr>
          <w:lang w:val="fr-FR"/>
        </w:rPr>
        <w:t>avant le 1er juillet 2019 conformément aux prescriptions applicables jusqu’au 31 décembre 2018, mais qui ne sont pas conformes aux prescriptions du 6.8.2.2.11 applicables à partir du 1er janvier 2019 pourront encore être utilisées. ».</w:t>
      </w:r>
    </w:p>
    <w:p w14:paraId="108AD124" w14:textId="30364C76" w:rsidR="009040ED" w:rsidRPr="00410EC7" w:rsidRDefault="009040ED" w:rsidP="009040ED">
      <w:pPr>
        <w:pStyle w:val="SingleTxtG"/>
      </w:pPr>
      <w:r w:rsidRPr="00410EC7">
        <w:t>« </w:t>
      </w:r>
      <w:r w:rsidRPr="00410EC7">
        <w:rPr>
          <w:bCs/>
        </w:rPr>
        <w:t>1.6.3.53</w:t>
      </w:r>
      <w:r w:rsidRPr="00410EC7">
        <w:rPr>
          <w:b/>
        </w:rPr>
        <w:tab/>
      </w:r>
      <w:r w:rsidRPr="00410EC7">
        <w:t>Les certificats d’agrément de type de citernes fixes (véhicules-citernes), citernes démontables et véhicules-batteries délivrés avant le 1</w:t>
      </w:r>
      <w:r w:rsidRPr="00410EC7">
        <w:rPr>
          <w:vertAlign w:val="superscript"/>
        </w:rPr>
        <w:t>er</w:t>
      </w:r>
      <w:r w:rsidRPr="00410EC7">
        <w:t> juillet 2019 conformément aux prescriptions du 6.8.2.3.1 applicables jusqu’au 31décembre 2018, mais qui ne sont pas conformes aux prescriptions du 6.8.2.3.1 en ce qui concerne le signe distinctif utilisé sur les véhicules en circulation routière internationale</w:t>
      </w:r>
      <w:r w:rsidRPr="00410EC7">
        <w:rPr>
          <w:b/>
          <w:vertAlign w:val="superscript"/>
        </w:rPr>
        <w:t>1</w:t>
      </w:r>
      <w:r w:rsidR="006B06C2" w:rsidRPr="006B06C2">
        <w:t xml:space="preserve"> </w:t>
      </w:r>
      <w:r w:rsidRPr="00410EC7">
        <w:t>pour l’Etat dans lequel l’agrément a été donné et le numéro d’immatriculation, applicables à partir du 1</w:t>
      </w:r>
      <w:r w:rsidRPr="00410EC7">
        <w:rPr>
          <w:vertAlign w:val="superscript"/>
        </w:rPr>
        <w:t>er</w:t>
      </w:r>
      <w:r w:rsidRPr="00410EC7">
        <w:t> janvier 2019, pourront encore être utilisés. ».</w:t>
      </w:r>
    </w:p>
    <w:p w14:paraId="38861F2E" w14:textId="77777777" w:rsidR="009040ED" w:rsidRPr="00410EC7" w:rsidRDefault="009040ED" w:rsidP="009040ED">
      <w:pPr>
        <w:pStyle w:val="SingleTxtG"/>
      </w:pPr>
      <w:r w:rsidRPr="00410EC7">
        <w:t>La note de bas de page 1 se lit comme suit :</w:t>
      </w:r>
    </w:p>
    <w:p w14:paraId="662C35F9" w14:textId="476DA5FE" w:rsidR="009040ED" w:rsidRPr="00410EC7" w:rsidRDefault="009040ED" w:rsidP="009040ED">
      <w:pPr>
        <w:pStyle w:val="SingleTxtG"/>
      </w:pPr>
      <w:r w:rsidRPr="00410EC7">
        <w:rPr>
          <w:szCs w:val="18"/>
        </w:rPr>
        <w:t>« </w:t>
      </w:r>
      <w:r w:rsidRPr="00410EC7">
        <w:rPr>
          <w:b/>
          <w:szCs w:val="18"/>
          <w:vertAlign w:val="superscript"/>
        </w:rPr>
        <w:t>1</w:t>
      </w:r>
      <w:r w:rsidRPr="00410EC7">
        <w:rPr>
          <w:szCs w:val="18"/>
        </w:rPr>
        <w:tab/>
        <w:t>Signe distinctif de l’État d’immatriculation utilisé sur les automobiles et les remorques en circulation routière internationale, par exemple en vertu de la Convention de Genève sur la circulation routière de 1949 ou de la Convention de Vienne sur la circulation routière de 1968. </w:t>
      </w:r>
      <w:r w:rsidRPr="00410EC7">
        <w:t>».</w:t>
      </w:r>
    </w:p>
    <w:p w14:paraId="1417AE61" w14:textId="207988E2" w:rsidR="00964098" w:rsidRDefault="00964098" w:rsidP="009040ED">
      <w:pPr>
        <w:tabs>
          <w:tab w:val="left" w:pos="1985"/>
          <w:tab w:val="left" w:pos="2268"/>
        </w:tabs>
        <w:spacing w:after="120"/>
        <w:ind w:left="1134" w:right="1134"/>
        <w:jc w:val="both"/>
        <w:rPr>
          <w:i/>
        </w:rPr>
      </w:pPr>
      <w:r w:rsidRPr="003C4DF9">
        <w:t>1.6.</w:t>
      </w:r>
      <w:r>
        <w:t>4</w:t>
      </w:r>
      <w:r w:rsidRPr="003C4DF9">
        <w:t>.</w:t>
      </w:r>
      <w:r>
        <w:t>15</w:t>
      </w:r>
      <w:r w:rsidRPr="003C4DF9">
        <w:t>, 1.6.</w:t>
      </w:r>
      <w:r>
        <w:t>4</w:t>
      </w:r>
      <w:r w:rsidRPr="003C4DF9">
        <w:t>.3</w:t>
      </w:r>
      <w:r>
        <w:t>8</w:t>
      </w:r>
      <w:r w:rsidRPr="003C4DF9">
        <w:t>, 1.6.</w:t>
      </w:r>
      <w:r>
        <w:t>4</w:t>
      </w:r>
      <w:r w:rsidRPr="003C4DF9">
        <w:t>.</w:t>
      </w:r>
      <w:r>
        <w:t>44 et 1.6.4.45</w:t>
      </w:r>
      <w:r w:rsidRPr="003C4DF9">
        <w:tab/>
        <w:t>Supprimer et ajouter «</w:t>
      </w:r>
      <w:r>
        <w:t> </w:t>
      </w:r>
      <w:r w:rsidRPr="00D44138">
        <w:rPr>
          <w:i/>
        </w:rPr>
        <w:t>(Supprimé)</w:t>
      </w:r>
      <w:r>
        <w:t> </w:t>
      </w:r>
      <w:r w:rsidRPr="003C4DF9">
        <w:t>».</w:t>
      </w:r>
      <w:r w:rsidRPr="003C4DF9">
        <w:rPr>
          <w:i/>
        </w:rPr>
        <w:t xml:space="preserve"> </w:t>
      </w:r>
    </w:p>
    <w:p w14:paraId="12211AFD" w14:textId="5C06539E" w:rsidR="00E70B2E" w:rsidRPr="00B3247F" w:rsidRDefault="00E70B2E" w:rsidP="00E70B2E">
      <w:pPr>
        <w:pStyle w:val="SingleTxtG"/>
        <w:tabs>
          <w:tab w:val="left" w:pos="2268"/>
        </w:tabs>
        <w:rPr>
          <w:lang w:val="fr-FR"/>
        </w:rPr>
      </w:pPr>
      <w:r w:rsidRPr="00B3247F">
        <w:rPr>
          <w:lang w:val="fr-FR"/>
        </w:rPr>
        <w:t>1.6.4</w:t>
      </w:r>
      <w:r w:rsidRPr="00B3247F">
        <w:rPr>
          <w:lang w:val="fr-FR"/>
        </w:rPr>
        <w:tab/>
        <w:t>Ajouter les nouvelles mesures transitoires suivantes:</w:t>
      </w:r>
    </w:p>
    <w:p w14:paraId="1B15221F" w14:textId="1FCF19F2" w:rsidR="00E70B2E" w:rsidRPr="009040ED" w:rsidRDefault="00E70B2E" w:rsidP="00E70B2E">
      <w:pPr>
        <w:pStyle w:val="SingleTxtG"/>
        <w:rPr>
          <w:lang w:val="fr-FR"/>
        </w:rPr>
      </w:pPr>
      <w:r w:rsidRPr="009040ED">
        <w:rPr>
          <w:lang w:val="fr-FR"/>
        </w:rPr>
        <w:t>« </w:t>
      </w:r>
      <w:r w:rsidRPr="009040ED">
        <w:rPr>
          <w:bCs/>
          <w:lang w:val="fr-FR"/>
        </w:rPr>
        <w:t>1.6.4.49</w:t>
      </w:r>
      <w:r w:rsidRPr="009040ED">
        <w:rPr>
          <w:b/>
          <w:lang w:val="fr-FR"/>
        </w:rPr>
        <w:tab/>
      </w:r>
      <w:r w:rsidRPr="009040ED">
        <w:rPr>
          <w:lang w:val="fr-FR"/>
        </w:rPr>
        <w:t>Les conteneurs-citernes construits avant le 1er juillet 2019, équipés de soupapes de sécurité répondant aux prescriptions applicables jusqu’au 31 décembre 2018, mais qui ne satisfont pas aux prescriptions du dernier paragraphe du 6.8.3.2.9 concernant leur conception ou protection applicables à partir du 1er janvier 2019, pourront encore être utilisés jusqu’au prochain contrôle intermédiaire ou périodique devant avoir lieu après le 1er janvier 2021. ».</w:t>
      </w:r>
    </w:p>
    <w:p w14:paraId="43CC9991" w14:textId="73637628" w:rsidR="00E70B2E" w:rsidRPr="009040ED" w:rsidRDefault="00E70B2E" w:rsidP="00E70B2E">
      <w:pPr>
        <w:pStyle w:val="SingleTxtG"/>
        <w:rPr>
          <w:b/>
          <w:lang w:val="fr-FR"/>
        </w:rPr>
      </w:pPr>
      <w:r w:rsidRPr="009040ED">
        <w:rPr>
          <w:bCs/>
          <w:lang w:val="fr-FR"/>
        </w:rPr>
        <w:t>« 1.6.4.50</w:t>
      </w:r>
      <w:r w:rsidRPr="009040ED">
        <w:rPr>
          <w:b/>
          <w:lang w:val="fr-FR"/>
        </w:rPr>
        <w:tab/>
      </w:r>
      <w:r w:rsidRPr="009040ED">
        <w:rPr>
          <w:lang w:val="fr-FR"/>
        </w:rPr>
        <w:t xml:space="preserve">Nonobstant les prescriptions de la disposition spéciale TU42 du 4.3.5 applicables à partir du 1er janvier 2019, les conteneurs-citernes dont le réservoir est construit en alliage d’aluminium, y compris ceux équipés d’un revêtement protecteur, qui étaient utilisés avant le 1er janvier 2019 pour le transport de matières avec un pH inférieur à 5,0 ou supérieur à 8,0, pourront encore être utilisés pour le transport de ces matières jusqu’au 31 décembre </w:t>
      </w:r>
      <w:r w:rsidR="00F7573F" w:rsidRPr="009040ED">
        <w:rPr>
          <w:lang w:val="fr-FR"/>
        </w:rPr>
        <w:t>2026</w:t>
      </w:r>
      <w:r w:rsidRPr="009040ED">
        <w:rPr>
          <w:lang w:val="fr-FR"/>
        </w:rPr>
        <w:t>. ».</w:t>
      </w:r>
    </w:p>
    <w:p w14:paraId="5FC0602B" w14:textId="68818D1D" w:rsidR="009040ED" w:rsidRPr="00410EC7" w:rsidRDefault="009040ED" w:rsidP="009040ED">
      <w:pPr>
        <w:pStyle w:val="SingleTxtG"/>
      </w:pPr>
      <w:r w:rsidRPr="009040ED">
        <w:t>« </w:t>
      </w:r>
      <w:r w:rsidRPr="009040ED">
        <w:rPr>
          <w:bCs/>
        </w:rPr>
        <w:t>1.6.4.51</w:t>
      </w:r>
      <w:r w:rsidRPr="009040ED">
        <w:rPr>
          <w:b/>
        </w:rPr>
        <w:tab/>
      </w:r>
      <w:r w:rsidRPr="009040ED">
        <w:t xml:space="preserve">Les conteneurs-citernes construits avant le 1er juillet 2019 </w:t>
      </w:r>
      <w:r w:rsidRPr="00410EC7">
        <w:t>conformément aux prescriptions applicables jusqu’au 31 décembre 2018, mais qui ne sont pas conformes aux prescriptions du 6.8.2.2.10 relatives à la pression nominale du disque de rupture applicables à partir du 1</w:t>
      </w:r>
      <w:r w:rsidRPr="00410EC7">
        <w:rPr>
          <w:vertAlign w:val="superscript"/>
        </w:rPr>
        <w:t>er</w:t>
      </w:r>
      <w:r w:rsidRPr="00410EC7">
        <w:t xml:space="preserve"> janvier 2019 pourront encore être utilisés. ».</w:t>
      </w:r>
    </w:p>
    <w:p w14:paraId="44B396F5" w14:textId="2D1E08EE" w:rsidR="00D226B0" w:rsidRPr="001654A6" w:rsidRDefault="00D226B0" w:rsidP="009040ED">
      <w:pPr>
        <w:pStyle w:val="SingleTxtG"/>
      </w:pPr>
      <w:r w:rsidRPr="001654A6">
        <w:t>« </w:t>
      </w:r>
      <w:r w:rsidRPr="001654A6">
        <w:rPr>
          <w:bCs/>
        </w:rPr>
        <w:t>1.6.4.52</w:t>
      </w:r>
      <w:r w:rsidRPr="001654A6">
        <w:rPr>
          <w:b/>
        </w:rPr>
        <w:tab/>
      </w:r>
      <w:r w:rsidRPr="001654A6">
        <w:t>Les conteneurs-citernes construits avant le 1er juillet 2019 conformément aux prescriptions du 6.8.2.2.3 applicables jusqu’au 31 décembre 2018, mais qui ne sont pas conformes aux prescriptions du dernier paragraphe du 6.8.2.2.3 relatives aux arrête-flammes pour les dispositifs de respiration applicables à partir du 1er janvier 2019 pourront encore être utilisés. ».</w:t>
      </w:r>
    </w:p>
    <w:p w14:paraId="092D3406" w14:textId="2AB0F489" w:rsidR="00E70B2E" w:rsidRPr="009040ED" w:rsidRDefault="00E70B2E" w:rsidP="00D226B0">
      <w:pPr>
        <w:pStyle w:val="SingleTxtG"/>
        <w:rPr>
          <w:lang w:val="fr-FR"/>
        </w:rPr>
      </w:pPr>
      <w:r w:rsidRPr="009040ED">
        <w:rPr>
          <w:bCs/>
          <w:lang w:val="fr-FR"/>
        </w:rPr>
        <w:t>« 1.6.4.53</w:t>
      </w:r>
      <w:r w:rsidRPr="009040ED">
        <w:rPr>
          <w:b/>
          <w:lang w:val="fr-FR"/>
        </w:rPr>
        <w:tab/>
      </w:r>
      <w:r w:rsidRPr="009040ED">
        <w:rPr>
          <w:lang w:val="fr-FR"/>
        </w:rPr>
        <w:t>Les conteneurs-citernes construits avant le 1er juillet 2019 conformément aux prescriptions applicables jusqu’au 31 décembre 2018, mais qui ne sont pas conformes aux prescriptions du 6.8.2.1.23 en ce qui concerne le contrôle des soudures dans la carre des fonds de la citerne applicables à partir du 1er janvier 2019 pourront encore être utilisés. ».</w:t>
      </w:r>
    </w:p>
    <w:p w14:paraId="54B6DBCE" w14:textId="7C9B028E" w:rsidR="00E70B2E" w:rsidRPr="009040ED" w:rsidRDefault="00E70B2E" w:rsidP="00E70B2E">
      <w:pPr>
        <w:pStyle w:val="SingleTxtG"/>
        <w:rPr>
          <w:lang w:val="fr-FR"/>
        </w:rPr>
      </w:pPr>
      <w:r w:rsidRPr="009040ED">
        <w:rPr>
          <w:bCs/>
          <w:lang w:val="fr-FR"/>
        </w:rPr>
        <w:t>« 1.6.4.54</w:t>
      </w:r>
      <w:r w:rsidRPr="009040ED">
        <w:rPr>
          <w:b/>
          <w:lang w:val="fr-FR"/>
        </w:rPr>
        <w:tab/>
      </w:r>
      <w:r w:rsidRPr="009040ED">
        <w:rPr>
          <w:lang w:val="fr-FR"/>
        </w:rPr>
        <w:t xml:space="preserve">Les conteneurs-citernes construits avant le 1er juillet 2019 conformément aux prescriptions applicables jusqu’au 31 décembre 2018, mais qui ne sont pas conformes aux </w:t>
      </w:r>
      <w:r w:rsidRPr="009040ED">
        <w:rPr>
          <w:lang w:val="fr-FR"/>
        </w:rPr>
        <w:lastRenderedPageBreak/>
        <w:t>prescriptions du 6.8.2.2.11 applicables à partir du 1er janvier 2019 pourront encore être utilisés. ».</w:t>
      </w:r>
    </w:p>
    <w:p w14:paraId="23197CDB" w14:textId="27233C9C" w:rsidR="002F3DB5" w:rsidRPr="00CF3DE3" w:rsidRDefault="002F3DB5" w:rsidP="00B76415">
      <w:pPr>
        <w:pStyle w:val="ParNoG"/>
        <w:numPr>
          <w:ilvl w:val="0"/>
          <w:numId w:val="0"/>
        </w:numPr>
        <w:tabs>
          <w:tab w:val="left" w:pos="2268"/>
        </w:tabs>
        <w:ind w:left="1134"/>
      </w:pPr>
      <w:r w:rsidRPr="00CF3DE3">
        <w:t>1.6.5</w:t>
      </w:r>
      <w:r w:rsidRPr="00CF3DE3">
        <w:tab/>
        <w:t xml:space="preserve">Renuméroter les notes de bas de page 1 à 3 en </w:t>
      </w:r>
      <w:r w:rsidR="00B76415">
        <w:t>tant que notes de bas de page 2 </w:t>
      </w:r>
      <w:r w:rsidRPr="00CF3DE3">
        <w:t xml:space="preserve">à </w:t>
      </w:r>
      <w:r w:rsidR="00E711A7" w:rsidRPr="00CF3DE3">
        <w:t>4</w:t>
      </w:r>
      <w:r w:rsidRPr="00CF3DE3">
        <w:t>.</w:t>
      </w:r>
    </w:p>
    <w:p w14:paraId="5374D019" w14:textId="062ACF54" w:rsidR="007E45F0" w:rsidRPr="00F26437" w:rsidRDefault="007E45F0" w:rsidP="007E45F0">
      <w:pPr>
        <w:pStyle w:val="SingleTxtG"/>
        <w:rPr>
          <w:lang w:val="fr-FR"/>
        </w:rPr>
      </w:pPr>
      <w:r w:rsidRPr="00F26437">
        <w:rPr>
          <w:lang w:val="fr-FR"/>
        </w:rPr>
        <w:t>1.6.5.4</w:t>
      </w:r>
      <w:r w:rsidRPr="00F26437">
        <w:rPr>
          <w:lang w:val="fr-FR"/>
        </w:rPr>
        <w:tab/>
      </w:r>
      <w:r w:rsidRPr="00F26437">
        <w:rPr>
          <w:lang w:val="fr-FR"/>
        </w:rPr>
        <w:tab/>
        <w:t xml:space="preserve">Dans le premier paragraphe, après « FL », supprimer « , OX ». Remplacer « 31 décembre 2016 » par « 31 décembre 2018 ». Remplacer « 31 mars 2018 » par « 31 mars 2020 ». </w:t>
      </w:r>
    </w:p>
    <w:p w14:paraId="25DA6CA9" w14:textId="04EFED53" w:rsidR="007F62A9" w:rsidRPr="006774AA" w:rsidRDefault="007F62A9" w:rsidP="00B76415">
      <w:pPr>
        <w:pStyle w:val="ParNoG"/>
        <w:numPr>
          <w:ilvl w:val="0"/>
          <w:numId w:val="0"/>
        </w:numPr>
        <w:tabs>
          <w:tab w:val="left" w:pos="2268"/>
        </w:tabs>
        <w:ind w:left="1134"/>
        <w:rPr>
          <w:rFonts w:eastAsiaTheme="minorEastAsia"/>
        </w:rPr>
      </w:pPr>
      <w:r w:rsidRPr="006774AA">
        <w:t>1.6.5</w:t>
      </w:r>
      <w:r w:rsidRPr="006774AA">
        <w:tab/>
        <w:t xml:space="preserve">Ajouter </w:t>
      </w:r>
      <w:r w:rsidR="00E70B2E" w:rsidRPr="006774AA">
        <w:t xml:space="preserve">les </w:t>
      </w:r>
      <w:r w:rsidRPr="006774AA">
        <w:t>nouvelle</w:t>
      </w:r>
      <w:r w:rsidR="00E70B2E" w:rsidRPr="006774AA">
        <w:t>s</w:t>
      </w:r>
      <w:r w:rsidRPr="006774AA">
        <w:t xml:space="preserve"> mesure</w:t>
      </w:r>
      <w:r w:rsidR="00E70B2E" w:rsidRPr="006774AA">
        <w:t>s</w:t>
      </w:r>
      <w:r w:rsidRPr="006774AA">
        <w:t xml:space="preserve"> transitoire</w:t>
      </w:r>
      <w:r w:rsidR="00E70B2E" w:rsidRPr="006774AA">
        <w:t>s</w:t>
      </w:r>
      <w:r w:rsidRPr="006774AA">
        <w:t xml:space="preserve"> suivante</w:t>
      </w:r>
      <w:r w:rsidR="00E70B2E" w:rsidRPr="006774AA">
        <w:t>s</w:t>
      </w:r>
      <w:r w:rsidRPr="006774AA">
        <w:t xml:space="preserve"> : </w:t>
      </w:r>
    </w:p>
    <w:p w14:paraId="47876171" w14:textId="14754BB9" w:rsidR="007F62A9" w:rsidRPr="006774AA" w:rsidRDefault="007F62A9" w:rsidP="007F62A9">
      <w:pPr>
        <w:pStyle w:val="SingleTxtG"/>
        <w:rPr>
          <w:rFonts w:eastAsiaTheme="minorEastAsia"/>
        </w:rPr>
      </w:pPr>
      <w:r w:rsidRPr="006774AA">
        <w:t>«</w:t>
      </w:r>
      <w:r w:rsidR="00E70B2E" w:rsidRPr="006774AA">
        <w:t> </w:t>
      </w:r>
      <w:r w:rsidRPr="006774AA">
        <w:t>1.6.5.21</w:t>
      </w:r>
      <w:r w:rsidRPr="006774AA">
        <w:tab/>
        <w:t>Les certificats d’agrément des véhicules EX/III destinés au transport de matières explosibles en citerne qui ont été établis conformément aux prescriptions du 9.1.3.3 applicables jusqu’au 31 décembre 2018 et délivrés avant le 1er juillet 2019 et sur lesquels ne figure aucune mention relative à la conformité du véhicule avec le 9.7.9 peuvent être utilisés jusqu’à la prochaine visite technique annuelle du véhicule.</w:t>
      </w:r>
      <w:r w:rsidR="00E70B2E" w:rsidRPr="006774AA">
        <w:t> </w:t>
      </w:r>
      <w:r w:rsidRPr="006774AA">
        <w:t>».</w:t>
      </w:r>
    </w:p>
    <w:p w14:paraId="13F14CA1" w14:textId="3273476D" w:rsidR="00E70B2E" w:rsidRPr="00FB1878" w:rsidRDefault="00E70B2E" w:rsidP="00E70B2E">
      <w:pPr>
        <w:pStyle w:val="SingleTxtG"/>
        <w:tabs>
          <w:tab w:val="left" w:pos="2268"/>
        </w:tabs>
        <w:rPr>
          <w:lang w:val="fr-FR"/>
        </w:rPr>
      </w:pPr>
      <w:r w:rsidRPr="00FB1878">
        <w:rPr>
          <w:lang w:val="fr-FR"/>
        </w:rPr>
        <w:t>« 1.6.5.22</w:t>
      </w:r>
      <w:r w:rsidRPr="00FB1878">
        <w:rPr>
          <w:lang w:val="fr-FR"/>
        </w:rPr>
        <w:tab/>
        <w:t>Les véhicules immatriculés pour la première fois (ou mis en circulation, si l’immatriculation n’est pas obligatoire) avant le 1er janvier 2021 qui sont conformes aux prescriptions du 9.7.3 applicables jusqu’au 31 décembre 2018, mais qui ne sont pas</w:t>
      </w:r>
      <w:r w:rsidRPr="00FB1878" w:rsidDel="004E5308">
        <w:rPr>
          <w:lang w:val="fr-FR"/>
        </w:rPr>
        <w:t xml:space="preserve"> </w:t>
      </w:r>
      <w:r w:rsidRPr="00FB1878">
        <w:rPr>
          <w:lang w:val="fr-FR"/>
        </w:rPr>
        <w:t>conformes aux prescriptions du 9.7.3 applicables à compter du 1er janvier 2019, pourront encore être utilisés. ».</w:t>
      </w:r>
    </w:p>
    <w:p w14:paraId="6DC14007" w14:textId="491C67CC" w:rsidR="00A72211" w:rsidRPr="00386524" w:rsidRDefault="00A72211" w:rsidP="00A72211">
      <w:pPr>
        <w:pStyle w:val="H1G"/>
        <w:rPr>
          <w:lang w:val="fr-FR"/>
        </w:rPr>
      </w:pPr>
      <w:r w:rsidRPr="00386524">
        <w:rPr>
          <w:lang w:val="fr-FR"/>
        </w:rPr>
        <w:tab/>
      </w:r>
      <w:r w:rsidRPr="00386524">
        <w:rPr>
          <w:lang w:val="fr-FR"/>
        </w:rPr>
        <w:tab/>
        <w:t>Chapitre 1.7</w:t>
      </w:r>
    </w:p>
    <w:p w14:paraId="49990F57" w14:textId="5C116BF8" w:rsidR="005B49E9" w:rsidRPr="00386524" w:rsidRDefault="005B49E9" w:rsidP="005B49E9">
      <w:pPr>
        <w:pStyle w:val="SingleTxtG"/>
        <w:rPr>
          <w:lang w:val="fr-FR"/>
        </w:rPr>
      </w:pPr>
      <w:r w:rsidRPr="00386524">
        <w:rPr>
          <w:lang w:val="fr-FR"/>
        </w:rPr>
        <w:t xml:space="preserve">1.7.1.1 </w:t>
      </w:r>
      <w:r w:rsidRPr="00386524">
        <w:rPr>
          <w:lang w:val="fr-FR"/>
        </w:rPr>
        <w:tab/>
        <w:t>Remplacer «</w:t>
      </w:r>
      <w:r w:rsidR="00867522" w:rsidRPr="00386524">
        <w:rPr>
          <w:lang w:val="fr-FR"/>
        </w:rPr>
        <w:t> </w:t>
      </w:r>
      <w:r w:rsidRPr="00386524">
        <w:rPr>
          <w:lang w:val="fr-FR"/>
        </w:rPr>
        <w:t>des risques radiologiques, des risques de criticité et des risques thermiques</w:t>
      </w:r>
      <w:r w:rsidR="00867522" w:rsidRPr="00386524">
        <w:rPr>
          <w:lang w:val="fr-FR"/>
        </w:rPr>
        <w:t> </w:t>
      </w:r>
      <w:r w:rsidRPr="00386524">
        <w:rPr>
          <w:lang w:val="fr-FR"/>
        </w:rPr>
        <w:t>» par «</w:t>
      </w:r>
      <w:r w:rsidR="00867522" w:rsidRPr="00386524">
        <w:rPr>
          <w:lang w:val="fr-FR"/>
        </w:rPr>
        <w:t> </w:t>
      </w:r>
      <w:r w:rsidRPr="00386524">
        <w:rPr>
          <w:lang w:val="fr-FR"/>
        </w:rPr>
        <w:t>des dangers radiologiques, des dangers de criticité et des dangers thermiques</w:t>
      </w:r>
      <w:r w:rsidR="00867522" w:rsidRPr="00386524">
        <w:rPr>
          <w:lang w:val="fr-FR"/>
        </w:rPr>
        <w:t> </w:t>
      </w:r>
      <w:r w:rsidRPr="00386524">
        <w:rPr>
          <w:lang w:val="fr-FR"/>
        </w:rPr>
        <w:t>».</w:t>
      </w:r>
    </w:p>
    <w:p w14:paraId="7B7C40F2" w14:textId="22B43E85" w:rsidR="005B49E9" w:rsidRPr="00386524" w:rsidRDefault="005B49E9" w:rsidP="005B49E9">
      <w:pPr>
        <w:pStyle w:val="SingleTxtG"/>
        <w:rPr>
          <w:lang w:val="fr-FR"/>
        </w:rPr>
      </w:pPr>
      <w:r w:rsidRPr="00386524">
        <w:rPr>
          <w:lang w:val="fr-FR"/>
        </w:rPr>
        <w:t>1.7.1.2</w:t>
      </w:r>
      <w:r w:rsidRPr="00386524">
        <w:rPr>
          <w:lang w:val="fr-FR"/>
        </w:rPr>
        <w:tab/>
      </w:r>
      <w:r w:rsidR="00B26115" w:rsidRPr="00386524">
        <w:rPr>
          <w:lang w:val="fr-FR"/>
        </w:rPr>
        <w:tab/>
      </w:r>
      <w:r w:rsidRPr="00386524">
        <w:rPr>
          <w:lang w:val="fr-FR"/>
        </w:rPr>
        <w:t>Dans le dernier paragraphe, remplacer «</w:t>
      </w:r>
      <w:r w:rsidR="00867522" w:rsidRPr="00386524">
        <w:rPr>
          <w:lang w:val="fr-FR"/>
        </w:rPr>
        <w:t> </w:t>
      </w:r>
      <w:r w:rsidRPr="00386524">
        <w:rPr>
          <w:lang w:val="fr-FR"/>
        </w:rPr>
        <w:t>le risque que présente le contenu radioactif</w:t>
      </w:r>
      <w:r w:rsidR="00867522" w:rsidRPr="00386524">
        <w:rPr>
          <w:lang w:val="fr-FR"/>
        </w:rPr>
        <w:t> </w:t>
      </w:r>
      <w:r w:rsidRPr="00386524">
        <w:rPr>
          <w:lang w:val="fr-FR"/>
        </w:rPr>
        <w:t>» par «</w:t>
      </w:r>
      <w:r w:rsidR="00867522" w:rsidRPr="00386524">
        <w:rPr>
          <w:lang w:val="fr-FR"/>
        </w:rPr>
        <w:t> </w:t>
      </w:r>
      <w:r w:rsidRPr="00386524">
        <w:rPr>
          <w:lang w:val="fr-FR"/>
        </w:rPr>
        <w:t>le danger que présente le contenu radioactif</w:t>
      </w:r>
      <w:r w:rsidR="00867522" w:rsidRPr="00386524">
        <w:rPr>
          <w:lang w:val="fr-FR"/>
        </w:rPr>
        <w:t> </w:t>
      </w:r>
      <w:r w:rsidRPr="00386524">
        <w:rPr>
          <w:lang w:val="fr-FR"/>
        </w:rPr>
        <w:t>».</w:t>
      </w:r>
    </w:p>
    <w:p w14:paraId="56EE2234" w14:textId="700C1CBC" w:rsidR="005B49E9" w:rsidRPr="00386524" w:rsidRDefault="005B49E9" w:rsidP="005B49E9">
      <w:pPr>
        <w:spacing w:before="120" w:after="120" w:line="240" w:lineRule="auto"/>
        <w:ind w:left="1134" w:right="1134"/>
        <w:jc w:val="both"/>
        <w:rPr>
          <w:iCs/>
          <w:lang w:val="fr-FR"/>
        </w:rPr>
      </w:pPr>
      <w:r w:rsidRPr="00386524">
        <w:rPr>
          <w:lang w:val="fr-FR"/>
        </w:rPr>
        <w:t>1.7.5</w:t>
      </w:r>
      <w:r w:rsidRPr="00386524">
        <w:rPr>
          <w:lang w:val="fr-FR"/>
        </w:rPr>
        <w:tab/>
        <w:t>Dans la première phrase, remplacer «</w:t>
      </w:r>
      <w:r w:rsidR="00867522" w:rsidRPr="00386524">
        <w:rPr>
          <w:lang w:val="fr-FR"/>
        </w:rPr>
        <w:t> </w:t>
      </w:r>
      <w:r w:rsidRPr="00386524">
        <w:rPr>
          <w:lang w:val="fr-FR"/>
        </w:rPr>
        <w:t>risque subsidiaire</w:t>
      </w:r>
      <w:r w:rsidR="00867522" w:rsidRPr="00386524">
        <w:rPr>
          <w:lang w:val="fr-FR"/>
        </w:rPr>
        <w:t> </w:t>
      </w:r>
      <w:r w:rsidRPr="00386524">
        <w:rPr>
          <w:lang w:val="fr-FR"/>
        </w:rPr>
        <w:t>» par «</w:t>
      </w:r>
      <w:r w:rsidR="00867522" w:rsidRPr="00386524">
        <w:rPr>
          <w:lang w:val="fr-FR"/>
        </w:rPr>
        <w:t> </w:t>
      </w:r>
      <w:r w:rsidRPr="00386524">
        <w:rPr>
          <w:lang w:val="fr-FR"/>
        </w:rPr>
        <w:t>danger subsidiaire</w:t>
      </w:r>
      <w:r w:rsidR="00867522" w:rsidRPr="00386524">
        <w:rPr>
          <w:lang w:val="fr-FR"/>
        </w:rPr>
        <w:t> </w:t>
      </w:r>
      <w:r w:rsidRPr="00386524">
        <w:rPr>
          <w:lang w:val="fr-FR"/>
        </w:rPr>
        <w:t>».</w:t>
      </w:r>
    </w:p>
    <w:p w14:paraId="6EB5E814" w14:textId="77777777" w:rsidR="007F62A9" w:rsidRPr="006774AA" w:rsidRDefault="007F62A9" w:rsidP="007F62A9">
      <w:pPr>
        <w:pStyle w:val="H1G"/>
      </w:pPr>
      <w:r w:rsidRPr="006774AA">
        <w:tab/>
      </w:r>
      <w:r w:rsidRPr="006774AA">
        <w:tab/>
        <w:t>Chapitre 1.8</w:t>
      </w:r>
    </w:p>
    <w:p w14:paraId="53954452" w14:textId="2195420F" w:rsidR="007F62A9" w:rsidRPr="006774AA" w:rsidRDefault="007F62A9" w:rsidP="00F82E78">
      <w:pPr>
        <w:pStyle w:val="SingleTxtG"/>
        <w:tabs>
          <w:tab w:val="left" w:pos="2268"/>
        </w:tabs>
        <w:rPr>
          <w:lang w:val="fr-FR"/>
        </w:rPr>
      </w:pPr>
      <w:r w:rsidRPr="006774AA">
        <w:rPr>
          <w:lang w:val="fr-FR"/>
        </w:rPr>
        <w:t>1.8.3.1</w:t>
      </w:r>
      <w:r w:rsidRPr="006774AA">
        <w:rPr>
          <w:lang w:val="fr-FR"/>
        </w:rPr>
        <w:tab/>
        <w:t>Après «</w:t>
      </w:r>
      <w:r w:rsidR="00595819" w:rsidRPr="006774AA">
        <w:rPr>
          <w:lang w:val="fr-FR"/>
        </w:rPr>
        <w:t> </w:t>
      </w:r>
      <w:r w:rsidRPr="006774AA">
        <w:rPr>
          <w:lang w:val="fr-FR"/>
        </w:rPr>
        <w:t>dont l’activité comporte</w:t>
      </w:r>
      <w:r w:rsidR="00595819" w:rsidRPr="006774AA">
        <w:rPr>
          <w:lang w:val="fr-FR"/>
        </w:rPr>
        <w:t xml:space="preserve"> », insérer </w:t>
      </w:r>
      <w:r w:rsidRPr="006774AA">
        <w:rPr>
          <w:lang w:val="fr-FR"/>
        </w:rPr>
        <w:t>«</w:t>
      </w:r>
      <w:r w:rsidR="00595819" w:rsidRPr="006774AA">
        <w:rPr>
          <w:lang w:val="fr-FR"/>
        </w:rPr>
        <w:t> </w:t>
      </w:r>
      <w:r w:rsidRPr="006774AA">
        <w:rPr>
          <w:lang w:val="fr-FR"/>
        </w:rPr>
        <w:t>l’expédition,</w:t>
      </w:r>
      <w:r w:rsidR="00595819" w:rsidRPr="006774AA">
        <w:rPr>
          <w:lang w:val="fr-FR"/>
        </w:rPr>
        <w:t> </w:t>
      </w:r>
      <w:r w:rsidRPr="006774AA">
        <w:rPr>
          <w:lang w:val="fr-FR"/>
        </w:rPr>
        <w:t>».</w:t>
      </w:r>
    </w:p>
    <w:p w14:paraId="206ADDC6" w14:textId="340F21A8" w:rsidR="007F62A9" w:rsidRPr="006774AA" w:rsidRDefault="007F62A9" w:rsidP="00F82E78">
      <w:pPr>
        <w:pStyle w:val="SingleTxtG"/>
        <w:tabs>
          <w:tab w:val="left" w:pos="2268"/>
        </w:tabs>
        <w:rPr>
          <w:lang w:val="fr-FR"/>
        </w:rPr>
      </w:pPr>
      <w:r w:rsidRPr="006774AA">
        <w:rPr>
          <w:lang w:val="fr-FR"/>
        </w:rPr>
        <w:t>1.8.3.2</w:t>
      </w:r>
      <w:r w:rsidRPr="006774AA">
        <w:rPr>
          <w:lang w:val="fr-FR"/>
        </w:rPr>
        <w:tab/>
        <w:t>À l’alinéa a), remplacer «</w:t>
      </w:r>
      <w:r w:rsidR="00C04215" w:rsidRPr="006774AA">
        <w:rPr>
          <w:lang w:val="fr-FR"/>
        </w:rPr>
        <w:t> </w:t>
      </w:r>
      <w:r w:rsidRPr="006774AA">
        <w:rPr>
          <w:lang w:val="fr-FR"/>
        </w:rPr>
        <w:t>situées en deçà des seuils</w:t>
      </w:r>
      <w:r w:rsidR="00C04215" w:rsidRPr="006774AA">
        <w:rPr>
          <w:lang w:val="fr-FR"/>
        </w:rPr>
        <w:t> </w:t>
      </w:r>
      <w:r w:rsidRPr="006774AA">
        <w:rPr>
          <w:lang w:val="fr-FR"/>
        </w:rPr>
        <w:t>» par «</w:t>
      </w:r>
      <w:r w:rsidR="00C04215" w:rsidRPr="006774AA">
        <w:rPr>
          <w:lang w:val="fr-FR"/>
        </w:rPr>
        <w:t> </w:t>
      </w:r>
      <w:r w:rsidRPr="006774AA">
        <w:rPr>
          <w:lang w:val="fr-FR"/>
        </w:rPr>
        <w:t>ne dépassant pas les seuils</w:t>
      </w:r>
      <w:r w:rsidR="00C04215" w:rsidRPr="006774AA">
        <w:rPr>
          <w:lang w:val="fr-FR"/>
        </w:rPr>
        <w:t> </w:t>
      </w:r>
      <w:r w:rsidRPr="006774AA">
        <w:rPr>
          <w:lang w:val="fr-FR"/>
        </w:rPr>
        <w:t>».</w:t>
      </w:r>
    </w:p>
    <w:p w14:paraId="3ECAC28E" w14:textId="7B5DB5B5" w:rsidR="007F62A9" w:rsidRPr="006774AA" w:rsidRDefault="007F62A9" w:rsidP="00F82E78">
      <w:pPr>
        <w:pStyle w:val="SingleTxtG"/>
        <w:tabs>
          <w:tab w:val="left" w:pos="2268"/>
        </w:tabs>
        <w:rPr>
          <w:lang w:val="fr-FR"/>
        </w:rPr>
      </w:pPr>
      <w:r w:rsidRPr="006774AA">
        <w:rPr>
          <w:lang w:val="fr-FR"/>
        </w:rPr>
        <w:t>1.8.3.3</w:t>
      </w:r>
      <w:r w:rsidRPr="006774AA">
        <w:rPr>
          <w:lang w:val="fr-FR"/>
        </w:rPr>
        <w:tab/>
        <w:t>Dans le deuxième paragraphe, au neuvième tiret, après «</w:t>
      </w:r>
      <w:r w:rsidR="00C04215" w:rsidRPr="006774AA">
        <w:rPr>
          <w:lang w:val="fr-FR"/>
        </w:rPr>
        <w:t> </w:t>
      </w:r>
      <w:r w:rsidRPr="006774AA">
        <w:rPr>
          <w:lang w:val="fr-FR"/>
        </w:rPr>
        <w:t>le personnel affecté</w:t>
      </w:r>
      <w:r w:rsidR="00C04215" w:rsidRPr="006774AA">
        <w:rPr>
          <w:lang w:val="fr-FR"/>
        </w:rPr>
        <w:t> </w:t>
      </w:r>
      <w:r w:rsidR="00AC211C" w:rsidRPr="006774AA">
        <w:rPr>
          <w:lang w:val="fr-FR"/>
        </w:rPr>
        <w:t>», insérer</w:t>
      </w:r>
      <w:r w:rsidRPr="006774AA">
        <w:rPr>
          <w:lang w:val="fr-FR"/>
        </w:rPr>
        <w:t xml:space="preserve"> «</w:t>
      </w:r>
      <w:r w:rsidR="00C04215" w:rsidRPr="006774AA">
        <w:rPr>
          <w:lang w:val="fr-FR"/>
        </w:rPr>
        <w:t> </w:t>
      </w:r>
      <w:r w:rsidRPr="006774AA">
        <w:rPr>
          <w:lang w:val="fr-FR"/>
        </w:rPr>
        <w:t>à l’expédition,</w:t>
      </w:r>
      <w:r w:rsidR="00C04215" w:rsidRPr="006774AA">
        <w:rPr>
          <w:lang w:val="fr-FR"/>
        </w:rPr>
        <w:t> </w:t>
      </w:r>
      <w:r w:rsidRPr="006774AA">
        <w:rPr>
          <w:lang w:val="fr-FR"/>
        </w:rPr>
        <w:t>».</w:t>
      </w:r>
    </w:p>
    <w:p w14:paraId="0396A253" w14:textId="26EB8B7B" w:rsidR="007F62A9" w:rsidRPr="006774AA" w:rsidRDefault="007F62A9" w:rsidP="00F82E78">
      <w:pPr>
        <w:pStyle w:val="SingleTxtG"/>
        <w:tabs>
          <w:tab w:val="left" w:pos="2268"/>
        </w:tabs>
        <w:rPr>
          <w:lang w:val="fr-FR"/>
        </w:rPr>
      </w:pPr>
      <w:r w:rsidRPr="006774AA">
        <w:rPr>
          <w:lang w:val="fr-FR"/>
        </w:rPr>
        <w:t>1.8.3.18</w:t>
      </w:r>
      <w:r w:rsidRPr="006774AA">
        <w:rPr>
          <w:lang w:val="fr-FR"/>
        </w:rPr>
        <w:tab/>
        <w:t>Dans la huitième rubrique du modèle de certificat («</w:t>
      </w:r>
      <w:r w:rsidR="00AC211C" w:rsidRPr="006774AA">
        <w:rPr>
          <w:lang w:val="fr-FR"/>
        </w:rPr>
        <w:t> </w:t>
      </w:r>
      <w:r w:rsidRPr="006774AA">
        <w:rPr>
          <w:lang w:val="fr-FR"/>
        </w:rPr>
        <w:t>Valable jusqu’au …</w:t>
      </w:r>
      <w:r w:rsidR="00AC211C" w:rsidRPr="006774AA">
        <w:rPr>
          <w:lang w:val="fr-FR"/>
        </w:rPr>
        <w:t> </w:t>
      </w:r>
      <w:r w:rsidRPr="006774AA">
        <w:rPr>
          <w:lang w:val="fr-FR"/>
        </w:rPr>
        <w:t>»), après «</w:t>
      </w:r>
      <w:r w:rsidR="00AC211C" w:rsidRPr="006774AA">
        <w:rPr>
          <w:lang w:val="fr-FR"/>
        </w:rPr>
        <w:t> </w:t>
      </w:r>
      <w:r w:rsidRPr="006774AA">
        <w:rPr>
          <w:lang w:val="fr-FR"/>
        </w:rPr>
        <w:t>des opérations</w:t>
      </w:r>
      <w:r w:rsidR="00AC211C" w:rsidRPr="006774AA">
        <w:rPr>
          <w:lang w:val="fr-FR"/>
        </w:rPr>
        <w:t> », insérer</w:t>
      </w:r>
      <w:r w:rsidRPr="006774AA">
        <w:rPr>
          <w:lang w:val="fr-FR"/>
        </w:rPr>
        <w:t xml:space="preserve"> «</w:t>
      </w:r>
      <w:r w:rsidR="00AC211C" w:rsidRPr="006774AA">
        <w:rPr>
          <w:lang w:val="fr-FR"/>
        </w:rPr>
        <w:t> </w:t>
      </w:r>
      <w:r w:rsidRPr="006774AA">
        <w:rPr>
          <w:lang w:val="fr-FR"/>
        </w:rPr>
        <w:t>d’expédition,</w:t>
      </w:r>
      <w:r w:rsidR="00AC211C" w:rsidRPr="006774AA">
        <w:rPr>
          <w:lang w:val="fr-FR"/>
        </w:rPr>
        <w:t> </w:t>
      </w:r>
      <w:r w:rsidRPr="006774AA">
        <w:rPr>
          <w:lang w:val="fr-FR"/>
        </w:rPr>
        <w:t>».</w:t>
      </w:r>
    </w:p>
    <w:p w14:paraId="70D48BFE" w14:textId="77777777" w:rsidR="00E70B2E" w:rsidRPr="00FB1878" w:rsidRDefault="00E70B2E" w:rsidP="00F82E78">
      <w:pPr>
        <w:pStyle w:val="SingleTxtG"/>
        <w:tabs>
          <w:tab w:val="left" w:pos="2268"/>
        </w:tabs>
        <w:rPr>
          <w:lang w:val="fr-FR"/>
        </w:rPr>
      </w:pPr>
      <w:r w:rsidRPr="00FB1878">
        <w:rPr>
          <w:lang w:val="fr-FR"/>
        </w:rPr>
        <w:t>1.8.3</w:t>
      </w:r>
      <w:r w:rsidRPr="00FB1878">
        <w:rPr>
          <w:lang w:val="fr-FR"/>
        </w:rPr>
        <w:tab/>
        <w:t>Insérer la nouvelle sous-section 1.8.3.19 suivante :</w:t>
      </w:r>
    </w:p>
    <w:p w14:paraId="250B7793" w14:textId="77777777" w:rsidR="00E70B2E" w:rsidRPr="00FB1878" w:rsidRDefault="00E70B2E" w:rsidP="00F82E78">
      <w:pPr>
        <w:pStyle w:val="SingleTxtG"/>
        <w:tabs>
          <w:tab w:val="left" w:pos="2268"/>
        </w:tabs>
        <w:rPr>
          <w:i/>
          <w:lang w:val="fr-FR"/>
        </w:rPr>
      </w:pPr>
      <w:r w:rsidRPr="00FB1878">
        <w:rPr>
          <w:lang w:val="fr-FR"/>
        </w:rPr>
        <w:t>« 1.8.3.19</w:t>
      </w:r>
      <w:r w:rsidRPr="00FB1878">
        <w:rPr>
          <w:lang w:val="fr-FR"/>
        </w:rPr>
        <w:tab/>
      </w:r>
      <w:r w:rsidRPr="00FB1878">
        <w:rPr>
          <w:i/>
          <w:lang w:val="fr-FR"/>
        </w:rPr>
        <w:t>Extension du certificat</w:t>
      </w:r>
    </w:p>
    <w:p w14:paraId="43F7163F" w14:textId="77777777" w:rsidR="00E70B2E" w:rsidRPr="00FB1878" w:rsidRDefault="00E70B2E" w:rsidP="00E70B2E">
      <w:pPr>
        <w:pStyle w:val="SingleTxtG"/>
        <w:tabs>
          <w:tab w:val="left" w:pos="2552"/>
        </w:tabs>
        <w:rPr>
          <w:lang w:val="fr-FR"/>
        </w:rPr>
      </w:pPr>
      <w:r w:rsidRPr="00FB1878">
        <w:rPr>
          <w:lang w:val="fr-FR"/>
        </w:rPr>
        <w:t>Lorsqu’un conseiller étend le champ d’application de son certificat pendant sa durée de validité, en répondant aux prescriptions du 1.8.3.16.2, la durée de validité du nouveau certificat reste celle du certificat précédent. ».</w:t>
      </w:r>
    </w:p>
    <w:p w14:paraId="038665AB" w14:textId="55CF75A1" w:rsidR="00E70B2E" w:rsidRPr="00FB1878" w:rsidRDefault="00E70B2E" w:rsidP="00E70B2E">
      <w:pPr>
        <w:pStyle w:val="H1G"/>
      </w:pPr>
      <w:r w:rsidRPr="00FB1878">
        <w:lastRenderedPageBreak/>
        <w:tab/>
      </w:r>
      <w:r w:rsidRPr="00FB1878">
        <w:tab/>
      </w:r>
      <w:r w:rsidR="007113F3" w:rsidRPr="00FB1878">
        <w:t xml:space="preserve">Chapitre </w:t>
      </w:r>
      <w:r w:rsidRPr="00FB1878">
        <w:t>1.9</w:t>
      </w:r>
    </w:p>
    <w:p w14:paraId="55F708CB" w14:textId="415AB505" w:rsidR="00E70B2E" w:rsidRPr="00FB1878" w:rsidRDefault="00E70B2E" w:rsidP="00E70B2E">
      <w:pPr>
        <w:pStyle w:val="SingleTxtG"/>
        <w:rPr>
          <w:lang w:val="fr-FR"/>
        </w:rPr>
      </w:pPr>
      <w:r w:rsidRPr="00FB1878">
        <w:rPr>
          <w:lang w:val="fr-FR"/>
        </w:rPr>
        <w:t>1.9.5.2.2</w:t>
      </w:r>
      <w:r w:rsidRPr="00FB1878">
        <w:rPr>
          <w:lang w:val="fr-FR"/>
        </w:rPr>
        <w:tab/>
        <w:t>Pour la catégorie de tunnel B, dans la première ligne du tableau, insérer une nouvelle rubrique après « Classe 1: Groupes de Compatibilité A et L; » pour lire comme suit : « Classe 2: No. ONU 3529; ».</w:t>
      </w:r>
    </w:p>
    <w:p w14:paraId="3DBA47E1" w14:textId="72C373AC" w:rsidR="00E70B2E" w:rsidRPr="00FB1878" w:rsidRDefault="00E70B2E" w:rsidP="00E70B2E">
      <w:pPr>
        <w:pStyle w:val="SingleTxtG"/>
        <w:rPr>
          <w:lang w:val="fr-FR"/>
        </w:rPr>
      </w:pPr>
      <w:r w:rsidRPr="00FB1878">
        <w:rPr>
          <w:lang w:val="fr-FR"/>
        </w:rPr>
        <w:t>1.9.5.2.2</w:t>
      </w:r>
      <w:r w:rsidRPr="00FB1878">
        <w:rPr>
          <w:lang w:val="fr-FR"/>
        </w:rPr>
        <w:tab/>
        <w:t>Pour la catégorie de tunnel D, dans la première ligne du tableau, insérer une nouvelle rubrique après « Classe 2: Codes de classifications F, FC, T, TF, TC, TO, TFC et TOC; » pour lire comme suit : « Classe 3: No. ONU 3528; ».</w:t>
      </w:r>
    </w:p>
    <w:p w14:paraId="7DCB57D5" w14:textId="411CC2C7" w:rsidR="00A72211" w:rsidRPr="00386524" w:rsidRDefault="00A72211" w:rsidP="00A72211">
      <w:pPr>
        <w:pStyle w:val="H1G"/>
        <w:rPr>
          <w:lang w:val="fr-FR"/>
        </w:rPr>
      </w:pPr>
      <w:r w:rsidRPr="00386524">
        <w:rPr>
          <w:lang w:val="fr-FR"/>
        </w:rPr>
        <w:tab/>
      </w:r>
      <w:r w:rsidRPr="00386524">
        <w:rPr>
          <w:lang w:val="fr-FR"/>
        </w:rPr>
        <w:tab/>
        <w:t>Chapitre 1.10</w:t>
      </w:r>
    </w:p>
    <w:p w14:paraId="37E3A468" w14:textId="2C95259E" w:rsidR="00196C06" w:rsidRPr="00386524" w:rsidRDefault="00A72211" w:rsidP="00B76415">
      <w:pPr>
        <w:tabs>
          <w:tab w:val="left" w:pos="2268"/>
        </w:tabs>
        <w:spacing w:before="120" w:after="120" w:line="240" w:lineRule="auto"/>
        <w:ind w:left="1134" w:right="1134"/>
        <w:jc w:val="both"/>
        <w:rPr>
          <w:lang w:val="fr-FR"/>
        </w:rPr>
      </w:pPr>
      <w:r w:rsidRPr="00386524">
        <w:rPr>
          <w:lang w:val="fr-FR"/>
        </w:rPr>
        <w:t>1.10.3</w:t>
      </w:r>
      <w:r w:rsidR="00196C06" w:rsidRPr="00386524">
        <w:rPr>
          <w:lang w:val="fr-FR"/>
        </w:rPr>
        <w:tab/>
        <w:t xml:space="preserve">Ajouter le nouveau Nota suivant </w:t>
      </w:r>
      <w:r w:rsidRPr="00386524">
        <w:rPr>
          <w:lang w:val="fr-FR"/>
        </w:rPr>
        <w:t>après le titre</w:t>
      </w:r>
      <w:r w:rsidR="00196C06" w:rsidRPr="00386524">
        <w:rPr>
          <w:lang w:val="fr-FR"/>
        </w:rPr>
        <w:t>:</w:t>
      </w:r>
    </w:p>
    <w:p w14:paraId="3326E93F" w14:textId="3A4EFBF2" w:rsidR="00196C06" w:rsidRPr="00386524" w:rsidRDefault="00196C06" w:rsidP="00867522">
      <w:pPr>
        <w:pStyle w:val="SingleTxtG"/>
        <w:rPr>
          <w:lang w:val="fr-FR"/>
        </w:rPr>
      </w:pPr>
      <w:r w:rsidRPr="00386524">
        <w:rPr>
          <w:iCs/>
          <w:lang w:val="fr-FR"/>
        </w:rPr>
        <w:t>«</w:t>
      </w:r>
      <w:r w:rsidR="00867522" w:rsidRPr="00386524">
        <w:rPr>
          <w:lang w:val="fr-FR"/>
        </w:rPr>
        <w:t> </w:t>
      </w:r>
      <w:r w:rsidRPr="00386524">
        <w:rPr>
          <w:b/>
          <w:i/>
          <w:iCs/>
          <w:lang w:val="fr-FR"/>
        </w:rPr>
        <w:t>NOTA:</w:t>
      </w:r>
      <w:r w:rsidRPr="00386524">
        <w:rPr>
          <w:i/>
          <w:iCs/>
          <w:lang w:val="fr-FR"/>
        </w:rPr>
        <w:t xml:space="preserve"> </w:t>
      </w:r>
      <w:r w:rsidR="001218B6" w:rsidRPr="00386524">
        <w:rPr>
          <w:i/>
          <w:iCs/>
          <w:lang w:val="fr-FR"/>
        </w:rPr>
        <w:tab/>
      </w:r>
      <w:r w:rsidRPr="00386524">
        <w:rPr>
          <w:i/>
          <w:iCs/>
          <w:lang w:val="fr-FR"/>
        </w:rPr>
        <w:t xml:space="preserve">En plus des dispositions de </w:t>
      </w:r>
      <w:r w:rsidRPr="00386524">
        <w:rPr>
          <w:i/>
          <w:lang w:val="fr-FR"/>
        </w:rPr>
        <w:t xml:space="preserve">sûreté </w:t>
      </w:r>
      <w:r w:rsidR="00386524" w:rsidRPr="00386524">
        <w:rPr>
          <w:i/>
          <w:iCs/>
          <w:lang w:val="fr-FR"/>
        </w:rPr>
        <w:t>de l’ADR</w:t>
      </w:r>
      <w:r w:rsidRPr="00386524">
        <w:rPr>
          <w:i/>
          <w:iCs/>
          <w:lang w:val="fr-FR"/>
        </w:rPr>
        <w:t xml:space="preserve">, les autorités compétentes peuvent mettre en œuvre d’autres dispositions de </w:t>
      </w:r>
      <w:r w:rsidRPr="00386524">
        <w:rPr>
          <w:i/>
          <w:lang w:val="fr-FR"/>
        </w:rPr>
        <w:t xml:space="preserve">sûreté </w:t>
      </w:r>
      <w:r w:rsidRPr="00386524">
        <w:rPr>
          <w:i/>
          <w:iCs/>
          <w:lang w:val="fr-FR"/>
        </w:rPr>
        <w:t>pour des raisons autres que la sécurité pendant le transport</w:t>
      </w:r>
      <w:r w:rsidR="00A72211" w:rsidRPr="00386524">
        <w:rPr>
          <w:i/>
          <w:iCs/>
          <w:lang w:val="fr-FR"/>
        </w:rPr>
        <w:t xml:space="preserve"> (voir également l’article 4</w:t>
      </w:r>
      <w:r w:rsidR="004178BD" w:rsidRPr="00386524">
        <w:rPr>
          <w:i/>
          <w:iCs/>
          <w:lang w:val="fr-FR"/>
        </w:rPr>
        <w:t>, paragraphe 1,</w:t>
      </w:r>
      <w:r w:rsidR="00A72211" w:rsidRPr="00386524">
        <w:rPr>
          <w:i/>
          <w:iCs/>
          <w:lang w:val="fr-FR"/>
        </w:rPr>
        <w:t xml:space="preserve"> de l’Accord)</w:t>
      </w:r>
      <w:r w:rsidRPr="00386524">
        <w:rPr>
          <w:i/>
          <w:iCs/>
          <w:lang w:val="fr-FR"/>
        </w:rPr>
        <w:t xml:space="preserve">. Afin de ne pas entraver le transport international et multimodal par </w:t>
      </w:r>
      <w:r w:rsidR="0037666B" w:rsidRPr="00386524">
        <w:rPr>
          <w:i/>
          <w:iCs/>
          <w:lang w:val="fr-FR"/>
        </w:rPr>
        <w:t>différentes marques</w:t>
      </w:r>
      <w:r w:rsidRPr="00386524">
        <w:rPr>
          <w:i/>
          <w:iCs/>
          <w:lang w:val="fr-FR"/>
        </w:rPr>
        <w:t xml:space="preserve"> de </w:t>
      </w:r>
      <w:r w:rsidRPr="00386524">
        <w:rPr>
          <w:i/>
          <w:lang w:val="fr-FR"/>
        </w:rPr>
        <w:t xml:space="preserve">sûreté </w:t>
      </w:r>
      <w:r w:rsidRPr="00386524">
        <w:rPr>
          <w:i/>
          <w:iCs/>
          <w:lang w:val="fr-FR"/>
        </w:rPr>
        <w:t>des explosifs, il est recommandé que le format de ces marques soient conformes à une norme harmonisée au niveau international (par exemple directive 2008/43/CE de la Commission européenne).</w:t>
      </w:r>
      <w:r w:rsidR="00867522" w:rsidRPr="00386524">
        <w:rPr>
          <w:lang w:val="fr-FR"/>
        </w:rPr>
        <w:t> </w:t>
      </w:r>
      <w:r w:rsidR="004C1C06" w:rsidRPr="00386524">
        <w:rPr>
          <w:iCs/>
          <w:lang w:val="fr-FR"/>
        </w:rPr>
        <w:t>».</w:t>
      </w:r>
    </w:p>
    <w:p w14:paraId="07C8F1CB" w14:textId="31DEE258" w:rsidR="003778F9" w:rsidRPr="00964098" w:rsidRDefault="003778F9" w:rsidP="003778F9">
      <w:pPr>
        <w:pStyle w:val="SingleTxtG"/>
      </w:pPr>
      <w:r w:rsidRPr="00964098">
        <w:t>1.10.3.1.2</w:t>
      </w:r>
      <w:r w:rsidRPr="00964098">
        <w:tab/>
        <w:t>Dans le tableau</w:t>
      </w:r>
      <w:r w:rsidR="00740E65">
        <w:t xml:space="preserve"> 1.10.3.1.2</w:t>
      </w:r>
      <w:r w:rsidRPr="00964098">
        <w:t>, dans la colonne « Matières ou objets », modifier le texte de la première ligne pour la classe 2 pour lire comme suit : « Gaz inflammables, non toxiques, (codes de classification comprenant uniquement les lettres F ou FC) ».</w:t>
      </w:r>
    </w:p>
    <w:p w14:paraId="2F47D570" w14:textId="4F43D060" w:rsidR="00B26115" w:rsidRPr="002B1D62" w:rsidRDefault="00B26115" w:rsidP="00B26115">
      <w:pPr>
        <w:spacing w:before="120" w:after="120" w:line="240" w:lineRule="auto"/>
        <w:ind w:left="1134" w:right="1134"/>
        <w:jc w:val="both"/>
        <w:rPr>
          <w:lang w:val="fr-FR"/>
        </w:rPr>
      </w:pPr>
      <w:r w:rsidRPr="002B1D62">
        <w:rPr>
          <w:iCs/>
          <w:lang w:val="fr-FR"/>
        </w:rPr>
        <w:t>1.10.3.1.5</w:t>
      </w:r>
      <w:r w:rsidRPr="002B1D62">
        <w:rPr>
          <w:iCs/>
          <w:lang w:val="fr-FR"/>
        </w:rPr>
        <w:tab/>
      </w:r>
      <w:r w:rsidRPr="002B1D62">
        <w:rPr>
          <w:lang w:val="fr-FR"/>
        </w:rPr>
        <w:t>Remplacer «</w:t>
      </w:r>
      <w:r w:rsidR="00867522" w:rsidRPr="002B1D62">
        <w:rPr>
          <w:lang w:val="fr-FR"/>
        </w:rPr>
        <w:t> </w:t>
      </w:r>
      <w:r w:rsidRPr="002B1D62">
        <w:rPr>
          <w:lang w:val="fr-FR"/>
        </w:rPr>
        <w:t>risques subsidiaires</w:t>
      </w:r>
      <w:r w:rsidR="00867522" w:rsidRPr="002B1D62">
        <w:rPr>
          <w:lang w:val="fr-FR"/>
        </w:rPr>
        <w:t> </w:t>
      </w:r>
      <w:r w:rsidRPr="002B1D62">
        <w:rPr>
          <w:lang w:val="fr-FR"/>
        </w:rPr>
        <w:t>» par «</w:t>
      </w:r>
      <w:r w:rsidR="00867522" w:rsidRPr="002B1D62">
        <w:rPr>
          <w:lang w:val="fr-FR"/>
        </w:rPr>
        <w:t> </w:t>
      </w:r>
      <w:r w:rsidRPr="002B1D62">
        <w:rPr>
          <w:lang w:val="fr-FR"/>
        </w:rPr>
        <w:t>dangers subsidiaires</w:t>
      </w:r>
      <w:r w:rsidR="00867522" w:rsidRPr="002B1D62">
        <w:rPr>
          <w:lang w:val="fr-FR"/>
        </w:rPr>
        <w:t> </w:t>
      </w:r>
      <w:r w:rsidRPr="002B1D62">
        <w:rPr>
          <w:lang w:val="fr-FR"/>
        </w:rPr>
        <w:t>».</w:t>
      </w:r>
    </w:p>
    <w:p w14:paraId="6A7BF95F" w14:textId="7A5C7F31" w:rsidR="00196C06" w:rsidRPr="002B1D62" w:rsidRDefault="00196C06" w:rsidP="00196C06">
      <w:pPr>
        <w:pStyle w:val="H1G"/>
        <w:rPr>
          <w:lang w:val="fr-FR"/>
        </w:rPr>
      </w:pPr>
      <w:r w:rsidRPr="002B1D62">
        <w:rPr>
          <w:lang w:val="fr-FR"/>
        </w:rPr>
        <w:tab/>
      </w:r>
      <w:r w:rsidRPr="002B1D62">
        <w:rPr>
          <w:lang w:val="fr-FR"/>
        </w:rPr>
        <w:tab/>
        <w:t xml:space="preserve">Chapitre </w:t>
      </w:r>
      <w:r w:rsidR="00931472" w:rsidRPr="002B1D62">
        <w:rPr>
          <w:lang w:val="fr-FR"/>
        </w:rPr>
        <w:t>2.1</w:t>
      </w:r>
    </w:p>
    <w:p w14:paraId="050F807B" w14:textId="4CE9E663" w:rsidR="00931472" w:rsidRPr="002B1D62" w:rsidRDefault="0071379D" w:rsidP="0071379D">
      <w:pPr>
        <w:tabs>
          <w:tab w:val="left" w:pos="2268"/>
        </w:tabs>
        <w:spacing w:before="120" w:after="120" w:line="240" w:lineRule="auto"/>
        <w:ind w:left="1134" w:right="1134"/>
        <w:jc w:val="both"/>
        <w:rPr>
          <w:lang w:val="fr-FR"/>
        </w:rPr>
      </w:pPr>
      <w:r>
        <w:rPr>
          <w:lang w:val="fr-FR"/>
        </w:rPr>
        <w:t>2.1.2.1</w:t>
      </w:r>
      <w:r w:rsidR="00931472" w:rsidRPr="002B1D62">
        <w:rPr>
          <w:lang w:val="fr-FR"/>
        </w:rPr>
        <w:tab/>
        <w:t>Dans la dernière phrase, remplacer « risques » par « dangers » (deux fois).</w:t>
      </w:r>
    </w:p>
    <w:p w14:paraId="6E311424" w14:textId="391AFDC6" w:rsidR="00931472" w:rsidRPr="002B1D62" w:rsidRDefault="0071379D" w:rsidP="0071379D">
      <w:pPr>
        <w:tabs>
          <w:tab w:val="left" w:pos="2268"/>
        </w:tabs>
        <w:spacing w:before="120" w:after="120" w:line="240" w:lineRule="auto"/>
        <w:ind w:left="1134" w:right="1134"/>
        <w:jc w:val="both"/>
        <w:rPr>
          <w:lang w:val="fr-FR"/>
        </w:rPr>
      </w:pPr>
      <w:r>
        <w:rPr>
          <w:lang w:val="fr-FR"/>
        </w:rPr>
        <w:t>2.1.2.5</w:t>
      </w:r>
      <w:r w:rsidR="00931472" w:rsidRPr="002B1D62">
        <w:rPr>
          <w:lang w:val="fr-FR"/>
        </w:rPr>
        <w:tab/>
        <w:t>Dans la deuxième et dans la troisième phrase, remplacer « risque subsidiaire » par « danger subsidiaire ».</w:t>
      </w:r>
    </w:p>
    <w:p w14:paraId="7FF15AEE" w14:textId="4193B079" w:rsidR="009A73D5" w:rsidRPr="002B1D62" w:rsidRDefault="0071379D" w:rsidP="0071379D">
      <w:pPr>
        <w:tabs>
          <w:tab w:val="left" w:pos="2268"/>
        </w:tabs>
        <w:spacing w:before="120" w:after="120" w:line="240" w:lineRule="auto"/>
        <w:ind w:left="1134" w:right="1134"/>
        <w:jc w:val="both"/>
        <w:rPr>
          <w:lang w:val="fr-FR"/>
        </w:rPr>
      </w:pPr>
      <w:r>
        <w:rPr>
          <w:lang w:val="fr-FR"/>
        </w:rPr>
        <w:t>2.1.2.8</w:t>
      </w:r>
      <w:r w:rsidR="009A73D5" w:rsidRPr="002B1D62">
        <w:rPr>
          <w:lang w:val="fr-FR"/>
        </w:rPr>
        <w:tab/>
        <w:t>Au premier tiret, remplacer «</w:t>
      </w:r>
      <w:r w:rsidR="00867522" w:rsidRPr="002B1D62">
        <w:rPr>
          <w:lang w:val="fr-FR"/>
        </w:rPr>
        <w:t> </w:t>
      </w:r>
      <w:r w:rsidR="009A73D5" w:rsidRPr="002B1D62">
        <w:rPr>
          <w:lang w:val="fr-FR"/>
        </w:rPr>
        <w:t>les risques recensés</w:t>
      </w:r>
      <w:r w:rsidR="00867522" w:rsidRPr="002B1D62">
        <w:rPr>
          <w:lang w:val="fr-FR"/>
        </w:rPr>
        <w:t> </w:t>
      </w:r>
      <w:r w:rsidR="009A73D5" w:rsidRPr="002B1D62">
        <w:rPr>
          <w:lang w:val="fr-FR"/>
        </w:rPr>
        <w:t>» par «</w:t>
      </w:r>
      <w:r w:rsidR="00867522" w:rsidRPr="002B1D62">
        <w:rPr>
          <w:lang w:val="fr-FR"/>
        </w:rPr>
        <w:t> </w:t>
      </w:r>
      <w:r w:rsidR="009A73D5" w:rsidRPr="002B1D62">
        <w:rPr>
          <w:lang w:val="fr-FR"/>
        </w:rPr>
        <w:t>les dangers recensés</w:t>
      </w:r>
      <w:r w:rsidR="00867522" w:rsidRPr="002B1D62">
        <w:rPr>
          <w:lang w:val="fr-FR"/>
        </w:rPr>
        <w:t> </w:t>
      </w:r>
      <w:r w:rsidR="009A73D5" w:rsidRPr="002B1D62">
        <w:rPr>
          <w:lang w:val="fr-FR"/>
        </w:rPr>
        <w:t>».</w:t>
      </w:r>
    </w:p>
    <w:p w14:paraId="7915542D" w14:textId="76D0B75E" w:rsidR="009C1F96" w:rsidRPr="002B1D62" w:rsidRDefault="0071379D" w:rsidP="0071379D">
      <w:pPr>
        <w:tabs>
          <w:tab w:val="left" w:pos="2268"/>
        </w:tabs>
        <w:spacing w:before="120" w:after="120" w:line="240" w:lineRule="auto"/>
        <w:ind w:left="1134" w:right="1134"/>
        <w:jc w:val="both"/>
        <w:rPr>
          <w:lang w:val="fr-FR"/>
        </w:rPr>
      </w:pPr>
      <w:r>
        <w:rPr>
          <w:lang w:val="fr-FR"/>
        </w:rPr>
        <w:t>2.1.2.8</w:t>
      </w:r>
      <w:r w:rsidR="009C1F96" w:rsidRPr="002B1D62">
        <w:rPr>
          <w:lang w:val="fr-FR"/>
        </w:rPr>
        <w:tab/>
        <w:t>Au deuxième tiret, remplacer «</w:t>
      </w:r>
      <w:r w:rsidR="00867522" w:rsidRPr="002B1D62">
        <w:rPr>
          <w:lang w:val="fr-FR"/>
        </w:rPr>
        <w:t> </w:t>
      </w:r>
      <w:r w:rsidR="009C1F96" w:rsidRPr="002B1D62">
        <w:rPr>
          <w:lang w:val="fr-FR"/>
        </w:rPr>
        <w:t>risques</w:t>
      </w:r>
      <w:r w:rsidR="00867522" w:rsidRPr="002B1D62">
        <w:rPr>
          <w:lang w:val="fr-FR"/>
        </w:rPr>
        <w:t> </w:t>
      </w:r>
      <w:r w:rsidR="009C1F96" w:rsidRPr="002B1D62">
        <w:rPr>
          <w:lang w:val="fr-FR"/>
        </w:rPr>
        <w:t>» par «</w:t>
      </w:r>
      <w:r w:rsidR="00867522" w:rsidRPr="002B1D62">
        <w:rPr>
          <w:lang w:val="fr-FR"/>
        </w:rPr>
        <w:t> </w:t>
      </w:r>
      <w:r w:rsidR="009C1F96" w:rsidRPr="002B1D62">
        <w:rPr>
          <w:lang w:val="fr-FR"/>
        </w:rPr>
        <w:t>dangers</w:t>
      </w:r>
      <w:r w:rsidR="00867522" w:rsidRPr="002B1D62">
        <w:rPr>
          <w:lang w:val="fr-FR"/>
        </w:rPr>
        <w:t> </w:t>
      </w:r>
      <w:r w:rsidR="009C1F96" w:rsidRPr="002B1D62">
        <w:rPr>
          <w:lang w:val="fr-FR"/>
        </w:rPr>
        <w:t>» (deux fois).</w:t>
      </w:r>
    </w:p>
    <w:p w14:paraId="1BAE13DF" w14:textId="4CB8F8E9" w:rsidR="00DE7E13" w:rsidRPr="002B1D62" w:rsidRDefault="00DE7E13" w:rsidP="0071379D">
      <w:pPr>
        <w:tabs>
          <w:tab w:val="left" w:pos="2268"/>
        </w:tabs>
        <w:spacing w:before="120" w:after="120" w:line="240" w:lineRule="auto"/>
        <w:ind w:left="1134" w:right="1134"/>
        <w:jc w:val="both"/>
        <w:rPr>
          <w:lang w:val="fr-FR"/>
        </w:rPr>
      </w:pPr>
      <w:r w:rsidRPr="002B1D62">
        <w:rPr>
          <w:lang w:val="fr-FR"/>
        </w:rPr>
        <w:t>2.1.3</w:t>
      </w:r>
      <w:r w:rsidR="0071379D">
        <w:rPr>
          <w:lang w:val="fr-FR"/>
        </w:rPr>
        <w:t>.3</w:t>
      </w:r>
      <w:r w:rsidRPr="002B1D62">
        <w:rPr>
          <w:lang w:val="fr-FR"/>
        </w:rPr>
        <w:tab/>
        <w:t>Dans le dernier paragraphe, remplacer « risques subsidiaires » par « dangers subsidiaires ».</w:t>
      </w:r>
    </w:p>
    <w:p w14:paraId="3766DC9D" w14:textId="2F1238EB" w:rsidR="005D3965" w:rsidRPr="00CF3DE3" w:rsidRDefault="005D3965" w:rsidP="005D3965">
      <w:pPr>
        <w:pStyle w:val="SingleTxtG"/>
        <w:rPr>
          <w:lang w:val="fr-FR"/>
        </w:rPr>
      </w:pPr>
      <w:r w:rsidRPr="00CF3DE3">
        <w:rPr>
          <w:lang w:val="fr-FR"/>
        </w:rPr>
        <w:t>2.1.3.5.5</w:t>
      </w:r>
      <w:r w:rsidRPr="00CF3DE3">
        <w:rPr>
          <w:lang w:val="fr-FR"/>
        </w:rPr>
        <w:tab/>
        <w:t>Dans la note de bas de page 2, après « </w:t>
      </w:r>
      <w:r w:rsidRPr="00CF3DE3">
        <w:rPr>
          <w:iCs/>
          <w:lang w:val="fr-FR"/>
        </w:rPr>
        <w:t>(Journal officiel de l'Union européenne No L 226 du 6 septembre 2000, p.3) </w:t>
      </w:r>
      <w:r w:rsidRPr="00CF3DE3">
        <w:rPr>
          <w:lang w:val="fr-FR"/>
        </w:rPr>
        <w:t>» et après « </w:t>
      </w:r>
      <w:r w:rsidRPr="00CF3DE3">
        <w:rPr>
          <w:iCs/>
          <w:lang w:val="fr-FR"/>
        </w:rPr>
        <w:t>(Journal officiel de l'Union européenne No L 312 du 22 novembre 2008, p. 3 à 30)</w:t>
      </w:r>
      <w:r w:rsidRPr="00CF3DE3">
        <w:rPr>
          <w:lang w:val="fr-FR"/>
        </w:rPr>
        <w:t> », insérer « , telle que modifiée ».</w:t>
      </w:r>
    </w:p>
    <w:p w14:paraId="214718FA" w14:textId="495F4512" w:rsidR="00B46AB9" w:rsidRPr="002B1D62" w:rsidRDefault="00B46AB9" w:rsidP="005D3965">
      <w:pPr>
        <w:spacing w:before="120" w:after="120" w:line="240" w:lineRule="auto"/>
        <w:ind w:left="1134" w:right="1134"/>
        <w:jc w:val="both"/>
        <w:rPr>
          <w:iCs/>
          <w:lang w:val="fr-FR"/>
        </w:rPr>
      </w:pPr>
      <w:r w:rsidRPr="002B1D62">
        <w:rPr>
          <w:lang w:val="fr-FR"/>
        </w:rPr>
        <w:t>2.1.3.7</w:t>
      </w:r>
      <w:r w:rsidRPr="002B1D62">
        <w:rPr>
          <w:lang w:val="fr-FR"/>
        </w:rPr>
        <w:tab/>
      </w:r>
      <w:r w:rsidRPr="002B1D62">
        <w:rPr>
          <w:lang w:val="fr-FR"/>
        </w:rPr>
        <w:tab/>
        <w:t>Dans la première phrase, remplacer « risque subsidiaire » par « danger subsidiaire ».</w:t>
      </w:r>
    </w:p>
    <w:p w14:paraId="519F4B51" w14:textId="60A68A40" w:rsidR="002E6E05" w:rsidRPr="00CF3DE3" w:rsidRDefault="002E6E05" w:rsidP="002E6E05">
      <w:pPr>
        <w:pStyle w:val="SingleTxtG"/>
        <w:rPr>
          <w:i/>
        </w:rPr>
      </w:pPr>
      <w:r w:rsidRPr="00CF3DE3">
        <w:rPr>
          <w:lang w:val="fr-FR"/>
        </w:rPr>
        <w:t>2.1.3.7</w:t>
      </w:r>
      <w:r w:rsidRPr="00CF3DE3">
        <w:rPr>
          <w:lang w:val="fr-FR"/>
        </w:rPr>
        <w:tab/>
      </w:r>
      <w:r w:rsidRPr="00CF3DE3">
        <w:rPr>
          <w:lang w:val="fr-FR"/>
        </w:rPr>
        <w:tab/>
        <w:t xml:space="preserve">À la fin, ajouter : « Pour les engrais au nitrate d’ammonium solides, voir aussi les treizième et quatorzième tirets du </w:t>
      </w:r>
      <w:r w:rsidRPr="00CF3DE3">
        <w:t xml:space="preserve">2.2.51.2.2 et </w:t>
      </w:r>
      <w:r w:rsidRPr="00CF3DE3">
        <w:rPr>
          <w:lang w:val="fr-FR"/>
        </w:rPr>
        <w:t>le Manuel d'épreuves et de critères, troisième partie, section 39. ».</w:t>
      </w:r>
    </w:p>
    <w:p w14:paraId="15084CAD" w14:textId="1417CC0C" w:rsidR="00E3532A" w:rsidRPr="002B1D62" w:rsidRDefault="00931472" w:rsidP="00867522">
      <w:pPr>
        <w:pStyle w:val="SingleTxtG"/>
        <w:tabs>
          <w:tab w:val="left" w:pos="2268"/>
        </w:tabs>
        <w:rPr>
          <w:lang w:val="fr-FR"/>
        </w:rPr>
      </w:pPr>
      <w:r w:rsidRPr="002B1D62">
        <w:rPr>
          <w:lang w:val="fr-FR"/>
        </w:rPr>
        <w:t>2.1.4</w:t>
      </w:r>
      <w:r w:rsidR="00E3532A" w:rsidRPr="002B1D62">
        <w:rPr>
          <w:lang w:val="fr-FR"/>
        </w:rPr>
        <w:tab/>
        <w:t xml:space="preserve">Ajouter la nouvelle sous-section </w:t>
      </w:r>
      <w:r w:rsidRPr="002B1D62">
        <w:rPr>
          <w:lang w:val="fr-FR"/>
        </w:rPr>
        <w:t>2.1.4.3</w:t>
      </w:r>
      <w:r w:rsidR="00E3532A" w:rsidRPr="002B1D62">
        <w:rPr>
          <w:lang w:val="fr-FR"/>
        </w:rPr>
        <w:t xml:space="preserve"> suivante:</w:t>
      </w:r>
    </w:p>
    <w:p w14:paraId="38117E52" w14:textId="6BCC564C" w:rsidR="00E3532A" w:rsidRPr="002B1D62" w:rsidRDefault="00E3532A" w:rsidP="00E3532A">
      <w:pPr>
        <w:pStyle w:val="SingleTxtG"/>
        <w:rPr>
          <w:b/>
          <w:lang w:val="fr-FR"/>
        </w:rPr>
      </w:pPr>
      <w:r w:rsidRPr="002B1D62">
        <w:rPr>
          <w:lang w:val="fr-FR"/>
        </w:rPr>
        <w:t>«</w:t>
      </w:r>
      <w:r w:rsidR="00867522" w:rsidRPr="002B1D62">
        <w:rPr>
          <w:lang w:val="fr-FR"/>
        </w:rPr>
        <w:t> </w:t>
      </w:r>
      <w:r w:rsidR="00931472" w:rsidRPr="002B1D62">
        <w:rPr>
          <w:b/>
          <w:lang w:val="fr-FR"/>
        </w:rPr>
        <w:t>2.1.4.3</w:t>
      </w:r>
      <w:r w:rsidRPr="002B1D62">
        <w:rPr>
          <w:b/>
          <w:lang w:val="fr-FR"/>
        </w:rPr>
        <w:tab/>
      </w:r>
      <w:r w:rsidRPr="002B1D62">
        <w:rPr>
          <w:b/>
          <w:i/>
          <w:lang w:val="fr-FR"/>
        </w:rPr>
        <w:t>Échantillons de matières énergétiques</w:t>
      </w:r>
      <w:r w:rsidR="00AB547F" w:rsidRPr="002B1D62">
        <w:rPr>
          <w:b/>
          <w:i/>
          <w:lang w:val="fr-FR"/>
        </w:rPr>
        <w:t xml:space="preserve"> aux fins d’épreuves</w:t>
      </w:r>
    </w:p>
    <w:p w14:paraId="1227ED61" w14:textId="407EA62C" w:rsidR="00E3532A" w:rsidRPr="002B1D62" w:rsidRDefault="00931472" w:rsidP="00AB547F">
      <w:pPr>
        <w:pStyle w:val="SingleTxtG"/>
        <w:rPr>
          <w:lang w:val="fr-FR"/>
        </w:rPr>
      </w:pPr>
      <w:r w:rsidRPr="002B1D62">
        <w:rPr>
          <w:lang w:val="fr-FR"/>
        </w:rPr>
        <w:lastRenderedPageBreak/>
        <w:t>2.1.4.3.1</w:t>
      </w:r>
      <w:r w:rsidR="00E3532A" w:rsidRPr="002B1D62">
        <w:rPr>
          <w:lang w:val="fr-FR"/>
        </w:rPr>
        <w:tab/>
        <w:t>Les échantillons de matières organiques dont les groupes fonctionnels sont énuméré</w:t>
      </w:r>
      <w:r w:rsidR="003B6D8B" w:rsidRPr="002B1D62">
        <w:rPr>
          <w:lang w:val="fr-FR"/>
        </w:rPr>
        <w:t>s dans les tableaux A6.1 ou A6.3</w:t>
      </w:r>
      <w:r w:rsidR="00E3532A" w:rsidRPr="002B1D62">
        <w:rPr>
          <w:lang w:val="fr-FR"/>
        </w:rPr>
        <w:t xml:space="preserve"> de l’appendice 6 (Procédures de présélection) du Manuel d’épreuves et de critères peuvent être transportés sous le No ONU 3224 (</w:t>
      </w:r>
      <w:r w:rsidR="00AB547F" w:rsidRPr="002B1D62">
        <w:rPr>
          <w:lang w:val="fr-FR"/>
        </w:rPr>
        <w:t>solide autoréactif du type C</w:t>
      </w:r>
      <w:r w:rsidR="00E3532A" w:rsidRPr="002B1D62">
        <w:rPr>
          <w:lang w:val="fr-FR"/>
        </w:rPr>
        <w:t xml:space="preserve">) ou </w:t>
      </w:r>
      <w:r w:rsidR="00AB547F" w:rsidRPr="002B1D62">
        <w:rPr>
          <w:lang w:val="fr-FR"/>
        </w:rPr>
        <w:t xml:space="preserve">sous le No ONU </w:t>
      </w:r>
      <w:r w:rsidR="00E3532A" w:rsidRPr="002B1D62">
        <w:rPr>
          <w:lang w:val="fr-FR"/>
        </w:rPr>
        <w:t>3223 (</w:t>
      </w:r>
      <w:r w:rsidR="00AB547F" w:rsidRPr="002B1D62">
        <w:rPr>
          <w:lang w:val="fr-FR"/>
        </w:rPr>
        <w:t>liquide autoréactif du type C</w:t>
      </w:r>
      <w:r w:rsidR="00E3532A" w:rsidRPr="002B1D62">
        <w:rPr>
          <w:lang w:val="fr-FR"/>
        </w:rPr>
        <w:t xml:space="preserve">) de la </w:t>
      </w:r>
      <w:r w:rsidR="00132A26" w:rsidRPr="002B1D62">
        <w:rPr>
          <w:lang w:val="fr-FR"/>
        </w:rPr>
        <w:t>c</w:t>
      </w:r>
      <w:r w:rsidRPr="002B1D62">
        <w:rPr>
          <w:lang w:val="fr-FR"/>
        </w:rPr>
        <w:t>lasse </w:t>
      </w:r>
      <w:r w:rsidR="00E3532A" w:rsidRPr="002B1D62">
        <w:rPr>
          <w:lang w:val="fr-FR"/>
        </w:rPr>
        <w:t>4.1</w:t>
      </w:r>
      <w:r w:rsidR="00771312" w:rsidRPr="002B1D62">
        <w:rPr>
          <w:lang w:val="fr-FR"/>
        </w:rPr>
        <w:t>, selon le cas, à condition que</w:t>
      </w:r>
      <w:r w:rsidR="00867522" w:rsidRPr="002B1D62">
        <w:rPr>
          <w:lang w:val="fr-FR"/>
        </w:rPr>
        <w:t> </w:t>
      </w:r>
      <w:r w:rsidR="00E3532A" w:rsidRPr="002B1D62">
        <w:rPr>
          <w:lang w:val="fr-FR"/>
        </w:rPr>
        <w:t>:</w:t>
      </w:r>
    </w:p>
    <w:p w14:paraId="20CA50B2" w14:textId="5AFF6871" w:rsidR="00E3532A" w:rsidRPr="002B1D62" w:rsidRDefault="00E3532A" w:rsidP="00E3532A">
      <w:pPr>
        <w:pStyle w:val="SingleTxtG"/>
        <w:rPr>
          <w:lang w:val="fr-FR"/>
        </w:rPr>
      </w:pPr>
      <w:r w:rsidRPr="002B1D62">
        <w:rPr>
          <w:lang w:val="fr-FR"/>
        </w:rPr>
        <w:t>a)</w:t>
      </w:r>
      <w:r w:rsidRPr="002B1D62">
        <w:rPr>
          <w:lang w:val="fr-FR"/>
        </w:rPr>
        <w:tab/>
        <w:t>Les échantillons ne contiennent</w:t>
      </w:r>
      <w:r w:rsidR="00867522" w:rsidRPr="002B1D62">
        <w:rPr>
          <w:lang w:val="fr-FR"/>
        </w:rPr>
        <w:t> </w:t>
      </w:r>
      <w:r w:rsidRPr="002B1D62">
        <w:rPr>
          <w:lang w:val="fr-FR"/>
        </w:rPr>
        <w:t>:</w:t>
      </w:r>
    </w:p>
    <w:p w14:paraId="0C8687D2" w14:textId="1FF50980" w:rsidR="00E3532A" w:rsidRPr="002B1D62" w:rsidRDefault="00E3532A" w:rsidP="00E3532A">
      <w:pPr>
        <w:pStyle w:val="SingleTxtG"/>
        <w:ind w:firstLine="567"/>
        <w:rPr>
          <w:lang w:val="fr-FR"/>
        </w:rPr>
      </w:pPr>
      <w:r w:rsidRPr="002B1D62">
        <w:rPr>
          <w:lang w:val="fr-FR"/>
        </w:rPr>
        <w:t>-</w:t>
      </w:r>
      <w:r w:rsidRPr="002B1D62">
        <w:rPr>
          <w:lang w:val="fr-FR"/>
        </w:rPr>
        <w:tab/>
        <w:t>aucun explosif connu</w:t>
      </w:r>
      <w:r w:rsidR="00867522" w:rsidRPr="002B1D62">
        <w:rPr>
          <w:lang w:val="fr-FR"/>
        </w:rPr>
        <w:t> </w:t>
      </w:r>
      <w:r w:rsidRPr="002B1D62">
        <w:rPr>
          <w:lang w:val="fr-FR"/>
        </w:rPr>
        <w:t>;</w:t>
      </w:r>
    </w:p>
    <w:p w14:paraId="20153DE3" w14:textId="4A0A4992" w:rsidR="00E3532A" w:rsidRPr="002B1D62" w:rsidRDefault="00E3532A" w:rsidP="00E3532A">
      <w:pPr>
        <w:pStyle w:val="SingleTxtG"/>
        <w:ind w:firstLine="567"/>
        <w:rPr>
          <w:lang w:val="fr-FR"/>
        </w:rPr>
      </w:pPr>
      <w:r w:rsidRPr="002B1D62">
        <w:rPr>
          <w:lang w:val="fr-FR"/>
        </w:rPr>
        <w:t xml:space="preserve">- </w:t>
      </w:r>
      <w:r w:rsidRPr="002B1D62">
        <w:rPr>
          <w:lang w:val="fr-FR"/>
        </w:rPr>
        <w:tab/>
        <w:t>aucune matière ne montrant des effets explosifs lors des épreuves</w:t>
      </w:r>
      <w:r w:rsidR="00867522" w:rsidRPr="002B1D62">
        <w:rPr>
          <w:lang w:val="fr-FR"/>
        </w:rPr>
        <w:t> </w:t>
      </w:r>
      <w:r w:rsidRPr="002B1D62">
        <w:rPr>
          <w:lang w:val="fr-FR"/>
        </w:rPr>
        <w:t>;</w:t>
      </w:r>
    </w:p>
    <w:p w14:paraId="69F3E296" w14:textId="6CD70DE8" w:rsidR="00E3532A" w:rsidRPr="002B1D62" w:rsidRDefault="00AA3A7B" w:rsidP="00706B12">
      <w:pPr>
        <w:pStyle w:val="SingleTxtG"/>
        <w:ind w:left="2268" w:hanging="567"/>
        <w:rPr>
          <w:lang w:val="fr-FR"/>
        </w:rPr>
      </w:pPr>
      <w:r w:rsidRPr="00154472">
        <w:rPr>
          <w:lang w:val="fr-FR"/>
        </w:rPr>
        <w:t>-</w:t>
      </w:r>
      <w:r w:rsidRPr="00154472">
        <w:rPr>
          <w:lang w:val="fr-FR"/>
        </w:rPr>
        <w:tab/>
        <w:t xml:space="preserve">aucun composé conçu pour produire </w:t>
      </w:r>
      <w:r w:rsidRPr="00425ADF">
        <w:rPr>
          <w:lang w:val="fr-FR"/>
        </w:rPr>
        <w:t>un effet pratique explosif ou pyrotechnique</w:t>
      </w:r>
      <w:r w:rsidRPr="00154472">
        <w:rPr>
          <w:lang w:val="fr-FR"/>
        </w:rPr>
        <w:t> ; ou</w:t>
      </w:r>
    </w:p>
    <w:p w14:paraId="4C488C61" w14:textId="71CD9FDA" w:rsidR="00E3532A" w:rsidRPr="002B1D62" w:rsidRDefault="00E3532A" w:rsidP="00E3532A">
      <w:pPr>
        <w:pStyle w:val="SingleTxtG"/>
        <w:ind w:firstLine="567"/>
        <w:rPr>
          <w:lang w:val="fr-FR"/>
        </w:rPr>
      </w:pPr>
      <w:r w:rsidRPr="002B1D62">
        <w:rPr>
          <w:lang w:val="fr-FR"/>
        </w:rPr>
        <w:t>-</w:t>
      </w:r>
      <w:r w:rsidRPr="002B1D62">
        <w:rPr>
          <w:lang w:val="fr-FR"/>
        </w:rPr>
        <w:tab/>
        <w:t>aucun composé de précurseurs synthéti</w:t>
      </w:r>
      <w:r w:rsidR="00771312" w:rsidRPr="002B1D62">
        <w:rPr>
          <w:lang w:val="fr-FR"/>
        </w:rPr>
        <w:t>ques d’explosifs intentionnels</w:t>
      </w:r>
      <w:r w:rsidR="00867522" w:rsidRPr="002B1D62">
        <w:rPr>
          <w:lang w:val="fr-FR"/>
        </w:rPr>
        <w:t> </w:t>
      </w:r>
      <w:r w:rsidRPr="002B1D62">
        <w:rPr>
          <w:lang w:val="fr-FR"/>
        </w:rPr>
        <w:t>;</w:t>
      </w:r>
    </w:p>
    <w:p w14:paraId="163E30B2" w14:textId="119A3DDA" w:rsidR="00E3532A" w:rsidRPr="002B1D62" w:rsidRDefault="00E3532A" w:rsidP="00E3532A">
      <w:pPr>
        <w:pStyle w:val="SingleTxtG"/>
        <w:rPr>
          <w:lang w:val="fr-FR"/>
        </w:rPr>
      </w:pPr>
      <w:r w:rsidRPr="002B1D62">
        <w:rPr>
          <w:lang w:val="fr-FR"/>
        </w:rPr>
        <w:t>b)</w:t>
      </w:r>
      <w:r w:rsidRPr="002B1D62">
        <w:rPr>
          <w:lang w:val="fr-FR"/>
        </w:rPr>
        <w:tab/>
        <w:t xml:space="preserve">Pour les mélanges, les complexes ou les sels de matières comburantes inorganiques de la </w:t>
      </w:r>
      <w:r w:rsidR="00132A26" w:rsidRPr="002B1D62">
        <w:rPr>
          <w:lang w:val="fr-FR"/>
        </w:rPr>
        <w:t>c</w:t>
      </w:r>
      <w:r w:rsidR="00931472" w:rsidRPr="002B1D62">
        <w:rPr>
          <w:lang w:val="fr-FR"/>
        </w:rPr>
        <w:t xml:space="preserve">lasse </w:t>
      </w:r>
      <w:r w:rsidRPr="002B1D62">
        <w:rPr>
          <w:lang w:val="fr-FR"/>
        </w:rPr>
        <w:t xml:space="preserve">5.1 </w:t>
      </w:r>
      <w:r w:rsidR="00657D7C" w:rsidRPr="002B1D62">
        <w:rPr>
          <w:lang w:val="fr-FR"/>
        </w:rPr>
        <w:t xml:space="preserve">et de </w:t>
      </w:r>
      <w:r w:rsidRPr="002B1D62">
        <w:rPr>
          <w:lang w:val="fr-FR"/>
        </w:rPr>
        <w:t xml:space="preserve">matières organiques, la concentration de la matière oxydante inorganique </w:t>
      </w:r>
      <w:r w:rsidR="00657D7C" w:rsidRPr="002B1D62">
        <w:rPr>
          <w:lang w:val="fr-FR"/>
        </w:rPr>
        <w:t>soit</w:t>
      </w:r>
      <w:r w:rsidR="00867522" w:rsidRPr="002B1D62">
        <w:rPr>
          <w:lang w:val="fr-FR"/>
        </w:rPr>
        <w:t> </w:t>
      </w:r>
      <w:r w:rsidRPr="002B1D62">
        <w:rPr>
          <w:lang w:val="fr-FR"/>
        </w:rPr>
        <w:t>:</w:t>
      </w:r>
    </w:p>
    <w:p w14:paraId="6ADECCC4" w14:textId="53C2777D" w:rsidR="00E3532A" w:rsidRPr="002B1D62" w:rsidRDefault="00E3532A" w:rsidP="00706B12">
      <w:pPr>
        <w:pStyle w:val="SingleTxtG"/>
        <w:ind w:left="2268" w:hanging="567"/>
        <w:rPr>
          <w:lang w:val="fr-FR"/>
        </w:rPr>
      </w:pPr>
      <w:r w:rsidRPr="002B1D62">
        <w:rPr>
          <w:lang w:val="fr-FR"/>
        </w:rPr>
        <w:t>-</w:t>
      </w:r>
      <w:r w:rsidRPr="002B1D62">
        <w:rPr>
          <w:lang w:val="fr-FR"/>
        </w:rPr>
        <w:tab/>
      </w:r>
      <w:r w:rsidR="00657D7C" w:rsidRPr="002B1D62">
        <w:rPr>
          <w:lang w:val="fr-FR"/>
        </w:rPr>
        <w:t>i</w:t>
      </w:r>
      <w:r w:rsidRPr="002B1D62">
        <w:rPr>
          <w:lang w:val="fr-FR"/>
        </w:rPr>
        <w:t>nférieure à 15 % en masse, si elle est affectée au groupe d’emballage I (très dangereuse) ou II (moyennement dangereuse)</w:t>
      </w:r>
      <w:r w:rsidR="00867522" w:rsidRPr="002B1D62">
        <w:rPr>
          <w:lang w:val="fr-FR"/>
        </w:rPr>
        <w:t> </w:t>
      </w:r>
      <w:r w:rsidRPr="002B1D62">
        <w:rPr>
          <w:lang w:val="fr-FR"/>
        </w:rPr>
        <w:t>; ou</w:t>
      </w:r>
    </w:p>
    <w:p w14:paraId="00626C93" w14:textId="49BE4A17" w:rsidR="00E3532A" w:rsidRPr="002B1D62" w:rsidRDefault="00E3532A" w:rsidP="00706B12">
      <w:pPr>
        <w:pStyle w:val="SingleTxtG"/>
        <w:ind w:left="2268" w:hanging="567"/>
        <w:rPr>
          <w:lang w:val="fr-FR"/>
        </w:rPr>
      </w:pPr>
      <w:r w:rsidRPr="002B1D62">
        <w:rPr>
          <w:lang w:val="fr-FR"/>
        </w:rPr>
        <w:t>-</w:t>
      </w:r>
      <w:r w:rsidRPr="002B1D62">
        <w:rPr>
          <w:lang w:val="fr-FR"/>
        </w:rPr>
        <w:tab/>
      </w:r>
      <w:r w:rsidR="00657D7C" w:rsidRPr="002B1D62">
        <w:rPr>
          <w:lang w:val="fr-FR"/>
        </w:rPr>
        <w:t>i</w:t>
      </w:r>
      <w:r w:rsidRPr="002B1D62">
        <w:rPr>
          <w:lang w:val="fr-FR"/>
        </w:rPr>
        <w:t>nférieure à 30 % en masse si elle est affectée au groupe d’emballage III (faiblement dangereuse)</w:t>
      </w:r>
      <w:r w:rsidR="00867522" w:rsidRPr="002B1D62">
        <w:rPr>
          <w:lang w:val="fr-FR"/>
        </w:rPr>
        <w:t> </w:t>
      </w:r>
      <w:r w:rsidRPr="002B1D62">
        <w:rPr>
          <w:lang w:val="fr-FR"/>
        </w:rPr>
        <w:t>;</w:t>
      </w:r>
    </w:p>
    <w:p w14:paraId="5AEBF022" w14:textId="026A0236" w:rsidR="00E3532A" w:rsidRPr="002B1D62" w:rsidRDefault="00E3532A" w:rsidP="00E3532A">
      <w:pPr>
        <w:pStyle w:val="SingleTxtG"/>
        <w:rPr>
          <w:lang w:val="fr-FR"/>
        </w:rPr>
      </w:pPr>
      <w:r w:rsidRPr="002B1D62">
        <w:rPr>
          <w:lang w:val="fr-FR"/>
        </w:rPr>
        <w:t>c)</w:t>
      </w:r>
      <w:r w:rsidRPr="002B1D62">
        <w:rPr>
          <w:lang w:val="fr-FR"/>
        </w:rPr>
        <w:tab/>
        <w:t>Les données disponibles ne permettent pas u</w:t>
      </w:r>
      <w:r w:rsidR="00867522" w:rsidRPr="002B1D62">
        <w:rPr>
          <w:lang w:val="fr-FR"/>
        </w:rPr>
        <w:t>ne classification plus précise ;</w:t>
      </w:r>
    </w:p>
    <w:p w14:paraId="2868330D" w14:textId="5A7EA26B" w:rsidR="00E3532A" w:rsidRPr="002B1D62" w:rsidRDefault="00E3532A" w:rsidP="00E3532A">
      <w:pPr>
        <w:pStyle w:val="SingleTxtG"/>
        <w:rPr>
          <w:lang w:val="fr-FR"/>
        </w:rPr>
      </w:pPr>
      <w:r w:rsidRPr="002B1D62">
        <w:rPr>
          <w:lang w:val="fr-FR"/>
        </w:rPr>
        <w:t>d)</w:t>
      </w:r>
      <w:r w:rsidRPr="002B1D62">
        <w:rPr>
          <w:lang w:val="fr-FR"/>
        </w:rPr>
        <w:tab/>
        <w:t>L’échantillon ne soit pas emballé avec d’autres marchandises</w:t>
      </w:r>
      <w:r w:rsidR="00867522" w:rsidRPr="002B1D62">
        <w:rPr>
          <w:lang w:val="fr-FR"/>
        </w:rPr>
        <w:t> </w:t>
      </w:r>
      <w:r w:rsidRPr="002B1D62">
        <w:rPr>
          <w:lang w:val="fr-FR"/>
        </w:rPr>
        <w:t xml:space="preserve">; </w:t>
      </w:r>
      <w:r w:rsidR="00A041B2" w:rsidRPr="002B1D62">
        <w:rPr>
          <w:lang w:val="fr-FR"/>
        </w:rPr>
        <w:t>e</w:t>
      </w:r>
      <w:r w:rsidRPr="002B1D62">
        <w:rPr>
          <w:lang w:val="fr-FR"/>
        </w:rPr>
        <w:t>t</w:t>
      </w:r>
    </w:p>
    <w:p w14:paraId="566F8AEA" w14:textId="42F4ACD9" w:rsidR="00E3532A" w:rsidRPr="002B1D62" w:rsidRDefault="00E3532A" w:rsidP="00E3532A">
      <w:pPr>
        <w:pStyle w:val="SingleTxtG"/>
        <w:rPr>
          <w:lang w:val="fr-FR"/>
        </w:rPr>
      </w:pPr>
      <w:r w:rsidRPr="002B1D62">
        <w:rPr>
          <w:lang w:val="fr-FR"/>
        </w:rPr>
        <w:t>e)</w:t>
      </w:r>
      <w:r w:rsidRPr="002B1D62">
        <w:rPr>
          <w:lang w:val="fr-FR"/>
        </w:rPr>
        <w:tab/>
        <w:t xml:space="preserve">L’échantillon </w:t>
      </w:r>
      <w:r w:rsidR="00A041B2" w:rsidRPr="002B1D62">
        <w:rPr>
          <w:lang w:val="fr-FR"/>
        </w:rPr>
        <w:t>soit</w:t>
      </w:r>
      <w:r w:rsidRPr="002B1D62">
        <w:rPr>
          <w:lang w:val="fr-FR"/>
        </w:rPr>
        <w:t xml:space="preserve"> emballé conformément à l’instruction d’emballage P520 et la disposition spéciale d’emballage PP94 ou PP95 du 4.1.4.1, selon le cas.</w:t>
      </w:r>
      <w:r w:rsidR="00867522" w:rsidRPr="002B1D62">
        <w:rPr>
          <w:lang w:val="fr-FR"/>
        </w:rPr>
        <w:t> </w:t>
      </w:r>
      <w:r w:rsidRPr="002B1D62">
        <w:rPr>
          <w:lang w:val="fr-FR"/>
        </w:rPr>
        <w:t>».</w:t>
      </w:r>
    </w:p>
    <w:p w14:paraId="423D0938" w14:textId="1B28A327" w:rsidR="002342EA" w:rsidRPr="00AA3A7B" w:rsidRDefault="00B26115" w:rsidP="00867522">
      <w:pPr>
        <w:pStyle w:val="SingleTxtG"/>
        <w:tabs>
          <w:tab w:val="left" w:pos="2268"/>
        </w:tabs>
        <w:rPr>
          <w:lang w:val="fr-FR"/>
        </w:rPr>
      </w:pPr>
      <w:r w:rsidRPr="00AA3A7B">
        <w:rPr>
          <w:lang w:val="fr-FR"/>
        </w:rPr>
        <w:t>2.1.5</w:t>
      </w:r>
      <w:r w:rsidRPr="00AA3A7B">
        <w:rPr>
          <w:lang w:val="fr-FR"/>
        </w:rPr>
        <w:tab/>
      </w:r>
      <w:r w:rsidR="002342EA" w:rsidRPr="00AA3A7B">
        <w:rPr>
          <w:lang w:val="fr-FR"/>
        </w:rPr>
        <w:t xml:space="preserve">Ajouter la nouvelle section </w:t>
      </w:r>
      <w:r w:rsidR="00DD7499" w:rsidRPr="00AA3A7B">
        <w:rPr>
          <w:lang w:val="fr-FR"/>
        </w:rPr>
        <w:t>2.1.5</w:t>
      </w:r>
      <w:r w:rsidR="002342EA" w:rsidRPr="00AA3A7B">
        <w:rPr>
          <w:lang w:val="fr-FR"/>
        </w:rPr>
        <w:t xml:space="preserve"> suivante</w:t>
      </w:r>
      <w:r w:rsidR="00DD7499" w:rsidRPr="00AA3A7B">
        <w:rPr>
          <w:lang w:val="fr-FR"/>
        </w:rPr>
        <w:t xml:space="preserve"> et renuméroter la section 2.1.5 existante en tant que section 2.1.6 </w:t>
      </w:r>
      <w:r w:rsidR="002342EA" w:rsidRPr="00AA3A7B">
        <w:rPr>
          <w:lang w:val="fr-FR"/>
        </w:rPr>
        <w:t>:</w:t>
      </w:r>
    </w:p>
    <w:p w14:paraId="3A977CBD" w14:textId="259459A5" w:rsidR="002342EA" w:rsidRPr="00AA3A7B" w:rsidRDefault="002342EA" w:rsidP="00867522">
      <w:pPr>
        <w:pStyle w:val="SingleTxtG"/>
        <w:tabs>
          <w:tab w:val="left" w:pos="2268"/>
        </w:tabs>
        <w:rPr>
          <w:i/>
          <w:lang w:val="fr-FR"/>
        </w:rPr>
      </w:pPr>
      <w:r w:rsidRPr="00AA3A7B">
        <w:rPr>
          <w:lang w:val="fr-FR"/>
        </w:rPr>
        <w:t>«</w:t>
      </w:r>
      <w:r w:rsidR="00DD7499" w:rsidRPr="00AA3A7B">
        <w:rPr>
          <w:b/>
          <w:lang w:val="fr-FR"/>
        </w:rPr>
        <w:t>2.1.5</w:t>
      </w:r>
      <w:r w:rsidRPr="00AA3A7B">
        <w:rPr>
          <w:b/>
          <w:lang w:val="fr-FR"/>
        </w:rPr>
        <w:tab/>
      </w:r>
      <w:r w:rsidR="00706B12" w:rsidRPr="00AA3A7B">
        <w:rPr>
          <w:b/>
          <w:lang w:val="fr-FR"/>
        </w:rPr>
        <w:tab/>
      </w:r>
      <w:r w:rsidR="00DD7499" w:rsidRPr="00AA3A7B">
        <w:rPr>
          <w:b/>
          <w:lang w:val="fr-FR"/>
        </w:rPr>
        <w:t>Classement des objets en tant qu’objets</w:t>
      </w:r>
      <w:r w:rsidRPr="00AA3A7B">
        <w:rPr>
          <w:b/>
          <w:lang w:val="fr-FR"/>
        </w:rPr>
        <w:t xml:space="preserve"> qui contiennent des marchandises dangereuses</w:t>
      </w:r>
      <w:r w:rsidR="00DD7499" w:rsidRPr="00AA3A7B">
        <w:rPr>
          <w:b/>
          <w:lang w:val="fr-FR"/>
        </w:rPr>
        <w:t>,</w:t>
      </w:r>
      <w:r w:rsidRPr="00AA3A7B">
        <w:rPr>
          <w:b/>
          <w:lang w:val="fr-FR"/>
        </w:rPr>
        <w:t xml:space="preserve"> N.S.A.</w:t>
      </w:r>
    </w:p>
    <w:p w14:paraId="60993EDE" w14:textId="72DF3E2D" w:rsidR="002342EA" w:rsidRPr="00CF3DE3" w:rsidRDefault="002342EA" w:rsidP="002342EA">
      <w:pPr>
        <w:pStyle w:val="SingleTxtG"/>
        <w:rPr>
          <w:i/>
          <w:lang w:val="fr-FR"/>
        </w:rPr>
      </w:pPr>
      <w:r w:rsidRPr="00CF3DE3">
        <w:rPr>
          <w:b/>
          <w:i/>
          <w:lang w:val="fr-FR"/>
        </w:rPr>
        <w:t>NOTA:</w:t>
      </w:r>
      <w:r w:rsidRPr="00CF3DE3">
        <w:rPr>
          <w:lang w:val="fr-FR"/>
        </w:rPr>
        <w:tab/>
      </w:r>
      <w:r w:rsidRPr="00CF3DE3">
        <w:rPr>
          <w:i/>
          <w:lang w:val="fr-FR"/>
        </w:rPr>
        <w:t>Pour les objets qui n’ont pas de désignation officielle de transport</w:t>
      </w:r>
      <w:r w:rsidR="00735A19" w:rsidRPr="00CF3DE3">
        <w:rPr>
          <w:i/>
          <w:lang w:val="fr-FR"/>
        </w:rPr>
        <w:t xml:space="preserve">, autre que les Nos ONU 3537 et 3548, </w:t>
      </w:r>
      <w:r w:rsidRPr="00CF3DE3">
        <w:rPr>
          <w:i/>
          <w:lang w:val="fr-FR"/>
        </w:rPr>
        <w:t>et qui contiennent seulement des marchandises dangereuses en quantités ne dépassant pas celles fixées à la colonne </w:t>
      </w:r>
      <w:r w:rsidR="00DD7499" w:rsidRPr="00CF3DE3">
        <w:rPr>
          <w:i/>
          <w:lang w:val="fr-FR"/>
        </w:rPr>
        <w:t>(</w:t>
      </w:r>
      <w:r w:rsidRPr="00CF3DE3">
        <w:rPr>
          <w:i/>
          <w:lang w:val="fr-FR"/>
        </w:rPr>
        <w:t>7a</w:t>
      </w:r>
      <w:r w:rsidR="00DD7499" w:rsidRPr="00CF3DE3">
        <w:rPr>
          <w:i/>
          <w:lang w:val="fr-FR"/>
        </w:rPr>
        <w:t>)</w:t>
      </w:r>
      <w:r w:rsidRPr="00CF3DE3">
        <w:rPr>
          <w:i/>
          <w:lang w:val="fr-FR"/>
        </w:rPr>
        <w:t xml:space="preserve"> </w:t>
      </w:r>
      <w:r w:rsidR="00DD7499" w:rsidRPr="00CF3DE3">
        <w:rPr>
          <w:i/>
          <w:lang w:val="fr-FR"/>
        </w:rPr>
        <w:t xml:space="preserve">du tableau A du </w:t>
      </w:r>
      <w:r w:rsidR="00132A26" w:rsidRPr="00CF3DE3">
        <w:rPr>
          <w:i/>
          <w:lang w:val="fr-FR"/>
        </w:rPr>
        <w:t>c</w:t>
      </w:r>
      <w:r w:rsidR="00DD7499" w:rsidRPr="00CF3DE3">
        <w:rPr>
          <w:i/>
          <w:lang w:val="fr-FR"/>
        </w:rPr>
        <w:t>hapitre 3.2</w:t>
      </w:r>
      <w:r w:rsidRPr="00CF3DE3">
        <w:rPr>
          <w:i/>
          <w:lang w:val="fr-FR"/>
        </w:rPr>
        <w:t xml:space="preserve">, voir le No ONU 3363 et </w:t>
      </w:r>
      <w:r w:rsidR="00DD7499" w:rsidRPr="00CF3DE3">
        <w:rPr>
          <w:i/>
          <w:lang w:val="fr-FR"/>
        </w:rPr>
        <w:t xml:space="preserve">les </w:t>
      </w:r>
      <w:r w:rsidRPr="00CF3DE3">
        <w:rPr>
          <w:i/>
          <w:lang w:val="fr-FR"/>
        </w:rPr>
        <w:t>disposition</w:t>
      </w:r>
      <w:r w:rsidR="00DD7499" w:rsidRPr="00CF3DE3">
        <w:rPr>
          <w:i/>
          <w:lang w:val="fr-FR"/>
        </w:rPr>
        <w:t>s</w:t>
      </w:r>
      <w:r w:rsidRPr="00CF3DE3">
        <w:rPr>
          <w:i/>
          <w:lang w:val="fr-FR"/>
        </w:rPr>
        <w:t xml:space="preserve"> spéciale</w:t>
      </w:r>
      <w:r w:rsidR="00DD7499" w:rsidRPr="00CF3DE3">
        <w:rPr>
          <w:i/>
          <w:lang w:val="fr-FR"/>
        </w:rPr>
        <w:t>s</w:t>
      </w:r>
      <w:r w:rsidRPr="00CF3DE3">
        <w:rPr>
          <w:i/>
          <w:lang w:val="fr-FR"/>
        </w:rPr>
        <w:t> 301</w:t>
      </w:r>
      <w:r w:rsidR="00DD7499" w:rsidRPr="00CF3DE3">
        <w:rPr>
          <w:i/>
          <w:lang w:val="fr-FR"/>
        </w:rPr>
        <w:t xml:space="preserve"> et 672</w:t>
      </w:r>
      <w:r w:rsidRPr="00CF3DE3">
        <w:rPr>
          <w:i/>
          <w:lang w:val="fr-FR"/>
        </w:rPr>
        <w:t xml:space="preserve"> du chapitre 3.3.</w:t>
      </w:r>
    </w:p>
    <w:p w14:paraId="1C6F4EAB" w14:textId="5CE1E28D" w:rsidR="00B26115" w:rsidRPr="00AA3A7B" w:rsidRDefault="00132A26" w:rsidP="00867522">
      <w:pPr>
        <w:pStyle w:val="SingleTxtG"/>
        <w:tabs>
          <w:tab w:val="left" w:pos="2268"/>
        </w:tabs>
        <w:rPr>
          <w:lang w:val="fr-FR"/>
        </w:rPr>
      </w:pPr>
      <w:r w:rsidRPr="00AA3A7B">
        <w:rPr>
          <w:lang w:val="fr-FR"/>
        </w:rPr>
        <w:t>2.1.5.1</w:t>
      </w:r>
      <w:r w:rsidR="002342EA" w:rsidRPr="00AA3A7B">
        <w:rPr>
          <w:lang w:val="fr-FR"/>
        </w:rPr>
        <w:tab/>
      </w:r>
      <w:r w:rsidR="002342EA" w:rsidRPr="00AA3A7B">
        <w:rPr>
          <w:lang w:val="fr-FR"/>
        </w:rPr>
        <w:tab/>
        <w:t xml:space="preserve">Les objets qui contiennent des marchandises dangereuses peuvent être </w:t>
      </w:r>
      <w:r w:rsidRPr="00AA3A7B">
        <w:rPr>
          <w:lang w:val="fr-FR"/>
        </w:rPr>
        <w:t xml:space="preserve">classés </w:t>
      </w:r>
      <w:r w:rsidR="002342EA" w:rsidRPr="00AA3A7B">
        <w:rPr>
          <w:lang w:val="fr-FR"/>
        </w:rPr>
        <w:t xml:space="preserve">conformément aux dispositions figurant par ailleurs dans </w:t>
      </w:r>
      <w:r w:rsidR="00AA3A7B" w:rsidRPr="00154472">
        <w:rPr>
          <w:lang w:val="fr-FR"/>
        </w:rPr>
        <w:t xml:space="preserve">l’ADR </w:t>
      </w:r>
      <w:r w:rsidR="002342EA" w:rsidRPr="00AA3A7B">
        <w:rPr>
          <w:lang w:val="fr-FR"/>
        </w:rPr>
        <w:t xml:space="preserve">sous la désignation officielle de transport correspondant aux marchandises dangereuses qu’ils contiennent ou être </w:t>
      </w:r>
      <w:r w:rsidR="00AA3A7B">
        <w:rPr>
          <w:lang w:val="fr-FR"/>
        </w:rPr>
        <w:t>classés</w:t>
      </w:r>
      <w:r w:rsidR="00AA3A7B" w:rsidRPr="00154472">
        <w:rPr>
          <w:lang w:val="fr-FR"/>
        </w:rPr>
        <w:t xml:space="preserve"> </w:t>
      </w:r>
      <w:r w:rsidR="002342EA" w:rsidRPr="00AA3A7B">
        <w:rPr>
          <w:lang w:val="fr-FR"/>
        </w:rPr>
        <w:t xml:space="preserve">conformément à la présente section. </w:t>
      </w:r>
    </w:p>
    <w:p w14:paraId="4AE8A07B" w14:textId="52E7EA43" w:rsidR="00132A26" w:rsidRPr="00AA3A7B" w:rsidRDefault="002342EA" w:rsidP="00867522">
      <w:pPr>
        <w:pStyle w:val="SingleTxtG"/>
        <w:tabs>
          <w:tab w:val="left" w:pos="2268"/>
        </w:tabs>
        <w:ind w:firstLine="1134"/>
        <w:rPr>
          <w:lang w:val="fr-FR"/>
        </w:rPr>
      </w:pPr>
      <w:r w:rsidRPr="00AA3A7B">
        <w:rPr>
          <w:lang w:val="fr-FR"/>
        </w:rPr>
        <w:t xml:space="preserve">Aux fins de la présente section, le terme </w:t>
      </w:r>
      <w:r w:rsidR="00867522" w:rsidRPr="00AA3A7B">
        <w:rPr>
          <w:lang w:val="fr-FR"/>
        </w:rPr>
        <w:t>"</w:t>
      </w:r>
      <w:r w:rsidRPr="00AA3A7B">
        <w:rPr>
          <w:lang w:val="fr-FR"/>
        </w:rPr>
        <w:t>objet</w:t>
      </w:r>
      <w:r w:rsidR="00867522" w:rsidRPr="00AA3A7B">
        <w:rPr>
          <w:lang w:val="fr-FR"/>
        </w:rPr>
        <w:t>"</w:t>
      </w:r>
      <w:r w:rsidRPr="00AA3A7B">
        <w:rPr>
          <w:lang w:val="fr-FR"/>
        </w:rPr>
        <w:t xml:space="preserve"> désigne des machines, des appareils ou d’autres dispositifs contenant une ou plusieurs marchandises dangereuses (ou résidus de ces marchandises) qui font intégralement partie de l’objet, nécessaires à son fonctionnement et qui ne peuvent être enlevés pour le transport. </w:t>
      </w:r>
    </w:p>
    <w:p w14:paraId="720DAD2D" w14:textId="4C7BF812" w:rsidR="002342EA" w:rsidRPr="00AA3A7B" w:rsidRDefault="002342EA" w:rsidP="00867522">
      <w:pPr>
        <w:pStyle w:val="SingleTxtG"/>
        <w:tabs>
          <w:tab w:val="left" w:pos="2268"/>
        </w:tabs>
        <w:ind w:firstLine="1134"/>
        <w:rPr>
          <w:lang w:val="fr-FR"/>
        </w:rPr>
      </w:pPr>
      <w:r w:rsidRPr="00AA3A7B">
        <w:rPr>
          <w:lang w:val="fr-FR"/>
        </w:rPr>
        <w:t>Un emballage intérieur n’est pas considéré comme un objet.</w:t>
      </w:r>
    </w:p>
    <w:p w14:paraId="11B99215" w14:textId="1C38B308" w:rsidR="002342EA" w:rsidRPr="00AA3A7B" w:rsidRDefault="00132A26" w:rsidP="002342EA">
      <w:pPr>
        <w:pStyle w:val="SingleTxtG"/>
        <w:rPr>
          <w:lang w:val="fr-FR"/>
        </w:rPr>
      </w:pPr>
      <w:r w:rsidRPr="00AA3A7B">
        <w:rPr>
          <w:lang w:val="fr-FR"/>
        </w:rPr>
        <w:t>2.1.5.2</w:t>
      </w:r>
      <w:r w:rsidR="002342EA" w:rsidRPr="00AA3A7B">
        <w:rPr>
          <w:lang w:val="fr-FR"/>
        </w:rPr>
        <w:tab/>
      </w:r>
      <w:r w:rsidR="002342EA" w:rsidRPr="00AA3A7B">
        <w:rPr>
          <w:lang w:val="fr-FR"/>
        </w:rPr>
        <w:tab/>
        <w:t xml:space="preserve">Ces objets peuvent en outre contenir des batteries. Les </w:t>
      </w:r>
      <w:r w:rsidR="00F67E8B" w:rsidRPr="00AA3A7B">
        <w:rPr>
          <w:lang w:val="fr-FR"/>
        </w:rPr>
        <w:t xml:space="preserve">piles </w:t>
      </w:r>
      <w:r w:rsidR="002342EA" w:rsidRPr="00AA3A7B">
        <w:rPr>
          <w:lang w:val="fr-FR"/>
        </w:rPr>
        <w:t xml:space="preserve">au lithium qui font partie intégrante d’un objet doivent être conformes à un type dont il a été démontré qu’il satisfait aux prescriptions en matière d’épreuves du Manuel d’épreuves et de critères, </w:t>
      </w:r>
      <w:r w:rsidR="008E517B" w:rsidRPr="00AA3A7B">
        <w:rPr>
          <w:lang w:val="fr-FR"/>
        </w:rPr>
        <w:t xml:space="preserve">troisième </w:t>
      </w:r>
      <w:r w:rsidR="002342EA" w:rsidRPr="00AA3A7B">
        <w:rPr>
          <w:lang w:val="fr-FR"/>
        </w:rPr>
        <w:t>part</w:t>
      </w:r>
      <w:r w:rsidR="008E517B" w:rsidRPr="00AA3A7B">
        <w:rPr>
          <w:lang w:val="fr-FR"/>
        </w:rPr>
        <w:t>ie</w:t>
      </w:r>
      <w:r w:rsidR="002342EA" w:rsidRPr="00AA3A7B">
        <w:rPr>
          <w:lang w:val="fr-FR"/>
        </w:rPr>
        <w:t xml:space="preserve">, sous-section 38.3, sauf indications contraires </w:t>
      </w:r>
      <w:r w:rsidRPr="00AA3A7B">
        <w:rPr>
          <w:lang w:val="fr-FR"/>
        </w:rPr>
        <w:t xml:space="preserve">dans </w:t>
      </w:r>
      <w:r w:rsidR="00AA3A7B" w:rsidRPr="00154472">
        <w:rPr>
          <w:lang w:val="fr-FR"/>
        </w:rPr>
        <w:t>l’ADR</w:t>
      </w:r>
      <w:r w:rsidR="002342EA" w:rsidRPr="00AA3A7B">
        <w:rPr>
          <w:lang w:val="fr-FR"/>
        </w:rPr>
        <w:t xml:space="preserve"> (par exemple pour </w:t>
      </w:r>
      <w:r w:rsidR="002342EA" w:rsidRPr="00AA3A7B">
        <w:rPr>
          <w:lang w:val="fr-FR"/>
        </w:rPr>
        <w:lastRenderedPageBreak/>
        <w:t xml:space="preserve">les objets prototypes de pré-production contenant des </w:t>
      </w:r>
      <w:r w:rsidR="00F67E8B" w:rsidRPr="00AA3A7B">
        <w:rPr>
          <w:lang w:val="fr-FR"/>
        </w:rPr>
        <w:t xml:space="preserve">piles </w:t>
      </w:r>
      <w:r w:rsidR="002342EA" w:rsidRPr="00AA3A7B">
        <w:rPr>
          <w:lang w:val="fr-FR"/>
        </w:rPr>
        <w:t>au lithium ou pour une petite série de production comprenant au plus 100 de ces objets).</w:t>
      </w:r>
    </w:p>
    <w:p w14:paraId="1725F77D" w14:textId="68C8EA1D" w:rsidR="002342EA" w:rsidRPr="00AA3A7B" w:rsidRDefault="00132A26" w:rsidP="00A23A55">
      <w:pPr>
        <w:pStyle w:val="SingleTxtG"/>
        <w:tabs>
          <w:tab w:val="left" w:pos="2268"/>
        </w:tabs>
        <w:rPr>
          <w:lang w:val="fr-FR"/>
        </w:rPr>
      </w:pPr>
      <w:r w:rsidRPr="00AA3A7B">
        <w:rPr>
          <w:lang w:val="fr-FR"/>
        </w:rPr>
        <w:t>2.1.5.3</w:t>
      </w:r>
      <w:r w:rsidR="002342EA" w:rsidRPr="00AA3A7B">
        <w:rPr>
          <w:lang w:val="fr-FR"/>
        </w:rPr>
        <w:tab/>
        <w:t xml:space="preserve">La présente section ne s’applique pas aux objets possédant déjà une désignation officielle de transport plus précise dans </w:t>
      </w:r>
      <w:r w:rsidRPr="00AA3A7B">
        <w:rPr>
          <w:lang w:val="fr-FR"/>
        </w:rPr>
        <w:t>le tableau A</w:t>
      </w:r>
      <w:r w:rsidR="002342EA" w:rsidRPr="00AA3A7B">
        <w:rPr>
          <w:lang w:val="fr-FR"/>
        </w:rPr>
        <w:t xml:space="preserve"> du chapitre 3.2.</w:t>
      </w:r>
    </w:p>
    <w:p w14:paraId="2694314E" w14:textId="5456836B" w:rsidR="002342EA" w:rsidRPr="00AA3A7B" w:rsidRDefault="00132A26" w:rsidP="00A23A55">
      <w:pPr>
        <w:pStyle w:val="SingleTxtG"/>
        <w:tabs>
          <w:tab w:val="left" w:pos="2268"/>
        </w:tabs>
        <w:rPr>
          <w:lang w:val="fr-FR"/>
        </w:rPr>
      </w:pPr>
      <w:r w:rsidRPr="00AA3A7B">
        <w:rPr>
          <w:lang w:val="fr-FR"/>
        </w:rPr>
        <w:t>2.1.5.4</w:t>
      </w:r>
      <w:r w:rsidR="002342EA" w:rsidRPr="00AA3A7B">
        <w:rPr>
          <w:lang w:val="fr-FR"/>
        </w:rPr>
        <w:tab/>
        <w:t xml:space="preserve">La présente section ne s’applique pas aux marchandises dangereuses de la classe 1, de la </w:t>
      </w:r>
      <w:r w:rsidRPr="00AA3A7B">
        <w:rPr>
          <w:lang w:val="fr-FR"/>
        </w:rPr>
        <w:t xml:space="preserve">classe </w:t>
      </w:r>
      <w:r w:rsidR="002342EA" w:rsidRPr="00AA3A7B">
        <w:rPr>
          <w:lang w:val="fr-FR"/>
        </w:rPr>
        <w:t>6.2 ou de la classe 7 ou au</w:t>
      </w:r>
      <w:r w:rsidR="00F67E8B" w:rsidRPr="00AA3A7B">
        <w:rPr>
          <w:lang w:val="fr-FR"/>
        </w:rPr>
        <w:t>x</w:t>
      </w:r>
      <w:r w:rsidR="002342EA" w:rsidRPr="00AA3A7B">
        <w:rPr>
          <w:lang w:val="fr-FR"/>
        </w:rPr>
        <w:t xml:space="preserve"> matières radioactives contenues dans </w:t>
      </w:r>
      <w:r w:rsidR="00F67E8B" w:rsidRPr="00AA3A7B">
        <w:rPr>
          <w:lang w:val="fr-FR"/>
        </w:rPr>
        <w:t xml:space="preserve">des </w:t>
      </w:r>
      <w:r w:rsidR="002342EA" w:rsidRPr="00AA3A7B">
        <w:rPr>
          <w:lang w:val="fr-FR"/>
        </w:rPr>
        <w:t>objets.</w:t>
      </w:r>
    </w:p>
    <w:p w14:paraId="1E344E56" w14:textId="74BD3AD7" w:rsidR="002342EA" w:rsidRPr="00AA3A7B" w:rsidRDefault="00132A26" w:rsidP="00A23A55">
      <w:pPr>
        <w:pStyle w:val="SingleTxtG"/>
        <w:tabs>
          <w:tab w:val="left" w:pos="2268"/>
        </w:tabs>
        <w:rPr>
          <w:lang w:val="fr-FR"/>
        </w:rPr>
      </w:pPr>
      <w:r w:rsidRPr="00AA3A7B">
        <w:rPr>
          <w:lang w:val="fr-FR"/>
        </w:rPr>
        <w:t>2.1.5.5</w:t>
      </w:r>
      <w:r w:rsidR="002342EA" w:rsidRPr="00AA3A7B">
        <w:rPr>
          <w:lang w:val="fr-FR"/>
        </w:rPr>
        <w:tab/>
        <w:t xml:space="preserve">Les objets contenant des marchandises dangereuses doivent être affectés à une classe en fonction de leurs dangers en utilisant, pour chacune des marchandises dangereuses contenues dans l’objet en question, l’ordre de prépondérance </w:t>
      </w:r>
      <w:r w:rsidR="002A2FE6" w:rsidRPr="00AA3A7B">
        <w:rPr>
          <w:lang w:val="fr-FR"/>
        </w:rPr>
        <w:t xml:space="preserve">des dangers du tableau du 2.1.3.10 </w:t>
      </w:r>
      <w:r w:rsidR="002342EA" w:rsidRPr="00AA3A7B">
        <w:rPr>
          <w:lang w:val="fr-FR"/>
        </w:rPr>
        <w:t xml:space="preserve">le cas échéant. Si l’objet contient des marchandises dangereuses de la classe 9, toutes les autres matières dangereuses sont considérées comme présentant un </w:t>
      </w:r>
      <w:r w:rsidR="007B22B9" w:rsidRPr="00AA3A7B">
        <w:rPr>
          <w:lang w:val="fr-FR"/>
        </w:rPr>
        <w:t xml:space="preserve">danger </w:t>
      </w:r>
      <w:r w:rsidR="002342EA" w:rsidRPr="00AA3A7B">
        <w:rPr>
          <w:lang w:val="fr-FR"/>
        </w:rPr>
        <w:t>plus élevé.</w:t>
      </w:r>
    </w:p>
    <w:p w14:paraId="55E94CC2" w14:textId="435C0CA1" w:rsidR="00C067FD" w:rsidRDefault="00C067FD" w:rsidP="00A23A55">
      <w:pPr>
        <w:pStyle w:val="SingleTxtG"/>
        <w:tabs>
          <w:tab w:val="left" w:pos="2268"/>
        </w:tabs>
        <w:rPr>
          <w:lang w:val="fr-FR"/>
        </w:rPr>
      </w:pPr>
      <w:r w:rsidRPr="00AA3A7B">
        <w:rPr>
          <w:lang w:val="fr-FR"/>
        </w:rPr>
        <w:t>2.1.5.6</w:t>
      </w:r>
      <w:r w:rsidRPr="00AA3A7B">
        <w:rPr>
          <w:lang w:val="fr-FR"/>
        </w:rPr>
        <w:tab/>
        <w:t>Les dangers subsidiaires doivent être représentatifs des dangers principaux posés par les autres marchandises dangereuses présentes dans l’objet. Lorsqu’une seule marchandise dangereuse est présente dans l’objet, les dangers subsidiaires doivent être ceux identifiés par les étiquettes de dangers subsidiaires en colonne (5) du tableau A du chapitre 3.2 le cas échéant. Si l’objet contient plusieurs marchandises dangereuses, et que celles-ci peuvent réagir dangereusement entre elles durant le transport, chacune d’elles doit être enfermée séparément (voir 4.1.1.6). ».</w:t>
      </w:r>
    </w:p>
    <w:p w14:paraId="7E1F4FE4" w14:textId="3D2E590F" w:rsidR="00196C06" w:rsidRPr="00C13EA4" w:rsidRDefault="00196C06" w:rsidP="00196C06">
      <w:pPr>
        <w:pStyle w:val="H1G"/>
        <w:rPr>
          <w:lang w:val="fr-FR"/>
        </w:rPr>
      </w:pPr>
      <w:r w:rsidRPr="00C13EA4">
        <w:rPr>
          <w:lang w:val="fr-FR"/>
        </w:rPr>
        <w:tab/>
      </w:r>
      <w:r w:rsidRPr="00C13EA4">
        <w:rPr>
          <w:lang w:val="fr-FR"/>
        </w:rPr>
        <w:tab/>
        <w:t xml:space="preserve">Chapitre </w:t>
      </w:r>
      <w:r w:rsidR="005C1E71" w:rsidRPr="00C13EA4">
        <w:rPr>
          <w:lang w:val="fr-FR"/>
        </w:rPr>
        <w:t>2.2</w:t>
      </w:r>
    </w:p>
    <w:p w14:paraId="5C9F8DB0" w14:textId="77777777" w:rsidR="002F3DB5" w:rsidRPr="00C90BC0" w:rsidRDefault="00547B62" w:rsidP="00C77339">
      <w:pPr>
        <w:pStyle w:val="SingleTxtG"/>
        <w:rPr>
          <w:lang w:val="fr-FR"/>
        </w:rPr>
      </w:pPr>
      <w:r w:rsidRPr="00C90BC0">
        <w:rPr>
          <w:lang w:val="fr-FR"/>
        </w:rPr>
        <w:t>2.2.1.1.1 c)</w:t>
      </w:r>
      <w:r w:rsidRPr="00C90BC0">
        <w:rPr>
          <w:lang w:val="fr-FR"/>
        </w:rPr>
        <w:tab/>
        <w:t>Remplacer « un effet pratique par explosion ou à des fins pyrotechniques » par « un effet pratique explosif ou pyrotechnique ».</w:t>
      </w:r>
    </w:p>
    <w:p w14:paraId="6D536D85" w14:textId="15211BD3" w:rsidR="00993A3A" w:rsidRPr="00C13EA4" w:rsidRDefault="00993A3A" w:rsidP="00196C06">
      <w:pPr>
        <w:spacing w:before="120" w:after="120" w:line="240" w:lineRule="auto"/>
        <w:ind w:left="1134" w:right="1134"/>
        <w:jc w:val="both"/>
        <w:rPr>
          <w:lang w:val="fr-FR"/>
        </w:rPr>
      </w:pPr>
      <w:r w:rsidRPr="00C13EA4">
        <w:rPr>
          <w:lang w:val="fr-FR"/>
        </w:rPr>
        <w:t>2.2.1.1.5</w:t>
      </w:r>
      <w:r w:rsidRPr="00C13EA4">
        <w:rPr>
          <w:lang w:val="fr-FR"/>
        </w:rPr>
        <w:tab/>
        <w:t xml:space="preserve">Remplacer « risque » par « danger » (9 fois). </w:t>
      </w:r>
    </w:p>
    <w:p w14:paraId="389DF03F" w14:textId="78CC543D" w:rsidR="00196C06" w:rsidRPr="00C13EA4" w:rsidRDefault="00993A3A" w:rsidP="00196C06">
      <w:pPr>
        <w:spacing w:before="120" w:after="120" w:line="240" w:lineRule="auto"/>
        <w:ind w:left="1134" w:right="1134"/>
        <w:jc w:val="both"/>
        <w:rPr>
          <w:lang w:val="fr-FR"/>
        </w:rPr>
      </w:pPr>
      <w:r w:rsidRPr="00C13EA4">
        <w:rPr>
          <w:lang w:val="fr-FR"/>
        </w:rPr>
        <w:t>2.2.1.1.6</w:t>
      </w:r>
      <w:r w:rsidR="00196C06" w:rsidRPr="00C13EA4">
        <w:rPr>
          <w:lang w:val="fr-FR"/>
        </w:rPr>
        <w:tab/>
      </w:r>
      <w:r w:rsidRPr="00C13EA4">
        <w:rPr>
          <w:lang w:val="fr-FR"/>
        </w:rPr>
        <w:t>P</w:t>
      </w:r>
      <w:r w:rsidR="00196C06" w:rsidRPr="00C13EA4">
        <w:rPr>
          <w:lang w:val="fr-FR"/>
        </w:rPr>
        <w:t>our le Groupe de compatibilité «</w:t>
      </w:r>
      <w:r w:rsidR="00867522" w:rsidRPr="00C13EA4">
        <w:rPr>
          <w:lang w:val="fr-FR"/>
        </w:rPr>
        <w:t> </w:t>
      </w:r>
      <w:r w:rsidR="00196C06" w:rsidRPr="00C13EA4">
        <w:rPr>
          <w:lang w:val="fr-FR"/>
        </w:rPr>
        <w:t>L</w:t>
      </w:r>
      <w:r w:rsidR="00867522" w:rsidRPr="00C13EA4">
        <w:rPr>
          <w:lang w:val="fr-FR"/>
        </w:rPr>
        <w:t> </w:t>
      </w:r>
      <w:r w:rsidR="00196C06" w:rsidRPr="00C13EA4">
        <w:rPr>
          <w:lang w:val="fr-FR"/>
        </w:rPr>
        <w:t xml:space="preserve">», </w:t>
      </w:r>
      <w:r w:rsidR="00196C06" w:rsidRPr="00C13EA4">
        <w:rPr>
          <w:lang w:val="fr-FR" w:eastAsia="en-GB"/>
        </w:rPr>
        <w:t>r</w:t>
      </w:r>
      <w:r w:rsidR="00196C06" w:rsidRPr="00C13EA4">
        <w:rPr>
          <w:lang w:val="fr-FR"/>
        </w:rPr>
        <w:t>emplacer «</w:t>
      </w:r>
      <w:r w:rsidR="00867522" w:rsidRPr="00C13EA4">
        <w:rPr>
          <w:lang w:val="fr-FR"/>
        </w:rPr>
        <w:t> </w:t>
      </w:r>
      <w:r w:rsidR="00196C06" w:rsidRPr="00C13EA4">
        <w:rPr>
          <w:lang w:val="fr-FR"/>
        </w:rPr>
        <w:t>risque</w:t>
      </w:r>
      <w:r w:rsidR="00867522" w:rsidRPr="00C13EA4">
        <w:rPr>
          <w:lang w:val="fr-FR"/>
        </w:rPr>
        <w:t> </w:t>
      </w:r>
      <w:r w:rsidR="00196C06" w:rsidRPr="00C13EA4">
        <w:rPr>
          <w:lang w:val="fr-FR"/>
        </w:rPr>
        <w:t>» par «</w:t>
      </w:r>
      <w:r w:rsidR="00867522" w:rsidRPr="00C13EA4">
        <w:rPr>
          <w:lang w:val="fr-FR"/>
        </w:rPr>
        <w:t> </w:t>
      </w:r>
      <w:r w:rsidR="00196C06" w:rsidRPr="00C13EA4">
        <w:rPr>
          <w:lang w:val="fr-FR"/>
        </w:rPr>
        <w:t>danger</w:t>
      </w:r>
      <w:r w:rsidR="00867522" w:rsidRPr="00C13EA4">
        <w:rPr>
          <w:lang w:val="fr-FR"/>
        </w:rPr>
        <w:t> </w:t>
      </w:r>
      <w:r w:rsidR="00196C06" w:rsidRPr="00C13EA4">
        <w:rPr>
          <w:lang w:val="fr-FR"/>
        </w:rPr>
        <w:t>».</w:t>
      </w:r>
    </w:p>
    <w:p w14:paraId="13A14511" w14:textId="0F1D38BD" w:rsidR="00196C06" w:rsidRPr="00C13EA4" w:rsidRDefault="00993A3A" w:rsidP="00196C06">
      <w:pPr>
        <w:pStyle w:val="SingleTxtG"/>
        <w:spacing w:before="120"/>
        <w:rPr>
          <w:lang w:val="fr-FR"/>
        </w:rPr>
      </w:pPr>
      <w:r w:rsidRPr="00C13EA4">
        <w:rPr>
          <w:lang w:val="fr-FR"/>
        </w:rPr>
        <w:t>2.2.1.1.7.1</w:t>
      </w:r>
      <w:r w:rsidR="00196C06" w:rsidRPr="00C13EA4">
        <w:rPr>
          <w:lang w:val="fr-FR"/>
        </w:rPr>
        <w:t xml:space="preserve"> a)</w:t>
      </w:r>
      <w:r w:rsidR="00196C06" w:rsidRPr="00C13EA4">
        <w:rPr>
          <w:lang w:val="fr-FR"/>
        </w:rPr>
        <w:tab/>
        <w:t>Remplacer «</w:t>
      </w:r>
      <w:r w:rsidR="00867522" w:rsidRPr="00C13EA4">
        <w:rPr>
          <w:lang w:val="fr-FR"/>
        </w:rPr>
        <w:t> </w:t>
      </w:r>
      <w:r w:rsidR="00196C06" w:rsidRPr="00C13EA4">
        <w:rPr>
          <w:lang w:val="fr-FR"/>
        </w:rPr>
        <w:t>qui obtiennent un résultat positif à l’issue de l’épreuve HSL des compositions éclair décrite à l’appendice 7 du Manuel d’épreuves et de critères doivent être affectés</w:t>
      </w:r>
      <w:r w:rsidR="00867522" w:rsidRPr="00C13EA4">
        <w:rPr>
          <w:lang w:val="fr-FR"/>
        </w:rPr>
        <w:t> </w:t>
      </w:r>
      <w:r w:rsidR="00196C06" w:rsidRPr="00C13EA4">
        <w:rPr>
          <w:lang w:val="fr-FR"/>
        </w:rPr>
        <w:t>» par «</w:t>
      </w:r>
      <w:r w:rsidR="00867522" w:rsidRPr="00C13EA4">
        <w:rPr>
          <w:lang w:val="fr-FR"/>
        </w:rPr>
        <w:t> </w:t>
      </w:r>
      <w:r w:rsidR="00196C06" w:rsidRPr="00C13EA4">
        <w:rPr>
          <w:lang w:val="fr-FR"/>
        </w:rPr>
        <w:t xml:space="preserve">contenant une composition éclair (voir </w:t>
      </w:r>
      <w:r w:rsidRPr="00C13EA4">
        <w:rPr>
          <w:lang w:val="fr-FR"/>
        </w:rPr>
        <w:t>2.2.1.1.7.5</w:t>
      </w:r>
      <w:r w:rsidR="00196C06" w:rsidRPr="00C13EA4">
        <w:rPr>
          <w:lang w:val="fr-FR"/>
        </w:rPr>
        <w:t>, Nota 2) doivent être affectées</w:t>
      </w:r>
      <w:r w:rsidR="00867522" w:rsidRPr="00C13EA4">
        <w:rPr>
          <w:lang w:val="fr-FR"/>
        </w:rPr>
        <w:t> </w:t>
      </w:r>
      <w:r w:rsidR="00196C06" w:rsidRPr="00C13EA4">
        <w:rPr>
          <w:lang w:val="fr-FR"/>
        </w:rPr>
        <w:t>».</w:t>
      </w:r>
    </w:p>
    <w:p w14:paraId="4363716A" w14:textId="2DD6F92F" w:rsidR="00196C06" w:rsidRPr="00C13EA4" w:rsidRDefault="00993A3A" w:rsidP="00196C06">
      <w:pPr>
        <w:pStyle w:val="SingleTxtG"/>
        <w:spacing w:before="120"/>
        <w:rPr>
          <w:lang w:val="fr-FR"/>
        </w:rPr>
      </w:pPr>
      <w:r w:rsidRPr="00C13EA4">
        <w:rPr>
          <w:lang w:val="fr-FR"/>
        </w:rPr>
        <w:t>2.2.1.1.7.5</w:t>
      </w:r>
      <w:r w:rsidR="00196C06" w:rsidRPr="00C13EA4">
        <w:rPr>
          <w:lang w:val="fr-FR"/>
        </w:rPr>
        <w:tab/>
        <w:t xml:space="preserve">Modifier </w:t>
      </w:r>
      <w:r w:rsidR="00597A79" w:rsidRPr="00C13EA4">
        <w:rPr>
          <w:lang w:val="fr-FR"/>
        </w:rPr>
        <w:t xml:space="preserve">le Nota 2 </w:t>
      </w:r>
      <w:r w:rsidR="00196C06" w:rsidRPr="00C13EA4">
        <w:rPr>
          <w:lang w:val="fr-FR"/>
        </w:rPr>
        <w:t>pour lire comme suit:</w:t>
      </w:r>
    </w:p>
    <w:p w14:paraId="5902C3CD" w14:textId="14C41280" w:rsidR="00196C06" w:rsidRPr="00C13EA4" w:rsidRDefault="00196C06" w:rsidP="00597A79">
      <w:pPr>
        <w:pStyle w:val="SingleTxtG"/>
        <w:spacing w:before="120"/>
        <w:rPr>
          <w:lang w:val="fr-FR"/>
        </w:rPr>
      </w:pPr>
      <w:r w:rsidRPr="00C13EA4">
        <w:rPr>
          <w:lang w:val="fr-FR"/>
        </w:rPr>
        <w:t>«</w:t>
      </w:r>
      <w:r w:rsidR="004F4841" w:rsidRPr="00C13EA4">
        <w:rPr>
          <w:lang w:val="fr-FR"/>
        </w:rPr>
        <w:t> </w:t>
      </w:r>
      <w:r w:rsidR="00A23A55">
        <w:rPr>
          <w:b/>
          <w:i/>
          <w:lang w:val="fr-FR"/>
        </w:rPr>
        <w:tab/>
      </w:r>
      <w:r w:rsidRPr="00C13EA4">
        <w:rPr>
          <w:b/>
          <w:i/>
          <w:lang w:val="fr-FR"/>
        </w:rPr>
        <w:t>2</w:t>
      </w:r>
      <w:r w:rsidR="00867522" w:rsidRPr="00C13EA4">
        <w:rPr>
          <w:lang w:val="fr-FR"/>
        </w:rPr>
        <w:t> </w:t>
      </w:r>
      <w:r w:rsidR="00597A79" w:rsidRPr="00C13EA4">
        <w:rPr>
          <w:b/>
          <w:i/>
          <w:lang w:val="fr-FR"/>
        </w:rPr>
        <w:t>:</w:t>
      </w:r>
      <w:r w:rsidRPr="00C13EA4">
        <w:rPr>
          <w:i/>
          <w:lang w:val="fr-FR"/>
        </w:rPr>
        <w:tab/>
      </w:r>
      <w:r w:rsidR="00597A79" w:rsidRPr="00C13EA4">
        <w:rPr>
          <w:i/>
          <w:lang w:val="fr-FR"/>
        </w:rPr>
        <w:t xml:space="preserve">Le terme </w:t>
      </w:r>
      <w:r w:rsidR="00867522" w:rsidRPr="00C13EA4">
        <w:rPr>
          <w:i/>
          <w:lang w:val="fr-FR"/>
        </w:rPr>
        <w:t>"</w:t>
      </w:r>
      <w:r w:rsidR="00597A79" w:rsidRPr="00C13EA4">
        <w:rPr>
          <w:i/>
          <w:lang w:val="fr-FR"/>
        </w:rPr>
        <w:t>Composition éclair</w:t>
      </w:r>
      <w:r w:rsidR="00867522" w:rsidRPr="00C13EA4">
        <w:rPr>
          <w:i/>
          <w:lang w:val="fr-FR"/>
        </w:rPr>
        <w:t>"</w:t>
      </w:r>
      <w:r w:rsidR="00597A79" w:rsidRPr="00C13EA4">
        <w:rPr>
          <w:i/>
          <w:lang w:val="fr-FR"/>
        </w:rPr>
        <w:t xml:space="preserve"> dans ce tableau se réfère à des matières pyrotechniques, sous forme de poudre ou en tant que composant pyrotechnique élémentaire, telles que présentées dans l'artifice de divertissement, qui sont utilisées dans les cascades, ou pour produire un effet sonore ou utilisées en tant que charge d’éclatement, ou en tant que charge propulsive à moins</w:t>
      </w:r>
      <w:r w:rsidR="00867522" w:rsidRPr="00C13EA4">
        <w:rPr>
          <w:lang w:val="fr-FR"/>
        </w:rPr>
        <w:t> </w:t>
      </w:r>
      <w:r w:rsidR="00597A79" w:rsidRPr="00C13EA4">
        <w:rPr>
          <w:i/>
          <w:lang w:val="fr-FR"/>
        </w:rPr>
        <w:t xml:space="preserve">: </w:t>
      </w:r>
    </w:p>
    <w:p w14:paraId="5A1E7693" w14:textId="34A1A434" w:rsidR="00196C06" w:rsidRPr="00C13EA4" w:rsidRDefault="00196C06" w:rsidP="00196C06">
      <w:pPr>
        <w:pStyle w:val="SingleTxtG"/>
        <w:spacing w:before="120"/>
        <w:rPr>
          <w:i/>
          <w:lang w:val="fr-FR"/>
        </w:rPr>
      </w:pPr>
      <w:r w:rsidRPr="00C13EA4">
        <w:rPr>
          <w:i/>
          <w:lang w:val="fr-FR"/>
        </w:rPr>
        <w:t>a)</w:t>
      </w:r>
      <w:r w:rsidRPr="00C13EA4">
        <w:rPr>
          <w:i/>
          <w:lang w:val="fr-FR"/>
        </w:rPr>
        <w:tab/>
        <w:t>qu’il soit démontré que le temps de montée en pression dans l’épreuve HSL des compositions éclair de l’appendice 7 du Manuel d’épreuves et de critères est supérieur à 6 ms pour 0,5 g de matière pyrotechnique</w:t>
      </w:r>
      <w:r w:rsidR="00867522" w:rsidRPr="00C13EA4">
        <w:rPr>
          <w:lang w:val="fr-FR"/>
        </w:rPr>
        <w:t> </w:t>
      </w:r>
      <w:r w:rsidRPr="00C13EA4">
        <w:rPr>
          <w:i/>
          <w:lang w:val="fr-FR"/>
        </w:rPr>
        <w:t>; ou</w:t>
      </w:r>
    </w:p>
    <w:p w14:paraId="5DB7BCD8" w14:textId="0AC2E2D3" w:rsidR="00196C06" w:rsidRPr="00C13EA4" w:rsidRDefault="00196C06" w:rsidP="00196C06">
      <w:pPr>
        <w:spacing w:before="120" w:after="120" w:line="240" w:lineRule="auto"/>
        <w:ind w:left="1134" w:right="1134"/>
        <w:jc w:val="both"/>
        <w:rPr>
          <w:lang w:val="fr-FR"/>
        </w:rPr>
      </w:pPr>
      <w:r w:rsidRPr="00C13EA4">
        <w:rPr>
          <w:i/>
          <w:lang w:val="fr-FR"/>
        </w:rPr>
        <w:t>b)</w:t>
      </w:r>
      <w:r w:rsidRPr="00C13EA4">
        <w:rPr>
          <w:i/>
          <w:lang w:val="fr-FR"/>
        </w:rPr>
        <w:tab/>
      </w:r>
      <w:r w:rsidR="0096688F" w:rsidRPr="00C13EA4">
        <w:rPr>
          <w:i/>
          <w:lang w:val="fr-FR"/>
        </w:rPr>
        <w:t xml:space="preserve">que </w:t>
      </w:r>
      <w:r w:rsidRPr="00C13EA4">
        <w:rPr>
          <w:i/>
          <w:lang w:val="fr-FR"/>
        </w:rPr>
        <w:t xml:space="preserve">la matière pyrotechnique donne un résultat négatif </w:t>
      </w:r>
      <w:r w:rsidR="00867522" w:rsidRPr="00C13EA4">
        <w:rPr>
          <w:i/>
          <w:lang w:val="fr-FR"/>
        </w:rPr>
        <w:t>"</w:t>
      </w:r>
      <w:r w:rsidRPr="00C13EA4">
        <w:rPr>
          <w:i/>
          <w:lang w:val="fr-FR"/>
        </w:rPr>
        <w:t>-</w:t>
      </w:r>
      <w:r w:rsidR="00867522" w:rsidRPr="00C13EA4">
        <w:rPr>
          <w:i/>
          <w:lang w:val="fr-FR"/>
        </w:rPr>
        <w:t>"</w:t>
      </w:r>
      <w:r w:rsidRPr="00C13EA4">
        <w:rPr>
          <w:i/>
          <w:lang w:val="fr-FR"/>
        </w:rPr>
        <w:t xml:space="preserve"> dans l’épreuve des compositions éclair des </w:t>
      </w:r>
      <w:r w:rsidR="0096688F" w:rsidRPr="00C13EA4">
        <w:rPr>
          <w:i/>
          <w:lang w:val="fr-FR"/>
        </w:rPr>
        <w:t>É</w:t>
      </w:r>
      <w:r w:rsidRPr="00C13EA4">
        <w:rPr>
          <w:i/>
          <w:lang w:val="fr-FR"/>
        </w:rPr>
        <w:t>tats-Unis de l’appendice 7 du Manuel d’épreuves et de critères.</w:t>
      </w:r>
      <w:r w:rsidR="00991E5D" w:rsidRPr="00C13EA4">
        <w:rPr>
          <w:lang w:val="fr-FR"/>
        </w:rPr>
        <w:t> </w:t>
      </w:r>
      <w:r w:rsidRPr="00C13EA4">
        <w:rPr>
          <w:lang w:val="fr-FR"/>
        </w:rPr>
        <w:t>».</w:t>
      </w:r>
    </w:p>
    <w:p w14:paraId="13F15661" w14:textId="7874B399" w:rsidR="00196C06" w:rsidRPr="0066490D" w:rsidRDefault="006C06A3" w:rsidP="00196C06">
      <w:pPr>
        <w:spacing w:before="120" w:after="120" w:line="240" w:lineRule="auto"/>
        <w:ind w:left="1134" w:right="1134"/>
        <w:jc w:val="both"/>
        <w:rPr>
          <w:lang w:val="fr-FR" w:eastAsia="en-GB"/>
        </w:rPr>
      </w:pPr>
      <w:r w:rsidRPr="0066490D">
        <w:rPr>
          <w:lang w:val="fr-FR"/>
        </w:rPr>
        <w:t>2.2.1.1.7.5</w:t>
      </w:r>
      <w:r w:rsidR="00196C06" w:rsidRPr="0066490D">
        <w:rPr>
          <w:lang w:val="fr-FR"/>
        </w:rPr>
        <w:tab/>
        <w:t>Dans le tableau, dans la première colonne, pour la rubrique «</w:t>
      </w:r>
      <w:r w:rsidR="004F4841" w:rsidRPr="0066490D">
        <w:rPr>
          <w:lang w:val="fr-FR"/>
        </w:rPr>
        <w:t> </w:t>
      </w:r>
      <w:r w:rsidR="00196C06" w:rsidRPr="0066490D">
        <w:rPr>
          <w:lang w:val="fr-FR"/>
        </w:rPr>
        <w:t>Petit artifice de divertissement grand public et artifice présentant un risque faible</w:t>
      </w:r>
      <w:r w:rsidR="004F4841" w:rsidRPr="0066490D">
        <w:rPr>
          <w:lang w:val="fr-FR"/>
        </w:rPr>
        <w:t> </w:t>
      </w:r>
      <w:r w:rsidR="00196C06" w:rsidRPr="0066490D">
        <w:rPr>
          <w:lang w:val="fr-FR"/>
        </w:rPr>
        <w:t>», remplacer «</w:t>
      </w:r>
      <w:r w:rsidR="004F4841" w:rsidRPr="0066490D">
        <w:rPr>
          <w:lang w:val="fr-FR"/>
        </w:rPr>
        <w:t> </w:t>
      </w:r>
      <w:r w:rsidR="00196C06" w:rsidRPr="0066490D">
        <w:rPr>
          <w:lang w:val="fr-FR"/>
        </w:rPr>
        <w:t>risque</w:t>
      </w:r>
      <w:r w:rsidR="004F4841" w:rsidRPr="0066490D">
        <w:rPr>
          <w:lang w:val="fr-FR"/>
        </w:rPr>
        <w:t> </w:t>
      </w:r>
      <w:r w:rsidR="00196C06" w:rsidRPr="0066490D">
        <w:rPr>
          <w:lang w:val="fr-FR"/>
        </w:rPr>
        <w:t>» par «</w:t>
      </w:r>
      <w:r w:rsidR="004F4841" w:rsidRPr="0066490D">
        <w:rPr>
          <w:lang w:val="fr-FR"/>
        </w:rPr>
        <w:t> </w:t>
      </w:r>
      <w:r w:rsidR="00196C06" w:rsidRPr="0066490D">
        <w:rPr>
          <w:lang w:val="fr-FR"/>
        </w:rPr>
        <w:t>danger</w:t>
      </w:r>
      <w:r w:rsidR="004F4841" w:rsidRPr="0066490D">
        <w:rPr>
          <w:lang w:val="fr-FR"/>
        </w:rPr>
        <w:t> </w:t>
      </w:r>
      <w:r w:rsidR="00196C06" w:rsidRPr="0066490D">
        <w:rPr>
          <w:lang w:val="fr-FR"/>
        </w:rPr>
        <w:t>».</w:t>
      </w:r>
    </w:p>
    <w:p w14:paraId="465D82DB" w14:textId="22DFE06F" w:rsidR="006C06A3" w:rsidRPr="0066490D" w:rsidRDefault="006C06A3" w:rsidP="006C06A3">
      <w:pPr>
        <w:pStyle w:val="SingleTxtG"/>
        <w:rPr>
          <w:iCs/>
          <w:lang w:val="fr-FR"/>
        </w:rPr>
      </w:pPr>
      <w:r w:rsidRPr="0066490D">
        <w:rPr>
          <w:iCs/>
          <w:lang w:val="fr-FR"/>
        </w:rPr>
        <w:t>2.2.1.1.7.5</w:t>
      </w:r>
      <w:r w:rsidRPr="0066490D">
        <w:rPr>
          <w:iCs/>
          <w:lang w:val="fr-FR"/>
        </w:rPr>
        <w:tab/>
        <w:t>Dans le tableau, pour la rubrique «</w:t>
      </w:r>
      <w:r w:rsidR="004F4841" w:rsidRPr="0066490D">
        <w:rPr>
          <w:lang w:val="fr-FR"/>
        </w:rPr>
        <w:t> </w:t>
      </w:r>
      <w:r w:rsidRPr="0066490D">
        <w:rPr>
          <w:iCs/>
          <w:lang w:val="fr-FR"/>
        </w:rPr>
        <w:t>Cascade</w:t>
      </w:r>
      <w:r w:rsidR="004F4841" w:rsidRPr="0066490D">
        <w:rPr>
          <w:lang w:val="fr-FR"/>
        </w:rPr>
        <w:t> </w:t>
      </w:r>
      <w:r w:rsidRPr="0066490D">
        <w:rPr>
          <w:iCs/>
          <w:lang w:val="fr-FR"/>
        </w:rPr>
        <w:t>», dans la colonne «</w:t>
      </w:r>
      <w:r w:rsidR="004F4841" w:rsidRPr="0066490D">
        <w:rPr>
          <w:lang w:val="fr-FR"/>
        </w:rPr>
        <w:t> </w:t>
      </w:r>
      <w:r w:rsidRPr="0066490D">
        <w:rPr>
          <w:iCs/>
          <w:lang w:val="fr-FR"/>
        </w:rPr>
        <w:t>Caractéristiques</w:t>
      </w:r>
      <w:r w:rsidR="004F4841" w:rsidRPr="0066490D">
        <w:rPr>
          <w:lang w:val="fr-FR"/>
        </w:rPr>
        <w:t> </w:t>
      </w:r>
      <w:r w:rsidRPr="0066490D">
        <w:rPr>
          <w:iCs/>
          <w:lang w:val="fr-FR"/>
        </w:rPr>
        <w:t>», modifier le texte de la première ligne pour lire «</w:t>
      </w:r>
      <w:r w:rsidR="004F4841" w:rsidRPr="0066490D">
        <w:rPr>
          <w:lang w:val="fr-FR"/>
        </w:rPr>
        <w:t> </w:t>
      </w:r>
      <w:r w:rsidRPr="0066490D">
        <w:rPr>
          <w:iCs/>
          <w:lang w:val="fr-FR"/>
        </w:rPr>
        <w:t xml:space="preserve">Contient une </w:t>
      </w:r>
      <w:r w:rsidRPr="0066490D">
        <w:rPr>
          <w:iCs/>
          <w:lang w:val="fr-FR"/>
        </w:rPr>
        <w:lastRenderedPageBreak/>
        <w:t>composition éclair, indépendamment des résultats des épreuves de la série 6 (voir 2.2.1.1.7.1 a))</w:t>
      </w:r>
      <w:r w:rsidR="004F4841" w:rsidRPr="0066490D">
        <w:rPr>
          <w:lang w:val="fr-FR"/>
        </w:rPr>
        <w:t> </w:t>
      </w:r>
      <w:r w:rsidRPr="0066490D">
        <w:rPr>
          <w:iCs/>
          <w:lang w:val="fr-FR"/>
        </w:rPr>
        <w:t>». Modifier le texte de la deuxième ligne pour lire «</w:t>
      </w:r>
      <w:r w:rsidR="004F4841" w:rsidRPr="0066490D">
        <w:rPr>
          <w:lang w:val="fr-FR"/>
        </w:rPr>
        <w:t> </w:t>
      </w:r>
      <w:r w:rsidRPr="0066490D">
        <w:rPr>
          <w:iCs/>
          <w:lang w:val="fr-FR"/>
        </w:rPr>
        <w:t>Ne contient pas une composition éclair</w:t>
      </w:r>
      <w:r w:rsidR="004F4841" w:rsidRPr="0066490D">
        <w:rPr>
          <w:lang w:val="fr-FR"/>
        </w:rPr>
        <w:t> </w:t>
      </w:r>
      <w:r w:rsidRPr="0066490D">
        <w:rPr>
          <w:iCs/>
          <w:lang w:val="fr-FR"/>
        </w:rPr>
        <w:t>».</w:t>
      </w:r>
    </w:p>
    <w:p w14:paraId="234DE3CC" w14:textId="2B7B7F8E" w:rsidR="00196C06" w:rsidRPr="0066490D" w:rsidRDefault="006C06A3" w:rsidP="00196C06">
      <w:pPr>
        <w:pStyle w:val="SingleTxtG"/>
        <w:rPr>
          <w:lang w:val="fr-FR"/>
        </w:rPr>
      </w:pPr>
      <w:r w:rsidRPr="0066490D">
        <w:rPr>
          <w:lang w:val="fr-FR"/>
        </w:rPr>
        <w:t>2.2.1.1.8.2</w:t>
      </w:r>
      <w:r w:rsidR="00196C06" w:rsidRPr="0066490D">
        <w:rPr>
          <w:lang w:val="fr-FR"/>
        </w:rPr>
        <w:tab/>
        <w:t xml:space="preserve">Dans le Nota 2, à la fin, </w:t>
      </w:r>
      <w:r w:rsidR="00196C06" w:rsidRPr="0066490D">
        <w:rPr>
          <w:lang w:val="fr-FR" w:eastAsia="en-GB"/>
        </w:rPr>
        <w:t>r</w:t>
      </w:r>
      <w:r w:rsidR="00196C06" w:rsidRPr="0066490D">
        <w:rPr>
          <w:lang w:val="fr-FR"/>
        </w:rPr>
        <w:t>emplacer «</w:t>
      </w:r>
      <w:r w:rsidR="004F4841" w:rsidRPr="0066490D">
        <w:rPr>
          <w:lang w:val="fr-FR"/>
        </w:rPr>
        <w:t> </w:t>
      </w:r>
      <w:r w:rsidR="00196C06" w:rsidRPr="0066490D">
        <w:rPr>
          <w:lang w:val="fr-FR"/>
        </w:rPr>
        <w:t>risque</w:t>
      </w:r>
      <w:r w:rsidR="004F4841" w:rsidRPr="0066490D">
        <w:rPr>
          <w:lang w:val="fr-FR"/>
        </w:rPr>
        <w:t> </w:t>
      </w:r>
      <w:r w:rsidR="00196C06" w:rsidRPr="0066490D">
        <w:rPr>
          <w:lang w:val="fr-FR"/>
        </w:rPr>
        <w:t>» par «</w:t>
      </w:r>
      <w:r w:rsidR="004F4841" w:rsidRPr="0066490D">
        <w:rPr>
          <w:lang w:val="fr-FR"/>
        </w:rPr>
        <w:t> </w:t>
      </w:r>
      <w:r w:rsidR="00196C06" w:rsidRPr="0066490D">
        <w:rPr>
          <w:lang w:val="fr-FR"/>
        </w:rPr>
        <w:t>danger</w:t>
      </w:r>
      <w:r w:rsidR="004F4841" w:rsidRPr="0066490D">
        <w:rPr>
          <w:lang w:val="fr-FR"/>
        </w:rPr>
        <w:t> </w:t>
      </w:r>
      <w:r w:rsidR="00196C06" w:rsidRPr="0066490D">
        <w:rPr>
          <w:lang w:val="fr-FR"/>
        </w:rPr>
        <w:t>».</w:t>
      </w:r>
    </w:p>
    <w:p w14:paraId="46EC3BBE" w14:textId="1848C764" w:rsidR="00B15587" w:rsidRPr="0066490D" w:rsidRDefault="00B15587" w:rsidP="005C3A8A">
      <w:pPr>
        <w:pStyle w:val="SingleTxtG"/>
        <w:tabs>
          <w:tab w:val="left" w:pos="2268"/>
        </w:tabs>
        <w:rPr>
          <w:lang w:val="fr-FR"/>
        </w:rPr>
      </w:pPr>
      <w:r w:rsidRPr="0066490D">
        <w:rPr>
          <w:lang w:val="fr-FR"/>
        </w:rPr>
        <w:t>2.2.1.4</w:t>
      </w:r>
      <w:r w:rsidRPr="0066490D">
        <w:rPr>
          <w:lang w:val="fr-FR"/>
        </w:rPr>
        <w:tab/>
        <w:t>Dans la définition de «</w:t>
      </w:r>
      <w:r w:rsidR="004F4841" w:rsidRPr="0066490D">
        <w:rPr>
          <w:lang w:val="fr-FR"/>
        </w:rPr>
        <w:t> </w:t>
      </w:r>
      <w:r w:rsidRPr="0066490D">
        <w:rPr>
          <w:b/>
          <w:bCs/>
          <w:i/>
          <w:iCs/>
          <w:lang w:val="fr-FR"/>
        </w:rPr>
        <w:t>CARTOUCHES À PROJECTILE INERTE POUR ARMES</w:t>
      </w:r>
      <w:r w:rsidR="004F4841" w:rsidRPr="0066490D">
        <w:rPr>
          <w:lang w:val="fr-FR"/>
        </w:rPr>
        <w:t> </w:t>
      </w:r>
      <w:r w:rsidRPr="0066490D">
        <w:rPr>
          <w:lang w:val="fr-FR"/>
        </w:rPr>
        <w:t>», remplacer «</w:t>
      </w:r>
      <w:r w:rsidR="004F4841" w:rsidRPr="0066490D">
        <w:rPr>
          <w:lang w:val="fr-FR"/>
        </w:rPr>
        <w:t> </w:t>
      </w:r>
      <w:r w:rsidRPr="0066490D">
        <w:rPr>
          <w:lang w:val="fr-FR"/>
        </w:rPr>
        <w:t>risque prédominant</w:t>
      </w:r>
      <w:r w:rsidR="004F4841" w:rsidRPr="0066490D">
        <w:rPr>
          <w:lang w:val="fr-FR"/>
        </w:rPr>
        <w:t> </w:t>
      </w:r>
      <w:r w:rsidRPr="0066490D">
        <w:rPr>
          <w:lang w:val="fr-FR"/>
        </w:rPr>
        <w:t>» par «</w:t>
      </w:r>
      <w:r w:rsidR="004F4841" w:rsidRPr="0066490D">
        <w:rPr>
          <w:lang w:val="fr-FR"/>
        </w:rPr>
        <w:t> </w:t>
      </w:r>
      <w:r w:rsidRPr="0066490D">
        <w:rPr>
          <w:lang w:val="fr-FR"/>
        </w:rPr>
        <w:t>danger prédominant</w:t>
      </w:r>
      <w:r w:rsidR="004F4841" w:rsidRPr="0066490D">
        <w:rPr>
          <w:lang w:val="fr-FR"/>
        </w:rPr>
        <w:t> </w:t>
      </w:r>
      <w:r w:rsidRPr="0066490D">
        <w:rPr>
          <w:lang w:val="fr-FR"/>
        </w:rPr>
        <w:t>».</w:t>
      </w:r>
    </w:p>
    <w:p w14:paraId="6FBCCD40" w14:textId="7B5A869A" w:rsidR="00B15587" w:rsidRPr="0066490D" w:rsidRDefault="00B15587" w:rsidP="00B15587">
      <w:pPr>
        <w:pStyle w:val="SingleTxtG"/>
        <w:rPr>
          <w:lang w:val="fr-FR"/>
        </w:rPr>
      </w:pPr>
      <w:r w:rsidRPr="0066490D">
        <w:rPr>
          <w:lang w:val="fr-FR"/>
        </w:rPr>
        <w:t>Dans la définition de «</w:t>
      </w:r>
      <w:r w:rsidR="004F4841" w:rsidRPr="0066490D">
        <w:rPr>
          <w:lang w:val="fr-FR"/>
        </w:rPr>
        <w:t> </w:t>
      </w:r>
      <w:r w:rsidRPr="0066490D">
        <w:rPr>
          <w:b/>
          <w:bCs/>
          <w:i/>
          <w:iCs/>
          <w:lang w:val="fr-FR"/>
        </w:rPr>
        <w:t>MATIÈRES EXPLOSIVES TRÈS PEU SENSIBLES (MATIÈRES ETPS), N.S.A.</w:t>
      </w:r>
      <w:r w:rsidR="004F4841" w:rsidRPr="0066490D">
        <w:rPr>
          <w:lang w:val="fr-FR"/>
        </w:rPr>
        <w:t> </w:t>
      </w:r>
      <w:r w:rsidRPr="0066490D">
        <w:rPr>
          <w:lang w:val="fr-FR"/>
        </w:rPr>
        <w:t>», remplacer «</w:t>
      </w:r>
      <w:r w:rsidR="004F4841" w:rsidRPr="0066490D">
        <w:rPr>
          <w:lang w:val="fr-FR"/>
        </w:rPr>
        <w:t> </w:t>
      </w:r>
      <w:r w:rsidRPr="0066490D">
        <w:rPr>
          <w:lang w:val="fr-FR"/>
        </w:rPr>
        <w:t>risque d’explosion en masse</w:t>
      </w:r>
      <w:r w:rsidR="004F4841" w:rsidRPr="0066490D">
        <w:rPr>
          <w:lang w:val="fr-FR"/>
        </w:rPr>
        <w:t> </w:t>
      </w:r>
      <w:r w:rsidRPr="0066490D">
        <w:rPr>
          <w:lang w:val="fr-FR"/>
        </w:rPr>
        <w:t>» par «</w:t>
      </w:r>
      <w:r w:rsidR="004F4841" w:rsidRPr="0066490D">
        <w:rPr>
          <w:lang w:val="fr-FR"/>
        </w:rPr>
        <w:t> </w:t>
      </w:r>
      <w:r w:rsidRPr="0066490D">
        <w:rPr>
          <w:lang w:val="fr-FR"/>
        </w:rPr>
        <w:t>danger d’explosion en masse</w:t>
      </w:r>
      <w:r w:rsidR="004F4841" w:rsidRPr="0066490D">
        <w:rPr>
          <w:lang w:val="fr-FR"/>
        </w:rPr>
        <w:t> </w:t>
      </w:r>
      <w:r w:rsidRPr="0066490D">
        <w:rPr>
          <w:lang w:val="fr-FR"/>
        </w:rPr>
        <w:t>».</w:t>
      </w:r>
    </w:p>
    <w:p w14:paraId="2856F7F5" w14:textId="5FFF97C8" w:rsidR="003178D6" w:rsidRPr="0066490D" w:rsidRDefault="003178D6" w:rsidP="003178D6">
      <w:pPr>
        <w:spacing w:before="120" w:after="120" w:line="240" w:lineRule="auto"/>
        <w:ind w:left="1134" w:right="1134"/>
        <w:jc w:val="both"/>
        <w:rPr>
          <w:lang w:val="fr-FR"/>
        </w:rPr>
      </w:pPr>
      <w:r w:rsidRPr="0066490D">
        <w:rPr>
          <w:lang w:val="fr-FR"/>
        </w:rPr>
        <w:t>2.2.2.1.5</w:t>
      </w:r>
      <w:r w:rsidRPr="0066490D">
        <w:rPr>
          <w:lang w:val="fr-FR"/>
        </w:rPr>
        <w:tab/>
        <w:t xml:space="preserve">Pour « Gaz toxiques », dans le Nota, </w:t>
      </w:r>
      <w:r w:rsidRPr="0066490D">
        <w:rPr>
          <w:lang w:val="fr-FR" w:eastAsia="en-GB"/>
        </w:rPr>
        <w:t>r</w:t>
      </w:r>
      <w:r w:rsidRPr="0066490D">
        <w:rPr>
          <w:lang w:val="fr-FR"/>
        </w:rPr>
        <w:t>emplacer «</w:t>
      </w:r>
      <w:r w:rsidR="004F4841" w:rsidRPr="0066490D">
        <w:rPr>
          <w:lang w:val="fr-FR"/>
        </w:rPr>
        <w:t> </w:t>
      </w:r>
      <w:r w:rsidRPr="0066490D">
        <w:rPr>
          <w:lang w:val="fr-FR"/>
        </w:rPr>
        <w:t>risque</w:t>
      </w:r>
      <w:r w:rsidR="004F4841" w:rsidRPr="0066490D">
        <w:rPr>
          <w:lang w:val="fr-FR"/>
        </w:rPr>
        <w:t> </w:t>
      </w:r>
      <w:r w:rsidRPr="0066490D">
        <w:rPr>
          <w:lang w:val="fr-FR"/>
        </w:rPr>
        <w:t>» par «</w:t>
      </w:r>
      <w:r w:rsidR="004F4841" w:rsidRPr="0066490D">
        <w:rPr>
          <w:lang w:val="fr-FR"/>
        </w:rPr>
        <w:t> </w:t>
      </w:r>
      <w:r w:rsidRPr="0066490D">
        <w:rPr>
          <w:lang w:val="fr-FR"/>
        </w:rPr>
        <w:t>danger</w:t>
      </w:r>
      <w:r w:rsidR="004F4841" w:rsidRPr="0066490D">
        <w:rPr>
          <w:lang w:val="fr-FR"/>
        </w:rPr>
        <w:t> </w:t>
      </w:r>
      <w:r w:rsidRPr="0066490D">
        <w:rPr>
          <w:lang w:val="fr-FR"/>
        </w:rPr>
        <w:t xml:space="preserve">». Pour « Gaz corrosifs », </w:t>
      </w:r>
      <w:r w:rsidRPr="0066490D">
        <w:rPr>
          <w:lang w:val="fr-FR" w:eastAsia="en-GB"/>
        </w:rPr>
        <w:t>r</w:t>
      </w:r>
      <w:r w:rsidRPr="0066490D">
        <w:rPr>
          <w:lang w:val="fr-FR"/>
        </w:rPr>
        <w:t>emplacer «</w:t>
      </w:r>
      <w:r w:rsidR="004F4841" w:rsidRPr="0066490D">
        <w:rPr>
          <w:lang w:val="fr-FR"/>
        </w:rPr>
        <w:t> </w:t>
      </w:r>
      <w:r w:rsidRPr="0066490D">
        <w:rPr>
          <w:lang w:val="fr-FR"/>
        </w:rPr>
        <w:t>risque</w:t>
      </w:r>
      <w:r w:rsidR="004F4841" w:rsidRPr="0066490D">
        <w:rPr>
          <w:lang w:val="fr-FR"/>
        </w:rPr>
        <w:t> </w:t>
      </w:r>
      <w:r w:rsidRPr="0066490D">
        <w:rPr>
          <w:lang w:val="fr-FR"/>
        </w:rPr>
        <w:t>» par «</w:t>
      </w:r>
      <w:r w:rsidR="004F4841" w:rsidRPr="0066490D">
        <w:rPr>
          <w:lang w:val="fr-FR"/>
        </w:rPr>
        <w:t> </w:t>
      </w:r>
      <w:r w:rsidRPr="0066490D">
        <w:rPr>
          <w:lang w:val="fr-FR"/>
        </w:rPr>
        <w:t>danger</w:t>
      </w:r>
      <w:r w:rsidR="004F4841" w:rsidRPr="0066490D">
        <w:rPr>
          <w:lang w:val="fr-FR"/>
        </w:rPr>
        <w:t> </w:t>
      </w:r>
      <w:r w:rsidRPr="0066490D">
        <w:rPr>
          <w:lang w:val="fr-FR"/>
        </w:rPr>
        <w:t>» dans la première et la deuxième phrase.</w:t>
      </w:r>
    </w:p>
    <w:p w14:paraId="5630BB23" w14:textId="2FB2413E" w:rsidR="004B5C14" w:rsidRPr="0066490D" w:rsidRDefault="004B5C14" w:rsidP="00C77339">
      <w:pPr>
        <w:spacing w:before="120" w:after="120" w:line="240" w:lineRule="auto"/>
        <w:ind w:left="1134" w:right="1134"/>
        <w:jc w:val="both"/>
        <w:rPr>
          <w:lang w:val="fr-FR" w:eastAsia="zh-CN"/>
        </w:rPr>
      </w:pPr>
      <w:r w:rsidRPr="0066490D">
        <w:rPr>
          <w:lang w:val="fr-FR"/>
        </w:rPr>
        <w:t>2.2.2.3</w:t>
      </w:r>
      <w:r w:rsidRPr="0066490D">
        <w:rPr>
          <w:lang w:val="fr-FR"/>
        </w:rPr>
        <w:tab/>
      </w:r>
      <w:r w:rsidR="002F3DB5" w:rsidRPr="0066490D">
        <w:rPr>
          <w:lang w:val="fr-FR"/>
        </w:rPr>
        <w:tab/>
      </w:r>
      <w:r w:rsidR="003178D6" w:rsidRPr="0066490D">
        <w:rPr>
          <w:lang w:val="fr-FR"/>
        </w:rPr>
        <w:t xml:space="preserve">Dans le tableau, pour « Autres objets contenant du gaz sous pression », pour le code « 6A », ajouter « 3538 </w:t>
      </w:r>
      <w:r w:rsidR="003178D6" w:rsidRPr="0066490D">
        <w:rPr>
          <w:lang w:val="fr-FR" w:eastAsia="zh-CN"/>
        </w:rPr>
        <w:t>OBJETS CONTENANT DU GAZ ININFLAMMABLE, NON TOXIQUE, N.S.A. ».</w:t>
      </w:r>
    </w:p>
    <w:p w14:paraId="0D33399B" w14:textId="1AF8D9FB" w:rsidR="003178D6" w:rsidRPr="0066490D" w:rsidRDefault="003178D6" w:rsidP="003178D6">
      <w:pPr>
        <w:spacing w:before="120" w:after="120" w:line="240" w:lineRule="auto"/>
        <w:ind w:left="1134" w:right="1134"/>
        <w:jc w:val="both"/>
        <w:rPr>
          <w:lang w:val="fr-FR"/>
        </w:rPr>
      </w:pPr>
      <w:r w:rsidRPr="0066490D">
        <w:rPr>
          <w:lang w:val="fr-FR"/>
        </w:rPr>
        <w:t>2.2.2.3</w:t>
      </w:r>
      <w:r w:rsidRPr="0066490D">
        <w:rPr>
          <w:lang w:val="fr-FR"/>
        </w:rPr>
        <w:tab/>
      </w:r>
      <w:r w:rsidRPr="0066490D">
        <w:rPr>
          <w:lang w:val="fr-FR"/>
        </w:rPr>
        <w:tab/>
        <w:t>Dans le tableau, pour « Autres objets contenant du gaz sous pression », pour le code « 6F », ajouter « 3537 OBJETS CONTENANT DU GAZ INFLAMMABLE, N.S.A. ».</w:t>
      </w:r>
    </w:p>
    <w:p w14:paraId="57CF225D" w14:textId="71E5DFBF" w:rsidR="003178D6" w:rsidRPr="0066490D" w:rsidRDefault="003178D6" w:rsidP="003178D6">
      <w:pPr>
        <w:spacing w:before="120" w:after="120" w:line="240" w:lineRule="auto"/>
        <w:ind w:left="1134" w:right="1134"/>
        <w:jc w:val="both"/>
        <w:rPr>
          <w:lang w:val="fr-FR"/>
        </w:rPr>
      </w:pPr>
      <w:r w:rsidRPr="0066490D">
        <w:rPr>
          <w:lang w:val="fr-FR"/>
        </w:rPr>
        <w:t>2.2.2.3</w:t>
      </w:r>
      <w:r w:rsidRPr="0066490D">
        <w:rPr>
          <w:lang w:val="fr-FR"/>
        </w:rPr>
        <w:tab/>
      </w:r>
      <w:r w:rsidRPr="0066490D">
        <w:rPr>
          <w:lang w:val="fr-FR"/>
        </w:rPr>
        <w:tab/>
        <w:t>Dans le tableau, pour « Autres objets contenant du gaz sous pression », ajouter une nouvelle ligne comme suit :</w:t>
      </w:r>
    </w:p>
    <w:tbl>
      <w:tblPr>
        <w:tblW w:w="0" w:type="auto"/>
        <w:tblInd w:w="1126" w:type="dxa"/>
        <w:tblCellMar>
          <w:left w:w="120" w:type="dxa"/>
          <w:right w:w="120" w:type="dxa"/>
        </w:tblCellMar>
        <w:tblLook w:val="0000" w:firstRow="0" w:lastRow="0" w:firstColumn="0" w:lastColumn="0" w:noHBand="0" w:noVBand="0"/>
      </w:tblPr>
      <w:tblGrid>
        <w:gridCol w:w="463"/>
        <w:gridCol w:w="640"/>
        <w:gridCol w:w="4612"/>
      </w:tblGrid>
      <w:tr w:rsidR="00A074FC" w:rsidRPr="0066490D" w14:paraId="0922CAC5" w14:textId="77777777"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14:paraId="7E09BB16" w14:textId="77777777" w:rsidR="003178D6" w:rsidRPr="0066490D" w:rsidRDefault="003178D6" w:rsidP="00167465">
            <w:pPr>
              <w:tabs>
                <w:tab w:val="left" w:pos="447"/>
              </w:tabs>
              <w:spacing w:before="20" w:after="20"/>
              <w:rPr>
                <w:lang w:val="fr-FR"/>
              </w:rPr>
            </w:pPr>
            <w:r w:rsidRPr="0066490D">
              <w:rPr>
                <w:lang w:val="fr-FR"/>
              </w:rPr>
              <w:t>6T</w:t>
            </w:r>
          </w:p>
        </w:tc>
        <w:tc>
          <w:tcPr>
            <w:tcW w:w="0" w:type="auto"/>
            <w:tcBorders>
              <w:top w:val="single" w:sz="6" w:space="0" w:color="auto"/>
              <w:bottom w:val="single" w:sz="4" w:space="0" w:color="auto"/>
            </w:tcBorders>
          </w:tcPr>
          <w:p w14:paraId="565B307B" w14:textId="77777777" w:rsidR="003178D6" w:rsidRPr="0066490D" w:rsidRDefault="003178D6" w:rsidP="00167465">
            <w:pPr>
              <w:keepLines/>
              <w:spacing w:before="20" w:after="20"/>
              <w:jc w:val="center"/>
              <w:rPr>
                <w:lang w:val="fr-FR"/>
              </w:rPr>
            </w:pPr>
            <w:r w:rsidRPr="0066490D">
              <w:rPr>
                <w:lang w:val="fr-FR"/>
              </w:rPr>
              <w:t>3539</w:t>
            </w:r>
          </w:p>
        </w:tc>
        <w:tc>
          <w:tcPr>
            <w:tcW w:w="0" w:type="auto"/>
            <w:tcBorders>
              <w:top w:val="single" w:sz="6" w:space="0" w:color="auto"/>
              <w:bottom w:val="single" w:sz="4" w:space="0" w:color="auto"/>
              <w:right w:val="single" w:sz="6" w:space="0" w:color="auto"/>
            </w:tcBorders>
          </w:tcPr>
          <w:p w14:paraId="035FB155" w14:textId="16A73F27" w:rsidR="003178D6" w:rsidRPr="0066490D" w:rsidRDefault="003178D6" w:rsidP="00167465">
            <w:pPr>
              <w:keepLines/>
              <w:spacing w:before="20" w:after="20"/>
              <w:ind w:left="164" w:hanging="164"/>
              <w:rPr>
                <w:lang w:val="fr-FR"/>
              </w:rPr>
            </w:pPr>
            <w:r w:rsidRPr="0066490D">
              <w:rPr>
                <w:lang w:val="fr-FR"/>
              </w:rPr>
              <w:t>OBJETS CONTENANT DU GAZ TOXIQUE, N.S.A.</w:t>
            </w:r>
          </w:p>
        </w:tc>
      </w:tr>
    </w:tbl>
    <w:p w14:paraId="11AE1E80" w14:textId="19C9E5EB" w:rsidR="00075B3E" w:rsidRPr="0066490D" w:rsidRDefault="00075B3E" w:rsidP="00075B3E">
      <w:pPr>
        <w:spacing w:before="120" w:after="120" w:line="240" w:lineRule="auto"/>
        <w:ind w:left="1134" w:right="1134"/>
        <w:jc w:val="both"/>
        <w:rPr>
          <w:lang w:val="fr-FR"/>
        </w:rPr>
      </w:pPr>
      <w:r w:rsidRPr="0066490D">
        <w:rPr>
          <w:lang w:val="fr-FR"/>
        </w:rPr>
        <w:t>2.2.3.1.2</w:t>
      </w:r>
      <w:r w:rsidRPr="0066490D">
        <w:rPr>
          <w:lang w:val="fr-FR"/>
        </w:rPr>
        <w:tab/>
        <w:t xml:space="preserve">Pour la subdivision </w:t>
      </w:r>
      <w:r w:rsidR="004F4841" w:rsidRPr="0066490D">
        <w:rPr>
          <w:lang w:val="fr-FR"/>
        </w:rPr>
        <w:t>« </w:t>
      </w:r>
      <w:r w:rsidRPr="0066490D">
        <w:rPr>
          <w:lang w:val="fr-FR"/>
        </w:rPr>
        <w:t>F</w:t>
      </w:r>
      <w:r w:rsidR="004F4841" w:rsidRPr="0066490D">
        <w:rPr>
          <w:lang w:val="fr-FR"/>
        </w:rPr>
        <w:t> »</w:t>
      </w:r>
      <w:r w:rsidRPr="0066490D">
        <w:rPr>
          <w:lang w:val="fr-FR"/>
        </w:rPr>
        <w:t>, remplacer «</w:t>
      </w:r>
      <w:r w:rsidR="004F4841" w:rsidRPr="0066490D">
        <w:rPr>
          <w:lang w:val="fr-FR"/>
        </w:rPr>
        <w:t> </w:t>
      </w:r>
      <w:r w:rsidRPr="0066490D">
        <w:rPr>
          <w:lang w:val="fr-FR"/>
        </w:rPr>
        <w:t>risque</w:t>
      </w:r>
      <w:r w:rsidR="004F4841" w:rsidRPr="0066490D">
        <w:rPr>
          <w:lang w:val="fr-FR"/>
        </w:rPr>
        <w:t> </w:t>
      </w:r>
      <w:r w:rsidRPr="0066490D">
        <w:rPr>
          <w:lang w:val="fr-FR"/>
        </w:rPr>
        <w:t>» par «</w:t>
      </w:r>
      <w:r w:rsidR="004F4841" w:rsidRPr="0066490D">
        <w:rPr>
          <w:lang w:val="fr-FR"/>
        </w:rPr>
        <w:t> </w:t>
      </w:r>
      <w:r w:rsidRPr="0066490D">
        <w:rPr>
          <w:lang w:val="fr-FR"/>
        </w:rPr>
        <w:t>danger</w:t>
      </w:r>
      <w:r w:rsidR="004F4841" w:rsidRPr="0066490D">
        <w:rPr>
          <w:lang w:val="fr-FR"/>
        </w:rPr>
        <w:t> </w:t>
      </w:r>
      <w:r w:rsidRPr="0066490D">
        <w:rPr>
          <w:lang w:val="fr-FR"/>
        </w:rPr>
        <w:t>».</w:t>
      </w:r>
    </w:p>
    <w:p w14:paraId="0C9450D5" w14:textId="70798BDF" w:rsidR="00075B3E" w:rsidRPr="0066490D" w:rsidRDefault="00075B3E" w:rsidP="00196C06">
      <w:pPr>
        <w:spacing w:before="120" w:after="120" w:line="240" w:lineRule="auto"/>
        <w:ind w:left="1134" w:right="1134"/>
        <w:jc w:val="both"/>
        <w:rPr>
          <w:lang w:val="fr-FR"/>
        </w:rPr>
      </w:pPr>
      <w:r w:rsidRPr="0066490D">
        <w:rPr>
          <w:lang w:val="fr-FR"/>
        </w:rPr>
        <w:t>2.2.3.1.3</w:t>
      </w:r>
      <w:r w:rsidRPr="0066490D">
        <w:rPr>
          <w:lang w:val="fr-FR"/>
        </w:rPr>
        <w:tab/>
        <w:t>Dans le dernier paragraphe, remplacer « risque(s) » par « danger(s) » (deux fois).</w:t>
      </w:r>
    </w:p>
    <w:p w14:paraId="01F7E798" w14:textId="3CE62AD8" w:rsidR="00075B3E" w:rsidRPr="0066490D" w:rsidRDefault="00075B3E" w:rsidP="00196C06">
      <w:pPr>
        <w:spacing w:before="120" w:after="120" w:line="240" w:lineRule="auto"/>
        <w:ind w:left="1134" w:right="1134"/>
        <w:jc w:val="both"/>
        <w:rPr>
          <w:lang w:val="fr-FR" w:eastAsia="en-GB"/>
        </w:rPr>
      </w:pPr>
      <w:r w:rsidRPr="0066490D">
        <w:rPr>
          <w:lang w:val="fr-FR"/>
        </w:rPr>
        <w:t>2.2.3.1.6</w:t>
      </w:r>
      <w:r w:rsidRPr="0066490D">
        <w:rPr>
          <w:lang w:val="fr-FR"/>
        </w:rPr>
        <w:tab/>
      </w:r>
      <w:r w:rsidRPr="0066490D">
        <w:rPr>
          <w:lang w:val="fr-FR" w:eastAsia="en-GB"/>
        </w:rPr>
        <w:t>L’amendement ne s’applique pas au texte français.</w:t>
      </w:r>
    </w:p>
    <w:p w14:paraId="65067297" w14:textId="28122198" w:rsidR="00075B3E" w:rsidRPr="0066490D" w:rsidRDefault="00740E65" w:rsidP="00740E65">
      <w:pPr>
        <w:tabs>
          <w:tab w:val="left" w:pos="2268"/>
        </w:tabs>
        <w:spacing w:before="120" w:after="120" w:line="240" w:lineRule="auto"/>
        <w:ind w:left="1134" w:right="1134"/>
        <w:jc w:val="both"/>
        <w:rPr>
          <w:lang w:val="fr-FR" w:eastAsia="en-GB"/>
        </w:rPr>
      </w:pPr>
      <w:r>
        <w:rPr>
          <w:lang w:val="fr-FR" w:eastAsia="en-GB"/>
        </w:rPr>
        <w:t>2.2.3.3</w:t>
      </w:r>
      <w:r w:rsidR="00075B3E" w:rsidRPr="0066490D">
        <w:rPr>
          <w:lang w:val="fr-FR" w:eastAsia="en-GB"/>
        </w:rPr>
        <w:tab/>
        <w:t>Pour « F », remplacer « risque » par « danger ». Pour « FT2 », dans le Nota après les différentes rubriques, remplacer « risque » par « danger ».</w:t>
      </w:r>
    </w:p>
    <w:p w14:paraId="7AAE3322" w14:textId="1CFE0895" w:rsidR="0066490D" w:rsidRPr="00154472" w:rsidRDefault="0066490D" w:rsidP="00740E65">
      <w:pPr>
        <w:tabs>
          <w:tab w:val="left" w:pos="2268"/>
        </w:tabs>
        <w:spacing w:before="120" w:after="120" w:line="240" w:lineRule="auto"/>
        <w:ind w:left="1134" w:right="1134"/>
        <w:jc w:val="both"/>
        <w:rPr>
          <w:iCs/>
          <w:lang w:val="fr-FR"/>
        </w:rPr>
      </w:pPr>
      <w:r w:rsidRPr="00154472">
        <w:rPr>
          <w:lang w:val="fr-FR" w:eastAsia="en-GB"/>
        </w:rPr>
        <w:t>2.2.3.3</w:t>
      </w:r>
      <w:r w:rsidRPr="00154472">
        <w:rPr>
          <w:lang w:val="fr-FR" w:eastAsia="en-GB"/>
        </w:rPr>
        <w:tab/>
        <w:t>Dans la « </w:t>
      </w:r>
      <w:r w:rsidRPr="00154472">
        <w:rPr>
          <w:iCs/>
          <w:lang w:val="fr-FR"/>
        </w:rPr>
        <w:t xml:space="preserve">Liste des rubriques collectives », pour « Liquides inflammables et objets contenant de telles matières », pour « F3 », ajouter « 3540 </w:t>
      </w:r>
      <w:r w:rsidRPr="00425ADF">
        <w:rPr>
          <w:lang w:val="fr-FR"/>
        </w:rPr>
        <w:t>OBJETS CONTENANT DU LIQUIDE INFLAMMABLE</w:t>
      </w:r>
      <w:r w:rsidRPr="00154472">
        <w:rPr>
          <w:iCs/>
          <w:lang w:val="fr-FR"/>
        </w:rPr>
        <w:t>, N.S.A. ».</w:t>
      </w:r>
    </w:p>
    <w:p w14:paraId="4C0E9BC4" w14:textId="6EF712D4" w:rsidR="0013579B" w:rsidRPr="0066490D" w:rsidRDefault="0013579B" w:rsidP="0013579B">
      <w:pPr>
        <w:pStyle w:val="SingleTxtG"/>
        <w:spacing w:before="120"/>
        <w:rPr>
          <w:lang w:val="fr-FR"/>
        </w:rPr>
      </w:pPr>
      <w:r w:rsidRPr="0066490D">
        <w:rPr>
          <w:lang w:val="fr-FR"/>
        </w:rPr>
        <w:t>2.2.41.1.2</w:t>
      </w:r>
      <w:r w:rsidRPr="0066490D">
        <w:rPr>
          <w:lang w:val="fr-FR"/>
        </w:rPr>
        <w:tab/>
        <w:t>Pour la subdivision « F », remplacer « risque » par « danger ». Pour la subdivision « D », remplacer « risque » par « danger ».</w:t>
      </w:r>
    </w:p>
    <w:p w14:paraId="7A61B369" w14:textId="0892B7AB" w:rsidR="00540A42" w:rsidRPr="0066490D" w:rsidRDefault="00540A42" w:rsidP="003101CB">
      <w:pPr>
        <w:pStyle w:val="SingleTxtG"/>
        <w:spacing w:before="120"/>
        <w:rPr>
          <w:lang w:val="fr-FR"/>
        </w:rPr>
      </w:pPr>
      <w:r w:rsidRPr="0066490D">
        <w:rPr>
          <w:lang w:val="fr-FR"/>
        </w:rPr>
        <w:t>2.2.41.1.7</w:t>
      </w:r>
      <w:r w:rsidRPr="0066490D">
        <w:rPr>
          <w:lang w:val="fr-FR"/>
        </w:rPr>
        <w:tab/>
      </w:r>
      <w:r w:rsidRPr="0066490D">
        <w:rPr>
          <w:lang w:val="fr-FR" w:eastAsia="en-GB"/>
        </w:rPr>
        <w:t>L’amendement ne s’applique pas au texte français.</w:t>
      </w:r>
    </w:p>
    <w:p w14:paraId="179A3D8A" w14:textId="77470397" w:rsidR="003101CB" w:rsidRPr="0066490D" w:rsidRDefault="003101CB" w:rsidP="003101CB">
      <w:pPr>
        <w:pStyle w:val="SingleTxtG"/>
        <w:spacing w:before="120"/>
        <w:rPr>
          <w:lang w:val="fr-FR"/>
        </w:rPr>
      </w:pPr>
      <w:r w:rsidRPr="0066490D">
        <w:rPr>
          <w:lang w:val="fr-FR"/>
        </w:rPr>
        <w:t>2.2.41.1.12</w:t>
      </w:r>
      <w:r w:rsidRPr="0066490D">
        <w:rPr>
          <w:lang w:val="fr-FR"/>
        </w:rPr>
        <w:tab/>
      </w:r>
      <w:r w:rsidRPr="0066490D">
        <w:rPr>
          <w:iCs/>
          <w:lang w:val="fr-FR"/>
        </w:rPr>
        <w:t>À</w:t>
      </w:r>
      <w:r w:rsidRPr="0066490D">
        <w:rPr>
          <w:lang w:val="fr-FR"/>
        </w:rPr>
        <w:t xml:space="preserve"> la fin du premier paragraphe, remplacer « risques » par « dangers ».</w:t>
      </w:r>
    </w:p>
    <w:p w14:paraId="534B8AB1" w14:textId="6B24D477" w:rsidR="003101CB" w:rsidRPr="0066490D" w:rsidRDefault="003101CB" w:rsidP="00C77339">
      <w:pPr>
        <w:pStyle w:val="SingleTxtG"/>
        <w:spacing w:before="120"/>
        <w:rPr>
          <w:lang w:val="fr-FR"/>
        </w:rPr>
      </w:pPr>
      <w:r w:rsidRPr="0066490D">
        <w:rPr>
          <w:lang w:val="fr-FR"/>
        </w:rPr>
        <w:t>2.2.41.1.17</w:t>
      </w:r>
      <w:r w:rsidRPr="0066490D">
        <w:rPr>
          <w:lang w:val="fr-FR"/>
        </w:rPr>
        <w:tab/>
        <w:t>Modifier pour lire comme suit :</w:t>
      </w:r>
    </w:p>
    <w:p w14:paraId="1882CCFE" w14:textId="02BBF452" w:rsidR="003101CB" w:rsidRPr="0066490D" w:rsidRDefault="003101CB" w:rsidP="003101CB">
      <w:pPr>
        <w:pStyle w:val="SingleTxtG"/>
        <w:spacing w:before="120"/>
        <w:rPr>
          <w:lang w:val="fr-FR"/>
        </w:rPr>
      </w:pPr>
      <w:r w:rsidRPr="0066490D">
        <w:rPr>
          <w:lang w:val="fr-FR"/>
        </w:rPr>
        <w:t>« 2.2.41.1.17</w:t>
      </w:r>
      <w:r w:rsidRPr="0066490D">
        <w:rPr>
          <w:lang w:val="fr-FR"/>
        </w:rPr>
        <w:tab/>
        <w:t>Les matières autoréactives dont la TDAA ne dépasse pas 55 °C doivent faire l'objet d'une régulation de température au cours du transport. Voir 7.1.7. ».</w:t>
      </w:r>
    </w:p>
    <w:p w14:paraId="7F9897BF" w14:textId="70A9330D" w:rsidR="003101CB" w:rsidRPr="0066490D" w:rsidRDefault="003101CB" w:rsidP="00CD1138">
      <w:pPr>
        <w:pStyle w:val="SingleTxtG"/>
        <w:spacing w:before="120"/>
        <w:rPr>
          <w:lang w:val="fr-FR"/>
        </w:rPr>
      </w:pPr>
      <w:r w:rsidRPr="0066490D">
        <w:rPr>
          <w:lang w:val="fr-FR"/>
        </w:rPr>
        <w:t>2.2.41.1.21</w:t>
      </w:r>
      <w:r w:rsidRPr="0066490D">
        <w:rPr>
          <w:lang w:val="fr-FR"/>
        </w:rPr>
        <w:tab/>
      </w:r>
      <w:r w:rsidRPr="0066490D">
        <w:rPr>
          <w:iCs/>
          <w:lang w:val="fr-FR"/>
        </w:rPr>
        <w:t>À</w:t>
      </w:r>
      <w:r w:rsidRPr="0066490D">
        <w:rPr>
          <w:lang w:val="fr-FR"/>
        </w:rPr>
        <w:t xml:space="preserve"> la fin, ajouter le nouveau texte suivant : « Voir 7.1.7. ».</w:t>
      </w:r>
    </w:p>
    <w:p w14:paraId="07366F8C" w14:textId="1995F074" w:rsidR="004215F5" w:rsidRPr="0066490D" w:rsidRDefault="004215F5" w:rsidP="00CD1138">
      <w:pPr>
        <w:pStyle w:val="SingleTxtG"/>
        <w:rPr>
          <w:lang w:val="fr-FR"/>
        </w:rPr>
      </w:pPr>
      <w:r w:rsidRPr="0066490D">
        <w:rPr>
          <w:lang w:val="fr-FR"/>
        </w:rPr>
        <w:t>2.2.41.1.21</w:t>
      </w:r>
      <w:r w:rsidRPr="0066490D">
        <w:rPr>
          <w:lang w:val="fr-FR"/>
        </w:rPr>
        <w:tab/>
        <w:t>À la fin, ajouter le Nota suivant:</w:t>
      </w:r>
    </w:p>
    <w:p w14:paraId="4E620A07" w14:textId="5FC6B335" w:rsidR="004215F5" w:rsidRPr="0066490D" w:rsidRDefault="004215F5" w:rsidP="004215F5">
      <w:pPr>
        <w:pStyle w:val="SingleTxtG"/>
        <w:rPr>
          <w:lang w:val="fr-FR"/>
        </w:rPr>
      </w:pPr>
      <w:r w:rsidRPr="0066490D">
        <w:rPr>
          <w:lang w:val="fr-FR"/>
        </w:rPr>
        <w:t>«</w:t>
      </w:r>
      <w:r w:rsidR="004F4841" w:rsidRPr="0066490D">
        <w:rPr>
          <w:lang w:val="fr-FR"/>
        </w:rPr>
        <w:t> </w:t>
      </w:r>
      <w:r w:rsidRPr="0066490D">
        <w:rPr>
          <w:b/>
          <w:i/>
          <w:lang w:val="fr-FR"/>
        </w:rPr>
        <w:t>NOTA:</w:t>
      </w:r>
      <w:r w:rsidRPr="0066490D">
        <w:rPr>
          <w:i/>
          <w:lang w:val="fr-FR"/>
        </w:rPr>
        <w:t xml:space="preserve"> </w:t>
      </w:r>
      <w:r w:rsidRPr="0066490D">
        <w:rPr>
          <w:i/>
          <w:lang w:val="fr-FR"/>
        </w:rPr>
        <w:tab/>
        <w:t>Les matières remplissant les critères d’appartenance à la catégorie des matières qui polymérisent et de classement dans les classes 1 à 8 doivent satisfaire aux prescriptions de la disposition spéciale 386 du chapitre 3.3.</w:t>
      </w:r>
      <w:r w:rsidR="004F4841" w:rsidRPr="0066490D">
        <w:rPr>
          <w:lang w:val="fr-FR"/>
        </w:rPr>
        <w:t> </w:t>
      </w:r>
      <w:r w:rsidRPr="0066490D">
        <w:rPr>
          <w:lang w:val="fr-FR"/>
        </w:rPr>
        <w:t>».</w:t>
      </w:r>
    </w:p>
    <w:p w14:paraId="79F7DF1A" w14:textId="0CA9209F" w:rsidR="003101CB" w:rsidRPr="0066490D" w:rsidRDefault="003101CB" w:rsidP="003101CB">
      <w:pPr>
        <w:pStyle w:val="SingleTxtG"/>
        <w:spacing w:before="120"/>
        <w:rPr>
          <w:iCs/>
          <w:lang w:val="fr-FR"/>
        </w:rPr>
      </w:pPr>
      <w:r w:rsidRPr="0066490D">
        <w:rPr>
          <w:lang w:val="fr-FR"/>
        </w:rPr>
        <w:t>2.2.41.3</w:t>
      </w:r>
      <w:r w:rsidRPr="0066490D">
        <w:rPr>
          <w:lang w:val="fr-FR"/>
        </w:rPr>
        <w:tab/>
      </w:r>
      <w:r w:rsidRPr="0066490D">
        <w:rPr>
          <w:lang w:val="fr-FR" w:eastAsia="en-GB"/>
        </w:rPr>
        <w:t>Dans la « </w:t>
      </w:r>
      <w:r w:rsidRPr="0066490D">
        <w:rPr>
          <w:iCs/>
          <w:lang w:val="fr-FR"/>
        </w:rPr>
        <w:t>Liste des rubriques collectives », pour « Matières solides inflammables » et pour « Matières explosibles désensibilisées solides », remplacer « risque » par « danger ».</w:t>
      </w:r>
    </w:p>
    <w:p w14:paraId="4F553B9E" w14:textId="6B27A612" w:rsidR="003101CB" w:rsidRPr="0066490D" w:rsidRDefault="003101CB" w:rsidP="00CD1138">
      <w:pPr>
        <w:pStyle w:val="SingleTxtG"/>
        <w:spacing w:before="120"/>
        <w:rPr>
          <w:lang w:val="fr-FR"/>
        </w:rPr>
      </w:pPr>
      <w:r w:rsidRPr="0066490D">
        <w:rPr>
          <w:iCs/>
          <w:lang w:val="fr-FR"/>
        </w:rPr>
        <w:lastRenderedPageBreak/>
        <w:t>2.2.41.3</w:t>
      </w:r>
      <w:r w:rsidRPr="0066490D">
        <w:rPr>
          <w:iCs/>
          <w:lang w:val="fr-FR"/>
        </w:rPr>
        <w:tab/>
      </w:r>
      <w:r w:rsidRPr="0066490D">
        <w:rPr>
          <w:lang w:val="fr-FR" w:eastAsia="en-GB"/>
        </w:rPr>
        <w:t>Dans la « </w:t>
      </w:r>
      <w:r w:rsidRPr="0066490D">
        <w:rPr>
          <w:iCs/>
          <w:lang w:val="fr-FR"/>
        </w:rPr>
        <w:t>Liste des rubriques collectives », pour « F4 », ajouter « 3541 OBJETS CONTENANT DU SOLIDE INFLAMMABLE, N.S.A. ».</w:t>
      </w:r>
    </w:p>
    <w:p w14:paraId="7E5043C7" w14:textId="261026A4" w:rsidR="00196C06" w:rsidRPr="0066490D" w:rsidRDefault="0013579B" w:rsidP="00196C06">
      <w:pPr>
        <w:pStyle w:val="SingleTxtG"/>
        <w:spacing w:before="120"/>
        <w:rPr>
          <w:lang w:val="fr-FR"/>
        </w:rPr>
      </w:pPr>
      <w:r w:rsidRPr="0066490D">
        <w:rPr>
          <w:lang w:val="fr-FR"/>
        </w:rPr>
        <w:t>2.2.41.4</w:t>
      </w:r>
      <w:r w:rsidR="00196C06" w:rsidRPr="0066490D">
        <w:rPr>
          <w:lang w:val="fr-FR"/>
        </w:rPr>
        <w:tab/>
      </w:r>
      <w:r w:rsidR="00196C06" w:rsidRPr="0066490D">
        <w:rPr>
          <w:iCs/>
          <w:lang w:val="fr-FR"/>
        </w:rPr>
        <w:t>À</w:t>
      </w:r>
      <w:r w:rsidR="00196C06" w:rsidRPr="0066490D">
        <w:rPr>
          <w:lang w:val="fr-FR"/>
        </w:rPr>
        <w:t xml:space="preserve"> la fin du premier paragraphe, </w:t>
      </w:r>
      <w:r w:rsidR="00763AB0" w:rsidRPr="0066490D">
        <w:rPr>
          <w:lang w:val="fr-FR"/>
        </w:rPr>
        <w:t xml:space="preserve">remplacer « 4.2.5.2 » par « 4.2.5.2.6 » et </w:t>
      </w:r>
      <w:r w:rsidR="00196C06" w:rsidRPr="0066490D">
        <w:rPr>
          <w:lang w:val="fr-FR"/>
        </w:rPr>
        <w:t>ajouter la nouvelle phrase suivante: «</w:t>
      </w:r>
      <w:r w:rsidR="004F4841" w:rsidRPr="0066490D">
        <w:rPr>
          <w:lang w:val="fr-FR"/>
        </w:rPr>
        <w:t> </w:t>
      </w:r>
      <w:r w:rsidR="00196C06" w:rsidRPr="0066490D">
        <w:rPr>
          <w:lang w:val="fr-FR"/>
        </w:rPr>
        <w:t xml:space="preserve">Les préparations énumérées dans l’instruction d’emballage IBC520 du 4.1.4.2 et dans l’instruction de transport en citerne mobile T23 du 4.2.5.2.6 peuvent également être transportées </w:t>
      </w:r>
      <w:r w:rsidR="0028695B" w:rsidRPr="0066490D">
        <w:rPr>
          <w:lang w:val="fr-FR"/>
        </w:rPr>
        <w:t>emballées conformément</w:t>
      </w:r>
      <w:r w:rsidR="00196C06" w:rsidRPr="0066490D">
        <w:rPr>
          <w:lang w:val="fr-FR"/>
        </w:rPr>
        <w:t xml:space="preserve"> à la méthode d’emballage OP8 </w:t>
      </w:r>
      <w:r w:rsidR="0028695B" w:rsidRPr="0066490D">
        <w:rPr>
          <w:lang w:val="fr-FR"/>
        </w:rPr>
        <w:t>de</w:t>
      </w:r>
      <w:r w:rsidR="00196C06" w:rsidRPr="0066490D">
        <w:rPr>
          <w:lang w:val="fr-FR"/>
        </w:rPr>
        <w:t xml:space="preserve"> </w:t>
      </w:r>
      <w:r w:rsidR="0028695B" w:rsidRPr="0066490D">
        <w:rPr>
          <w:lang w:val="fr-FR"/>
        </w:rPr>
        <w:t>l’</w:t>
      </w:r>
      <w:r w:rsidR="00196C06" w:rsidRPr="0066490D">
        <w:rPr>
          <w:lang w:val="fr-FR"/>
        </w:rPr>
        <w:t>instruction d’emballage P520 du 4.1.4.1, avec les mêmes températures de régulation et critiques, le cas échéant.</w:t>
      </w:r>
      <w:r w:rsidR="004F4841" w:rsidRPr="0066490D">
        <w:rPr>
          <w:lang w:val="fr-FR"/>
        </w:rPr>
        <w:t> </w:t>
      </w:r>
      <w:r w:rsidR="00196C06" w:rsidRPr="0066490D">
        <w:rPr>
          <w:lang w:val="fr-FR"/>
        </w:rPr>
        <w:t>».</w:t>
      </w:r>
    </w:p>
    <w:p w14:paraId="4055BEE2" w14:textId="6B5C8F55" w:rsidR="00196C06" w:rsidRPr="0066490D" w:rsidRDefault="0013579B" w:rsidP="00196C06">
      <w:pPr>
        <w:pStyle w:val="SingleTxtG"/>
        <w:spacing w:before="120"/>
        <w:rPr>
          <w:lang w:val="fr-FR"/>
        </w:rPr>
      </w:pPr>
      <w:r w:rsidRPr="0066490D">
        <w:rPr>
          <w:lang w:val="fr-FR"/>
        </w:rPr>
        <w:t>2.2.41.4</w:t>
      </w:r>
      <w:r w:rsidR="00196C06" w:rsidRPr="0066490D">
        <w:rPr>
          <w:lang w:val="fr-FR"/>
        </w:rPr>
        <w:tab/>
      </w:r>
      <w:r w:rsidR="00830168" w:rsidRPr="0066490D">
        <w:rPr>
          <w:lang w:val="fr-FR"/>
        </w:rPr>
        <w:t>Dans le tableau, i</w:t>
      </w:r>
      <w:r w:rsidR="00196C06" w:rsidRPr="0066490D">
        <w:rPr>
          <w:lang w:val="fr-FR"/>
        </w:rPr>
        <w:t xml:space="preserve">nsérer </w:t>
      </w:r>
      <w:r w:rsidR="00EF486A" w:rsidRPr="0066490D">
        <w:rPr>
          <w:lang w:val="fr-FR"/>
        </w:rPr>
        <w:t>la nouvelle rubrique</w:t>
      </w:r>
      <w:r w:rsidR="00196C06" w:rsidRPr="0066490D">
        <w:rPr>
          <w:lang w:val="fr-FR"/>
        </w:rPr>
        <w:t xml:space="preserve"> suivante: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1E0" w:firstRow="1" w:lastRow="1" w:firstColumn="1" w:lastColumn="1" w:noHBand="0" w:noVBand="0"/>
      </w:tblPr>
      <w:tblGrid>
        <w:gridCol w:w="2268"/>
        <w:gridCol w:w="1134"/>
        <w:gridCol w:w="1134"/>
        <w:gridCol w:w="1134"/>
        <w:gridCol w:w="993"/>
        <w:gridCol w:w="850"/>
        <w:gridCol w:w="851"/>
      </w:tblGrid>
      <w:tr w:rsidR="00A074FC" w:rsidRPr="0066490D" w14:paraId="72E535AF" w14:textId="77777777" w:rsidTr="006201FD">
        <w:trPr>
          <w:cantSplit/>
        </w:trPr>
        <w:tc>
          <w:tcPr>
            <w:tcW w:w="2268" w:type="dxa"/>
            <w:tcBorders>
              <w:top w:val="single" w:sz="4" w:space="0" w:color="auto"/>
              <w:bottom w:val="single" w:sz="12" w:space="0" w:color="auto"/>
            </w:tcBorders>
            <w:shd w:val="clear" w:color="auto" w:fill="auto"/>
            <w:vAlign w:val="bottom"/>
          </w:tcPr>
          <w:p w14:paraId="3488C476" w14:textId="77777777" w:rsidR="00196C06" w:rsidRPr="0066490D" w:rsidRDefault="00196C06" w:rsidP="006201FD">
            <w:pPr>
              <w:keepNext/>
              <w:keepLines/>
              <w:spacing w:before="80" w:after="80" w:line="200" w:lineRule="exact"/>
              <w:rPr>
                <w:bCs/>
                <w:i/>
                <w:sz w:val="16"/>
                <w:szCs w:val="16"/>
                <w:lang w:val="fr-FR"/>
              </w:rPr>
            </w:pPr>
            <w:r w:rsidRPr="0066490D">
              <w:rPr>
                <w:bCs/>
                <w:i/>
                <w:sz w:val="16"/>
                <w:szCs w:val="16"/>
                <w:lang w:val="fr-FR"/>
              </w:rPr>
              <w:t>Matières autoréactives</w:t>
            </w:r>
          </w:p>
        </w:tc>
        <w:tc>
          <w:tcPr>
            <w:tcW w:w="1134" w:type="dxa"/>
            <w:tcBorders>
              <w:top w:val="single" w:sz="4" w:space="0" w:color="auto"/>
              <w:bottom w:val="single" w:sz="12" w:space="0" w:color="auto"/>
            </w:tcBorders>
            <w:shd w:val="clear" w:color="auto" w:fill="auto"/>
          </w:tcPr>
          <w:p w14:paraId="7DE5ACF8" w14:textId="77777777" w:rsidR="00196C06" w:rsidRPr="0066490D" w:rsidRDefault="00196C06" w:rsidP="006201FD">
            <w:pPr>
              <w:keepNext/>
              <w:keepLines/>
              <w:spacing w:before="80" w:after="80" w:line="200" w:lineRule="exact"/>
              <w:rPr>
                <w:bCs/>
                <w:i/>
                <w:sz w:val="16"/>
                <w:szCs w:val="16"/>
                <w:lang w:val="fr-FR"/>
              </w:rPr>
            </w:pPr>
            <w:r w:rsidRPr="0066490D">
              <w:rPr>
                <w:bCs/>
                <w:i/>
                <w:sz w:val="16"/>
                <w:szCs w:val="16"/>
                <w:lang w:val="fr-FR"/>
              </w:rPr>
              <w:t>Concentration (%)</w:t>
            </w:r>
          </w:p>
        </w:tc>
        <w:tc>
          <w:tcPr>
            <w:tcW w:w="1134" w:type="dxa"/>
            <w:tcBorders>
              <w:top w:val="single" w:sz="4" w:space="0" w:color="auto"/>
              <w:bottom w:val="single" w:sz="12" w:space="0" w:color="auto"/>
            </w:tcBorders>
            <w:shd w:val="clear" w:color="auto" w:fill="auto"/>
          </w:tcPr>
          <w:p w14:paraId="6F299895" w14:textId="77777777" w:rsidR="00196C06" w:rsidRPr="0066490D" w:rsidRDefault="00196C06" w:rsidP="006201FD">
            <w:pPr>
              <w:keepNext/>
              <w:keepLines/>
              <w:spacing w:before="80" w:after="80" w:line="200" w:lineRule="exact"/>
              <w:rPr>
                <w:bCs/>
                <w:i/>
                <w:sz w:val="16"/>
                <w:szCs w:val="16"/>
                <w:lang w:val="fr-FR"/>
              </w:rPr>
            </w:pPr>
            <w:r w:rsidRPr="0066490D">
              <w:rPr>
                <w:bCs/>
                <w:i/>
                <w:sz w:val="16"/>
                <w:szCs w:val="16"/>
                <w:lang w:val="fr-FR"/>
              </w:rPr>
              <w:t>Méthode d’emballage</w:t>
            </w:r>
          </w:p>
        </w:tc>
        <w:tc>
          <w:tcPr>
            <w:tcW w:w="1134" w:type="dxa"/>
            <w:tcBorders>
              <w:top w:val="single" w:sz="4" w:space="0" w:color="auto"/>
              <w:bottom w:val="single" w:sz="12" w:space="0" w:color="auto"/>
            </w:tcBorders>
            <w:shd w:val="clear" w:color="auto" w:fill="auto"/>
          </w:tcPr>
          <w:p w14:paraId="29CF7AF3" w14:textId="29982DCB" w:rsidR="00196C06" w:rsidRPr="0066490D" w:rsidRDefault="00196C06" w:rsidP="006201FD">
            <w:pPr>
              <w:keepNext/>
              <w:keepLines/>
              <w:spacing w:before="80" w:after="80" w:line="200" w:lineRule="exact"/>
              <w:rPr>
                <w:bCs/>
                <w:i/>
                <w:sz w:val="16"/>
                <w:szCs w:val="16"/>
                <w:lang w:val="fr-FR"/>
              </w:rPr>
            </w:pPr>
            <w:r w:rsidRPr="0066490D">
              <w:rPr>
                <w:bCs/>
                <w:i/>
                <w:sz w:val="16"/>
                <w:szCs w:val="16"/>
                <w:lang w:val="fr-FR"/>
              </w:rPr>
              <w:t>Température de régulation (°C)</w:t>
            </w:r>
          </w:p>
        </w:tc>
        <w:tc>
          <w:tcPr>
            <w:tcW w:w="993" w:type="dxa"/>
            <w:tcBorders>
              <w:top w:val="single" w:sz="4" w:space="0" w:color="auto"/>
              <w:bottom w:val="single" w:sz="12" w:space="0" w:color="auto"/>
            </w:tcBorders>
            <w:shd w:val="clear" w:color="auto" w:fill="auto"/>
          </w:tcPr>
          <w:p w14:paraId="17AC88A2" w14:textId="6AC533CF" w:rsidR="00196C06" w:rsidRPr="0066490D" w:rsidRDefault="00196C06" w:rsidP="006201FD">
            <w:pPr>
              <w:keepNext/>
              <w:keepLines/>
              <w:spacing w:before="80" w:after="80" w:line="200" w:lineRule="exact"/>
              <w:rPr>
                <w:bCs/>
                <w:i/>
                <w:sz w:val="16"/>
                <w:szCs w:val="16"/>
                <w:lang w:val="fr-FR"/>
              </w:rPr>
            </w:pPr>
            <w:r w:rsidRPr="0066490D">
              <w:rPr>
                <w:bCs/>
                <w:i/>
                <w:sz w:val="16"/>
                <w:szCs w:val="16"/>
                <w:lang w:val="fr-FR"/>
              </w:rPr>
              <w:t>Température critique (°C)</w:t>
            </w:r>
          </w:p>
        </w:tc>
        <w:tc>
          <w:tcPr>
            <w:tcW w:w="850" w:type="dxa"/>
            <w:tcBorders>
              <w:top w:val="single" w:sz="4" w:space="0" w:color="auto"/>
              <w:bottom w:val="single" w:sz="12" w:space="0" w:color="auto"/>
            </w:tcBorders>
            <w:shd w:val="clear" w:color="auto" w:fill="auto"/>
          </w:tcPr>
          <w:p w14:paraId="510265D9" w14:textId="248E4891" w:rsidR="00196C06" w:rsidRPr="0066490D" w:rsidRDefault="00196C06" w:rsidP="006201FD">
            <w:pPr>
              <w:keepNext/>
              <w:keepLines/>
              <w:spacing w:before="80" w:after="80" w:line="200" w:lineRule="exact"/>
              <w:rPr>
                <w:bCs/>
                <w:i/>
                <w:sz w:val="16"/>
                <w:szCs w:val="16"/>
                <w:lang w:val="fr-FR"/>
              </w:rPr>
            </w:pPr>
            <w:r w:rsidRPr="0066490D">
              <w:rPr>
                <w:bCs/>
                <w:i/>
                <w:sz w:val="16"/>
                <w:szCs w:val="16"/>
                <w:lang w:val="fr-FR"/>
              </w:rPr>
              <w:t xml:space="preserve">Rubrique générique </w:t>
            </w:r>
            <w:r w:rsidR="004178BD" w:rsidRPr="0066490D">
              <w:rPr>
                <w:bCs/>
                <w:i/>
                <w:sz w:val="16"/>
                <w:szCs w:val="16"/>
                <w:lang w:val="fr-FR"/>
              </w:rPr>
              <w:t xml:space="preserve">No </w:t>
            </w:r>
            <w:r w:rsidRPr="0066490D">
              <w:rPr>
                <w:bCs/>
                <w:i/>
                <w:sz w:val="16"/>
                <w:szCs w:val="16"/>
                <w:lang w:val="fr-FR"/>
              </w:rPr>
              <w:t>ONU</w:t>
            </w:r>
          </w:p>
        </w:tc>
        <w:tc>
          <w:tcPr>
            <w:tcW w:w="851" w:type="dxa"/>
            <w:tcBorders>
              <w:top w:val="single" w:sz="4" w:space="0" w:color="auto"/>
              <w:bottom w:val="single" w:sz="12" w:space="0" w:color="auto"/>
            </w:tcBorders>
            <w:shd w:val="clear" w:color="auto" w:fill="auto"/>
          </w:tcPr>
          <w:p w14:paraId="640A1C1B" w14:textId="77777777" w:rsidR="00196C06" w:rsidRPr="0066490D" w:rsidRDefault="00196C06" w:rsidP="006201FD">
            <w:pPr>
              <w:keepNext/>
              <w:keepLines/>
              <w:spacing w:before="80" w:after="80" w:line="200" w:lineRule="exact"/>
              <w:rPr>
                <w:bCs/>
                <w:i/>
                <w:sz w:val="16"/>
                <w:szCs w:val="16"/>
                <w:lang w:val="fr-FR"/>
              </w:rPr>
            </w:pPr>
            <w:r w:rsidRPr="0066490D">
              <w:rPr>
                <w:bCs/>
                <w:i/>
                <w:sz w:val="16"/>
                <w:szCs w:val="16"/>
                <w:lang w:val="fr-FR"/>
              </w:rPr>
              <w:t>Remarques</w:t>
            </w:r>
          </w:p>
        </w:tc>
      </w:tr>
      <w:tr w:rsidR="00A074FC" w:rsidRPr="0066490D" w14:paraId="755572BB" w14:textId="77777777" w:rsidTr="006201FD">
        <w:trPr>
          <w:cantSplit/>
          <w:trHeight w:hRule="exact" w:val="113"/>
        </w:trPr>
        <w:tc>
          <w:tcPr>
            <w:tcW w:w="2268" w:type="dxa"/>
            <w:tcBorders>
              <w:top w:val="single" w:sz="12" w:space="0" w:color="auto"/>
            </w:tcBorders>
            <w:shd w:val="clear" w:color="auto" w:fill="auto"/>
          </w:tcPr>
          <w:p w14:paraId="5E4980C5" w14:textId="77777777" w:rsidR="00196C06" w:rsidRPr="0066490D"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14:paraId="44DDEBB2" w14:textId="77777777" w:rsidR="00196C06" w:rsidRPr="0066490D"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14:paraId="10A7D53F" w14:textId="77777777" w:rsidR="00196C06" w:rsidRPr="0066490D"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14:paraId="11AC939A" w14:textId="77777777" w:rsidR="00196C06" w:rsidRPr="0066490D" w:rsidRDefault="00196C06" w:rsidP="006201FD">
            <w:pPr>
              <w:keepNext/>
              <w:keepLines/>
              <w:jc w:val="center"/>
              <w:rPr>
                <w:b/>
                <w:bCs/>
                <w:sz w:val="18"/>
                <w:szCs w:val="18"/>
                <w:lang w:val="fr-FR"/>
              </w:rPr>
            </w:pPr>
          </w:p>
        </w:tc>
        <w:tc>
          <w:tcPr>
            <w:tcW w:w="993" w:type="dxa"/>
            <w:tcBorders>
              <w:top w:val="single" w:sz="12" w:space="0" w:color="auto"/>
            </w:tcBorders>
            <w:shd w:val="clear" w:color="auto" w:fill="auto"/>
          </w:tcPr>
          <w:p w14:paraId="24A739E3" w14:textId="77777777" w:rsidR="00196C06" w:rsidRPr="0066490D" w:rsidRDefault="00196C06" w:rsidP="006201FD">
            <w:pPr>
              <w:keepNext/>
              <w:keepLines/>
              <w:jc w:val="center"/>
              <w:rPr>
                <w:b/>
                <w:bCs/>
                <w:sz w:val="18"/>
                <w:szCs w:val="18"/>
                <w:lang w:val="fr-FR"/>
              </w:rPr>
            </w:pPr>
          </w:p>
        </w:tc>
        <w:tc>
          <w:tcPr>
            <w:tcW w:w="850" w:type="dxa"/>
            <w:tcBorders>
              <w:top w:val="single" w:sz="12" w:space="0" w:color="auto"/>
            </w:tcBorders>
            <w:shd w:val="clear" w:color="auto" w:fill="auto"/>
          </w:tcPr>
          <w:p w14:paraId="3E64831F" w14:textId="77777777" w:rsidR="00196C06" w:rsidRPr="0066490D" w:rsidRDefault="00196C06" w:rsidP="006201FD">
            <w:pPr>
              <w:keepNext/>
              <w:keepLines/>
              <w:jc w:val="center"/>
              <w:rPr>
                <w:b/>
                <w:bCs/>
                <w:sz w:val="18"/>
                <w:szCs w:val="18"/>
                <w:lang w:val="fr-FR"/>
              </w:rPr>
            </w:pPr>
          </w:p>
        </w:tc>
        <w:tc>
          <w:tcPr>
            <w:tcW w:w="851" w:type="dxa"/>
            <w:tcBorders>
              <w:top w:val="single" w:sz="12" w:space="0" w:color="auto"/>
            </w:tcBorders>
            <w:shd w:val="clear" w:color="auto" w:fill="auto"/>
          </w:tcPr>
          <w:p w14:paraId="310704F2" w14:textId="77777777" w:rsidR="00196C06" w:rsidRPr="0066490D" w:rsidRDefault="00196C06" w:rsidP="006201FD">
            <w:pPr>
              <w:keepNext/>
              <w:keepLines/>
              <w:jc w:val="center"/>
              <w:rPr>
                <w:b/>
                <w:bCs/>
                <w:sz w:val="18"/>
                <w:szCs w:val="18"/>
                <w:lang w:val="fr-FR"/>
              </w:rPr>
            </w:pPr>
          </w:p>
        </w:tc>
      </w:tr>
      <w:tr w:rsidR="00A074FC" w:rsidRPr="0066490D" w14:paraId="10B3A681" w14:textId="77777777" w:rsidTr="006201FD">
        <w:trPr>
          <w:cantSplit/>
        </w:trPr>
        <w:tc>
          <w:tcPr>
            <w:tcW w:w="2268" w:type="dxa"/>
            <w:tcBorders>
              <w:bottom w:val="single" w:sz="4" w:space="0" w:color="auto"/>
            </w:tcBorders>
            <w:shd w:val="clear" w:color="auto" w:fill="auto"/>
          </w:tcPr>
          <w:p w14:paraId="6A1F6053" w14:textId="77777777" w:rsidR="00196C06" w:rsidRPr="0066490D" w:rsidRDefault="00196C06" w:rsidP="006201FD">
            <w:pPr>
              <w:keepNext/>
              <w:keepLines/>
              <w:spacing w:before="40" w:after="120"/>
              <w:rPr>
                <w:sz w:val="18"/>
                <w:szCs w:val="18"/>
                <w:lang w:val="fr-FR"/>
              </w:rPr>
            </w:pPr>
            <w:r w:rsidRPr="0066490D">
              <w:rPr>
                <w:sz w:val="18"/>
                <w:szCs w:val="18"/>
                <w:lang w:val="fr-FR"/>
              </w:rPr>
              <w:t>Thiophosphate de O-[(cyanophénylméthylène) azanyle] et de O,O-diéthyle</w:t>
            </w:r>
          </w:p>
        </w:tc>
        <w:tc>
          <w:tcPr>
            <w:tcW w:w="1134" w:type="dxa"/>
            <w:tcBorders>
              <w:bottom w:val="single" w:sz="4" w:space="0" w:color="auto"/>
            </w:tcBorders>
            <w:shd w:val="clear" w:color="auto" w:fill="auto"/>
          </w:tcPr>
          <w:p w14:paraId="50BF3BAC" w14:textId="77777777" w:rsidR="00196C06" w:rsidRPr="0066490D" w:rsidRDefault="00196C06" w:rsidP="006201FD">
            <w:pPr>
              <w:keepNext/>
              <w:keepLines/>
              <w:spacing w:before="40" w:after="120"/>
              <w:rPr>
                <w:sz w:val="18"/>
                <w:szCs w:val="18"/>
                <w:lang w:val="fr-FR"/>
              </w:rPr>
            </w:pPr>
            <w:r w:rsidRPr="0066490D">
              <w:rPr>
                <w:sz w:val="17"/>
                <w:lang w:val="fr-FR"/>
              </w:rPr>
              <w:t>82-91 (isomère Z)</w:t>
            </w:r>
          </w:p>
        </w:tc>
        <w:tc>
          <w:tcPr>
            <w:tcW w:w="1134" w:type="dxa"/>
            <w:tcBorders>
              <w:bottom w:val="single" w:sz="4" w:space="0" w:color="auto"/>
            </w:tcBorders>
            <w:shd w:val="clear" w:color="auto" w:fill="auto"/>
          </w:tcPr>
          <w:p w14:paraId="5361286C" w14:textId="77777777" w:rsidR="00196C06" w:rsidRPr="0066490D" w:rsidRDefault="00196C06" w:rsidP="006201FD">
            <w:pPr>
              <w:keepNext/>
              <w:keepLines/>
              <w:spacing w:before="40" w:after="120"/>
              <w:rPr>
                <w:sz w:val="18"/>
                <w:szCs w:val="18"/>
                <w:lang w:val="fr-FR"/>
              </w:rPr>
            </w:pPr>
            <w:r w:rsidRPr="0066490D">
              <w:rPr>
                <w:sz w:val="17"/>
                <w:lang w:val="fr-FR"/>
              </w:rPr>
              <w:t>OP8</w:t>
            </w:r>
          </w:p>
        </w:tc>
        <w:tc>
          <w:tcPr>
            <w:tcW w:w="1134" w:type="dxa"/>
            <w:tcBorders>
              <w:bottom w:val="single" w:sz="4" w:space="0" w:color="auto"/>
            </w:tcBorders>
            <w:shd w:val="clear" w:color="auto" w:fill="auto"/>
          </w:tcPr>
          <w:p w14:paraId="5158A980" w14:textId="77777777" w:rsidR="00196C06" w:rsidRPr="0066490D" w:rsidRDefault="00196C06" w:rsidP="006201FD">
            <w:pPr>
              <w:keepNext/>
              <w:keepLines/>
              <w:spacing w:before="40" w:after="120"/>
              <w:rPr>
                <w:sz w:val="18"/>
                <w:szCs w:val="18"/>
                <w:lang w:val="fr-FR"/>
              </w:rPr>
            </w:pPr>
          </w:p>
        </w:tc>
        <w:tc>
          <w:tcPr>
            <w:tcW w:w="993" w:type="dxa"/>
            <w:tcBorders>
              <w:bottom w:val="single" w:sz="4" w:space="0" w:color="auto"/>
            </w:tcBorders>
            <w:shd w:val="clear" w:color="auto" w:fill="auto"/>
          </w:tcPr>
          <w:p w14:paraId="516B6D6A" w14:textId="77777777" w:rsidR="00196C06" w:rsidRPr="0066490D" w:rsidRDefault="00196C06" w:rsidP="006201FD">
            <w:pPr>
              <w:keepNext/>
              <w:keepLines/>
              <w:spacing w:before="40" w:after="120"/>
              <w:rPr>
                <w:sz w:val="18"/>
                <w:szCs w:val="18"/>
                <w:lang w:val="fr-FR"/>
              </w:rPr>
            </w:pPr>
          </w:p>
        </w:tc>
        <w:tc>
          <w:tcPr>
            <w:tcW w:w="850" w:type="dxa"/>
            <w:tcBorders>
              <w:bottom w:val="single" w:sz="4" w:space="0" w:color="auto"/>
            </w:tcBorders>
            <w:shd w:val="clear" w:color="auto" w:fill="auto"/>
          </w:tcPr>
          <w:p w14:paraId="21515426" w14:textId="77777777" w:rsidR="00196C06" w:rsidRPr="0066490D" w:rsidRDefault="00196C06" w:rsidP="006201FD">
            <w:pPr>
              <w:keepNext/>
              <w:keepLines/>
              <w:spacing w:before="40" w:after="120"/>
              <w:rPr>
                <w:sz w:val="18"/>
                <w:szCs w:val="18"/>
                <w:lang w:val="fr-FR"/>
              </w:rPr>
            </w:pPr>
            <w:r w:rsidRPr="0066490D">
              <w:rPr>
                <w:sz w:val="18"/>
                <w:szCs w:val="18"/>
                <w:lang w:val="fr-FR"/>
              </w:rPr>
              <w:t>3227</w:t>
            </w:r>
            <w:r w:rsidRPr="0066490D">
              <w:rPr>
                <w:sz w:val="18"/>
                <w:szCs w:val="18"/>
                <w:lang w:val="fr-FR"/>
              </w:rPr>
              <w:tab/>
            </w:r>
          </w:p>
        </w:tc>
        <w:tc>
          <w:tcPr>
            <w:tcW w:w="851" w:type="dxa"/>
            <w:tcBorders>
              <w:bottom w:val="single" w:sz="4" w:space="0" w:color="auto"/>
            </w:tcBorders>
            <w:shd w:val="clear" w:color="auto" w:fill="auto"/>
          </w:tcPr>
          <w:p w14:paraId="48160B13" w14:textId="77777777" w:rsidR="00196C06" w:rsidRPr="0066490D" w:rsidRDefault="00196C06" w:rsidP="006201FD">
            <w:pPr>
              <w:keepNext/>
              <w:keepLines/>
              <w:spacing w:before="40" w:after="120"/>
              <w:rPr>
                <w:sz w:val="18"/>
                <w:szCs w:val="18"/>
                <w:lang w:val="fr-FR"/>
              </w:rPr>
            </w:pPr>
            <w:r w:rsidRPr="0066490D">
              <w:rPr>
                <w:sz w:val="18"/>
                <w:szCs w:val="18"/>
                <w:lang w:val="fr-FR"/>
              </w:rPr>
              <w:t>10)</w:t>
            </w:r>
          </w:p>
        </w:tc>
      </w:tr>
    </w:tbl>
    <w:p w14:paraId="387E551C" w14:textId="725D9D2D" w:rsidR="00803EFF" w:rsidRPr="0066490D" w:rsidRDefault="00DA6EAC" w:rsidP="00CD1138">
      <w:pPr>
        <w:pStyle w:val="SingleTxtG"/>
        <w:spacing w:before="120"/>
        <w:rPr>
          <w:iCs/>
          <w:lang w:val="fr-FR"/>
        </w:rPr>
      </w:pPr>
      <w:r w:rsidRPr="0066490D">
        <w:rPr>
          <w:lang w:val="fr-FR" w:eastAsia="en-GB"/>
        </w:rPr>
        <w:t>2.2.41.4</w:t>
      </w:r>
      <w:r w:rsidR="007113E4" w:rsidRPr="0066490D">
        <w:rPr>
          <w:lang w:val="fr-FR" w:eastAsia="en-GB"/>
        </w:rPr>
        <w:tab/>
      </w:r>
      <w:r w:rsidR="00803EFF" w:rsidRPr="0066490D">
        <w:rPr>
          <w:iCs/>
          <w:lang w:val="fr-FR"/>
        </w:rPr>
        <w:t xml:space="preserve">Après le tableau, dans </w:t>
      </w:r>
      <w:r w:rsidRPr="0066490D">
        <w:rPr>
          <w:iCs/>
          <w:lang w:val="fr-FR"/>
        </w:rPr>
        <w:t xml:space="preserve">les observations </w:t>
      </w:r>
      <w:r w:rsidR="00803EFF" w:rsidRPr="0066490D">
        <w:rPr>
          <w:iCs/>
          <w:lang w:val="fr-FR"/>
        </w:rPr>
        <w:t xml:space="preserve">1), </w:t>
      </w:r>
      <w:r w:rsidRPr="0066490D">
        <w:rPr>
          <w:iCs/>
          <w:lang w:val="fr-FR"/>
        </w:rPr>
        <w:t xml:space="preserve">4) et 6), </w:t>
      </w:r>
      <w:r w:rsidR="00803EFF" w:rsidRPr="0066490D">
        <w:rPr>
          <w:iCs/>
          <w:lang w:val="fr-FR"/>
        </w:rPr>
        <w:t>remplacer «</w:t>
      </w:r>
      <w:r w:rsidR="004F4841" w:rsidRPr="0066490D">
        <w:rPr>
          <w:lang w:val="fr-FR"/>
        </w:rPr>
        <w:t> </w:t>
      </w:r>
      <w:r w:rsidRPr="0066490D">
        <w:rPr>
          <w:lang w:val="fr-FR"/>
        </w:rPr>
        <w:t>2.2.41.1.17</w:t>
      </w:r>
      <w:r w:rsidR="004F4841" w:rsidRPr="0066490D">
        <w:rPr>
          <w:lang w:val="fr-FR"/>
        </w:rPr>
        <w:t> </w:t>
      </w:r>
      <w:r w:rsidR="00803EFF" w:rsidRPr="0066490D">
        <w:rPr>
          <w:iCs/>
          <w:lang w:val="fr-FR"/>
        </w:rPr>
        <w:t>» par «</w:t>
      </w:r>
      <w:r w:rsidR="004F4841" w:rsidRPr="0066490D">
        <w:rPr>
          <w:lang w:val="fr-FR"/>
        </w:rPr>
        <w:t> </w:t>
      </w:r>
      <w:r w:rsidRPr="0066490D">
        <w:rPr>
          <w:lang w:val="fr-FR"/>
        </w:rPr>
        <w:t>7.1.7.3.1 à 7.1.7.3.6</w:t>
      </w:r>
      <w:r w:rsidR="004F4841" w:rsidRPr="0066490D">
        <w:rPr>
          <w:lang w:val="fr-FR"/>
        </w:rPr>
        <w:t> </w:t>
      </w:r>
      <w:r w:rsidR="00803EFF" w:rsidRPr="0066490D">
        <w:rPr>
          <w:iCs/>
          <w:lang w:val="fr-FR"/>
        </w:rPr>
        <w:t>».</w:t>
      </w:r>
    </w:p>
    <w:p w14:paraId="6198667E" w14:textId="42BB92DB" w:rsidR="00830168" w:rsidRPr="0066490D" w:rsidRDefault="00DA6EAC" w:rsidP="00830168">
      <w:pPr>
        <w:spacing w:before="120" w:after="120" w:line="240" w:lineRule="auto"/>
        <w:ind w:left="1134" w:right="1134"/>
        <w:jc w:val="both"/>
        <w:rPr>
          <w:lang w:val="fr-FR"/>
        </w:rPr>
      </w:pPr>
      <w:r w:rsidRPr="0066490D">
        <w:rPr>
          <w:lang w:val="fr-FR" w:eastAsia="en-GB"/>
        </w:rPr>
        <w:t>2.2.41.4</w:t>
      </w:r>
      <w:r w:rsidR="00830168" w:rsidRPr="0066490D">
        <w:rPr>
          <w:lang w:val="fr-FR" w:eastAsia="en-GB"/>
        </w:rPr>
        <w:tab/>
      </w:r>
      <w:r w:rsidR="007113E4" w:rsidRPr="0066490D">
        <w:rPr>
          <w:iCs/>
          <w:lang w:val="fr-FR"/>
        </w:rPr>
        <w:t>Après le tableau, dans l’</w:t>
      </w:r>
      <w:r w:rsidR="00830168" w:rsidRPr="0066490D">
        <w:rPr>
          <w:lang w:val="fr-FR" w:eastAsia="en-GB"/>
        </w:rPr>
        <w:t>observation 2) sous le tableau, r</w:t>
      </w:r>
      <w:r w:rsidR="00830168" w:rsidRPr="0066490D">
        <w:rPr>
          <w:lang w:val="fr-FR"/>
        </w:rPr>
        <w:t>emplacer «</w:t>
      </w:r>
      <w:r w:rsidR="004F4841" w:rsidRPr="0066490D">
        <w:rPr>
          <w:lang w:val="fr-FR"/>
        </w:rPr>
        <w:t> </w:t>
      </w:r>
      <w:r w:rsidR="00830168" w:rsidRPr="0066490D">
        <w:rPr>
          <w:lang w:val="fr-FR"/>
        </w:rPr>
        <w:t>risque</w:t>
      </w:r>
      <w:r w:rsidR="004F4841" w:rsidRPr="0066490D">
        <w:rPr>
          <w:lang w:val="fr-FR"/>
        </w:rPr>
        <w:t> </w:t>
      </w:r>
      <w:r w:rsidR="00830168" w:rsidRPr="0066490D">
        <w:rPr>
          <w:lang w:val="fr-FR"/>
        </w:rPr>
        <w:t>» par «</w:t>
      </w:r>
      <w:r w:rsidR="004F4841" w:rsidRPr="0066490D">
        <w:rPr>
          <w:lang w:val="fr-FR"/>
        </w:rPr>
        <w:t> </w:t>
      </w:r>
      <w:r w:rsidR="00830168" w:rsidRPr="0066490D">
        <w:rPr>
          <w:lang w:val="fr-FR"/>
        </w:rPr>
        <w:t>danger</w:t>
      </w:r>
      <w:r w:rsidR="004F4841" w:rsidRPr="0066490D">
        <w:rPr>
          <w:lang w:val="fr-FR"/>
        </w:rPr>
        <w:t> </w:t>
      </w:r>
      <w:r w:rsidR="00830168" w:rsidRPr="0066490D">
        <w:rPr>
          <w:lang w:val="fr-FR"/>
        </w:rPr>
        <w:t>».</w:t>
      </w:r>
    </w:p>
    <w:p w14:paraId="52A45574" w14:textId="5B84FCBD" w:rsidR="00196C06" w:rsidRPr="0066490D" w:rsidRDefault="00DA6EAC" w:rsidP="00196C06">
      <w:pPr>
        <w:pStyle w:val="SingleTxtG"/>
        <w:rPr>
          <w:iCs/>
          <w:lang w:val="fr-FR"/>
        </w:rPr>
      </w:pPr>
      <w:r w:rsidRPr="0066490D">
        <w:rPr>
          <w:lang w:val="fr-FR" w:eastAsia="en-GB"/>
        </w:rPr>
        <w:t>2.2.41.4</w:t>
      </w:r>
      <w:r w:rsidR="007113E4" w:rsidRPr="0066490D">
        <w:rPr>
          <w:lang w:val="fr-FR" w:eastAsia="en-GB"/>
        </w:rPr>
        <w:tab/>
      </w:r>
      <w:r w:rsidR="00196C06" w:rsidRPr="0066490D">
        <w:rPr>
          <w:iCs/>
          <w:lang w:val="fr-FR"/>
        </w:rPr>
        <w:t>Après le tableau, ajouter la nouvelle observation 10) suivante:</w:t>
      </w:r>
    </w:p>
    <w:p w14:paraId="056F25E6" w14:textId="000B16CD" w:rsidR="00196C06" w:rsidRPr="0066490D" w:rsidRDefault="00196C06" w:rsidP="00196C06">
      <w:pPr>
        <w:spacing w:before="120" w:after="120" w:line="240" w:lineRule="auto"/>
        <w:ind w:left="1134" w:right="1134"/>
        <w:jc w:val="both"/>
        <w:rPr>
          <w:lang w:val="fr-FR"/>
        </w:rPr>
      </w:pPr>
      <w:r w:rsidRPr="0066490D">
        <w:rPr>
          <w:lang w:val="fr-FR"/>
        </w:rPr>
        <w:t>«</w:t>
      </w:r>
      <w:r w:rsidR="004F4841" w:rsidRPr="0066490D">
        <w:rPr>
          <w:lang w:val="fr-FR"/>
        </w:rPr>
        <w:t> </w:t>
      </w:r>
      <w:r w:rsidRPr="0066490D">
        <w:rPr>
          <w:lang w:val="fr-FR"/>
        </w:rPr>
        <w:t>10)</w:t>
      </w:r>
      <w:r w:rsidRPr="0066490D">
        <w:rPr>
          <w:lang w:val="fr-FR"/>
        </w:rPr>
        <w:tab/>
        <w:t xml:space="preserve">Cette rubrique s’applique </w:t>
      </w:r>
      <w:r w:rsidR="007D0603" w:rsidRPr="0066490D">
        <w:rPr>
          <w:lang w:val="fr-FR"/>
        </w:rPr>
        <w:t>au</w:t>
      </w:r>
      <w:r w:rsidRPr="0066490D">
        <w:rPr>
          <w:lang w:val="fr-FR"/>
        </w:rPr>
        <w:t xml:space="preserve"> mélange technique dans du n-butanol dans les limites de concentration spécifiées pour l’isomère (Z).</w:t>
      </w:r>
      <w:r w:rsidR="004F4841" w:rsidRPr="0066490D">
        <w:rPr>
          <w:lang w:val="fr-FR"/>
        </w:rPr>
        <w:t> </w:t>
      </w:r>
      <w:r w:rsidRPr="0066490D">
        <w:rPr>
          <w:lang w:val="fr-FR"/>
        </w:rPr>
        <w:t>».</w:t>
      </w:r>
    </w:p>
    <w:p w14:paraId="19E3B14B" w14:textId="394541BF" w:rsidR="00DA6EAC" w:rsidRPr="0066490D" w:rsidRDefault="004215F5" w:rsidP="00196C06">
      <w:pPr>
        <w:pStyle w:val="SingleTxtG"/>
        <w:rPr>
          <w:lang w:val="fr-FR"/>
        </w:rPr>
      </w:pPr>
      <w:r w:rsidRPr="0066490D">
        <w:rPr>
          <w:lang w:val="fr-FR"/>
        </w:rPr>
        <w:t>2.2.42.1.2</w:t>
      </w:r>
      <w:r w:rsidRPr="0066490D">
        <w:rPr>
          <w:lang w:val="fr-FR"/>
        </w:rPr>
        <w:tab/>
        <w:t>Modifier le titre de la subdivision « S » pour lire « Matières sujettes à l’inflammation spontanée sans danger subsidiaire ».</w:t>
      </w:r>
    </w:p>
    <w:p w14:paraId="30F81EEB" w14:textId="6B683EDF" w:rsidR="004215F5" w:rsidRPr="0066490D" w:rsidRDefault="004215F5" w:rsidP="00CD1138">
      <w:pPr>
        <w:pStyle w:val="SingleTxtG"/>
        <w:rPr>
          <w:lang w:val="fr-FR"/>
        </w:rPr>
      </w:pPr>
      <w:r w:rsidRPr="0066490D">
        <w:rPr>
          <w:lang w:val="fr-FR"/>
        </w:rPr>
        <w:t>2.2.42.1.2</w:t>
      </w:r>
      <w:r w:rsidRPr="0066490D">
        <w:rPr>
          <w:lang w:val="fr-FR"/>
        </w:rPr>
        <w:tab/>
        <w:t>Pour « S Matières sujettes à l’inflammation spontanée sans danger subsidiaire », ajouter la nouvelle rubrique suivante : « S6</w:t>
      </w:r>
      <w:r w:rsidRPr="0066490D">
        <w:rPr>
          <w:lang w:val="fr-FR"/>
        </w:rPr>
        <w:tab/>
        <w:t>Objets ».</w:t>
      </w:r>
    </w:p>
    <w:p w14:paraId="03371147" w14:textId="6A7BC4C9" w:rsidR="004215F5" w:rsidRPr="0066490D" w:rsidRDefault="004215F5" w:rsidP="004215F5">
      <w:pPr>
        <w:pStyle w:val="SingleTxtG"/>
        <w:rPr>
          <w:lang w:val="fr-FR"/>
        </w:rPr>
      </w:pPr>
      <w:r w:rsidRPr="0066490D">
        <w:rPr>
          <w:lang w:val="fr-FR"/>
        </w:rPr>
        <w:t>2.2.42.1.5</w:t>
      </w:r>
      <w:r w:rsidRPr="0066490D">
        <w:rPr>
          <w:lang w:val="fr-FR"/>
        </w:rPr>
        <w:tab/>
        <w:t>Dans le Nota 3, remplacer « risques » par « dangers ».</w:t>
      </w:r>
    </w:p>
    <w:p w14:paraId="29393B8C" w14:textId="1FAED3EF" w:rsidR="004215F5" w:rsidRPr="0066490D" w:rsidRDefault="004215F5" w:rsidP="004215F5">
      <w:pPr>
        <w:pStyle w:val="SingleTxtG"/>
        <w:rPr>
          <w:lang w:val="fr-FR" w:eastAsia="en-GB"/>
        </w:rPr>
      </w:pPr>
      <w:r w:rsidRPr="0066490D">
        <w:rPr>
          <w:lang w:val="fr-FR"/>
        </w:rPr>
        <w:t>2.2.42.1.6</w:t>
      </w:r>
      <w:r w:rsidRPr="0066490D">
        <w:rPr>
          <w:lang w:val="fr-FR"/>
        </w:rPr>
        <w:tab/>
      </w:r>
      <w:r w:rsidRPr="0066490D">
        <w:rPr>
          <w:lang w:val="fr-FR" w:eastAsia="en-GB"/>
        </w:rPr>
        <w:t>L’amendement ne s’applique pas au texte français.</w:t>
      </w:r>
    </w:p>
    <w:p w14:paraId="110535B8" w14:textId="37D61A72" w:rsidR="004215F5" w:rsidRPr="0066490D" w:rsidRDefault="004215F5" w:rsidP="004215F5">
      <w:pPr>
        <w:pStyle w:val="SingleTxtG"/>
        <w:rPr>
          <w:iCs/>
          <w:lang w:val="fr-FR"/>
        </w:rPr>
      </w:pPr>
      <w:r w:rsidRPr="0066490D">
        <w:rPr>
          <w:lang w:val="fr-FR" w:eastAsia="en-GB"/>
        </w:rPr>
        <w:t>2.2.42.3</w:t>
      </w:r>
      <w:r w:rsidRPr="0066490D">
        <w:rPr>
          <w:lang w:val="fr-FR" w:eastAsia="en-GB"/>
        </w:rPr>
        <w:tab/>
        <w:t>Dans la « </w:t>
      </w:r>
      <w:r w:rsidRPr="0066490D">
        <w:rPr>
          <w:iCs/>
          <w:lang w:val="fr-FR"/>
        </w:rPr>
        <w:t>Liste des rubriques collectives », pour « S », remplacer « risque » par « danger ».</w:t>
      </w:r>
    </w:p>
    <w:p w14:paraId="3F428281" w14:textId="6CA0306B" w:rsidR="00730CFA" w:rsidRPr="00A70F15" w:rsidRDefault="004215F5" w:rsidP="00CD1138">
      <w:pPr>
        <w:pStyle w:val="SingleTxtG"/>
        <w:rPr>
          <w:iCs/>
          <w:lang w:val="fr-FR"/>
        </w:rPr>
      </w:pPr>
      <w:r w:rsidRPr="00A70F15">
        <w:rPr>
          <w:iCs/>
          <w:lang w:val="fr-FR"/>
        </w:rPr>
        <w:t>2.2.42.3</w:t>
      </w:r>
      <w:r w:rsidRPr="00A70F15">
        <w:rPr>
          <w:iCs/>
          <w:lang w:val="fr-FR"/>
        </w:rPr>
        <w:tab/>
      </w:r>
      <w:r w:rsidR="00730CFA" w:rsidRPr="00A70F15">
        <w:rPr>
          <w:lang w:val="fr-FR" w:eastAsia="en-GB"/>
        </w:rPr>
        <w:t>Dans la « </w:t>
      </w:r>
      <w:r w:rsidR="00730CFA" w:rsidRPr="00A70F15">
        <w:rPr>
          <w:iCs/>
          <w:lang w:val="fr-FR"/>
        </w:rPr>
        <w:t>Liste des rubriques collectives », pour « S Matières sujettes à l'inflammation spontanée, sans danger subsidiaire »</w:t>
      </w:r>
      <w:r w:rsidR="0010178E" w:rsidRPr="00A70F15">
        <w:rPr>
          <w:iCs/>
          <w:lang w:val="fr-FR"/>
        </w:rPr>
        <w:t>,</w:t>
      </w:r>
      <w:r w:rsidR="00730CFA" w:rsidRPr="00A70F15">
        <w:rPr>
          <w:iCs/>
          <w:lang w:val="fr-FR"/>
        </w:rPr>
        <w:t xml:space="preserve"> ajouter la nouvelle rubrique suivante :</w:t>
      </w:r>
    </w:p>
    <w:tbl>
      <w:tblPr>
        <w:tblW w:w="8505" w:type="dxa"/>
        <w:tblInd w:w="1126" w:type="dxa"/>
        <w:tblCellMar>
          <w:left w:w="120" w:type="dxa"/>
          <w:right w:w="120" w:type="dxa"/>
        </w:tblCellMar>
        <w:tblLook w:val="0000" w:firstRow="0" w:lastRow="0" w:firstColumn="0" w:lastColumn="0" w:noHBand="0" w:noVBand="0"/>
      </w:tblPr>
      <w:tblGrid>
        <w:gridCol w:w="763"/>
        <w:gridCol w:w="452"/>
        <w:gridCol w:w="640"/>
        <w:gridCol w:w="6650"/>
      </w:tblGrid>
      <w:tr w:rsidR="00A074FC" w:rsidRPr="00A70F15" w14:paraId="47EEFDDE" w14:textId="77777777"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14:paraId="62CE03CB" w14:textId="3930D820" w:rsidR="00730CFA" w:rsidRPr="00A70F15" w:rsidRDefault="00730CFA" w:rsidP="00167465">
            <w:pPr>
              <w:tabs>
                <w:tab w:val="left" w:pos="447"/>
              </w:tabs>
              <w:spacing w:before="20" w:after="20"/>
              <w:rPr>
                <w:lang w:val="fr-FR"/>
              </w:rPr>
            </w:pPr>
            <w:r w:rsidRPr="00A70F15">
              <w:rPr>
                <w:lang w:val="fr-FR"/>
              </w:rPr>
              <w:t>Objets</w:t>
            </w:r>
          </w:p>
        </w:tc>
        <w:tc>
          <w:tcPr>
            <w:tcW w:w="0" w:type="auto"/>
            <w:tcBorders>
              <w:top w:val="single" w:sz="6" w:space="0" w:color="auto"/>
              <w:left w:val="single" w:sz="6" w:space="0" w:color="auto"/>
              <w:bottom w:val="single" w:sz="4" w:space="0" w:color="auto"/>
              <w:right w:val="single" w:sz="6" w:space="0" w:color="auto"/>
            </w:tcBorders>
          </w:tcPr>
          <w:p w14:paraId="14747B62" w14:textId="77777777" w:rsidR="00730CFA" w:rsidRPr="00A70F15" w:rsidRDefault="00730CFA" w:rsidP="00167465">
            <w:pPr>
              <w:tabs>
                <w:tab w:val="left" w:pos="447"/>
              </w:tabs>
              <w:spacing w:before="20" w:after="20"/>
              <w:rPr>
                <w:lang w:val="fr-FR"/>
              </w:rPr>
            </w:pPr>
            <w:r w:rsidRPr="00A70F15">
              <w:rPr>
                <w:lang w:val="fr-FR"/>
              </w:rPr>
              <w:t>S6</w:t>
            </w:r>
          </w:p>
        </w:tc>
        <w:tc>
          <w:tcPr>
            <w:tcW w:w="0" w:type="auto"/>
            <w:tcBorders>
              <w:top w:val="single" w:sz="6" w:space="0" w:color="auto"/>
              <w:bottom w:val="single" w:sz="4" w:space="0" w:color="auto"/>
            </w:tcBorders>
          </w:tcPr>
          <w:p w14:paraId="53AE2303" w14:textId="77777777" w:rsidR="00730CFA" w:rsidRPr="00A70F15" w:rsidRDefault="00730CFA" w:rsidP="00167465">
            <w:pPr>
              <w:keepLines/>
              <w:spacing w:before="20" w:after="20"/>
              <w:jc w:val="center"/>
              <w:rPr>
                <w:lang w:val="fr-FR"/>
              </w:rPr>
            </w:pPr>
            <w:r w:rsidRPr="00A70F15">
              <w:rPr>
                <w:lang w:val="fr-FR"/>
              </w:rPr>
              <w:t>3542</w:t>
            </w:r>
          </w:p>
        </w:tc>
        <w:tc>
          <w:tcPr>
            <w:tcW w:w="0" w:type="auto"/>
            <w:tcBorders>
              <w:top w:val="single" w:sz="6" w:space="0" w:color="auto"/>
              <w:bottom w:val="single" w:sz="4" w:space="0" w:color="auto"/>
              <w:right w:val="single" w:sz="6" w:space="0" w:color="auto"/>
            </w:tcBorders>
          </w:tcPr>
          <w:p w14:paraId="5A81FDB5" w14:textId="50135D33" w:rsidR="00730CFA" w:rsidRPr="00A70F15" w:rsidRDefault="00730CFA" w:rsidP="00983114">
            <w:pPr>
              <w:keepLines/>
              <w:spacing w:before="20" w:after="20"/>
              <w:ind w:left="164" w:hanging="164"/>
              <w:rPr>
                <w:lang w:val="fr-FR"/>
              </w:rPr>
            </w:pPr>
            <w:r w:rsidRPr="00A70F15">
              <w:rPr>
                <w:lang w:val="fr-FR"/>
              </w:rPr>
              <w:t>OBJETS CONTENANT DE LA MATIÈRE SUJETTE À L'INFLAMMATION SPONTAN</w:t>
            </w:r>
            <w:r w:rsidR="00983114" w:rsidRPr="00A70F15">
              <w:rPr>
                <w:lang w:val="fr-FR"/>
              </w:rPr>
              <w:t>É</w:t>
            </w:r>
            <w:r w:rsidRPr="00A70F15">
              <w:rPr>
                <w:lang w:val="fr-FR"/>
              </w:rPr>
              <w:t>E, N.S.A.</w:t>
            </w:r>
          </w:p>
        </w:tc>
      </w:tr>
    </w:tbl>
    <w:p w14:paraId="49F4D41A" w14:textId="10CEF178" w:rsidR="00730CFA" w:rsidRPr="00A70F15" w:rsidRDefault="00730CFA" w:rsidP="001765AF">
      <w:pPr>
        <w:pStyle w:val="SingleTxtG"/>
        <w:spacing w:before="120"/>
        <w:rPr>
          <w:lang w:val="fr-FR"/>
        </w:rPr>
      </w:pPr>
      <w:r w:rsidRPr="00A70F15">
        <w:rPr>
          <w:lang w:val="fr-FR"/>
        </w:rPr>
        <w:t>2.2.43.1.2</w:t>
      </w:r>
      <w:r w:rsidRPr="00A70F15">
        <w:rPr>
          <w:lang w:val="fr-FR"/>
        </w:rPr>
        <w:tab/>
        <w:t>Dans le titre de la subdivision « W » remplacer « </w:t>
      </w:r>
      <w:r w:rsidRPr="00A70F15">
        <w:rPr>
          <w:iCs/>
          <w:lang w:val="fr-FR"/>
        </w:rPr>
        <w:t>sans risque subsidiaire » par « sans danger subsidiaire ».</w:t>
      </w:r>
    </w:p>
    <w:p w14:paraId="5079C2FC" w14:textId="6D38FD12" w:rsidR="00730CFA" w:rsidRPr="00A70F15" w:rsidRDefault="00730CFA" w:rsidP="00730CFA">
      <w:pPr>
        <w:pStyle w:val="SingleTxtG"/>
        <w:rPr>
          <w:lang w:val="fr-FR"/>
        </w:rPr>
      </w:pPr>
      <w:r w:rsidRPr="00A70F15">
        <w:rPr>
          <w:lang w:val="fr-FR"/>
        </w:rPr>
        <w:t>2.2.43.1.5</w:t>
      </w:r>
      <w:r w:rsidRPr="00A70F15">
        <w:rPr>
          <w:lang w:val="fr-FR"/>
        </w:rPr>
        <w:tab/>
        <w:t>Dans le Nota, remplacer « risques » par « dangers ».</w:t>
      </w:r>
    </w:p>
    <w:p w14:paraId="6A3A19B5" w14:textId="7CAB4885" w:rsidR="00730CFA" w:rsidRPr="00A70F15" w:rsidRDefault="00730CFA" w:rsidP="00730CFA">
      <w:pPr>
        <w:pStyle w:val="SingleTxtG"/>
        <w:rPr>
          <w:lang w:val="fr-FR" w:eastAsia="en-GB"/>
        </w:rPr>
      </w:pPr>
      <w:r w:rsidRPr="00A70F15">
        <w:rPr>
          <w:lang w:val="fr-FR"/>
        </w:rPr>
        <w:t>2.2.43.1.6</w:t>
      </w:r>
      <w:r w:rsidRPr="00A70F15">
        <w:rPr>
          <w:lang w:val="fr-FR"/>
        </w:rPr>
        <w:tab/>
      </w:r>
      <w:r w:rsidRPr="00A70F15">
        <w:rPr>
          <w:lang w:val="fr-FR" w:eastAsia="en-GB"/>
        </w:rPr>
        <w:t>L’amendement ne s’applique pas au texte français.</w:t>
      </w:r>
    </w:p>
    <w:p w14:paraId="51F91EA0" w14:textId="1B3323F3" w:rsidR="00730CFA" w:rsidRPr="00A70F15" w:rsidRDefault="00730CFA" w:rsidP="00730CFA">
      <w:pPr>
        <w:pStyle w:val="SingleTxtG"/>
        <w:rPr>
          <w:lang w:val="fr-FR"/>
        </w:rPr>
      </w:pPr>
      <w:r w:rsidRPr="00A70F15">
        <w:rPr>
          <w:lang w:val="fr-FR"/>
        </w:rPr>
        <w:t>2.2.43.3</w:t>
      </w:r>
      <w:r w:rsidRPr="00A70F15">
        <w:rPr>
          <w:lang w:val="fr-FR"/>
        </w:rPr>
        <w:tab/>
      </w:r>
      <w:r w:rsidRPr="00A70F15">
        <w:rPr>
          <w:lang w:val="fr-FR" w:eastAsia="en-GB"/>
        </w:rPr>
        <w:t>Dans la « </w:t>
      </w:r>
      <w:r w:rsidRPr="00A70F15">
        <w:rPr>
          <w:iCs/>
          <w:lang w:val="fr-FR"/>
        </w:rPr>
        <w:t>Liste des rubriques collectives », pour « </w:t>
      </w:r>
      <w:r w:rsidRPr="00A70F15">
        <w:rPr>
          <w:lang w:val="fr-FR"/>
        </w:rPr>
        <w:t>W », remplacer « risque » par « danger ».</w:t>
      </w:r>
    </w:p>
    <w:p w14:paraId="5D18D337" w14:textId="3E0E314B" w:rsidR="00730CFA" w:rsidRPr="00A70F15" w:rsidRDefault="00730CFA" w:rsidP="00CD1138">
      <w:pPr>
        <w:pStyle w:val="SingleTxtG"/>
        <w:rPr>
          <w:lang w:val="fr-FR"/>
        </w:rPr>
      </w:pPr>
      <w:r w:rsidRPr="00A70F15">
        <w:rPr>
          <w:lang w:val="fr-FR"/>
        </w:rPr>
        <w:t>2.2.43.3</w:t>
      </w:r>
      <w:r w:rsidRPr="00A70F15">
        <w:rPr>
          <w:lang w:val="fr-FR"/>
        </w:rPr>
        <w:tab/>
        <w:t xml:space="preserve">Pour « Matières qui, au contact de l'eau, dégagent des gaz inflammables, sans danger subsidiaire », pour « objets W3 », </w:t>
      </w:r>
      <w:r w:rsidR="0010178E" w:rsidRPr="00A70F15">
        <w:rPr>
          <w:iCs/>
          <w:lang w:val="fr-FR"/>
        </w:rPr>
        <w:t>ajouter la nouvelle rubrique suivante :</w:t>
      </w:r>
    </w:p>
    <w:p w14:paraId="1C6BBED2" w14:textId="4185D33A" w:rsidR="00730CFA" w:rsidRPr="00A70F15" w:rsidRDefault="0010178E" w:rsidP="00730CFA">
      <w:pPr>
        <w:pStyle w:val="SingleTxtG"/>
        <w:rPr>
          <w:lang w:val="fr-FR"/>
        </w:rPr>
      </w:pPr>
      <w:r w:rsidRPr="00A70F15">
        <w:rPr>
          <w:lang w:val="fr-FR"/>
        </w:rPr>
        <w:lastRenderedPageBreak/>
        <w:t>« </w:t>
      </w:r>
      <w:r w:rsidR="00730CFA" w:rsidRPr="00A70F15">
        <w:rPr>
          <w:lang w:val="fr-FR"/>
        </w:rPr>
        <w:t>3543</w:t>
      </w:r>
      <w:r w:rsidR="00730CFA" w:rsidRPr="00A70F15">
        <w:rPr>
          <w:lang w:val="fr-FR"/>
        </w:rPr>
        <w:tab/>
      </w:r>
      <w:r w:rsidRPr="00A70F15">
        <w:rPr>
          <w:lang w:val="fr-FR"/>
        </w:rPr>
        <w:tab/>
        <w:t>OBJETS CONTENANT DE LA MATIÈRE QUI, AU CONTACT DE L'EAU, DÉGAGE DES GAZ INFLAMMABLES, N.S.A. »</w:t>
      </w:r>
      <w:r w:rsidR="00730CFA" w:rsidRPr="00A70F15">
        <w:rPr>
          <w:lang w:val="fr-FR"/>
        </w:rPr>
        <w:t>.</w:t>
      </w:r>
    </w:p>
    <w:p w14:paraId="057100EF" w14:textId="49351CAE" w:rsidR="00080BAA" w:rsidRPr="00A70F15" w:rsidRDefault="00080BAA" w:rsidP="00080BAA">
      <w:pPr>
        <w:pStyle w:val="SingleTxtG"/>
        <w:rPr>
          <w:iCs/>
          <w:lang w:val="fr-FR"/>
        </w:rPr>
      </w:pPr>
      <w:r w:rsidRPr="00A70F15">
        <w:rPr>
          <w:lang w:val="fr-FR"/>
        </w:rPr>
        <w:t>2.2.51.1.2</w:t>
      </w:r>
      <w:r w:rsidRPr="00A70F15">
        <w:rPr>
          <w:lang w:val="fr-FR"/>
        </w:rPr>
        <w:tab/>
        <w:t>Dans le titre de la subdivision « O » remplacer « </w:t>
      </w:r>
      <w:r w:rsidRPr="00A70F15">
        <w:rPr>
          <w:iCs/>
          <w:lang w:val="fr-FR"/>
        </w:rPr>
        <w:t>sans risque subsidiaire » par « sans danger subsidiaire ».</w:t>
      </w:r>
    </w:p>
    <w:p w14:paraId="6A6F8079" w14:textId="4397E3B5" w:rsidR="00080BAA" w:rsidRPr="00A70F15" w:rsidRDefault="00080BAA" w:rsidP="00080BAA">
      <w:pPr>
        <w:pStyle w:val="SingleTxtG"/>
        <w:rPr>
          <w:lang w:val="fr-FR"/>
        </w:rPr>
      </w:pPr>
      <w:r w:rsidRPr="00A70F15">
        <w:rPr>
          <w:lang w:val="fr-FR"/>
        </w:rPr>
        <w:t>2.2.51.1.3 et 2.2.51.1.5</w:t>
      </w:r>
      <w:r w:rsidRPr="00A70F15">
        <w:rPr>
          <w:lang w:val="fr-FR"/>
        </w:rPr>
        <w:tab/>
        <w:t>Remplacer « 2.2.51.1.9 » par « 2.2.51.1.10 ».</w:t>
      </w:r>
    </w:p>
    <w:p w14:paraId="2226365E" w14:textId="77777777" w:rsidR="002E6E05" w:rsidRPr="00CF3DE3" w:rsidRDefault="002E6E05" w:rsidP="002E6E05">
      <w:pPr>
        <w:pStyle w:val="SingleTxtG"/>
      </w:pPr>
      <w:r w:rsidRPr="00CF3DE3">
        <w:t>2.2.51.1.3</w:t>
      </w:r>
      <w:r w:rsidRPr="00CF3DE3">
        <w:tab/>
        <w:t xml:space="preserve">À la fin de la deuxième phrase, ajouter « ou, pour les engrais au nitrate d’ammonium solides, la section 39 sous réserve des restrictions du 2.2.51.2.2, treizième tiret ». </w:t>
      </w:r>
    </w:p>
    <w:p w14:paraId="7C0FCCF5" w14:textId="120B23F5" w:rsidR="00080BAA" w:rsidRPr="00A70F15" w:rsidRDefault="00080BAA" w:rsidP="00540A42">
      <w:pPr>
        <w:pStyle w:val="SingleTxtG"/>
        <w:rPr>
          <w:lang w:val="fr-FR"/>
        </w:rPr>
      </w:pPr>
      <w:r w:rsidRPr="00A70F15">
        <w:rPr>
          <w:lang w:val="fr-FR"/>
        </w:rPr>
        <w:t>2.2.51.1.4</w:t>
      </w:r>
      <w:r w:rsidRPr="00A70F15">
        <w:rPr>
          <w:lang w:val="fr-FR"/>
        </w:rPr>
        <w:tab/>
      </w:r>
      <w:r w:rsidRPr="00A70F15">
        <w:rPr>
          <w:lang w:val="fr-FR" w:eastAsia="en-GB"/>
        </w:rPr>
        <w:t>L’amendement ne s’applique pas au texte français.</w:t>
      </w:r>
    </w:p>
    <w:p w14:paraId="27AF3FDC" w14:textId="4B20339E" w:rsidR="002E6E05" w:rsidRPr="00CF3DE3" w:rsidRDefault="002E6E05" w:rsidP="002E6E05">
      <w:pPr>
        <w:pStyle w:val="SingleTxtG"/>
        <w:rPr>
          <w:lang w:val="fr-FR"/>
        </w:rPr>
      </w:pPr>
      <w:r w:rsidRPr="00CF3DE3">
        <w:rPr>
          <w:lang w:val="fr-FR"/>
        </w:rPr>
        <w:t>2.2.51.1.5</w:t>
      </w:r>
      <w:r w:rsidRPr="00CF3DE3">
        <w:rPr>
          <w:lang w:val="fr-FR"/>
        </w:rPr>
        <w:tab/>
        <w:t>Dans la première phrase, après « Manuel d’épreuves et de critères », ajouter « , ou selon la section 39 pour les engrais au nitrate d’ammonium solides, ».</w:t>
      </w:r>
    </w:p>
    <w:p w14:paraId="54A2BABD" w14:textId="2C61315B" w:rsidR="00196C06" w:rsidRPr="00A70F15" w:rsidRDefault="00BD056C" w:rsidP="00196C06">
      <w:pPr>
        <w:spacing w:before="120" w:after="120" w:line="240" w:lineRule="auto"/>
        <w:ind w:left="1134" w:right="1134"/>
        <w:jc w:val="both"/>
        <w:rPr>
          <w:lang w:val="fr-FR"/>
        </w:rPr>
      </w:pPr>
      <w:r w:rsidRPr="00A70F15">
        <w:rPr>
          <w:lang w:val="fr-FR"/>
        </w:rPr>
        <w:t xml:space="preserve">Ajouter un nouveau </w:t>
      </w:r>
      <w:r w:rsidR="00080BAA" w:rsidRPr="00A70F15">
        <w:rPr>
          <w:iCs/>
          <w:lang w:val="fr-FR"/>
        </w:rPr>
        <w:t>2.2.51.1.7</w:t>
      </w:r>
      <w:r w:rsidRPr="00A70F15">
        <w:rPr>
          <w:lang w:val="fr-FR"/>
        </w:rPr>
        <w:t xml:space="preserve"> pour lire comme suit</w:t>
      </w:r>
      <w:r w:rsidR="00080BAA" w:rsidRPr="00A70F15">
        <w:rPr>
          <w:lang w:val="fr-FR"/>
        </w:rPr>
        <w:t xml:space="preserve"> et renuméroter les paragraphes suivants en conséquence </w:t>
      </w:r>
      <w:r w:rsidRPr="00A70F15">
        <w:rPr>
          <w:lang w:val="fr-FR"/>
        </w:rPr>
        <w:t>:</w:t>
      </w:r>
    </w:p>
    <w:p w14:paraId="275719B7" w14:textId="2C7182F5" w:rsidR="00BD056C" w:rsidRPr="00A70F15" w:rsidRDefault="00BD056C" w:rsidP="00196C06">
      <w:pPr>
        <w:spacing w:before="120" w:after="120" w:line="240" w:lineRule="auto"/>
        <w:ind w:left="1134" w:right="1134"/>
        <w:jc w:val="both"/>
        <w:rPr>
          <w:lang w:val="fr-FR"/>
        </w:rPr>
      </w:pPr>
      <w:r w:rsidRPr="00A70F15">
        <w:rPr>
          <w:lang w:val="fr-FR"/>
        </w:rPr>
        <w:t>«</w:t>
      </w:r>
      <w:r w:rsidR="004F4841" w:rsidRPr="00A70F15">
        <w:rPr>
          <w:lang w:val="fr-FR"/>
        </w:rPr>
        <w:t> </w:t>
      </w:r>
      <w:r w:rsidR="00080BAA" w:rsidRPr="00A70F15">
        <w:rPr>
          <w:iCs/>
          <w:lang w:val="fr-FR"/>
        </w:rPr>
        <w:t>2.2.51.1.7</w:t>
      </w:r>
      <w:r w:rsidRPr="00A70F15">
        <w:rPr>
          <w:lang w:val="fr-FR"/>
        </w:rPr>
        <w:tab/>
        <w:t>À titre exceptionnel, les engrais au nitrate d’ammonium solide sont classés conformément à la procédure définie dans le Manuel d’épreuves et de critères, troisième partie, section 39.</w:t>
      </w:r>
      <w:r w:rsidR="004F4841" w:rsidRPr="00A70F15">
        <w:rPr>
          <w:lang w:val="fr-FR"/>
        </w:rPr>
        <w:t> </w:t>
      </w:r>
      <w:r w:rsidRPr="00A70F15">
        <w:rPr>
          <w:lang w:val="fr-FR"/>
        </w:rPr>
        <w:t>».</w:t>
      </w:r>
    </w:p>
    <w:p w14:paraId="735E44E0" w14:textId="31AF2468" w:rsidR="00D45FE8" w:rsidRPr="00EB3414" w:rsidRDefault="00D45FE8" w:rsidP="00D45FE8">
      <w:pPr>
        <w:pStyle w:val="SingleTxtG"/>
      </w:pPr>
      <w:r w:rsidRPr="00EB3414">
        <w:t>2.2.51.2.2</w:t>
      </w:r>
      <w:r w:rsidRPr="00EB3414">
        <w:tab/>
        <w:t xml:space="preserve">Remplacer le treizième tiret par </w:t>
      </w:r>
      <w:r w:rsidR="00AE616B">
        <w:t>les tirets</w:t>
      </w:r>
      <w:r w:rsidRPr="00EB3414">
        <w:t xml:space="preserve"> suivant</w:t>
      </w:r>
      <w:r w:rsidR="00AE616B">
        <w:t>s</w:t>
      </w:r>
      <w:r w:rsidRPr="00EB3414">
        <w:t> :</w:t>
      </w:r>
    </w:p>
    <w:p w14:paraId="028545BB" w14:textId="77777777" w:rsidR="00D45FE8" w:rsidRPr="00EB3414" w:rsidRDefault="00D45FE8" w:rsidP="00D45FE8">
      <w:pPr>
        <w:pStyle w:val="SingleTxtG"/>
      </w:pPr>
      <w:r w:rsidRPr="00EB3414">
        <w:t>« −</w:t>
      </w:r>
      <w:r w:rsidRPr="00EB3414">
        <w:tab/>
        <w:t>Les engrais au nitrate d’ammonium dont les compositions mènent aux cases de sortie 4, 6, 8, 15, 31 ou 33 du diagramme de décision du paragraphe 39.5.1 du Manuel d’épreuves et de critères, troisième partie, section 39, à moins qu’un numéro ONU approprié de la classe 1 ne leur ait été affecté;</w:t>
      </w:r>
    </w:p>
    <w:p w14:paraId="6E243672" w14:textId="1EF9A99B" w:rsidR="00D45FE8" w:rsidRPr="00EB3414" w:rsidRDefault="00D45FE8" w:rsidP="00D45FE8">
      <w:pPr>
        <w:pStyle w:val="SingleTxtG"/>
      </w:pPr>
      <w:r w:rsidRPr="00EB3414">
        <w:t>−</w:t>
      </w:r>
      <w:r w:rsidRPr="00EB3414">
        <w:tab/>
        <w:t>Les engrais au nitrate d’ammonium dont les compositions mènent aux cases de sortie 20, 23 ou 39 du diagramme de décision du paragraphe 39.5.1 du Manuel d’épreuves et de critères, troisième partie, section 39, à moins qu’un numéro ONU approprié de la classe 1 ne leur ait été affecté ou, à condition que l’aptitude au transport ait été démontrée et que ceci ait été approuvé par l’autorité compétente, un numéro ONU approprié de la classe 5.1 autre que le numéro ONU 2067;</w:t>
      </w:r>
      <w:r w:rsidR="00EB3414">
        <w:t> </w:t>
      </w:r>
      <w:r w:rsidRPr="00EB3414">
        <w:t>».</w:t>
      </w:r>
    </w:p>
    <w:p w14:paraId="384BB848" w14:textId="05FC5C6E" w:rsidR="00BD5558" w:rsidRPr="00BE7FB4" w:rsidRDefault="00BD5558" w:rsidP="00BD5558">
      <w:pPr>
        <w:pStyle w:val="SingleTxtG"/>
        <w:rPr>
          <w:lang w:val="fr-FR"/>
        </w:rPr>
      </w:pPr>
      <w:r w:rsidRPr="00BE7FB4">
        <w:rPr>
          <w:lang w:val="fr-FR"/>
        </w:rPr>
        <w:t>2.2.51.3</w:t>
      </w:r>
      <w:r w:rsidRPr="00BE7FB4">
        <w:rPr>
          <w:lang w:val="fr-FR"/>
        </w:rPr>
        <w:tab/>
      </w:r>
      <w:r w:rsidRPr="00BE7FB4">
        <w:rPr>
          <w:lang w:val="fr-FR" w:eastAsia="en-GB"/>
        </w:rPr>
        <w:t>Dans la « </w:t>
      </w:r>
      <w:r w:rsidRPr="00BE7FB4">
        <w:rPr>
          <w:iCs/>
          <w:lang w:val="fr-FR"/>
        </w:rPr>
        <w:t>Liste des rubriques collectives », pour « </w:t>
      </w:r>
      <w:r w:rsidRPr="00BE7FB4">
        <w:rPr>
          <w:lang w:val="fr-FR"/>
        </w:rPr>
        <w:t>O », remplacer « risque » par « danger ».</w:t>
      </w:r>
    </w:p>
    <w:p w14:paraId="4BE9691D" w14:textId="576CB84A" w:rsidR="00BD5558" w:rsidRPr="00BE7FB4" w:rsidRDefault="00BD5558" w:rsidP="00CD1138">
      <w:pPr>
        <w:pStyle w:val="SingleTxtG"/>
        <w:rPr>
          <w:lang w:val="fr-FR"/>
        </w:rPr>
      </w:pPr>
      <w:r w:rsidRPr="00BE7FB4">
        <w:rPr>
          <w:lang w:val="fr-FR"/>
        </w:rPr>
        <w:t>2.2.51.3</w:t>
      </w:r>
      <w:r w:rsidRPr="00BE7FB4">
        <w:rPr>
          <w:lang w:val="fr-FR"/>
        </w:rPr>
        <w:tab/>
        <w:t>Pour « O Matières comburantes et objets contenant de telles matières, sans danger subsidiaire », pour « objets O3 », ajouter la nouvelle rubrique suivante :</w:t>
      </w:r>
    </w:p>
    <w:p w14:paraId="547257E6" w14:textId="00E6C2E2" w:rsidR="00BD5558" w:rsidRPr="00BE7FB4" w:rsidRDefault="00BD5558" w:rsidP="00BD5558">
      <w:pPr>
        <w:pStyle w:val="SingleTxtG"/>
        <w:rPr>
          <w:lang w:val="fr-FR"/>
        </w:rPr>
      </w:pPr>
      <w:r w:rsidRPr="00BE7FB4">
        <w:rPr>
          <w:lang w:val="fr-FR"/>
        </w:rPr>
        <w:t>« 3544</w:t>
      </w:r>
      <w:r w:rsidRPr="00BE7FB4">
        <w:rPr>
          <w:lang w:val="fr-FR"/>
        </w:rPr>
        <w:tab/>
      </w:r>
      <w:r w:rsidRPr="00BE7FB4">
        <w:rPr>
          <w:lang w:val="fr-FR"/>
        </w:rPr>
        <w:tab/>
        <w:t>OBJETS CONTENANT DE LA MATIÈRE COMBURANTE, N.S.A. ».</w:t>
      </w:r>
    </w:p>
    <w:p w14:paraId="41A2EEA4" w14:textId="00E9DFB0" w:rsidR="00BD5558" w:rsidRPr="00BE7FB4" w:rsidRDefault="00BD5558" w:rsidP="00BD5558">
      <w:pPr>
        <w:pStyle w:val="SingleTxtG"/>
        <w:spacing w:before="120"/>
        <w:rPr>
          <w:lang w:val="fr-FR"/>
        </w:rPr>
      </w:pPr>
      <w:r w:rsidRPr="00BE7FB4">
        <w:rPr>
          <w:lang w:val="fr-FR"/>
        </w:rPr>
        <w:t>2.2.52.1.7</w:t>
      </w:r>
      <w:r w:rsidRPr="00BE7FB4">
        <w:rPr>
          <w:lang w:val="fr-FR"/>
        </w:rPr>
        <w:tab/>
        <w:t>À la fin du premier paragraphe, remplacer « risques » par « dangers ».</w:t>
      </w:r>
    </w:p>
    <w:p w14:paraId="22A9EC7C" w14:textId="08E4445F" w:rsidR="00BD5558" w:rsidRPr="00BE7FB4" w:rsidRDefault="00BD5558" w:rsidP="00CD1138">
      <w:pPr>
        <w:pStyle w:val="SingleTxtG"/>
        <w:spacing w:before="120"/>
        <w:rPr>
          <w:lang w:val="fr-FR"/>
        </w:rPr>
      </w:pPr>
      <w:r w:rsidRPr="00BE7FB4">
        <w:rPr>
          <w:lang w:val="fr-FR"/>
        </w:rPr>
        <w:t>2.2.52.1.7</w:t>
      </w:r>
      <w:r w:rsidRPr="00BE7FB4">
        <w:rPr>
          <w:lang w:val="fr-FR"/>
        </w:rPr>
        <w:tab/>
        <w:t>Au troisième tiret, remplacer « 2.2.52.1.15 à 2.2.52.1.18 » par « 2.2.52.1.15 et 2.2.52.1.16 ».</w:t>
      </w:r>
    </w:p>
    <w:p w14:paraId="6BE221E4" w14:textId="5AC0CDFF" w:rsidR="00BD5558" w:rsidRPr="00784605" w:rsidRDefault="00BD5558" w:rsidP="00CD1138">
      <w:pPr>
        <w:pStyle w:val="SingleTxtG"/>
        <w:spacing w:before="120"/>
        <w:rPr>
          <w:lang w:val="fr-FR"/>
        </w:rPr>
      </w:pPr>
      <w:r w:rsidRPr="00784605">
        <w:rPr>
          <w:lang w:val="fr-FR"/>
        </w:rPr>
        <w:t>2.2.52.1.7</w:t>
      </w:r>
      <w:r w:rsidRPr="00784605">
        <w:rPr>
          <w:lang w:val="fr-FR"/>
        </w:rPr>
        <w:tab/>
        <w:t>À la fin, remplacer « 2.2.52.1.16 » par « 7.1.7.3.6 ».</w:t>
      </w:r>
    </w:p>
    <w:p w14:paraId="5D3B27A8" w14:textId="3D46377C" w:rsidR="00BD5558" w:rsidRPr="00784605" w:rsidRDefault="00BD5558" w:rsidP="00CD1138">
      <w:pPr>
        <w:pStyle w:val="SingleTxtG"/>
        <w:spacing w:before="120"/>
        <w:rPr>
          <w:lang w:val="fr-FR"/>
        </w:rPr>
      </w:pPr>
      <w:r w:rsidRPr="00784605">
        <w:rPr>
          <w:lang w:val="fr-FR"/>
        </w:rPr>
        <w:t xml:space="preserve">2.2.52.1.15 </w:t>
      </w:r>
      <w:r w:rsidR="00C51F12" w:rsidRPr="00784605">
        <w:rPr>
          <w:lang w:val="fr-FR"/>
        </w:rPr>
        <w:t>à</w:t>
      </w:r>
      <w:r w:rsidRPr="00784605">
        <w:rPr>
          <w:lang w:val="fr-FR"/>
        </w:rPr>
        <w:t xml:space="preserve"> 2.2.52.1.17</w:t>
      </w:r>
      <w:r w:rsidRPr="00784605">
        <w:rPr>
          <w:lang w:val="fr-FR"/>
        </w:rPr>
        <w:tab/>
      </w:r>
      <w:r w:rsidR="00C51F12" w:rsidRPr="00784605">
        <w:rPr>
          <w:lang w:val="fr-FR"/>
        </w:rPr>
        <w:t>Faire les modifications suivantes </w:t>
      </w:r>
      <w:r w:rsidRPr="00784605">
        <w:rPr>
          <w:lang w:val="fr-FR"/>
        </w:rPr>
        <w:t>:</w:t>
      </w:r>
    </w:p>
    <w:p w14:paraId="416D2D60" w14:textId="448D89E8" w:rsidR="00BD5558" w:rsidRPr="00784605" w:rsidRDefault="00C51F12" w:rsidP="00BD5558">
      <w:pPr>
        <w:pStyle w:val="SingleTxtG"/>
        <w:spacing w:before="120"/>
        <w:rPr>
          <w:lang w:val="fr-FR"/>
        </w:rPr>
      </w:pPr>
      <w:r w:rsidRPr="00784605">
        <w:rPr>
          <w:lang w:val="fr-FR"/>
        </w:rPr>
        <w:t>Supprimer</w:t>
      </w:r>
      <w:r w:rsidR="00BD5558" w:rsidRPr="00784605">
        <w:rPr>
          <w:lang w:val="fr-FR"/>
        </w:rPr>
        <w:t xml:space="preserve"> 2.2.52.1.15 </w:t>
      </w:r>
      <w:r w:rsidRPr="00784605">
        <w:rPr>
          <w:lang w:val="fr-FR"/>
        </w:rPr>
        <w:t>et</w:t>
      </w:r>
      <w:r w:rsidR="00BD5558" w:rsidRPr="00784605">
        <w:rPr>
          <w:lang w:val="fr-FR"/>
        </w:rPr>
        <w:t xml:space="preserve"> 2.2.52.1.16. </w:t>
      </w:r>
      <w:r w:rsidRPr="00784605">
        <w:rPr>
          <w:lang w:val="fr-FR"/>
        </w:rPr>
        <w:t>Renuméroter</w:t>
      </w:r>
      <w:r w:rsidR="00BD5558" w:rsidRPr="00784605">
        <w:rPr>
          <w:lang w:val="fr-FR"/>
        </w:rPr>
        <w:t xml:space="preserve"> 2.2.52.1.17 </w:t>
      </w:r>
      <w:r w:rsidRPr="00784605">
        <w:rPr>
          <w:lang w:val="fr-FR"/>
        </w:rPr>
        <w:t>en tant que</w:t>
      </w:r>
      <w:r w:rsidR="00BD5558" w:rsidRPr="00784605">
        <w:rPr>
          <w:lang w:val="fr-FR"/>
        </w:rPr>
        <w:t xml:space="preserve"> 2.2.52.1.15 </w:t>
      </w:r>
      <w:r w:rsidRPr="00784605">
        <w:rPr>
          <w:lang w:val="fr-FR"/>
        </w:rPr>
        <w:t>et ajouter le nouveau texte suivant après le Nota</w:t>
      </w:r>
      <w:r w:rsidR="00BD5558" w:rsidRPr="00784605">
        <w:rPr>
          <w:lang w:val="fr-FR"/>
        </w:rPr>
        <w:t xml:space="preserve">: </w:t>
      </w:r>
      <w:r w:rsidR="00060F3F" w:rsidRPr="00784605">
        <w:rPr>
          <w:lang w:val="fr-FR"/>
        </w:rPr>
        <w:t>« Voir 7.1.7. ».</w:t>
      </w:r>
    </w:p>
    <w:p w14:paraId="14729172" w14:textId="52A35D13" w:rsidR="00BD5558" w:rsidRPr="00784605" w:rsidRDefault="00060F3F" w:rsidP="00CD1138">
      <w:pPr>
        <w:pStyle w:val="SingleTxtG"/>
        <w:spacing w:before="120"/>
        <w:rPr>
          <w:lang w:val="fr-FR"/>
        </w:rPr>
      </w:pPr>
      <w:r w:rsidRPr="00784605">
        <w:rPr>
          <w:lang w:val="fr-FR"/>
        </w:rPr>
        <w:t>Renuméroter</w:t>
      </w:r>
      <w:r w:rsidR="00BD5558" w:rsidRPr="00784605">
        <w:rPr>
          <w:lang w:val="fr-FR"/>
        </w:rPr>
        <w:t xml:space="preserve"> 2.2.52.1.18 </w:t>
      </w:r>
      <w:r w:rsidRPr="00784605">
        <w:rPr>
          <w:lang w:val="fr-FR"/>
        </w:rPr>
        <w:t xml:space="preserve">en tant que </w:t>
      </w:r>
      <w:r w:rsidR="00BD5558" w:rsidRPr="00784605">
        <w:rPr>
          <w:lang w:val="fr-FR"/>
        </w:rPr>
        <w:t>2.2.52.1.16.</w:t>
      </w:r>
    </w:p>
    <w:p w14:paraId="352FA0CA" w14:textId="04276C9A" w:rsidR="00BD5558" w:rsidRPr="00784605" w:rsidRDefault="00BD5558" w:rsidP="00BD5558">
      <w:pPr>
        <w:pStyle w:val="SingleTxtG"/>
        <w:rPr>
          <w:lang w:val="fr-FR"/>
        </w:rPr>
      </w:pPr>
      <w:r w:rsidRPr="00784605">
        <w:rPr>
          <w:lang w:val="fr-FR"/>
        </w:rPr>
        <w:t>2.2.52.3</w:t>
      </w:r>
      <w:r w:rsidRPr="00784605">
        <w:rPr>
          <w:lang w:val="fr-FR"/>
        </w:rPr>
        <w:tab/>
      </w:r>
      <w:r w:rsidR="00060F3F" w:rsidRPr="00784605">
        <w:rPr>
          <w:lang w:val="fr-FR"/>
        </w:rPr>
        <w:t>Pour</w:t>
      </w:r>
      <w:r w:rsidRPr="00784605">
        <w:rPr>
          <w:lang w:val="fr-FR"/>
        </w:rPr>
        <w:t xml:space="preserve"> P1 </w:t>
      </w:r>
      <w:r w:rsidR="00060F3F" w:rsidRPr="00784605">
        <w:rPr>
          <w:lang w:val="fr-FR"/>
        </w:rPr>
        <w:t>et</w:t>
      </w:r>
      <w:r w:rsidRPr="00784605">
        <w:rPr>
          <w:lang w:val="fr-FR"/>
        </w:rPr>
        <w:t xml:space="preserve"> P2, </w:t>
      </w:r>
      <w:r w:rsidR="00060F3F" w:rsidRPr="00784605">
        <w:rPr>
          <w:lang w:val="fr-FR"/>
        </w:rPr>
        <w:t>ajouter la nouvelle rubrique suivante </w:t>
      </w:r>
      <w:r w:rsidRPr="00784605">
        <w:rPr>
          <w:lang w:val="fr-FR"/>
        </w:rPr>
        <w:t>:</w:t>
      </w:r>
    </w:p>
    <w:p w14:paraId="7F38449D" w14:textId="777E0D3C" w:rsidR="00BD5558" w:rsidRPr="00784605" w:rsidRDefault="00060F3F" w:rsidP="00BD5558">
      <w:pPr>
        <w:pStyle w:val="SingleTxtG"/>
        <w:rPr>
          <w:lang w:val="fr-FR"/>
        </w:rPr>
      </w:pPr>
      <w:r w:rsidRPr="00784605">
        <w:rPr>
          <w:lang w:val="fr-FR"/>
        </w:rPr>
        <w:t>« </w:t>
      </w:r>
      <w:r w:rsidR="00BD5558" w:rsidRPr="00784605">
        <w:rPr>
          <w:lang w:val="fr-FR"/>
        </w:rPr>
        <w:t>3545</w:t>
      </w:r>
      <w:r w:rsidR="00BD5558" w:rsidRPr="00784605">
        <w:rPr>
          <w:lang w:val="fr-FR"/>
        </w:rPr>
        <w:tab/>
      </w:r>
      <w:r w:rsidRPr="00784605">
        <w:rPr>
          <w:lang w:val="fr-FR"/>
        </w:rPr>
        <w:tab/>
        <w:t>OBJETS CONTENANT DU PEROXYDE ORGANIQUE, N.S.A. »</w:t>
      </w:r>
      <w:r w:rsidR="00BD5558" w:rsidRPr="00784605">
        <w:rPr>
          <w:lang w:val="fr-FR"/>
        </w:rPr>
        <w:t>.</w:t>
      </w:r>
    </w:p>
    <w:p w14:paraId="31DFFCAE" w14:textId="7556BA6D" w:rsidR="00196C06" w:rsidRPr="00784605" w:rsidRDefault="00167465" w:rsidP="00196C06">
      <w:pPr>
        <w:pStyle w:val="SingleTxtG"/>
        <w:spacing w:before="120"/>
        <w:rPr>
          <w:lang w:val="fr-FR"/>
        </w:rPr>
      </w:pPr>
      <w:r w:rsidRPr="00784605">
        <w:rPr>
          <w:lang w:val="fr-FR"/>
        </w:rPr>
        <w:lastRenderedPageBreak/>
        <w:t>2.2.52.4</w:t>
      </w:r>
      <w:r w:rsidR="00196C06" w:rsidRPr="00784605">
        <w:rPr>
          <w:lang w:val="fr-FR"/>
        </w:rPr>
        <w:tab/>
      </w:r>
      <w:r w:rsidR="00196C06" w:rsidRPr="00784605">
        <w:rPr>
          <w:iCs/>
          <w:lang w:val="fr-FR"/>
        </w:rPr>
        <w:t>À</w:t>
      </w:r>
      <w:r w:rsidR="00196C06" w:rsidRPr="00784605">
        <w:rPr>
          <w:lang w:val="fr-FR"/>
        </w:rPr>
        <w:t xml:space="preserve"> la fin du premier paragraphe, </w:t>
      </w:r>
      <w:r w:rsidRPr="00784605">
        <w:rPr>
          <w:lang w:val="fr-FR"/>
        </w:rPr>
        <w:t xml:space="preserve">remplacer « 4.2.5.2 » par « 4.2.5.2.6 » et </w:t>
      </w:r>
      <w:r w:rsidR="00196C06" w:rsidRPr="00784605">
        <w:rPr>
          <w:lang w:val="fr-FR"/>
        </w:rPr>
        <w:t>ajouter la nouvelle phrase suivante: «</w:t>
      </w:r>
      <w:r w:rsidR="004F4841" w:rsidRPr="00784605">
        <w:rPr>
          <w:lang w:val="fr-FR"/>
        </w:rPr>
        <w:t> </w:t>
      </w:r>
      <w:r w:rsidR="00196C06" w:rsidRPr="00784605">
        <w:rPr>
          <w:lang w:val="fr-FR"/>
        </w:rPr>
        <w:t xml:space="preserve">Les préparations énumérées dans l’instruction d’emballage IBC 520 du 4.1.4.2 et dans l’instruction de transport en citerne mobile T23 du 4.2.5.2.6 peuvent également être transportées </w:t>
      </w:r>
      <w:r w:rsidR="00F8604F" w:rsidRPr="00784605">
        <w:rPr>
          <w:lang w:val="fr-FR"/>
        </w:rPr>
        <w:t>emballées conformément à la méthode d’emballage OP8 de l’instruction</w:t>
      </w:r>
      <w:r w:rsidR="00196C06" w:rsidRPr="00784605">
        <w:rPr>
          <w:lang w:val="fr-FR"/>
        </w:rPr>
        <w:t xml:space="preserve"> P520 du 4.1.4.1</w:t>
      </w:r>
      <w:r w:rsidR="00784605" w:rsidRPr="00784605">
        <w:rPr>
          <w:lang w:val="fr-FR"/>
        </w:rPr>
        <w:t>, avec les mêmes températures de régulation et critiques, le cas échéant. ».</w:t>
      </w:r>
    </w:p>
    <w:p w14:paraId="2A164329" w14:textId="27E97FC1" w:rsidR="00167465" w:rsidRPr="00784605" w:rsidRDefault="00167465" w:rsidP="00167465">
      <w:pPr>
        <w:spacing w:before="120" w:after="120" w:line="240" w:lineRule="auto"/>
        <w:ind w:left="1134" w:right="1134"/>
        <w:jc w:val="both"/>
        <w:rPr>
          <w:lang w:val="fr-FR" w:eastAsia="en-GB"/>
        </w:rPr>
      </w:pPr>
      <w:r w:rsidRPr="00784605">
        <w:rPr>
          <w:lang w:val="fr-FR" w:eastAsia="en-GB"/>
        </w:rPr>
        <w:t>2.2.52.4</w:t>
      </w:r>
      <w:r w:rsidRPr="00784605">
        <w:rPr>
          <w:lang w:val="fr-FR" w:eastAsia="en-GB"/>
        </w:rPr>
        <w:tab/>
      </w:r>
      <w:r w:rsidRPr="00784605">
        <w:rPr>
          <w:lang w:val="fr-FR"/>
        </w:rPr>
        <w:t>Modifier le titre de la dernière colonne du tableau pour lire « Dangers subsidiaires et observations ».</w:t>
      </w:r>
    </w:p>
    <w:p w14:paraId="47051385" w14:textId="43D6CA3B" w:rsidR="00196C06" w:rsidRPr="00784605" w:rsidRDefault="00167465" w:rsidP="00196C06">
      <w:pPr>
        <w:pStyle w:val="SingleTxtG"/>
        <w:spacing w:before="120"/>
        <w:rPr>
          <w:lang w:val="fr-FR"/>
        </w:rPr>
      </w:pPr>
      <w:r w:rsidRPr="00784605">
        <w:rPr>
          <w:lang w:val="fr-FR"/>
        </w:rPr>
        <w:t>2.2.52.4</w:t>
      </w:r>
      <w:r w:rsidR="00196C06" w:rsidRPr="00784605">
        <w:rPr>
          <w:lang w:val="fr-FR"/>
        </w:rPr>
        <w:tab/>
      </w:r>
      <w:r w:rsidR="00A46E9F" w:rsidRPr="00784605">
        <w:rPr>
          <w:lang w:val="fr-FR"/>
        </w:rPr>
        <w:t>Dans le tableau, i</w:t>
      </w:r>
      <w:r w:rsidR="00196C06" w:rsidRPr="00784605">
        <w:rPr>
          <w:lang w:val="fr-FR"/>
        </w:rPr>
        <w:t>nsérer les nouvelles rubriques suivantes:</w:t>
      </w:r>
    </w:p>
    <w:tbl>
      <w:tblPr>
        <w:tblStyle w:val="TableGrid"/>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1E0" w:firstRow="1" w:lastRow="1" w:firstColumn="1" w:lastColumn="1" w:noHBand="0" w:noVBand="0"/>
      </w:tblPr>
      <w:tblGrid>
        <w:gridCol w:w="4395"/>
        <w:gridCol w:w="1701"/>
        <w:gridCol w:w="287"/>
        <w:gridCol w:w="465"/>
        <w:gridCol w:w="287"/>
        <w:gridCol w:w="287"/>
        <w:gridCol w:w="444"/>
        <w:gridCol w:w="451"/>
        <w:gridCol w:w="451"/>
        <w:gridCol w:w="490"/>
        <w:gridCol w:w="381"/>
      </w:tblGrid>
      <w:tr w:rsidR="00A074FC" w:rsidRPr="00784605" w14:paraId="40003C1F" w14:textId="77777777" w:rsidTr="00444D01">
        <w:trPr>
          <w:cantSplit/>
        </w:trPr>
        <w:tc>
          <w:tcPr>
            <w:tcW w:w="4394" w:type="dxa"/>
            <w:tcBorders>
              <w:top w:val="single" w:sz="4" w:space="0" w:color="auto"/>
              <w:bottom w:val="single" w:sz="12" w:space="0" w:color="auto"/>
            </w:tcBorders>
            <w:shd w:val="clear" w:color="auto" w:fill="auto"/>
            <w:vAlign w:val="bottom"/>
          </w:tcPr>
          <w:p w14:paraId="28CAA32B"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Peroxyde organique</w:t>
            </w:r>
          </w:p>
        </w:tc>
        <w:tc>
          <w:tcPr>
            <w:tcW w:w="1701" w:type="dxa"/>
            <w:tcBorders>
              <w:top w:val="single" w:sz="4" w:space="0" w:color="auto"/>
              <w:bottom w:val="single" w:sz="12" w:space="0" w:color="auto"/>
            </w:tcBorders>
            <w:shd w:val="clear" w:color="auto" w:fill="auto"/>
          </w:tcPr>
          <w:p w14:paraId="00E277E6"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(2)</w:t>
            </w:r>
          </w:p>
        </w:tc>
        <w:tc>
          <w:tcPr>
            <w:tcW w:w="0" w:type="auto"/>
            <w:tcBorders>
              <w:top w:val="single" w:sz="4" w:space="0" w:color="auto"/>
              <w:bottom w:val="single" w:sz="12" w:space="0" w:color="auto"/>
            </w:tcBorders>
            <w:shd w:val="clear" w:color="auto" w:fill="auto"/>
          </w:tcPr>
          <w:p w14:paraId="0B1E6CC7"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(3)</w:t>
            </w:r>
          </w:p>
        </w:tc>
        <w:tc>
          <w:tcPr>
            <w:tcW w:w="465" w:type="dxa"/>
            <w:tcBorders>
              <w:top w:val="single" w:sz="4" w:space="0" w:color="auto"/>
              <w:bottom w:val="single" w:sz="12" w:space="0" w:color="auto"/>
            </w:tcBorders>
            <w:shd w:val="clear" w:color="auto" w:fill="auto"/>
          </w:tcPr>
          <w:p w14:paraId="293FC6F1"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(4)</w:t>
            </w:r>
          </w:p>
        </w:tc>
        <w:tc>
          <w:tcPr>
            <w:tcW w:w="0" w:type="auto"/>
            <w:tcBorders>
              <w:top w:val="single" w:sz="4" w:space="0" w:color="auto"/>
              <w:bottom w:val="single" w:sz="12" w:space="0" w:color="auto"/>
            </w:tcBorders>
            <w:shd w:val="clear" w:color="auto" w:fill="auto"/>
          </w:tcPr>
          <w:p w14:paraId="0EBFD6D2"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(5)</w:t>
            </w:r>
          </w:p>
        </w:tc>
        <w:tc>
          <w:tcPr>
            <w:tcW w:w="0" w:type="auto"/>
            <w:tcBorders>
              <w:top w:val="single" w:sz="4" w:space="0" w:color="auto"/>
              <w:bottom w:val="single" w:sz="12" w:space="0" w:color="auto"/>
            </w:tcBorders>
            <w:shd w:val="clear" w:color="auto" w:fill="auto"/>
          </w:tcPr>
          <w:p w14:paraId="70A0E827"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(6)</w:t>
            </w:r>
          </w:p>
        </w:tc>
        <w:tc>
          <w:tcPr>
            <w:tcW w:w="0" w:type="auto"/>
            <w:tcBorders>
              <w:top w:val="single" w:sz="4" w:space="0" w:color="auto"/>
              <w:bottom w:val="single" w:sz="12" w:space="0" w:color="auto"/>
            </w:tcBorders>
            <w:shd w:val="clear" w:color="auto" w:fill="auto"/>
          </w:tcPr>
          <w:p w14:paraId="67F708A7"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(7)</w:t>
            </w:r>
          </w:p>
        </w:tc>
        <w:tc>
          <w:tcPr>
            <w:tcW w:w="0" w:type="auto"/>
            <w:tcBorders>
              <w:top w:val="single" w:sz="4" w:space="0" w:color="auto"/>
              <w:bottom w:val="single" w:sz="12" w:space="0" w:color="auto"/>
            </w:tcBorders>
            <w:shd w:val="clear" w:color="auto" w:fill="auto"/>
          </w:tcPr>
          <w:p w14:paraId="0B13E73B"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(8)</w:t>
            </w:r>
          </w:p>
        </w:tc>
        <w:tc>
          <w:tcPr>
            <w:tcW w:w="0" w:type="auto"/>
            <w:tcBorders>
              <w:top w:val="single" w:sz="4" w:space="0" w:color="auto"/>
              <w:bottom w:val="single" w:sz="12" w:space="0" w:color="auto"/>
            </w:tcBorders>
            <w:shd w:val="clear" w:color="auto" w:fill="auto"/>
          </w:tcPr>
          <w:p w14:paraId="159A7FE1"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(9)</w:t>
            </w:r>
          </w:p>
        </w:tc>
        <w:tc>
          <w:tcPr>
            <w:tcW w:w="0" w:type="auto"/>
            <w:tcBorders>
              <w:top w:val="single" w:sz="4" w:space="0" w:color="auto"/>
              <w:bottom w:val="single" w:sz="12" w:space="0" w:color="auto"/>
            </w:tcBorders>
            <w:shd w:val="clear" w:color="auto" w:fill="auto"/>
          </w:tcPr>
          <w:p w14:paraId="63288C1D"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(10)</w:t>
            </w:r>
          </w:p>
        </w:tc>
        <w:tc>
          <w:tcPr>
            <w:tcW w:w="0" w:type="auto"/>
            <w:tcBorders>
              <w:top w:val="single" w:sz="4" w:space="0" w:color="auto"/>
              <w:bottom w:val="single" w:sz="12" w:space="0" w:color="auto"/>
            </w:tcBorders>
            <w:shd w:val="clear" w:color="auto" w:fill="auto"/>
          </w:tcPr>
          <w:p w14:paraId="25942946" w14:textId="77777777" w:rsidR="00196C06" w:rsidRPr="00784605" w:rsidRDefault="00196C06" w:rsidP="006201FD">
            <w:pPr>
              <w:keepNext/>
              <w:keepLines/>
              <w:spacing w:before="80" w:after="80" w:line="200" w:lineRule="exact"/>
              <w:rPr>
                <w:bCs/>
                <w:i/>
                <w:sz w:val="16"/>
                <w:szCs w:val="16"/>
                <w:lang w:val="fr-FR"/>
              </w:rPr>
            </w:pPr>
            <w:r w:rsidRPr="00784605">
              <w:rPr>
                <w:bCs/>
                <w:i/>
                <w:sz w:val="16"/>
                <w:szCs w:val="16"/>
                <w:lang w:val="fr-FR"/>
              </w:rPr>
              <w:t>(11)</w:t>
            </w:r>
          </w:p>
        </w:tc>
      </w:tr>
      <w:tr w:rsidR="00A074FC" w:rsidRPr="00784605" w14:paraId="1E24E9E8" w14:textId="77777777" w:rsidTr="00444D01">
        <w:trPr>
          <w:cantSplit/>
          <w:trHeight w:hRule="exact" w:val="113"/>
        </w:trPr>
        <w:tc>
          <w:tcPr>
            <w:tcW w:w="4394" w:type="dxa"/>
            <w:tcBorders>
              <w:top w:val="single" w:sz="12" w:space="0" w:color="auto"/>
            </w:tcBorders>
            <w:shd w:val="clear" w:color="auto" w:fill="auto"/>
          </w:tcPr>
          <w:p w14:paraId="640F34FF" w14:textId="77777777" w:rsidR="00196C06" w:rsidRPr="00784605" w:rsidRDefault="00196C06" w:rsidP="006201FD">
            <w:pPr>
              <w:keepNext/>
              <w:keepLines/>
              <w:jc w:val="center"/>
              <w:rPr>
                <w:b/>
                <w:bCs/>
                <w:sz w:val="18"/>
                <w:szCs w:val="18"/>
                <w:lang w:val="fr-FR"/>
              </w:rPr>
            </w:pPr>
          </w:p>
        </w:tc>
        <w:tc>
          <w:tcPr>
            <w:tcW w:w="1701" w:type="dxa"/>
            <w:tcBorders>
              <w:top w:val="single" w:sz="12" w:space="0" w:color="auto"/>
            </w:tcBorders>
            <w:shd w:val="clear" w:color="auto" w:fill="auto"/>
          </w:tcPr>
          <w:p w14:paraId="3670FC45" w14:textId="77777777" w:rsidR="00196C06" w:rsidRPr="00784605"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278AB08B" w14:textId="77777777" w:rsidR="00196C06" w:rsidRPr="00784605" w:rsidRDefault="00196C06" w:rsidP="006201FD">
            <w:pPr>
              <w:keepNext/>
              <w:keepLines/>
              <w:jc w:val="center"/>
              <w:rPr>
                <w:b/>
                <w:bCs/>
                <w:sz w:val="18"/>
                <w:szCs w:val="18"/>
                <w:lang w:val="fr-FR"/>
              </w:rPr>
            </w:pPr>
          </w:p>
        </w:tc>
        <w:tc>
          <w:tcPr>
            <w:tcW w:w="465" w:type="dxa"/>
            <w:tcBorders>
              <w:top w:val="single" w:sz="12" w:space="0" w:color="auto"/>
            </w:tcBorders>
            <w:shd w:val="clear" w:color="auto" w:fill="auto"/>
          </w:tcPr>
          <w:p w14:paraId="0EA3974C" w14:textId="77777777" w:rsidR="00196C06" w:rsidRPr="00784605"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34EFE712" w14:textId="77777777" w:rsidR="00196C06" w:rsidRPr="00784605"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2807AAC" w14:textId="77777777" w:rsidR="00196C06" w:rsidRPr="00784605"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45EF1038" w14:textId="77777777" w:rsidR="00196C06" w:rsidRPr="00784605"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F4E185F" w14:textId="77777777" w:rsidR="00196C06" w:rsidRPr="00784605"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209E128" w14:textId="77777777" w:rsidR="00196C06" w:rsidRPr="00784605"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000FA40F" w14:textId="77777777" w:rsidR="00196C06" w:rsidRPr="00784605"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14:paraId="731595E8" w14:textId="77777777" w:rsidR="00196C06" w:rsidRPr="00784605" w:rsidRDefault="00196C06" w:rsidP="006201FD">
            <w:pPr>
              <w:keepNext/>
              <w:keepLines/>
              <w:jc w:val="center"/>
              <w:rPr>
                <w:b/>
                <w:bCs/>
                <w:sz w:val="18"/>
                <w:szCs w:val="18"/>
                <w:lang w:val="fr-FR"/>
              </w:rPr>
            </w:pPr>
          </w:p>
        </w:tc>
      </w:tr>
      <w:tr w:rsidR="00784605" w:rsidRPr="00784605" w14:paraId="7EEC27B2" w14:textId="77777777" w:rsidTr="00444D01">
        <w:trPr>
          <w:cantSplit/>
        </w:trPr>
        <w:tc>
          <w:tcPr>
            <w:tcW w:w="4394" w:type="dxa"/>
            <w:shd w:val="clear" w:color="auto" w:fill="auto"/>
          </w:tcPr>
          <w:p w14:paraId="092E3DE1" w14:textId="77777777" w:rsidR="00784605" w:rsidRPr="00784605" w:rsidRDefault="00784605" w:rsidP="00784605">
            <w:pPr>
              <w:keepNext/>
              <w:keepLines/>
              <w:spacing w:before="40" w:after="120"/>
              <w:rPr>
                <w:sz w:val="18"/>
                <w:szCs w:val="18"/>
                <w:lang w:val="fr-FR"/>
              </w:rPr>
            </w:pPr>
            <w:r w:rsidRPr="00784605">
              <w:rPr>
                <w:sz w:val="18"/>
                <w:szCs w:val="18"/>
                <w:lang w:val="fr-FR"/>
              </w:rPr>
              <w:t>PEROXYDE DE DIISOBUTYRYLE</w:t>
            </w:r>
          </w:p>
        </w:tc>
        <w:tc>
          <w:tcPr>
            <w:tcW w:w="1701" w:type="dxa"/>
            <w:shd w:val="clear" w:color="auto" w:fill="auto"/>
          </w:tcPr>
          <w:p w14:paraId="4E0896FC" w14:textId="77777777" w:rsidR="00784605" w:rsidRPr="00784605" w:rsidRDefault="00784605" w:rsidP="00784605">
            <w:pPr>
              <w:keepNext/>
              <w:keepLines/>
              <w:spacing w:before="40" w:after="120"/>
              <w:rPr>
                <w:sz w:val="17"/>
                <w:lang w:val="fr-FR"/>
              </w:rPr>
            </w:pPr>
            <w:r w:rsidRPr="00784605">
              <w:rPr>
                <w:sz w:val="18"/>
                <w:szCs w:val="18"/>
                <w:lang w:val="fr-FR"/>
              </w:rPr>
              <w:t>≤ 42 (dispersion stable dans l’eau)</w:t>
            </w:r>
          </w:p>
        </w:tc>
        <w:tc>
          <w:tcPr>
            <w:tcW w:w="0" w:type="auto"/>
            <w:shd w:val="clear" w:color="auto" w:fill="auto"/>
          </w:tcPr>
          <w:p w14:paraId="3A952EDE" w14:textId="77777777" w:rsidR="00784605" w:rsidRPr="00784605" w:rsidRDefault="00784605" w:rsidP="00784605">
            <w:pPr>
              <w:keepNext/>
              <w:keepLines/>
              <w:spacing w:before="40" w:after="120"/>
              <w:rPr>
                <w:sz w:val="18"/>
                <w:szCs w:val="18"/>
                <w:lang w:val="fr-FR"/>
              </w:rPr>
            </w:pPr>
          </w:p>
        </w:tc>
        <w:tc>
          <w:tcPr>
            <w:tcW w:w="465" w:type="dxa"/>
            <w:shd w:val="clear" w:color="auto" w:fill="auto"/>
          </w:tcPr>
          <w:p w14:paraId="0833D504" w14:textId="77777777" w:rsidR="00784605" w:rsidRPr="00784605" w:rsidRDefault="00784605" w:rsidP="00784605">
            <w:pPr>
              <w:keepNext/>
              <w:keepLines/>
              <w:spacing w:before="40" w:after="120"/>
              <w:rPr>
                <w:sz w:val="18"/>
                <w:szCs w:val="18"/>
                <w:lang w:val="fr-FR"/>
              </w:rPr>
            </w:pPr>
          </w:p>
        </w:tc>
        <w:tc>
          <w:tcPr>
            <w:tcW w:w="0" w:type="auto"/>
            <w:shd w:val="clear" w:color="auto" w:fill="auto"/>
          </w:tcPr>
          <w:p w14:paraId="477FB02D" w14:textId="77777777" w:rsidR="00784605" w:rsidRPr="00784605" w:rsidRDefault="00784605" w:rsidP="00784605">
            <w:pPr>
              <w:keepNext/>
              <w:keepLines/>
              <w:spacing w:before="40" w:after="120"/>
              <w:rPr>
                <w:sz w:val="18"/>
                <w:szCs w:val="18"/>
                <w:lang w:val="fr-FR"/>
              </w:rPr>
            </w:pPr>
          </w:p>
        </w:tc>
        <w:tc>
          <w:tcPr>
            <w:tcW w:w="0" w:type="auto"/>
            <w:shd w:val="clear" w:color="auto" w:fill="auto"/>
          </w:tcPr>
          <w:p w14:paraId="08969142" w14:textId="77777777" w:rsidR="00784605" w:rsidRPr="00784605" w:rsidRDefault="00784605" w:rsidP="00784605">
            <w:pPr>
              <w:keepNext/>
              <w:keepLines/>
              <w:spacing w:before="40" w:after="120"/>
              <w:rPr>
                <w:sz w:val="18"/>
                <w:szCs w:val="18"/>
                <w:lang w:val="fr-FR"/>
              </w:rPr>
            </w:pPr>
          </w:p>
        </w:tc>
        <w:tc>
          <w:tcPr>
            <w:tcW w:w="0" w:type="auto"/>
            <w:shd w:val="clear" w:color="auto" w:fill="auto"/>
          </w:tcPr>
          <w:p w14:paraId="134F3B77" w14:textId="77777777" w:rsidR="00784605" w:rsidRPr="00784605" w:rsidRDefault="00784605" w:rsidP="00784605">
            <w:pPr>
              <w:keepNext/>
              <w:keepLines/>
              <w:spacing w:before="40" w:after="120"/>
              <w:rPr>
                <w:sz w:val="17"/>
                <w:lang w:val="fr-FR"/>
              </w:rPr>
            </w:pPr>
            <w:r w:rsidRPr="00784605">
              <w:rPr>
                <w:sz w:val="18"/>
                <w:szCs w:val="18"/>
                <w:lang w:val="fr-FR"/>
              </w:rPr>
              <w:t>OP8</w:t>
            </w:r>
          </w:p>
        </w:tc>
        <w:tc>
          <w:tcPr>
            <w:tcW w:w="0" w:type="auto"/>
            <w:shd w:val="clear" w:color="auto" w:fill="auto"/>
          </w:tcPr>
          <w:p w14:paraId="61A8F754" w14:textId="3C569253" w:rsidR="00784605" w:rsidRPr="00784605" w:rsidRDefault="00784605" w:rsidP="00784605">
            <w:pPr>
              <w:keepNext/>
              <w:keepLines/>
              <w:spacing w:before="40" w:after="120"/>
              <w:rPr>
                <w:sz w:val="18"/>
                <w:szCs w:val="18"/>
                <w:lang w:val="fr-FR"/>
              </w:rPr>
            </w:pPr>
            <w:r w:rsidRPr="00784605">
              <w:rPr>
                <w:sz w:val="18"/>
                <w:szCs w:val="18"/>
                <w:lang w:val="fr-FR"/>
              </w:rPr>
              <w:t>- 20</w:t>
            </w:r>
          </w:p>
        </w:tc>
        <w:tc>
          <w:tcPr>
            <w:tcW w:w="0" w:type="auto"/>
            <w:shd w:val="clear" w:color="auto" w:fill="auto"/>
          </w:tcPr>
          <w:p w14:paraId="2A254D13" w14:textId="06572A3D" w:rsidR="00784605" w:rsidRPr="00784605" w:rsidRDefault="00784605" w:rsidP="00784605">
            <w:pPr>
              <w:keepNext/>
              <w:keepLines/>
              <w:spacing w:before="40" w:after="120"/>
              <w:rPr>
                <w:sz w:val="18"/>
                <w:szCs w:val="18"/>
                <w:lang w:val="fr-FR"/>
              </w:rPr>
            </w:pPr>
            <w:r w:rsidRPr="00784605">
              <w:rPr>
                <w:sz w:val="18"/>
                <w:szCs w:val="18"/>
                <w:lang w:val="fr-FR"/>
              </w:rPr>
              <w:t>- 10</w:t>
            </w:r>
          </w:p>
        </w:tc>
        <w:tc>
          <w:tcPr>
            <w:tcW w:w="0" w:type="auto"/>
            <w:shd w:val="clear" w:color="auto" w:fill="auto"/>
          </w:tcPr>
          <w:p w14:paraId="740A9988" w14:textId="77777777" w:rsidR="00784605" w:rsidRPr="00784605" w:rsidRDefault="00784605" w:rsidP="00784605">
            <w:pPr>
              <w:keepNext/>
              <w:keepLines/>
              <w:spacing w:before="40" w:after="120"/>
              <w:rPr>
                <w:sz w:val="18"/>
                <w:szCs w:val="18"/>
                <w:lang w:val="fr-FR"/>
              </w:rPr>
            </w:pPr>
            <w:r w:rsidRPr="00784605">
              <w:rPr>
                <w:sz w:val="18"/>
                <w:szCs w:val="18"/>
                <w:lang w:val="fr-FR"/>
              </w:rPr>
              <w:t>3119</w:t>
            </w:r>
          </w:p>
        </w:tc>
        <w:tc>
          <w:tcPr>
            <w:tcW w:w="0" w:type="auto"/>
            <w:shd w:val="clear" w:color="auto" w:fill="auto"/>
          </w:tcPr>
          <w:p w14:paraId="55B0E91F" w14:textId="603856B0" w:rsidR="00784605" w:rsidRPr="00784605" w:rsidDel="00A9632D" w:rsidRDefault="00784605" w:rsidP="00784605">
            <w:pPr>
              <w:keepNext/>
              <w:keepLines/>
              <w:spacing w:before="40" w:after="120"/>
              <w:rPr>
                <w:sz w:val="18"/>
                <w:szCs w:val="18"/>
                <w:lang w:val="fr-FR"/>
              </w:rPr>
            </w:pPr>
          </w:p>
        </w:tc>
      </w:tr>
      <w:tr w:rsidR="00784605" w:rsidRPr="00784605" w14:paraId="66AC80C6" w14:textId="77777777" w:rsidTr="00444D01">
        <w:trPr>
          <w:cantSplit/>
        </w:trPr>
        <w:tc>
          <w:tcPr>
            <w:tcW w:w="4394" w:type="dxa"/>
            <w:shd w:val="clear" w:color="auto" w:fill="auto"/>
          </w:tcPr>
          <w:p w14:paraId="44BBC4E9" w14:textId="77777777" w:rsidR="00784605" w:rsidRPr="00784605" w:rsidRDefault="00784605" w:rsidP="00784605">
            <w:pPr>
              <w:keepNext/>
              <w:keepLines/>
              <w:spacing w:before="40" w:after="120"/>
              <w:rPr>
                <w:sz w:val="18"/>
                <w:szCs w:val="18"/>
                <w:lang w:val="fr-FR"/>
              </w:rPr>
            </w:pPr>
            <w:r w:rsidRPr="00784605">
              <w:rPr>
                <w:sz w:val="18"/>
                <w:szCs w:val="18"/>
                <w:lang w:val="fr-FR"/>
              </w:rPr>
              <w:t>PEROXYDICARBONATE DE BIS (tert-BUTYL-4 CYCLOHEXYLE)</w:t>
            </w:r>
          </w:p>
        </w:tc>
        <w:tc>
          <w:tcPr>
            <w:tcW w:w="1701" w:type="dxa"/>
            <w:shd w:val="clear" w:color="auto" w:fill="auto"/>
          </w:tcPr>
          <w:p w14:paraId="727DF230" w14:textId="2195B1EE" w:rsidR="00784605" w:rsidRPr="00784605" w:rsidRDefault="00784605" w:rsidP="00784605">
            <w:pPr>
              <w:keepNext/>
              <w:keepLines/>
              <w:spacing w:before="40" w:after="120"/>
              <w:rPr>
                <w:sz w:val="18"/>
                <w:szCs w:val="18"/>
                <w:lang w:val="fr-FR"/>
              </w:rPr>
            </w:pPr>
            <w:r w:rsidRPr="00784605">
              <w:rPr>
                <w:sz w:val="18"/>
                <w:szCs w:val="18"/>
                <w:lang w:val="fr-FR"/>
              </w:rPr>
              <w:t>≤</w:t>
            </w:r>
            <w:r w:rsidR="008E686B">
              <w:rPr>
                <w:sz w:val="18"/>
                <w:szCs w:val="18"/>
                <w:lang w:val="fr-FR"/>
              </w:rPr>
              <w:t xml:space="preserve"> </w:t>
            </w:r>
            <w:r w:rsidRPr="00784605">
              <w:rPr>
                <w:sz w:val="18"/>
                <w:szCs w:val="18"/>
                <w:lang w:val="fr-FR"/>
              </w:rPr>
              <w:t>42 (pâte)</w:t>
            </w:r>
          </w:p>
        </w:tc>
        <w:tc>
          <w:tcPr>
            <w:tcW w:w="0" w:type="auto"/>
            <w:shd w:val="clear" w:color="auto" w:fill="auto"/>
          </w:tcPr>
          <w:p w14:paraId="64C10995" w14:textId="77777777" w:rsidR="00784605" w:rsidRPr="00784605" w:rsidRDefault="00784605" w:rsidP="00784605">
            <w:pPr>
              <w:keepNext/>
              <w:keepLines/>
              <w:spacing w:before="40" w:after="120"/>
              <w:rPr>
                <w:sz w:val="18"/>
                <w:szCs w:val="18"/>
                <w:lang w:val="fr-FR"/>
              </w:rPr>
            </w:pPr>
          </w:p>
        </w:tc>
        <w:tc>
          <w:tcPr>
            <w:tcW w:w="465" w:type="dxa"/>
            <w:shd w:val="clear" w:color="auto" w:fill="auto"/>
          </w:tcPr>
          <w:p w14:paraId="5C997391" w14:textId="77777777" w:rsidR="00784605" w:rsidRPr="00784605" w:rsidRDefault="00784605" w:rsidP="00784605">
            <w:pPr>
              <w:keepNext/>
              <w:keepLines/>
              <w:spacing w:before="40" w:after="120"/>
              <w:rPr>
                <w:sz w:val="18"/>
                <w:szCs w:val="18"/>
                <w:lang w:val="fr-FR"/>
              </w:rPr>
            </w:pPr>
          </w:p>
        </w:tc>
        <w:tc>
          <w:tcPr>
            <w:tcW w:w="0" w:type="auto"/>
            <w:shd w:val="clear" w:color="auto" w:fill="auto"/>
          </w:tcPr>
          <w:p w14:paraId="05F364BC" w14:textId="77777777" w:rsidR="00784605" w:rsidRPr="00784605" w:rsidRDefault="00784605" w:rsidP="00784605">
            <w:pPr>
              <w:keepNext/>
              <w:keepLines/>
              <w:spacing w:before="40" w:after="120"/>
              <w:rPr>
                <w:sz w:val="18"/>
                <w:szCs w:val="18"/>
                <w:lang w:val="fr-FR"/>
              </w:rPr>
            </w:pPr>
          </w:p>
        </w:tc>
        <w:tc>
          <w:tcPr>
            <w:tcW w:w="0" w:type="auto"/>
            <w:shd w:val="clear" w:color="auto" w:fill="auto"/>
          </w:tcPr>
          <w:p w14:paraId="656C38B7" w14:textId="77777777" w:rsidR="00784605" w:rsidRPr="00784605" w:rsidRDefault="00784605" w:rsidP="00784605">
            <w:pPr>
              <w:keepNext/>
              <w:keepLines/>
              <w:spacing w:before="40" w:after="120"/>
              <w:rPr>
                <w:sz w:val="18"/>
                <w:szCs w:val="18"/>
                <w:lang w:val="fr-FR"/>
              </w:rPr>
            </w:pPr>
          </w:p>
        </w:tc>
        <w:tc>
          <w:tcPr>
            <w:tcW w:w="0" w:type="auto"/>
            <w:shd w:val="clear" w:color="auto" w:fill="auto"/>
          </w:tcPr>
          <w:p w14:paraId="03C8BC12" w14:textId="77777777" w:rsidR="00784605" w:rsidRPr="00784605" w:rsidRDefault="00784605" w:rsidP="00784605">
            <w:pPr>
              <w:keepNext/>
              <w:keepLines/>
              <w:spacing w:before="40" w:after="120"/>
              <w:rPr>
                <w:sz w:val="18"/>
                <w:szCs w:val="18"/>
                <w:lang w:val="fr-FR"/>
              </w:rPr>
            </w:pPr>
            <w:r w:rsidRPr="00784605">
              <w:rPr>
                <w:sz w:val="18"/>
                <w:szCs w:val="18"/>
                <w:lang w:val="fr-FR"/>
              </w:rPr>
              <w:t>OP7</w:t>
            </w:r>
          </w:p>
        </w:tc>
        <w:tc>
          <w:tcPr>
            <w:tcW w:w="0" w:type="auto"/>
            <w:shd w:val="clear" w:color="auto" w:fill="auto"/>
          </w:tcPr>
          <w:p w14:paraId="46E3AE1E" w14:textId="39C61806" w:rsidR="00784605" w:rsidRPr="00784605" w:rsidRDefault="00784605" w:rsidP="00784605">
            <w:pPr>
              <w:keepNext/>
              <w:keepLines/>
              <w:spacing w:before="40" w:after="120"/>
              <w:rPr>
                <w:sz w:val="18"/>
                <w:szCs w:val="18"/>
                <w:lang w:val="fr-FR"/>
              </w:rPr>
            </w:pPr>
            <w:r w:rsidRPr="00784605">
              <w:rPr>
                <w:sz w:val="18"/>
                <w:szCs w:val="18"/>
                <w:lang w:val="fr-FR"/>
              </w:rPr>
              <w:t>+ 35</w:t>
            </w:r>
          </w:p>
        </w:tc>
        <w:tc>
          <w:tcPr>
            <w:tcW w:w="0" w:type="auto"/>
            <w:shd w:val="clear" w:color="auto" w:fill="auto"/>
          </w:tcPr>
          <w:p w14:paraId="279B9BDA" w14:textId="4F52564A" w:rsidR="00784605" w:rsidRPr="00784605" w:rsidRDefault="00784605" w:rsidP="00784605">
            <w:pPr>
              <w:keepNext/>
              <w:keepLines/>
              <w:spacing w:before="40" w:after="120"/>
              <w:rPr>
                <w:sz w:val="18"/>
                <w:szCs w:val="18"/>
                <w:lang w:val="fr-FR"/>
              </w:rPr>
            </w:pPr>
            <w:r w:rsidRPr="00784605">
              <w:rPr>
                <w:sz w:val="18"/>
                <w:szCs w:val="18"/>
                <w:lang w:val="fr-FR"/>
              </w:rPr>
              <w:t>+ 40</w:t>
            </w:r>
          </w:p>
        </w:tc>
        <w:tc>
          <w:tcPr>
            <w:tcW w:w="0" w:type="auto"/>
            <w:shd w:val="clear" w:color="auto" w:fill="auto"/>
          </w:tcPr>
          <w:p w14:paraId="17B6C3B4" w14:textId="77777777" w:rsidR="00784605" w:rsidRPr="00784605" w:rsidRDefault="00784605" w:rsidP="00784605">
            <w:pPr>
              <w:keepNext/>
              <w:keepLines/>
              <w:spacing w:before="40" w:after="120"/>
              <w:rPr>
                <w:sz w:val="18"/>
                <w:szCs w:val="18"/>
                <w:lang w:val="fr-FR"/>
              </w:rPr>
            </w:pPr>
            <w:r w:rsidRPr="00784605">
              <w:rPr>
                <w:sz w:val="18"/>
                <w:szCs w:val="18"/>
                <w:lang w:val="fr-FR"/>
              </w:rPr>
              <w:t>3116</w:t>
            </w:r>
          </w:p>
        </w:tc>
        <w:tc>
          <w:tcPr>
            <w:tcW w:w="0" w:type="auto"/>
            <w:shd w:val="clear" w:color="auto" w:fill="auto"/>
          </w:tcPr>
          <w:p w14:paraId="597E8B22" w14:textId="6C62844A" w:rsidR="00784605" w:rsidRPr="00784605" w:rsidDel="00A9632D" w:rsidRDefault="00784605" w:rsidP="00784605">
            <w:pPr>
              <w:keepNext/>
              <w:keepLines/>
              <w:spacing w:before="40" w:after="120"/>
              <w:rPr>
                <w:sz w:val="18"/>
                <w:szCs w:val="18"/>
                <w:lang w:val="fr-FR"/>
              </w:rPr>
            </w:pPr>
          </w:p>
        </w:tc>
      </w:tr>
      <w:tr w:rsidR="00784605" w:rsidRPr="00784605" w14:paraId="2F93BB15" w14:textId="77777777" w:rsidTr="00444D01">
        <w:trPr>
          <w:cantSplit/>
        </w:trPr>
        <w:tc>
          <w:tcPr>
            <w:tcW w:w="4394" w:type="dxa"/>
            <w:tcBorders>
              <w:bottom w:val="single" w:sz="4" w:space="0" w:color="auto"/>
            </w:tcBorders>
            <w:shd w:val="clear" w:color="auto" w:fill="auto"/>
          </w:tcPr>
          <w:p w14:paraId="02D51B94" w14:textId="77777777" w:rsidR="00784605" w:rsidRPr="00784605" w:rsidRDefault="00784605" w:rsidP="00784605">
            <w:pPr>
              <w:keepNext/>
              <w:keepLines/>
              <w:spacing w:before="40" w:after="120"/>
              <w:rPr>
                <w:sz w:val="18"/>
                <w:szCs w:val="18"/>
                <w:lang w:val="fr-FR"/>
              </w:rPr>
            </w:pPr>
            <w:r w:rsidRPr="00784605">
              <w:rPr>
                <w:sz w:val="18"/>
                <w:szCs w:val="18"/>
                <w:lang w:val="fr-FR"/>
              </w:rPr>
              <w:t xml:space="preserve">HYDROPEROXYDE </w:t>
            </w:r>
            <w:r w:rsidRPr="00784605">
              <w:rPr>
                <w:sz w:val="18"/>
                <w:szCs w:val="18"/>
                <w:lang w:val="fr-FR"/>
              </w:rPr>
              <w:br/>
              <w:t>DE 1-PHÉNYLÉTHYLE</w:t>
            </w:r>
          </w:p>
        </w:tc>
        <w:tc>
          <w:tcPr>
            <w:tcW w:w="1701" w:type="dxa"/>
            <w:tcBorders>
              <w:bottom w:val="single" w:sz="4" w:space="0" w:color="auto"/>
            </w:tcBorders>
            <w:shd w:val="clear" w:color="auto" w:fill="auto"/>
          </w:tcPr>
          <w:p w14:paraId="448FA29B" w14:textId="43CD95CD" w:rsidR="00784605" w:rsidRPr="00784605" w:rsidRDefault="00784605" w:rsidP="00784605">
            <w:pPr>
              <w:keepNext/>
              <w:keepLines/>
              <w:spacing w:before="40" w:after="120"/>
              <w:rPr>
                <w:sz w:val="18"/>
                <w:szCs w:val="18"/>
                <w:lang w:val="fr-FR"/>
              </w:rPr>
            </w:pPr>
            <w:r w:rsidRPr="00784605">
              <w:rPr>
                <w:sz w:val="18"/>
                <w:szCs w:val="18"/>
                <w:lang w:val="fr-FR"/>
              </w:rPr>
              <w:t>≤</w:t>
            </w:r>
            <w:r w:rsidR="008E686B">
              <w:rPr>
                <w:sz w:val="18"/>
                <w:szCs w:val="18"/>
                <w:lang w:val="fr-FR"/>
              </w:rPr>
              <w:t xml:space="preserve"> </w:t>
            </w:r>
            <w:r w:rsidRPr="00784605">
              <w:rPr>
                <w:sz w:val="18"/>
                <w:szCs w:val="18"/>
                <w:lang w:val="fr-FR"/>
              </w:rPr>
              <w:t>38</w:t>
            </w:r>
          </w:p>
        </w:tc>
        <w:tc>
          <w:tcPr>
            <w:tcW w:w="0" w:type="auto"/>
            <w:tcBorders>
              <w:bottom w:val="single" w:sz="4" w:space="0" w:color="auto"/>
            </w:tcBorders>
            <w:shd w:val="clear" w:color="auto" w:fill="auto"/>
          </w:tcPr>
          <w:p w14:paraId="555DE3BC" w14:textId="77777777" w:rsidR="00784605" w:rsidRPr="00784605" w:rsidRDefault="00784605" w:rsidP="00784605">
            <w:pPr>
              <w:keepNext/>
              <w:keepLines/>
              <w:spacing w:before="40" w:after="120"/>
              <w:rPr>
                <w:sz w:val="18"/>
                <w:szCs w:val="18"/>
                <w:lang w:val="fr-FR"/>
              </w:rPr>
            </w:pPr>
          </w:p>
        </w:tc>
        <w:tc>
          <w:tcPr>
            <w:tcW w:w="465" w:type="dxa"/>
            <w:tcBorders>
              <w:bottom w:val="single" w:sz="4" w:space="0" w:color="auto"/>
            </w:tcBorders>
            <w:shd w:val="clear" w:color="auto" w:fill="auto"/>
          </w:tcPr>
          <w:p w14:paraId="0DF68276" w14:textId="1E051314" w:rsidR="00784605" w:rsidRPr="00784605" w:rsidRDefault="00784605" w:rsidP="00784605">
            <w:pPr>
              <w:keepNext/>
              <w:keepLines/>
              <w:spacing w:before="40" w:after="120"/>
              <w:rPr>
                <w:sz w:val="18"/>
                <w:szCs w:val="18"/>
                <w:lang w:val="fr-FR"/>
              </w:rPr>
            </w:pPr>
            <w:r w:rsidRPr="00784605">
              <w:rPr>
                <w:sz w:val="18"/>
                <w:szCs w:val="18"/>
                <w:lang w:val="fr-FR"/>
              </w:rPr>
              <w:t>≥</w:t>
            </w:r>
            <w:r w:rsidR="008E686B">
              <w:rPr>
                <w:sz w:val="18"/>
                <w:szCs w:val="18"/>
                <w:lang w:val="fr-FR"/>
              </w:rPr>
              <w:t xml:space="preserve"> </w:t>
            </w:r>
            <w:r w:rsidRPr="00784605">
              <w:rPr>
                <w:sz w:val="18"/>
                <w:szCs w:val="18"/>
                <w:lang w:val="fr-FR"/>
              </w:rPr>
              <w:t>62</w:t>
            </w:r>
          </w:p>
        </w:tc>
        <w:tc>
          <w:tcPr>
            <w:tcW w:w="0" w:type="auto"/>
            <w:tcBorders>
              <w:bottom w:val="single" w:sz="4" w:space="0" w:color="auto"/>
            </w:tcBorders>
            <w:shd w:val="clear" w:color="auto" w:fill="auto"/>
          </w:tcPr>
          <w:p w14:paraId="44F79034" w14:textId="77777777" w:rsidR="00784605" w:rsidRPr="00784605" w:rsidRDefault="00784605" w:rsidP="00784605">
            <w:pPr>
              <w:keepNext/>
              <w:keepLines/>
              <w:spacing w:before="40" w:after="120"/>
              <w:rPr>
                <w:sz w:val="18"/>
                <w:szCs w:val="18"/>
                <w:lang w:val="fr-FR"/>
              </w:rPr>
            </w:pPr>
          </w:p>
        </w:tc>
        <w:tc>
          <w:tcPr>
            <w:tcW w:w="0" w:type="auto"/>
            <w:tcBorders>
              <w:bottom w:val="single" w:sz="4" w:space="0" w:color="auto"/>
            </w:tcBorders>
            <w:shd w:val="clear" w:color="auto" w:fill="auto"/>
          </w:tcPr>
          <w:p w14:paraId="68640297" w14:textId="77777777" w:rsidR="00784605" w:rsidRPr="00784605" w:rsidRDefault="00784605" w:rsidP="00784605">
            <w:pPr>
              <w:keepNext/>
              <w:keepLines/>
              <w:spacing w:before="40" w:after="120"/>
              <w:rPr>
                <w:sz w:val="18"/>
                <w:szCs w:val="18"/>
                <w:lang w:val="fr-FR"/>
              </w:rPr>
            </w:pPr>
          </w:p>
        </w:tc>
        <w:tc>
          <w:tcPr>
            <w:tcW w:w="0" w:type="auto"/>
            <w:tcBorders>
              <w:bottom w:val="single" w:sz="4" w:space="0" w:color="auto"/>
            </w:tcBorders>
            <w:shd w:val="clear" w:color="auto" w:fill="auto"/>
          </w:tcPr>
          <w:p w14:paraId="5FC443AE" w14:textId="77777777" w:rsidR="00784605" w:rsidRPr="00784605" w:rsidRDefault="00784605" w:rsidP="00784605">
            <w:pPr>
              <w:keepNext/>
              <w:keepLines/>
              <w:spacing w:before="40" w:after="120"/>
              <w:rPr>
                <w:sz w:val="18"/>
                <w:szCs w:val="18"/>
                <w:lang w:val="fr-FR"/>
              </w:rPr>
            </w:pPr>
            <w:r w:rsidRPr="00784605">
              <w:rPr>
                <w:sz w:val="18"/>
                <w:szCs w:val="18"/>
                <w:lang w:val="fr-FR"/>
              </w:rPr>
              <w:t>OP8</w:t>
            </w:r>
          </w:p>
        </w:tc>
        <w:tc>
          <w:tcPr>
            <w:tcW w:w="0" w:type="auto"/>
            <w:tcBorders>
              <w:bottom w:val="single" w:sz="4" w:space="0" w:color="auto"/>
            </w:tcBorders>
            <w:shd w:val="clear" w:color="auto" w:fill="auto"/>
          </w:tcPr>
          <w:p w14:paraId="07654879" w14:textId="77777777" w:rsidR="00784605" w:rsidRPr="00784605" w:rsidRDefault="00784605" w:rsidP="00784605">
            <w:pPr>
              <w:keepNext/>
              <w:keepLines/>
              <w:spacing w:before="40" w:after="120"/>
              <w:rPr>
                <w:sz w:val="18"/>
                <w:szCs w:val="18"/>
                <w:lang w:val="fr-FR"/>
              </w:rPr>
            </w:pPr>
          </w:p>
        </w:tc>
        <w:tc>
          <w:tcPr>
            <w:tcW w:w="0" w:type="auto"/>
            <w:tcBorders>
              <w:bottom w:val="single" w:sz="4" w:space="0" w:color="auto"/>
            </w:tcBorders>
            <w:shd w:val="clear" w:color="auto" w:fill="auto"/>
          </w:tcPr>
          <w:p w14:paraId="539A10C3" w14:textId="77777777" w:rsidR="00784605" w:rsidRPr="00784605" w:rsidRDefault="00784605" w:rsidP="00784605">
            <w:pPr>
              <w:keepNext/>
              <w:keepLines/>
              <w:spacing w:before="40" w:after="120"/>
              <w:rPr>
                <w:sz w:val="18"/>
                <w:szCs w:val="18"/>
                <w:lang w:val="fr-FR"/>
              </w:rPr>
            </w:pPr>
          </w:p>
        </w:tc>
        <w:tc>
          <w:tcPr>
            <w:tcW w:w="0" w:type="auto"/>
            <w:tcBorders>
              <w:bottom w:val="single" w:sz="4" w:space="0" w:color="auto"/>
            </w:tcBorders>
            <w:shd w:val="clear" w:color="auto" w:fill="auto"/>
          </w:tcPr>
          <w:p w14:paraId="5881FBA1" w14:textId="77777777" w:rsidR="00784605" w:rsidRPr="00784605" w:rsidRDefault="00784605" w:rsidP="00784605">
            <w:pPr>
              <w:keepNext/>
              <w:keepLines/>
              <w:spacing w:before="40" w:after="120"/>
              <w:rPr>
                <w:sz w:val="18"/>
                <w:szCs w:val="18"/>
                <w:lang w:val="fr-FR"/>
              </w:rPr>
            </w:pPr>
            <w:r w:rsidRPr="00784605">
              <w:rPr>
                <w:sz w:val="18"/>
                <w:szCs w:val="18"/>
                <w:lang w:val="fr-FR"/>
              </w:rPr>
              <w:t>3109</w:t>
            </w:r>
          </w:p>
        </w:tc>
        <w:tc>
          <w:tcPr>
            <w:tcW w:w="0" w:type="auto"/>
            <w:tcBorders>
              <w:bottom w:val="single" w:sz="4" w:space="0" w:color="auto"/>
            </w:tcBorders>
            <w:shd w:val="clear" w:color="auto" w:fill="auto"/>
          </w:tcPr>
          <w:p w14:paraId="0D9F33D2" w14:textId="77777777" w:rsidR="00784605" w:rsidRPr="00784605" w:rsidDel="00A9632D" w:rsidRDefault="00784605" w:rsidP="00784605">
            <w:pPr>
              <w:keepNext/>
              <w:keepLines/>
              <w:spacing w:before="40" w:after="120"/>
              <w:rPr>
                <w:sz w:val="18"/>
                <w:szCs w:val="18"/>
                <w:lang w:val="fr-FR"/>
              </w:rPr>
            </w:pPr>
          </w:p>
        </w:tc>
      </w:tr>
    </w:tbl>
    <w:p w14:paraId="2D5FD5B7" w14:textId="5DE43339" w:rsidR="00167465" w:rsidRPr="00784605" w:rsidRDefault="00167465" w:rsidP="00167465">
      <w:pPr>
        <w:spacing w:before="120" w:after="120" w:line="240" w:lineRule="auto"/>
        <w:ind w:left="1134" w:right="1134"/>
        <w:jc w:val="both"/>
        <w:rPr>
          <w:lang w:val="fr-FR"/>
        </w:rPr>
      </w:pPr>
      <w:r w:rsidRPr="00784605">
        <w:rPr>
          <w:lang w:val="fr-FR"/>
        </w:rPr>
        <w:t>2.2.52.4</w:t>
      </w:r>
      <w:r w:rsidRPr="00784605">
        <w:rPr>
          <w:lang w:val="fr-FR"/>
        </w:rPr>
        <w:tab/>
        <w:t xml:space="preserve">Dans les notes de bas de tableau 3, 13, 18 et 27, </w:t>
      </w:r>
      <w:r w:rsidRPr="00784605">
        <w:rPr>
          <w:lang w:val="fr-FR" w:eastAsia="en-GB"/>
        </w:rPr>
        <w:t>r</w:t>
      </w:r>
      <w:r w:rsidRPr="00784605">
        <w:rPr>
          <w:lang w:val="fr-FR"/>
        </w:rPr>
        <w:t>emplacer «</w:t>
      </w:r>
      <w:r w:rsidR="004F4841" w:rsidRPr="00784605">
        <w:rPr>
          <w:lang w:val="fr-FR"/>
        </w:rPr>
        <w:t> </w:t>
      </w:r>
      <w:r w:rsidRPr="00784605">
        <w:rPr>
          <w:lang w:val="fr-FR"/>
        </w:rPr>
        <w:t>risque</w:t>
      </w:r>
      <w:r w:rsidR="004F4841" w:rsidRPr="00784605">
        <w:rPr>
          <w:lang w:val="fr-FR"/>
        </w:rPr>
        <w:t> </w:t>
      </w:r>
      <w:r w:rsidRPr="00784605">
        <w:rPr>
          <w:lang w:val="fr-FR"/>
        </w:rPr>
        <w:t>» par «</w:t>
      </w:r>
      <w:r w:rsidR="004F4841" w:rsidRPr="00784605">
        <w:rPr>
          <w:lang w:val="fr-FR"/>
        </w:rPr>
        <w:t> </w:t>
      </w:r>
      <w:r w:rsidRPr="00784605">
        <w:rPr>
          <w:lang w:val="fr-FR"/>
        </w:rPr>
        <w:t>danger</w:t>
      </w:r>
      <w:r w:rsidR="004F4841" w:rsidRPr="00784605">
        <w:rPr>
          <w:lang w:val="fr-FR"/>
        </w:rPr>
        <w:t> </w:t>
      </w:r>
      <w:r w:rsidRPr="00784605">
        <w:rPr>
          <w:lang w:val="fr-FR"/>
        </w:rPr>
        <w:t>».</w:t>
      </w:r>
    </w:p>
    <w:p w14:paraId="187C7B2E" w14:textId="77777777" w:rsidR="00CD1138" w:rsidRPr="00784605" w:rsidRDefault="0089765D" w:rsidP="00CD1138">
      <w:pPr>
        <w:pStyle w:val="SingleTxtG"/>
        <w:rPr>
          <w:i/>
        </w:rPr>
      </w:pPr>
      <w:r w:rsidRPr="00784605">
        <w:rPr>
          <w:lang w:val="fr-FR"/>
        </w:rPr>
        <w:t>2.2.61.1.2</w:t>
      </w:r>
      <w:r w:rsidRPr="00784605">
        <w:rPr>
          <w:lang w:val="fr-FR"/>
        </w:rPr>
        <w:tab/>
      </w:r>
      <w:r w:rsidR="00753DB4" w:rsidRPr="00784605">
        <w:rPr>
          <w:lang w:val="fr-FR"/>
        </w:rPr>
        <w:t>Dans le titre de la subdivision « T » remplacer « </w:t>
      </w:r>
      <w:r w:rsidR="00753DB4" w:rsidRPr="00784605">
        <w:rPr>
          <w:iCs/>
          <w:lang w:val="fr-FR"/>
        </w:rPr>
        <w:t>sans risque subsidiaire » par « sans danger subsidiaire ».</w:t>
      </w:r>
      <w:r w:rsidR="00CD1138" w:rsidRPr="00784605">
        <w:rPr>
          <w:i/>
        </w:rPr>
        <w:t xml:space="preserve"> </w:t>
      </w:r>
    </w:p>
    <w:p w14:paraId="6CB3C7FA" w14:textId="1443F228" w:rsidR="0089765D" w:rsidRPr="00784605" w:rsidRDefault="0089765D" w:rsidP="00CD1138">
      <w:pPr>
        <w:pStyle w:val="SingleTxtG"/>
        <w:spacing w:before="120"/>
        <w:rPr>
          <w:lang w:val="fr-FR"/>
        </w:rPr>
      </w:pPr>
      <w:r w:rsidRPr="00784605">
        <w:rPr>
          <w:lang w:val="fr-FR"/>
        </w:rPr>
        <w:t>2.2.61.1.2</w:t>
      </w:r>
      <w:r w:rsidRPr="00784605">
        <w:rPr>
          <w:lang w:val="fr-FR"/>
        </w:rPr>
        <w:tab/>
      </w:r>
      <w:r w:rsidR="00753DB4" w:rsidRPr="00784605">
        <w:rPr>
          <w:lang w:val="fr-FR"/>
        </w:rPr>
        <w:t>Pour</w:t>
      </w:r>
      <w:r w:rsidRPr="00784605">
        <w:rPr>
          <w:lang w:val="fr-FR"/>
        </w:rPr>
        <w:t xml:space="preserve"> </w:t>
      </w:r>
      <w:r w:rsidR="00753DB4" w:rsidRPr="00784605">
        <w:rPr>
          <w:lang w:val="fr-FR"/>
        </w:rPr>
        <w:t>« Matières toxiques sans risque subsidiaire »</w:t>
      </w:r>
      <w:r w:rsidRPr="00784605">
        <w:rPr>
          <w:lang w:val="fr-FR"/>
        </w:rPr>
        <w:t xml:space="preserve"> </w:t>
      </w:r>
      <w:r w:rsidR="00753DB4" w:rsidRPr="00784605">
        <w:rPr>
          <w:lang w:val="fr-FR"/>
        </w:rPr>
        <w:t>ajouter la nouvelle</w:t>
      </w:r>
      <w:r w:rsidRPr="00784605">
        <w:rPr>
          <w:lang w:val="fr-FR"/>
        </w:rPr>
        <w:t xml:space="preserve"> subdivision</w:t>
      </w:r>
      <w:r w:rsidR="00753DB4" w:rsidRPr="00784605">
        <w:rPr>
          <w:lang w:val="fr-FR"/>
        </w:rPr>
        <w:t xml:space="preserve"> suivante </w:t>
      </w:r>
      <w:r w:rsidRPr="00784605">
        <w:rPr>
          <w:lang w:val="fr-FR"/>
        </w:rPr>
        <w:t>:</w:t>
      </w:r>
    </w:p>
    <w:p w14:paraId="480BA4CD" w14:textId="0DAD9B69" w:rsidR="0089765D" w:rsidRPr="00784605" w:rsidRDefault="00753DB4" w:rsidP="0089765D">
      <w:pPr>
        <w:pStyle w:val="SingleTxtG"/>
        <w:rPr>
          <w:lang w:val="fr-FR"/>
        </w:rPr>
      </w:pPr>
      <w:r w:rsidRPr="00784605">
        <w:rPr>
          <w:lang w:val="fr-FR"/>
        </w:rPr>
        <w:t>« </w:t>
      </w:r>
      <w:r w:rsidR="0089765D" w:rsidRPr="00784605">
        <w:rPr>
          <w:lang w:val="fr-FR"/>
        </w:rPr>
        <w:t>T10</w:t>
      </w:r>
      <w:r w:rsidR="0089765D" w:rsidRPr="00784605">
        <w:rPr>
          <w:lang w:val="fr-FR"/>
        </w:rPr>
        <w:tab/>
      </w:r>
      <w:r w:rsidRPr="00784605">
        <w:rPr>
          <w:lang w:val="fr-FR"/>
        </w:rPr>
        <w:t>Objets »</w:t>
      </w:r>
      <w:r w:rsidR="0089765D" w:rsidRPr="00784605">
        <w:rPr>
          <w:lang w:val="fr-FR"/>
        </w:rPr>
        <w:t>.</w:t>
      </w:r>
    </w:p>
    <w:p w14:paraId="01BE245E" w14:textId="0D9A78E9" w:rsidR="0089765D" w:rsidRPr="00784605" w:rsidRDefault="0089765D" w:rsidP="0089765D">
      <w:pPr>
        <w:pStyle w:val="SingleTxtG"/>
        <w:rPr>
          <w:lang w:val="fr-FR"/>
        </w:rPr>
      </w:pPr>
      <w:r w:rsidRPr="00784605">
        <w:rPr>
          <w:lang w:val="fr-FR"/>
        </w:rPr>
        <w:t>2.2.61.1.7.2</w:t>
      </w:r>
      <w:r w:rsidRPr="00784605">
        <w:rPr>
          <w:lang w:val="fr-FR"/>
        </w:rPr>
        <w:tab/>
      </w:r>
      <w:r w:rsidR="00753DB4" w:rsidRPr="00784605">
        <w:rPr>
          <w:lang w:val="fr-FR"/>
        </w:rPr>
        <w:t>Remplacer</w:t>
      </w:r>
      <w:r w:rsidRPr="00784605">
        <w:rPr>
          <w:lang w:val="fr-FR"/>
        </w:rPr>
        <w:t xml:space="preserve"> </w:t>
      </w:r>
      <w:r w:rsidR="00753DB4" w:rsidRPr="00784605">
        <w:rPr>
          <w:lang w:val="fr-FR"/>
        </w:rPr>
        <w:t>« </w:t>
      </w:r>
      <w:r w:rsidRPr="00784605">
        <w:rPr>
          <w:lang w:val="fr-FR"/>
        </w:rPr>
        <w:t>(</w:t>
      </w:r>
      <w:r w:rsidR="00753DB4" w:rsidRPr="00784605">
        <w:rPr>
          <w:lang w:val="fr-FR"/>
        </w:rPr>
        <w:t>voir</w:t>
      </w:r>
      <w:r w:rsidRPr="00784605">
        <w:rPr>
          <w:lang w:val="fr-FR"/>
        </w:rPr>
        <w:t xml:space="preserve"> 2.2.8.1.5)</w:t>
      </w:r>
      <w:r w:rsidR="00753DB4" w:rsidRPr="00784605">
        <w:rPr>
          <w:lang w:val="fr-FR"/>
        </w:rPr>
        <w:t> »</w:t>
      </w:r>
      <w:r w:rsidRPr="00784605">
        <w:rPr>
          <w:lang w:val="fr-FR"/>
        </w:rPr>
        <w:t xml:space="preserve"> </w:t>
      </w:r>
      <w:r w:rsidR="00753DB4" w:rsidRPr="00784605">
        <w:rPr>
          <w:lang w:val="fr-FR"/>
        </w:rPr>
        <w:t>par « </w:t>
      </w:r>
      <w:r w:rsidRPr="00784605">
        <w:rPr>
          <w:lang w:val="fr-FR"/>
        </w:rPr>
        <w:t>(</w:t>
      </w:r>
      <w:r w:rsidR="00753DB4" w:rsidRPr="00784605">
        <w:rPr>
          <w:lang w:val="fr-FR"/>
        </w:rPr>
        <w:t>voir</w:t>
      </w:r>
      <w:r w:rsidRPr="00784605">
        <w:rPr>
          <w:lang w:val="fr-FR"/>
        </w:rPr>
        <w:t xml:space="preserve"> 2.2.8.1.4.5)</w:t>
      </w:r>
      <w:r w:rsidR="00753DB4" w:rsidRPr="00784605">
        <w:rPr>
          <w:lang w:val="fr-FR"/>
        </w:rPr>
        <w:t> »</w:t>
      </w:r>
      <w:r w:rsidRPr="00784605">
        <w:rPr>
          <w:lang w:val="fr-FR"/>
        </w:rPr>
        <w:t>.</w:t>
      </w:r>
    </w:p>
    <w:p w14:paraId="7685E018" w14:textId="5CDFC7EA" w:rsidR="0089765D" w:rsidRPr="00784605" w:rsidRDefault="0089765D" w:rsidP="0089765D">
      <w:pPr>
        <w:pStyle w:val="SingleTxtG"/>
        <w:rPr>
          <w:lang w:val="fr-FR"/>
        </w:rPr>
      </w:pPr>
      <w:r w:rsidRPr="00784605">
        <w:rPr>
          <w:lang w:val="fr-FR"/>
        </w:rPr>
        <w:t>2.2.61.1.11</w:t>
      </w:r>
      <w:r w:rsidRPr="00784605">
        <w:rPr>
          <w:lang w:val="fr-FR"/>
        </w:rPr>
        <w:tab/>
      </w:r>
      <w:r w:rsidR="00753DB4" w:rsidRPr="00784605">
        <w:rPr>
          <w:lang w:val="fr-FR"/>
        </w:rPr>
        <w:t>Dans la deuxième phrase, remplacer « risques » par « dangers ».</w:t>
      </w:r>
    </w:p>
    <w:p w14:paraId="08F2F089" w14:textId="43082916" w:rsidR="0089765D" w:rsidRPr="00784605" w:rsidRDefault="0089765D" w:rsidP="0089765D">
      <w:pPr>
        <w:pStyle w:val="SingleTxtG"/>
        <w:rPr>
          <w:lang w:val="fr-FR"/>
        </w:rPr>
      </w:pPr>
      <w:r w:rsidRPr="00784605">
        <w:rPr>
          <w:lang w:val="fr-FR"/>
        </w:rPr>
        <w:t>2.2.61.1.11.2</w:t>
      </w:r>
      <w:r w:rsidRPr="00784605">
        <w:rPr>
          <w:lang w:val="fr-FR"/>
        </w:rPr>
        <w:tab/>
      </w:r>
      <w:r w:rsidR="00753DB4" w:rsidRPr="00784605">
        <w:rPr>
          <w:lang w:val="fr-FR"/>
        </w:rPr>
        <w:t>Remplacer « risque » par « danger ».</w:t>
      </w:r>
    </w:p>
    <w:p w14:paraId="6B026CE4" w14:textId="7E6D92E1" w:rsidR="0089765D" w:rsidRPr="00784605" w:rsidRDefault="0089765D" w:rsidP="0089765D">
      <w:pPr>
        <w:pStyle w:val="SingleTxtG"/>
        <w:rPr>
          <w:lang w:val="fr-FR"/>
        </w:rPr>
      </w:pPr>
      <w:r w:rsidRPr="00784605">
        <w:rPr>
          <w:lang w:val="fr-FR"/>
        </w:rPr>
        <w:t>2.2.61.1.12</w:t>
      </w:r>
      <w:r w:rsidRPr="00784605">
        <w:rPr>
          <w:lang w:val="fr-FR"/>
        </w:rPr>
        <w:tab/>
      </w:r>
      <w:r w:rsidR="00753DB4" w:rsidRPr="00784605">
        <w:rPr>
          <w:lang w:val="fr-FR" w:eastAsia="en-GB"/>
        </w:rPr>
        <w:t>L’amendement ne s’applique pas au texte français.</w:t>
      </w:r>
    </w:p>
    <w:p w14:paraId="57185EB6" w14:textId="02D028E0" w:rsidR="0089765D" w:rsidRPr="00784605" w:rsidRDefault="0089765D" w:rsidP="0089765D">
      <w:pPr>
        <w:pStyle w:val="SingleTxtG"/>
        <w:rPr>
          <w:lang w:val="fr-FR"/>
        </w:rPr>
      </w:pPr>
      <w:r w:rsidRPr="00784605">
        <w:rPr>
          <w:lang w:val="fr-FR"/>
        </w:rPr>
        <w:t>2.2.61.3</w:t>
      </w:r>
      <w:r w:rsidRPr="00784605">
        <w:rPr>
          <w:lang w:val="fr-FR"/>
        </w:rPr>
        <w:tab/>
      </w:r>
      <w:r w:rsidR="00753DB4" w:rsidRPr="00784605">
        <w:rPr>
          <w:lang w:val="fr-FR" w:eastAsia="en-GB"/>
        </w:rPr>
        <w:t>Dans la « </w:t>
      </w:r>
      <w:r w:rsidR="00753DB4" w:rsidRPr="00784605">
        <w:rPr>
          <w:iCs/>
          <w:lang w:val="fr-FR"/>
        </w:rPr>
        <w:t>Liste des rubriques collectives »,</w:t>
      </w:r>
      <w:r w:rsidR="00753DB4" w:rsidRPr="00784605">
        <w:rPr>
          <w:lang w:val="fr-FR"/>
        </w:rPr>
        <w:t xml:space="preserve"> remplacer « risque » par « danger » dans tous les titres.</w:t>
      </w:r>
    </w:p>
    <w:p w14:paraId="5CF65DEF" w14:textId="4FB65604" w:rsidR="0089765D" w:rsidRPr="00784605" w:rsidRDefault="0089765D" w:rsidP="00CD1138">
      <w:pPr>
        <w:pStyle w:val="SingleTxtG"/>
        <w:rPr>
          <w:lang w:val="fr-FR"/>
        </w:rPr>
      </w:pPr>
      <w:r w:rsidRPr="00784605">
        <w:rPr>
          <w:lang w:val="fr-FR"/>
        </w:rPr>
        <w:t>2.2.61.3</w:t>
      </w:r>
      <w:r w:rsidRPr="00784605">
        <w:rPr>
          <w:lang w:val="fr-FR"/>
        </w:rPr>
        <w:tab/>
      </w:r>
      <w:r w:rsidR="00753DB4" w:rsidRPr="00784605">
        <w:rPr>
          <w:lang w:val="fr-FR" w:eastAsia="en-GB"/>
        </w:rPr>
        <w:t>Dans la « </w:t>
      </w:r>
      <w:r w:rsidR="00753DB4" w:rsidRPr="00784605">
        <w:rPr>
          <w:iCs/>
          <w:lang w:val="fr-FR"/>
        </w:rPr>
        <w:t>Liste des rubriques collectives »,</w:t>
      </w:r>
      <w:r w:rsidR="00753DB4" w:rsidRPr="00784605">
        <w:rPr>
          <w:lang w:val="fr-FR"/>
        </w:rPr>
        <w:t xml:space="preserve"> pour </w:t>
      </w:r>
      <w:r w:rsidR="005A21B5" w:rsidRPr="00784605">
        <w:rPr>
          <w:lang w:val="fr-FR"/>
        </w:rPr>
        <w:t>« Matières toxiques sans danger subsidiaire »</w:t>
      </w:r>
      <w:r w:rsidRPr="00784605">
        <w:rPr>
          <w:lang w:val="fr-FR"/>
        </w:rPr>
        <w:t xml:space="preserve">, </w:t>
      </w:r>
      <w:r w:rsidR="005A21B5" w:rsidRPr="00784605">
        <w:rPr>
          <w:lang w:val="fr-FR"/>
        </w:rPr>
        <w:t>ajouter la nouvelle ligne suivante</w:t>
      </w:r>
      <w:r w:rsidRPr="00784605">
        <w:rPr>
          <w:lang w:val="fr-FR"/>
        </w:rPr>
        <w:t>:</w:t>
      </w:r>
    </w:p>
    <w:tbl>
      <w:tblPr>
        <w:tblW w:w="0" w:type="auto"/>
        <w:tblInd w:w="1126" w:type="dxa"/>
        <w:tblCellMar>
          <w:left w:w="120" w:type="dxa"/>
          <w:right w:w="120" w:type="dxa"/>
        </w:tblCellMar>
        <w:tblLook w:val="0000" w:firstRow="0" w:lastRow="0" w:firstColumn="0" w:lastColumn="0" w:noHBand="0" w:noVBand="0"/>
      </w:tblPr>
      <w:tblGrid>
        <w:gridCol w:w="763"/>
        <w:gridCol w:w="1010"/>
        <w:gridCol w:w="640"/>
        <w:gridCol w:w="5385"/>
      </w:tblGrid>
      <w:tr w:rsidR="00A074FC" w:rsidRPr="00784605" w14:paraId="785D90A4" w14:textId="77777777" w:rsidTr="00845C7A">
        <w:trPr>
          <w:cantSplit/>
          <w:trHeight w:val="40"/>
        </w:trPr>
        <w:tc>
          <w:tcPr>
            <w:tcW w:w="0" w:type="auto"/>
            <w:tcBorders>
              <w:top w:val="single" w:sz="6" w:space="0" w:color="auto"/>
              <w:left w:val="single" w:sz="6" w:space="0" w:color="auto"/>
              <w:bottom w:val="single" w:sz="4" w:space="0" w:color="auto"/>
              <w:right w:val="single" w:sz="6" w:space="0" w:color="auto"/>
            </w:tcBorders>
          </w:tcPr>
          <w:p w14:paraId="727E704A" w14:textId="4D296466" w:rsidR="0089765D" w:rsidRPr="00784605" w:rsidRDefault="005A21B5" w:rsidP="00845C7A">
            <w:pPr>
              <w:tabs>
                <w:tab w:val="left" w:pos="447"/>
              </w:tabs>
              <w:spacing w:before="20" w:after="20"/>
              <w:rPr>
                <w:lang w:val="fr-FR"/>
              </w:rPr>
            </w:pPr>
            <w:r w:rsidRPr="00784605">
              <w:rPr>
                <w:lang w:val="fr-FR"/>
              </w:rPr>
              <w:t>Objets</w:t>
            </w:r>
          </w:p>
        </w:tc>
        <w:tc>
          <w:tcPr>
            <w:tcW w:w="0" w:type="auto"/>
            <w:tcBorders>
              <w:top w:val="single" w:sz="6" w:space="0" w:color="auto"/>
              <w:left w:val="single" w:sz="6" w:space="0" w:color="auto"/>
              <w:bottom w:val="single" w:sz="4" w:space="0" w:color="auto"/>
              <w:right w:val="single" w:sz="6" w:space="0" w:color="auto"/>
            </w:tcBorders>
          </w:tcPr>
          <w:p w14:paraId="77A6B83F" w14:textId="77777777" w:rsidR="0089765D" w:rsidRPr="00784605" w:rsidRDefault="0089765D" w:rsidP="00845C7A">
            <w:pPr>
              <w:tabs>
                <w:tab w:val="left" w:pos="447"/>
              </w:tabs>
              <w:spacing w:before="20" w:after="20"/>
              <w:rPr>
                <w:lang w:val="fr-FR"/>
              </w:rPr>
            </w:pPr>
            <w:r w:rsidRPr="00784605">
              <w:rPr>
                <w:lang w:val="fr-FR"/>
              </w:rPr>
              <w:tab/>
              <w:t>T10</w:t>
            </w:r>
          </w:p>
        </w:tc>
        <w:tc>
          <w:tcPr>
            <w:tcW w:w="0" w:type="auto"/>
            <w:tcBorders>
              <w:top w:val="single" w:sz="6" w:space="0" w:color="auto"/>
              <w:bottom w:val="single" w:sz="4" w:space="0" w:color="auto"/>
            </w:tcBorders>
          </w:tcPr>
          <w:p w14:paraId="51F74258" w14:textId="77777777" w:rsidR="0089765D" w:rsidRPr="00784605" w:rsidRDefault="0089765D" w:rsidP="00845C7A">
            <w:pPr>
              <w:keepLines/>
              <w:spacing w:before="20" w:after="20"/>
              <w:jc w:val="center"/>
              <w:rPr>
                <w:lang w:val="fr-FR"/>
              </w:rPr>
            </w:pPr>
            <w:r w:rsidRPr="00784605">
              <w:rPr>
                <w:lang w:val="fr-FR"/>
              </w:rPr>
              <w:t>3546</w:t>
            </w:r>
          </w:p>
        </w:tc>
        <w:tc>
          <w:tcPr>
            <w:tcW w:w="0" w:type="auto"/>
            <w:tcBorders>
              <w:top w:val="single" w:sz="6" w:space="0" w:color="auto"/>
              <w:bottom w:val="single" w:sz="4" w:space="0" w:color="auto"/>
              <w:right w:val="single" w:sz="6" w:space="0" w:color="auto"/>
            </w:tcBorders>
          </w:tcPr>
          <w:p w14:paraId="15B914BF" w14:textId="7D4CDF6C" w:rsidR="0089765D" w:rsidRPr="00784605" w:rsidRDefault="005A21B5" w:rsidP="00845C7A">
            <w:pPr>
              <w:keepLines/>
              <w:spacing w:before="20" w:after="20"/>
              <w:ind w:left="164" w:hanging="164"/>
              <w:rPr>
                <w:lang w:val="fr-FR"/>
              </w:rPr>
            </w:pPr>
            <w:r w:rsidRPr="00784605">
              <w:rPr>
                <w:lang w:val="fr-FR"/>
              </w:rPr>
              <w:t>OBJETS CONTENANT DE LA MATIÈRE TOXIQUE, N.S.A.</w:t>
            </w:r>
          </w:p>
        </w:tc>
      </w:tr>
    </w:tbl>
    <w:p w14:paraId="39C0E6B1" w14:textId="7E7D7280" w:rsidR="005A21B5" w:rsidRPr="00784605" w:rsidRDefault="0089765D" w:rsidP="0089765D">
      <w:pPr>
        <w:pStyle w:val="SingleTxtG"/>
        <w:spacing w:before="120"/>
        <w:rPr>
          <w:lang w:val="fr-FR"/>
        </w:rPr>
      </w:pPr>
      <w:r w:rsidRPr="00784605">
        <w:rPr>
          <w:lang w:val="fr-FR"/>
        </w:rPr>
        <w:t>2.2.61.3</w:t>
      </w:r>
      <w:r w:rsidRPr="00784605">
        <w:rPr>
          <w:lang w:val="fr-FR"/>
        </w:rPr>
        <w:tab/>
      </w:r>
      <w:r w:rsidR="005A21B5" w:rsidRPr="00784605">
        <w:rPr>
          <w:lang w:val="fr-FR" w:eastAsia="en-GB"/>
        </w:rPr>
        <w:t>Dans la « </w:t>
      </w:r>
      <w:r w:rsidR="005A21B5" w:rsidRPr="00784605">
        <w:rPr>
          <w:iCs/>
          <w:lang w:val="fr-FR"/>
        </w:rPr>
        <w:t>Liste des rubriques collectives »,</w:t>
      </w:r>
      <w:r w:rsidR="005A21B5" w:rsidRPr="00784605">
        <w:rPr>
          <w:lang w:val="fr-FR"/>
        </w:rPr>
        <w:t xml:space="preserve"> pour « Matières toxiques sans danger(s) subsidia</w:t>
      </w:r>
      <w:r w:rsidR="004F4841" w:rsidRPr="00784605">
        <w:rPr>
          <w:lang w:val="fr-FR"/>
        </w:rPr>
        <w:t>ire(s) »,</w:t>
      </w:r>
      <w:r w:rsidRPr="00784605">
        <w:rPr>
          <w:lang w:val="fr-FR"/>
        </w:rPr>
        <w:t xml:space="preserve"> </w:t>
      </w:r>
      <w:r w:rsidR="005A21B5" w:rsidRPr="00784605">
        <w:rPr>
          <w:lang w:val="fr-FR"/>
        </w:rPr>
        <w:t>pour « </w:t>
      </w:r>
      <w:r w:rsidRPr="00784605">
        <w:rPr>
          <w:lang w:val="fr-FR"/>
        </w:rPr>
        <w:t>TF3</w:t>
      </w:r>
      <w:r w:rsidR="005A21B5" w:rsidRPr="00784605">
        <w:rPr>
          <w:lang w:val="fr-FR"/>
        </w:rPr>
        <w:t> »</w:t>
      </w:r>
      <w:r w:rsidRPr="00784605">
        <w:rPr>
          <w:lang w:val="fr-FR"/>
        </w:rPr>
        <w:t xml:space="preserve">, </w:t>
      </w:r>
      <w:r w:rsidR="005A21B5" w:rsidRPr="00784605">
        <w:rPr>
          <w:lang w:val="fr-FR"/>
        </w:rPr>
        <w:t>ajouter la nouvelle rubrique suivante :</w:t>
      </w:r>
    </w:p>
    <w:p w14:paraId="3882D8B1" w14:textId="210EBF62" w:rsidR="0089765D" w:rsidRPr="00784605" w:rsidRDefault="005A21B5" w:rsidP="0089765D">
      <w:pPr>
        <w:pStyle w:val="SingleTxtG"/>
        <w:spacing w:before="120"/>
        <w:rPr>
          <w:lang w:val="fr-FR"/>
        </w:rPr>
      </w:pPr>
      <w:r w:rsidRPr="00784605">
        <w:rPr>
          <w:lang w:val="fr-FR"/>
        </w:rPr>
        <w:t>« </w:t>
      </w:r>
      <w:r w:rsidR="0089765D" w:rsidRPr="00784605">
        <w:rPr>
          <w:lang w:val="fr-FR"/>
        </w:rPr>
        <w:t>3535</w:t>
      </w:r>
      <w:r w:rsidR="0089765D" w:rsidRPr="00784605">
        <w:rPr>
          <w:lang w:val="fr-FR"/>
        </w:rPr>
        <w:tab/>
      </w:r>
      <w:r w:rsidRPr="00784605">
        <w:rPr>
          <w:lang w:val="fr-FR"/>
        </w:rPr>
        <w:tab/>
      </w:r>
      <w:r w:rsidRPr="00784605">
        <w:rPr>
          <w:lang w:val="fr-FR" w:eastAsia="zh-CN"/>
        </w:rPr>
        <w:t>SOLIDE INORGANIQUE TOXIQUE, INFLAMMABLE, N.S.A.</w:t>
      </w:r>
      <w:r w:rsidRPr="00784605">
        <w:rPr>
          <w:lang w:val="fr-FR"/>
        </w:rPr>
        <w:t> »</w:t>
      </w:r>
      <w:r w:rsidR="0089765D" w:rsidRPr="00784605">
        <w:rPr>
          <w:lang w:val="fr-FR"/>
        </w:rPr>
        <w:t>.</w:t>
      </w:r>
    </w:p>
    <w:p w14:paraId="14A4C8DA" w14:textId="2CB8FDED" w:rsidR="006646BC" w:rsidRPr="00784605" w:rsidRDefault="005A21B5" w:rsidP="006646BC">
      <w:pPr>
        <w:pStyle w:val="SingleTxtG"/>
        <w:rPr>
          <w:lang w:val="fr-FR"/>
        </w:rPr>
      </w:pPr>
      <w:r w:rsidRPr="00784605">
        <w:rPr>
          <w:lang w:val="fr-FR"/>
        </w:rPr>
        <w:t>2.2.62.1.3</w:t>
      </w:r>
      <w:r w:rsidR="006646BC" w:rsidRPr="00784605">
        <w:rPr>
          <w:lang w:val="fr-FR"/>
        </w:rPr>
        <w:tab/>
        <w:t>Au début, remplacer «</w:t>
      </w:r>
      <w:r w:rsidR="004F4841" w:rsidRPr="00784605">
        <w:rPr>
          <w:lang w:val="fr-FR"/>
        </w:rPr>
        <w:t> </w:t>
      </w:r>
      <w:r w:rsidR="006646BC" w:rsidRPr="00784605">
        <w:rPr>
          <w:lang w:val="fr-FR"/>
        </w:rPr>
        <w:t>des matériaux humains ou animaux</w:t>
      </w:r>
      <w:r w:rsidR="004F4841" w:rsidRPr="00784605">
        <w:rPr>
          <w:lang w:val="fr-FR"/>
        </w:rPr>
        <w:t> </w:t>
      </w:r>
      <w:r w:rsidR="006646BC" w:rsidRPr="00784605">
        <w:rPr>
          <w:lang w:val="fr-FR"/>
        </w:rPr>
        <w:t>» par «</w:t>
      </w:r>
      <w:r w:rsidR="004F4841" w:rsidRPr="00784605">
        <w:rPr>
          <w:lang w:val="fr-FR"/>
        </w:rPr>
        <w:t> </w:t>
      </w:r>
      <w:r w:rsidR="006646BC" w:rsidRPr="00784605">
        <w:rPr>
          <w:lang w:val="fr-FR"/>
        </w:rPr>
        <w:t>ceux</w:t>
      </w:r>
      <w:r w:rsidR="004F4841" w:rsidRPr="00784605">
        <w:rPr>
          <w:lang w:val="fr-FR"/>
        </w:rPr>
        <w:t> </w:t>
      </w:r>
      <w:r w:rsidR="006646BC" w:rsidRPr="00784605">
        <w:rPr>
          <w:lang w:val="fr-FR"/>
        </w:rPr>
        <w:t>».</w:t>
      </w:r>
    </w:p>
    <w:p w14:paraId="4B2BCB54" w14:textId="60DDDB2D" w:rsidR="006646BC" w:rsidRPr="00784605" w:rsidRDefault="005A21B5" w:rsidP="006646BC">
      <w:pPr>
        <w:pStyle w:val="SingleTxtG"/>
        <w:rPr>
          <w:lang w:val="fr-FR"/>
        </w:rPr>
      </w:pPr>
      <w:r w:rsidRPr="00784605">
        <w:rPr>
          <w:lang w:val="fr-FR"/>
        </w:rPr>
        <w:t>2.2.62.1.12.2</w:t>
      </w:r>
      <w:r w:rsidR="006646BC" w:rsidRPr="00784605">
        <w:rPr>
          <w:lang w:val="fr-FR"/>
        </w:rPr>
        <w:tab/>
        <w:t>Supprimer et ajouter «</w:t>
      </w:r>
      <w:r w:rsidR="004F4841" w:rsidRPr="00784605">
        <w:rPr>
          <w:lang w:val="fr-FR"/>
        </w:rPr>
        <w:t> </w:t>
      </w:r>
      <w:r w:rsidR="00983114" w:rsidRPr="00784605">
        <w:rPr>
          <w:lang w:val="fr-FR"/>
        </w:rPr>
        <w:t>2.2.62.1.12.2</w:t>
      </w:r>
      <w:r w:rsidR="006646BC" w:rsidRPr="00784605">
        <w:rPr>
          <w:lang w:val="fr-FR"/>
        </w:rPr>
        <w:tab/>
      </w:r>
      <w:r w:rsidRPr="00784605">
        <w:rPr>
          <w:i/>
          <w:lang w:val="fr-FR"/>
        </w:rPr>
        <w:t>(</w:t>
      </w:r>
      <w:r w:rsidR="006646BC" w:rsidRPr="00784605">
        <w:rPr>
          <w:i/>
          <w:iCs/>
          <w:szCs w:val="24"/>
          <w:lang w:val="fr-FR"/>
        </w:rPr>
        <w:t>Supprimé</w:t>
      </w:r>
      <w:r w:rsidRPr="00784605">
        <w:rPr>
          <w:i/>
          <w:iCs/>
          <w:szCs w:val="24"/>
          <w:lang w:val="fr-FR"/>
        </w:rPr>
        <w:t>)</w:t>
      </w:r>
      <w:r w:rsidR="004F4841" w:rsidRPr="00784605">
        <w:rPr>
          <w:lang w:val="fr-FR"/>
        </w:rPr>
        <w:t> </w:t>
      </w:r>
      <w:r w:rsidR="006646BC" w:rsidRPr="00784605">
        <w:rPr>
          <w:lang w:val="fr-FR"/>
        </w:rPr>
        <w:t>».</w:t>
      </w:r>
    </w:p>
    <w:p w14:paraId="63414E5C" w14:textId="3F48A15B" w:rsidR="00196C06" w:rsidRPr="00784605" w:rsidRDefault="00196C06" w:rsidP="00196C06">
      <w:pPr>
        <w:spacing w:before="120" w:after="120" w:line="240" w:lineRule="auto"/>
        <w:ind w:left="1134" w:right="1134"/>
        <w:jc w:val="both"/>
        <w:rPr>
          <w:lang w:val="fr-FR"/>
        </w:rPr>
      </w:pPr>
      <w:r w:rsidRPr="00784605">
        <w:rPr>
          <w:lang w:val="fr-FR"/>
        </w:rPr>
        <w:t xml:space="preserve">Modifier </w:t>
      </w:r>
      <w:r w:rsidR="005A21B5" w:rsidRPr="00784605">
        <w:rPr>
          <w:lang w:val="fr-FR"/>
        </w:rPr>
        <w:t>la section 2.2.8</w:t>
      </w:r>
      <w:r w:rsidRPr="00784605">
        <w:rPr>
          <w:lang w:val="fr-FR"/>
        </w:rPr>
        <w:t xml:space="preserve"> pour lire comme suit:</w:t>
      </w:r>
    </w:p>
    <w:p w14:paraId="3F8768DD" w14:textId="6991E5C5" w:rsidR="001A0EB0" w:rsidRPr="00784605" w:rsidRDefault="001A0EB0" w:rsidP="001A0EB0">
      <w:pPr>
        <w:spacing w:before="120" w:after="120" w:line="240" w:lineRule="auto"/>
        <w:ind w:left="1134" w:right="1134"/>
        <w:jc w:val="both"/>
        <w:rPr>
          <w:b/>
          <w:lang w:val="fr-FR"/>
        </w:rPr>
      </w:pPr>
      <w:r w:rsidRPr="00784605">
        <w:rPr>
          <w:lang w:val="fr-FR"/>
        </w:rPr>
        <w:t>«</w:t>
      </w:r>
      <w:r w:rsidR="00784605" w:rsidRPr="00784605">
        <w:rPr>
          <w:lang w:val="fr-FR"/>
        </w:rPr>
        <w:t> </w:t>
      </w:r>
      <w:r w:rsidR="005A21B5" w:rsidRPr="00784605">
        <w:rPr>
          <w:b/>
          <w:lang w:val="fr-FR"/>
        </w:rPr>
        <w:t xml:space="preserve">2.2.8 </w:t>
      </w:r>
      <w:r w:rsidRPr="00784605">
        <w:rPr>
          <w:b/>
          <w:lang w:val="fr-FR"/>
        </w:rPr>
        <w:t xml:space="preserve">CLASSE 8 </w:t>
      </w:r>
      <w:r w:rsidR="005A21B5" w:rsidRPr="00784605">
        <w:rPr>
          <w:b/>
          <w:lang w:val="fr-FR"/>
        </w:rPr>
        <w:tab/>
        <w:t xml:space="preserve"> </w:t>
      </w:r>
      <w:r w:rsidRPr="00784605">
        <w:rPr>
          <w:b/>
          <w:bCs/>
          <w:lang w:val="fr-FR"/>
        </w:rPr>
        <w:t>MATIÈRES CORROSIVES</w:t>
      </w:r>
    </w:p>
    <w:p w14:paraId="12BEBCDE" w14:textId="357DDEFC" w:rsidR="001058C2" w:rsidRPr="00784605" w:rsidRDefault="001058C2" w:rsidP="001A0EB0">
      <w:pPr>
        <w:spacing w:before="120" w:after="120" w:line="240" w:lineRule="auto"/>
        <w:ind w:left="1134" w:right="1134"/>
        <w:jc w:val="both"/>
        <w:rPr>
          <w:i/>
          <w:lang w:val="fr-FR"/>
        </w:rPr>
      </w:pPr>
      <w:r w:rsidRPr="00784605">
        <w:rPr>
          <w:b/>
          <w:i/>
          <w:lang w:val="fr-FR"/>
        </w:rPr>
        <w:lastRenderedPageBreak/>
        <w:t xml:space="preserve">NOTA: </w:t>
      </w:r>
      <w:r w:rsidR="00DE1D7B" w:rsidRPr="00784605">
        <w:rPr>
          <w:b/>
          <w:i/>
          <w:lang w:val="fr-FR"/>
        </w:rPr>
        <w:tab/>
      </w:r>
      <w:r w:rsidRPr="00784605">
        <w:rPr>
          <w:i/>
          <w:lang w:val="fr-FR"/>
        </w:rPr>
        <w:t xml:space="preserve">Dans </w:t>
      </w:r>
      <w:r w:rsidR="005A21B5" w:rsidRPr="00784605">
        <w:rPr>
          <w:i/>
          <w:lang w:val="fr-FR"/>
        </w:rPr>
        <w:t>la présente section</w:t>
      </w:r>
      <w:r w:rsidRPr="00784605">
        <w:rPr>
          <w:i/>
          <w:lang w:val="fr-FR"/>
        </w:rPr>
        <w:t xml:space="preserve">, on entend par </w:t>
      </w:r>
      <w:r w:rsidR="004F4841" w:rsidRPr="00784605">
        <w:rPr>
          <w:i/>
          <w:lang w:val="fr-FR"/>
        </w:rPr>
        <w:t>"</w:t>
      </w:r>
      <w:r w:rsidRPr="00784605">
        <w:rPr>
          <w:i/>
          <w:lang w:val="fr-FR"/>
        </w:rPr>
        <w:t>matière</w:t>
      </w:r>
      <w:r w:rsidR="004F4841" w:rsidRPr="00784605">
        <w:rPr>
          <w:i/>
          <w:lang w:val="fr-FR"/>
        </w:rPr>
        <w:t>"</w:t>
      </w:r>
      <w:r w:rsidRPr="00784605">
        <w:rPr>
          <w:i/>
          <w:lang w:val="fr-FR"/>
        </w:rPr>
        <w:t xml:space="preserve">, une substance, </w:t>
      </w:r>
      <w:r w:rsidR="00A815F3" w:rsidRPr="00784605">
        <w:rPr>
          <w:i/>
          <w:lang w:val="fr-FR"/>
        </w:rPr>
        <w:t>un mélange ou un alliage (ce terme est utilisé dans la version française du présent Rè</w:t>
      </w:r>
      <w:r w:rsidR="00E3149C" w:rsidRPr="00784605">
        <w:rPr>
          <w:i/>
          <w:lang w:val="fr-FR"/>
        </w:rPr>
        <w:t>glement</w:t>
      </w:r>
      <w:r w:rsidR="00A815F3" w:rsidRPr="00784605">
        <w:rPr>
          <w:i/>
          <w:lang w:val="fr-FR"/>
        </w:rPr>
        <w:t>)</w:t>
      </w:r>
      <w:r w:rsidR="00E3149C" w:rsidRPr="00784605">
        <w:rPr>
          <w:i/>
          <w:lang w:val="fr-FR"/>
        </w:rPr>
        <w:t>.</w:t>
      </w:r>
    </w:p>
    <w:p w14:paraId="14DE6F6E" w14:textId="22221749" w:rsidR="00784605" w:rsidRPr="00784605" w:rsidRDefault="00784605" w:rsidP="00784605">
      <w:pPr>
        <w:spacing w:before="120" w:after="120" w:line="240" w:lineRule="auto"/>
        <w:ind w:left="1134" w:right="1134"/>
        <w:jc w:val="both"/>
        <w:rPr>
          <w:b/>
          <w:i/>
          <w:u w:val="single"/>
          <w:lang w:val="fr-FR"/>
        </w:rPr>
      </w:pPr>
      <w:r w:rsidRPr="00784605">
        <w:rPr>
          <w:b/>
          <w:lang w:val="fr-FR"/>
        </w:rPr>
        <w:t>2.2.8.1</w:t>
      </w:r>
      <w:r w:rsidRPr="00784605">
        <w:rPr>
          <w:b/>
          <w:lang w:val="fr-FR"/>
        </w:rPr>
        <w:tab/>
      </w:r>
      <w:r w:rsidRPr="00784605">
        <w:rPr>
          <w:b/>
          <w:lang w:val="fr-FR"/>
        </w:rPr>
        <w:tab/>
      </w:r>
      <w:r w:rsidRPr="00784605">
        <w:rPr>
          <w:b/>
          <w:i/>
          <w:lang w:val="fr-FR"/>
        </w:rPr>
        <w:t>Définition, dispositions générales et critères</w:t>
      </w:r>
    </w:p>
    <w:p w14:paraId="3FF22EAF" w14:textId="1203DF3E" w:rsidR="001A0EB0" w:rsidRPr="00784605" w:rsidRDefault="005A21B5" w:rsidP="001A0EB0">
      <w:pPr>
        <w:spacing w:before="120" w:after="120" w:line="240" w:lineRule="auto"/>
        <w:ind w:left="1134" w:right="1134"/>
        <w:jc w:val="both"/>
        <w:rPr>
          <w:lang w:val="fr-FR"/>
        </w:rPr>
      </w:pPr>
      <w:r w:rsidRPr="00784605">
        <w:rPr>
          <w:lang w:val="fr-FR"/>
        </w:rPr>
        <w:t>2.</w:t>
      </w:r>
      <w:r w:rsidR="001A0EB0" w:rsidRPr="00784605">
        <w:rPr>
          <w:lang w:val="fr-FR"/>
        </w:rPr>
        <w:t>2.8.1.1</w:t>
      </w:r>
      <w:r w:rsidR="001A0EB0" w:rsidRPr="00784605">
        <w:rPr>
          <w:i/>
          <w:lang w:val="fr-FR"/>
        </w:rPr>
        <w:tab/>
      </w:r>
      <w:r w:rsidR="001A0EB0" w:rsidRPr="00784605">
        <w:rPr>
          <w:lang w:val="fr-FR"/>
        </w:rPr>
        <w:t>Les matières corrosives sont des matières qui, par action chimique, causent des dommages irréversibles à la peau ou qui, en cas de fuite, peuvent endommager sérieusement ou même détruire d'autres marchandises ou les engins de transport.</w:t>
      </w:r>
      <w:r w:rsidRPr="00784605">
        <w:rPr>
          <w:lang w:val="fr-FR"/>
        </w:rPr>
        <w:t xml:space="preserve"> Sont</w:t>
      </w:r>
      <w:r w:rsidR="004F4841" w:rsidRPr="00784605">
        <w:rPr>
          <w:lang w:val="fr-FR"/>
        </w:rPr>
        <w:t xml:space="preserve"> </w:t>
      </w:r>
      <w:r w:rsidRPr="00784605">
        <w:rPr>
          <w:lang w:val="fr-FR"/>
        </w:rPr>
        <w:t>également visées par le titre de la présente classe d'autres matières qui ne forment une matière corrosive liquide qu'en présence de l'eau ou qui, en</w:t>
      </w:r>
      <w:r w:rsidR="004F4841" w:rsidRPr="00784605">
        <w:rPr>
          <w:lang w:val="fr-FR"/>
        </w:rPr>
        <w:t xml:space="preserve"> </w:t>
      </w:r>
      <w:r w:rsidRPr="00784605">
        <w:rPr>
          <w:lang w:val="fr-FR"/>
        </w:rPr>
        <w:t>présence de l'humidité naturelle de l'air, produisent des vapeurs ou des brouillards corrosifs.</w:t>
      </w:r>
    </w:p>
    <w:p w14:paraId="48F5C3A5" w14:textId="26271291" w:rsidR="001A0EB0" w:rsidRPr="00784605" w:rsidRDefault="005A21B5" w:rsidP="001A0EB0">
      <w:pPr>
        <w:spacing w:before="120" w:after="120" w:line="240" w:lineRule="auto"/>
        <w:ind w:left="1134" w:right="1134"/>
        <w:jc w:val="both"/>
        <w:rPr>
          <w:lang w:val="fr-FR"/>
        </w:rPr>
      </w:pPr>
      <w:r w:rsidRPr="00784605">
        <w:rPr>
          <w:lang w:val="fr-FR"/>
        </w:rPr>
        <w:t>2.</w:t>
      </w:r>
      <w:r w:rsidR="001A0EB0" w:rsidRPr="00784605">
        <w:rPr>
          <w:lang w:val="fr-FR"/>
        </w:rPr>
        <w:t>2.8.1.2</w:t>
      </w:r>
      <w:r w:rsidR="001A0EB0" w:rsidRPr="00784605">
        <w:rPr>
          <w:lang w:val="fr-FR"/>
        </w:rPr>
        <w:tab/>
        <w:t xml:space="preserve">Les dispositions concernant la classification des matières corrosives pour la peau sont données </w:t>
      </w:r>
      <w:r w:rsidRPr="00784605">
        <w:rPr>
          <w:lang w:val="fr-FR"/>
        </w:rPr>
        <w:t>au 2.2.8.1.4</w:t>
      </w:r>
      <w:r w:rsidR="001A0EB0" w:rsidRPr="00784605">
        <w:rPr>
          <w:lang w:val="fr-FR"/>
        </w:rPr>
        <w:t xml:space="preserve">. La corrosion cutanée désigne des lésions cutanées irréversibles, </w:t>
      </w:r>
      <w:r w:rsidR="003F59CB" w:rsidRPr="00784605">
        <w:rPr>
          <w:lang w:val="fr-FR"/>
        </w:rPr>
        <w:t xml:space="preserve">à savoir </w:t>
      </w:r>
      <w:r w:rsidR="001A0EB0" w:rsidRPr="00784605">
        <w:rPr>
          <w:lang w:val="fr-FR"/>
        </w:rPr>
        <w:t>une nécrose visible au travers de l’épiderme et dans le derme survenant après une exposition à la matière.</w:t>
      </w:r>
    </w:p>
    <w:p w14:paraId="175F6324" w14:textId="26AEA08C" w:rsidR="001A0EB0" w:rsidRPr="00784605" w:rsidRDefault="005A21B5" w:rsidP="001A0EB0">
      <w:pPr>
        <w:spacing w:before="120" w:after="120" w:line="240" w:lineRule="auto"/>
        <w:ind w:left="1134" w:right="1134"/>
        <w:jc w:val="both"/>
        <w:rPr>
          <w:lang w:val="fr-FR"/>
        </w:rPr>
      </w:pPr>
      <w:r w:rsidRPr="00784605">
        <w:rPr>
          <w:lang w:val="fr-FR"/>
        </w:rPr>
        <w:t>2.</w:t>
      </w:r>
      <w:r w:rsidR="001A0EB0" w:rsidRPr="00784605">
        <w:rPr>
          <w:lang w:val="fr-FR"/>
        </w:rPr>
        <w:t xml:space="preserve">2.8.1.3 </w:t>
      </w:r>
      <w:r w:rsidR="001A0EB0" w:rsidRPr="00784605">
        <w:rPr>
          <w:lang w:val="fr-FR"/>
        </w:rPr>
        <w:tab/>
        <w:t xml:space="preserve">Les matières liquides et solides susceptibles de fondre pendant le transport, qui ne sont pas considérées comme corrosives pour la peau, doivent quand même être considérées comme potentiellement corrosives pour certaines surfaces métalliques, conformément aux critères du </w:t>
      </w:r>
      <w:r w:rsidRPr="00784605">
        <w:rPr>
          <w:lang w:val="fr-FR"/>
        </w:rPr>
        <w:t xml:space="preserve">2.2.8.1.5.3 </w:t>
      </w:r>
      <w:r w:rsidR="001A0EB0" w:rsidRPr="00784605">
        <w:rPr>
          <w:lang w:val="fr-FR"/>
        </w:rPr>
        <w:t>c) ii).</w:t>
      </w:r>
    </w:p>
    <w:p w14:paraId="416B1985" w14:textId="69EFB0E4" w:rsidR="001A0EB0" w:rsidRPr="00784605" w:rsidRDefault="005A21B5" w:rsidP="001A0EB0">
      <w:pPr>
        <w:spacing w:before="120" w:after="120" w:line="240" w:lineRule="auto"/>
        <w:ind w:left="1134" w:right="1134"/>
        <w:jc w:val="both"/>
        <w:rPr>
          <w:i/>
          <w:lang w:val="fr-FR"/>
        </w:rPr>
      </w:pPr>
      <w:r w:rsidRPr="00784605">
        <w:rPr>
          <w:lang w:val="fr-FR"/>
        </w:rPr>
        <w:t>2.2.8.1.4</w:t>
      </w:r>
      <w:r w:rsidR="001A0EB0" w:rsidRPr="00784605">
        <w:rPr>
          <w:lang w:val="fr-FR"/>
        </w:rPr>
        <w:tab/>
      </w:r>
      <w:r w:rsidR="001A0EB0" w:rsidRPr="00784605">
        <w:rPr>
          <w:i/>
          <w:lang w:val="fr-FR"/>
        </w:rPr>
        <w:t>Dispositions générales relatives à la classification</w:t>
      </w:r>
    </w:p>
    <w:p w14:paraId="123A89D4" w14:textId="4EA6ADDD" w:rsidR="005A21B5" w:rsidRPr="00FE4CC5" w:rsidRDefault="0096760B" w:rsidP="001A0EB0">
      <w:pPr>
        <w:spacing w:before="120" w:after="120" w:line="240" w:lineRule="auto"/>
        <w:ind w:left="1134" w:right="1134"/>
        <w:jc w:val="both"/>
        <w:rPr>
          <w:i/>
          <w:lang w:val="fr-FR"/>
        </w:rPr>
      </w:pPr>
      <w:r>
        <w:rPr>
          <w:i/>
          <w:lang w:val="fr-FR"/>
        </w:rPr>
        <w:t>[</w:t>
      </w:r>
      <w:r w:rsidR="005A21B5" w:rsidRPr="00FE4CC5">
        <w:rPr>
          <w:i/>
          <w:lang w:val="fr-FR"/>
        </w:rPr>
        <w:t>Ajouter le 2.2.8.1.2 existant (subdivisions de la classe 8) renuméroté en tant que 2.2.8.1.4.1.</w:t>
      </w:r>
      <w:r>
        <w:rPr>
          <w:i/>
          <w:lang w:val="fr-FR"/>
        </w:rPr>
        <w:t>]</w:t>
      </w:r>
    </w:p>
    <w:p w14:paraId="44BEDB0F" w14:textId="66D3244B" w:rsidR="001A0EB0" w:rsidRPr="00FE4CC5" w:rsidRDefault="00B36C1B" w:rsidP="001A0EB0">
      <w:pPr>
        <w:spacing w:before="120" w:after="120" w:line="240" w:lineRule="auto"/>
        <w:ind w:left="1134" w:right="1134"/>
        <w:jc w:val="both"/>
        <w:rPr>
          <w:lang w:val="fr-FR"/>
        </w:rPr>
      </w:pPr>
      <w:r w:rsidRPr="00FE4CC5">
        <w:rPr>
          <w:lang w:val="fr-FR"/>
        </w:rPr>
        <w:t>2.2.8.1.4.2</w:t>
      </w:r>
      <w:r w:rsidR="001A0EB0" w:rsidRPr="00FE4CC5">
        <w:rPr>
          <w:lang w:val="fr-FR"/>
        </w:rPr>
        <w:t xml:space="preserve"> </w:t>
      </w:r>
      <w:r w:rsidR="001A0EB0" w:rsidRPr="00FE4CC5">
        <w:rPr>
          <w:lang w:val="fr-FR"/>
        </w:rPr>
        <w:tab/>
        <w:t>Les matières de la classe 8 doivent être classées dans trois groupes d'emballage, selon le degré de danger qu'elles présentent pour le transport, d’après les critères suivants</w:t>
      </w:r>
      <w:r w:rsidR="00905D07" w:rsidRPr="00FE4CC5">
        <w:rPr>
          <w:lang w:val="fr-FR"/>
        </w:rPr>
        <w:t> </w:t>
      </w:r>
      <w:r w:rsidR="001A0EB0" w:rsidRPr="00FE4CC5">
        <w:rPr>
          <w:lang w:val="fr-FR"/>
        </w:rPr>
        <w:t>:</w:t>
      </w:r>
    </w:p>
    <w:p w14:paraId="68E69CD2" w14:textId="0C32B7AB" w:rsidR="001A0EB0" w:rsidRPr="00FE4CC5" w:rsidRDefault="001A0EB0" w:rsidP="001A0EB0">
      <w:pPr>
        <w:spacing w:before="120" w:after="120" w:line="240" w:lineRule="auto"/>
        <w:ind w:left="2268" w:right="1134"/>
        <w:jc w:val="both"/>
        <w:rPr>
          <w:lang w:val="fr-FR"/>
        </w:rPr>
      </w:pPr>
      <w:r w:rsidRPr="00FE4CC5">
        <w:rPr>
          <w:lang w:val="fr-FR"/>
        </w:rPr>
        <w:t>a)</w:t>
      </w:r>
      <w:r w:rsidRPr="00FE4CC5">
        <w:rPr>
          <w:lang w:val="fr-FR"/>
        </w:rPr>
        <w:tab/>
      </w:r>
      <w:r w:rsidR="00D6735F" w:rsidRPr="00FE4CC5">
        <w:rPr>
          <w:lang w:val="fr-FR"/>
        </w:rPr>
        <w:t>G</w:t>
      </w:r>
      <w:r w:rsidRPr="00FE4CC5">
        <w:rPr>
          <w:lang w:val="fr-FR"/>
        </w:rPr>
        <w:t>roupe d'emballage I</w:t>
      </w:r>
      <w:r w:rsidR="00D6735F" w:rsidRPr="00FE4CC5">
        <w:rPr>
          <w:lang w:val="fr-FR"/>
        </w:rPr>
        <w:t>:</w:t>
      </w:r>
      <w:r w:rsidRPr="00FE4CC5">
        <w:rPr>
          <w:lang w:val="fr-FR"/>
        </w:rPr>
        <w:t xml:space="preserve"> matières très dangereuses</w:t>
      </w:r>
      <w:r w:rsidR="00905D07" w:rsidRPr="00FE4CC5">
        <w:rPr>
          <w:lang w:val="fr-FR"/>
        </w:rPr>
        <w:t> </w:t>
      </w:r>
      <w:r w:rsidRPr="00FE4CC5">
        <w:rPr>
          <w:lang w:val="fr-FR"/>
        </w:rPr>
        <w:t>;</w:t>
      </w:r>
    </w:p>
    <w:p w14:paraId="721B2457" w14:textId="79F4C16A" w:rsidR="001A0EB0" w:rsidRPr="00FE4CC5" w:rsidRDefault="001A0EB0" w:rsidP="001A0EB0">
      <w:pPr>
        <w:spacing w:before="120" w:after="120" w:line="240" w:lineRule="auto"/>
        <w:ind w:left="2268" w:right="1134"/>
        <w:jc w:val="both"/>
        <w:rPr>
          <w:lang w:val="fr-FR"/>
        </w:rPr>
      </w:pPr>
      <w:r w:rsidRPr="00FE4CC5">
        <w:rPr>
          <w:lang w:val="fr-FR"/>
        </w:rPr>
        <w:t>b)</w:t>
      </w:r>
      <w:r w:rsidRPr="00FE4CC5">
        <w:rPr>
          <w:lang w:val="fr-FR"/>
        </w:rPr>
        <w:tab/>
      </w:r>
      <w:r w:rsidR="00D6735F" w:rsidRPr="00FE4CC5">
        <w:rPr>
          <w:lang w:val="fr-FR"/>
        </w:rPr>
        <w:t>G</w:t>
      </w:r>
      <w:r w:rsidRPr="00FE4CC5">
        <w:rPr>
          <w:lang w:val="fr-FR"/>
        </w:rPr>
        <w:t>roupe d'emballage II</w:t>
      </w:r>
      <w:r w:rsidR="00D6735F" w:rsidRPr="00FE4CC5">
        <w:rPr>
          <w:lang w:val="fr-FR"/>
        </w:rPr>
        <w:t>:</w:t>
      </w:r>
      <w:r w:rsidRPr="00FE4CC5">
        <w:rPr>
          <w:lang w:val="fr-FR"/>
        </w:rPr>
        <w:t xml:space="preserve"> matières présentant un danger moyen</w:t>
      </w:r>
      <w:r w:rsidR="00905D07" w:rsidRPr="00FE4CC5">
        <w:rPr>
          <w:lang w:val="fr-FR"/>
        </w:rPr>
        <w:t> </w:t>
      </w:r>
      <w:r w:rsidRPr="00FE4CC5">
        <w:rPr>
          <w:lang w:val="fr-FR"/>
        </w:rPr>
        <w:t>;</w:t>
      </w:r>
    </w:p>
    <w:p w14:paraId="164E07B5" w14:textId="44AECAFF" w:rsidR="001A0EB0" w:rsidRPr="00FE4CC5" w:rsidRDefault="001A0EB0" w:rsidP="001A0EB0">
      <w:pPr>
        <w:spacing w:before="120" w:after="120" w:line="240" w:lineRule="auto"/>
        <w:ind w:left="2268" w:right="1134"/>
        <w:jc w:val="both"/>
        <w:rPr>
          <w:lang w:val="fr-FR"/>
        </w:rPr>
      </w:pPr>
      <w:r w:rsidRPr="00FE4CC5">
        <w:rPr>
          <w:lang w:val="fr-FR"/>
        </w:rPr>
        <w:t>c)</w:t>
      </w:r>
      <w:r w:rsidRPr="00FE4CC5">
        <w:rPr>
          <w:lang w:val="fr-FR"/>
        </w:rPr>
        <w:tab/>
      </w:r>
      <w:r w:rsidR="00D6735F" w:rsidRPr="00FE4CC5">
        <w:rPr>
          <w:lang w:val="fr-FR"/>
        </w:rPr>
        <w:t>G</w:t>
      </w:r>
      <w:r w:rsidRPr="00FE4CC5">
        <w:rPr>
          <w:lang w:val="fr-FR"/>
        </w:rPr>
        <w:t>roupe d'emballage II</w:t>
      </w:r>
      <w:r w:rsidR="00D6735F" w:rsidRPr="00FE4CC5">
        <w:rPr>
          <w:lang w:val="fr-FR"/>
        </w:rPr>
        <w:t>I:</w:t>
      </w:r>
      <w:r w:rsidRPr="00FE4CC5">
        <w:rPr>
          <w:lang w:val="fr-FR"/>
        </w:rPr>
        <w:t xml:space="preserve"> matières présentant un danger faible</w:t>
      </w:r>
      <w:r w:rsidR="00905D07" w:rsidRPr="00FE4CC5">
        <w:rPr>
          <w:lang w:val="fr-FR"/>
        </w:rPr>
        <w:t> </w:t>
      </w:r>
      <w:r w:rsidRPr="00FE4CC5">
        <w:rPr>
          <w:lang w:val="fr-FR"/>
        </w:rPr>
        <w:t>;</w:t>
      </w:r>
    </w:p>
    <w:p w14:paraId="4A8A6606" w14:textId="401987CC" w:rsidR="001A0EB0" w:rsidRPr="00FE4CC5" w:rsidRDefault="00B36C1B" w:rsidP="001A0EB0">
      <w:pPr>
        <w:spacing w:before="120" w:after="120" w:line="240" w:lineRule="auto"/>
        <w:ind w:left="1134" w:right="1134"/>
        <w:jc w:val="both"/>
        <w:rPr>
          <w:lang w:val="fr-FR"/>
        </w:rPr>
      </w:pPr>
      <w:r w:rsidRPr="00FE4CC5">
        <w:rPr>
          <w:lang w:val="fr-FR"/>
        </w:rPr>
        <w:t>2.2.8.1.4.3</w:t>
      </w:r>
      <w:r w:rsidR="001A0EB0" w:rsidRPr="00FE4CC5">
        <w:rPr>
          <w:lang w:val="fr-FR"/>
        </w:rPr>
        <w:tab/>
        <w:t xml:space="preserve">Le classement des matières </w:t>
      </w:r>
      <w:r w:rsidRPr="00FE4CC5">
        <w:rPr>
          <w:lang w:val="fr-FR"/>
        </w:rPr>
        <w:t>du tableau A</w:t>
      </w:r>
      <w:r w:rsidR="001A0EB0" w:rsidRPr="00FE4CC5">
        <w:rPr>
          <w:lang w:val="fr-FR"/>
        </w:rPr>
        <w:t xml:space="preserve"> du chapitre 3.2 dans les groupes d'emballage de la classe 8 est fondé sur l'expérience acquise et tient compte de facteurs supplémentaires tels que le risque d'inhalation (voir </w:t>
      </w:r>
      <w:r w:rsidRPr="00FE4CC5">
        <w:rPr>
          <w:lang w:val="fr-FR"/>
        </w:rPr>
        <w:t>2.2.8.1.4.5</w:t>
      </w:r>
      <w:r w:rsidR="001A0EB0" w:rsidRPr="00FE4CC5">
        <w:rPr>
          <w:lang w:val="fr-FR"/>
        </w:rPr>
        <w:t>) et l'hydroréactivité (y compris la formation de produits de décomposition présentant un danger).</w:t>
      </w:r>
    </w:p>
    <w:p w14:paraId="3A78C1A8" w14:textId="658ECA31" w:rsidR="001A0EB0" w:rsidRPr="00FE4CC5" w:rsidRDefault="00B36C1B" w:rsidP="001A0EB0">
      <w:pPr>
        <w:spacing w:before="120" w:after="120" w:line="240" w:lineRule="auto"/>
        <w:ind w:left="1134" w:right="1134"/>
        <w:jc w:val="both"/>
        <w:rPr>
          <w:lang w:val="fr-FR"/>
        </w:rPr>
      </w:pPr>
      <w:r w:rsidRPr="00FE4CC5">
        <w:rPr>
          <w:lang w:val="fr-FR"/>
        </w:rPr>
        <w:t>2.2.8.1.4.4</w:t>
      </w:r>
      <w:r w:rsidR="001A0EB0" w:rsidRPr="00FE4CC5">
        <w:rPr>
          <w:lang w:val="fr-FR"/>
        </w:rPr>
        <w:tab/>
        <w:t>On peut</w:t>
      </w:r>
      <w:r w:rsidR="007D65C2" w:rsidRPr="00FE4CC5">
        <w:rPr>
          <w:lang w:val="fr-FR"/>
        </w:rPr>
        <w:t xml:space="preserve"> classer les matières nouvelles</w:t>
      </w:r>
      <w:r w:rsidR="001A0EB0" w:rsidRPr="00FE4CC5">
        <w:rPr>
          <w:lang w:val="fr-FR"/>
        </w:rPr>
        <w:t xml:space="preserve"> dans les groupes d'emballage, sur la base du temps de contact nécessaire pour provoquer une lésion irréversible du tissu cutané intact selon les critères du </w:t>
      </w:r>
      <w:r w:rsidRPr="00FE4CC5">
        <w:rPr>
          <w:lang w:val="fr-FR"/>
        </w:rPr>
        <w:t>2.2.8.1.5</w:t>
      </w:r>
      <w:r w:rsidR="001A0EB0" w:rsidRPr="00FE4CC5">
        <w:rPr>
          <w:lang w:val="fr-FR"/>
        </w:rPr>
        <w:t xml:space="preserve">. Alternativement, pour les mélanges, les critères du </w:t>
      </w:r>
      <w:r w:rsidRPr="00FE4CC5">
        <w:rPr>
          <w:lang w:val="fr-FR"/>
        </w:rPr>
        <w:t xml:space="preserve">2.2.8.1.6 </w:t>
      </w:r>
      <w:r w:rsidR="001A0EB0" w:rsidRPr="00FE4CC5">
        <w:rPr>
          <w:lang w:val="fr-FR"/>
        </w:rPr>
        <w:t>peuvent être utilisés.</w:t>
      </w:r>
    </w:p>
    <w:p w14:paraId="45AA1CD4" w14:textId="7A2A9B31" w:rsidR="001A0EB0" w:rsidRPr="00FE4CC5" w:rsidRDefault="00B36C1B" w:rsidP="001A0EB0">
      <w:pPr>
        <w:spacing w:before="120" w:after="120" w:line="240" w:lineRule="auto"/>
        <w:ind w:left="1134" w:right="1134"/>
        <w:jc w:val="both"/>
        <w:rPr>
          <w:lang w:val="fr-FR"/>
        </w:rPr>
      </w:pPr>
      <w:r w:rsidRPr="00FE4CC5">
        <w:rPr>
          <w:lang w:val="fr-FR"/>
        </w:rPr>
        <w:t>2.2.8.1.4.5</w:t>
      </w:r>
      <w:r w:rsidR="001A0EB0" w:rsidRPr="00FE4CC5">
        <w:rPr>
          <w:lang w:val="fr-FR"/>
        </w:rPr>
        <w:tab/>
        <w:t>Une matière</w:t>
      </w:r>
      <w:r w:rsidR="00B7080F" w:rsidRPr="00FE4CC5">
        <w:rPr>
          <w:lang w:val="fr-FR"/>
        </w:rPr>
        <w:t xml:space="preserve"> répondant aux critères de la classe 8</w:t>
      </w:r>
      <w:r w:rsidR="003F59CB" w:rsidRPr="00FE4CC5">
        <w:rPr>
          <w:lang w:val="fr-FR"/>
        </w:rPr>
        <w:t>,</w:t>
      </w:r>
      <w:r w:rsidR="001A0EB0" w:rsidRPr="00FE4CC5">
        <w:rPr>
          <w:lang w:val="fr-FR"/>
        </w:rPr>
        <w:t xml:space="preserve"> dont la toxicité à l'inhalation de poussières et brouillards (CL</w:t>
      </w:r>
      <w:r w:rsidR="001A0EB0" w:rsidRPr="00FE4CC5">
        <w:rPr>
          <w:vertAlign w:val="subscript"/>
          <w:lang w:val="fr-FR"/>
        </w:rPr>
        <w:t>50</w:t>
      </w:r>
      <w:r w:rsidR="001A0EB0" w:rsidRPr="00FE4CC5">
        <w:rPr>
          <w:lang w:val="fr-FR"/>
        </w:rPr>
        <w:t>) correspond au groupe d'emballage I, mais dont la toxicité à l'ingestion et à l'absorption cutanée ne correspond qu'au groupe d'emballage III ou qui présente un degré de toxicité moins élevé, doit être affectée à la classe 8 (voir </w:t>
      </w:r>
      <w:r w:rsidRPr="00FE4CC5">
        <w:rPr>
          <w:lang w:val="fr-FR"/>
        </w:rPr>
        <w:t>2.2.61.1.7.2</w:t>
      </w:r>
      <w:r w:rsidR="001A0EB0" w:rsidRPr="00FE4CC5">
        <w:rPr>
          <w:lang w:val="fr-FR"/>
        </w:rPr>
        <w:t>).</w:t>
      </w:r>
    </w:p>
    <w:p w14:paraId="2A20BFD8" w14:textId="2D712F91" w:rsidR="001A0EB0" w:rsidRPr="00FE4CC5" w:rsidRDefault="00B36C1B" w:rsidP="001A0EB0">
      <w:pPr>
        <w:spacing w:before="120" w:after="120" w:line="240" w:lineRule="auto"/>
        <w:ind w:left="1134" w:right="1134"/>
        <w:jc w:val="both"/>
        <w:rPr>
          <w:lang w:val="fr-FR"/>
        </w:rPr>
      </w:pPr>
      <w:r w:rsidRPr="00FE4CC5">
        <w:rPr>
          <w:lang w:val="fr-FR"/>
        </w:rPr>
        <w:t>2.2.8.1.5</w:t>
      </w:r>
      <w:r w:rsidR="001A0EB0" w:rsidRPr="00FE4CC5">
        <w:rPr>
          <w:lang w:val="fr-FR"/>
        </w:rPr>
        <w:tab/>
      </w:r>
      <w:r w:rsidR="001A0EB0" w:rsidRPr="00FE4CC5">
        <w:rPr>
          <w:i/>
          <w:lang w:val="fr-FR"/>
        </w:rPr>
        <w:t>Affectation aux groupes d'emballage</w:t>
      </w:r>
    </w:p>
    <w:p w14:paraId="456C783E" w14:textId="34B0F6B8" w:rsidR="001A0EB0" w:rsidRPr="00FE4CC5" w:rsidRDefault="00B36C1B" w:rsidP="001A0EB0">
      <w:pPr>
        <w:spacing w:before="120" w:after="120" w:line="240" w:lineRule="auto"/>
        <w:ind w:left="1134" w:right="1134"/>
        <w:jc w:val="both"/>
        <w:rPr>
          <w:lang w:val="fr-FR"/>
        </w:rPr>
      </w:pPr>
      <w:r w:rsidRPr="00FE4CC5">
        <w:rPr>
          <w:lang w:val="fr-FR"/>
        </w:rPr>
        <w:t>2.2.8.1.5.1</w:t>
      </w:r>
      <w:r w:rsidR="001A0EB0" w:rsidRPr="00FE4CC5">
        <w:rPr>
          <w:lang w:val="fr-FR"/>
        </w:rPr>
        <w:tab/>
        <w:t>Les données existantes sur l’homme et les animaux, y compris les données résultant d’expositions uniques ou répétées, devraient être évaluées en premier lieu car elles donnent des informations en relation directe avec les effets sur la peau.</w:t>
      </w:r>
    </w:p>
    <w:p w14:paraId="6D4DB3E5" w14:textId="632D1E34" w:rsidR="001A0EB0" w:rsidRPr="00FE4CC5" w:rsidRDefault="00B36C1B" w:rsidP="001A0EB0">
      <w:pPr>
        <w:spacing w:before="120" w:after="120" w:line="240" w:lineRule="auto"/>
        <w:ind w:left="1134" w:right="1134"/>
        <w:jc w:val="both"/>
        <w:rPr>
          <w:lang w:val="fr-FR"/>
        </w:rPr>
      </w:pPr>
      <w:r w:rsidRPr="00FE4CC5">
        <w:rPr>
          <w:lang w:val="fr-FR"/>
        </w:rPr>
        <w:t>2.2.8.1.5.2</w:t>
      </w:r>
      <w:r w:rsidR="001A0EB0" w:rsidRPr="00FE4CC5">
        <w:rPr>
          <w:i/>
          <w:lang w:val="fr-FR"/>
        </w:rPr>
        <w:tab/>
      </w:r>
      <w:r w:rsidR="001A0EB0" w:rsidRPr="00FE4CC5">
        <w:rPr>
          <w:lang w:val="fr-FR"/>
        </w:rPr>
        <w:t xml:space="preserve">Pour classer une matière dans un groupe d'emballage conformément au </w:t>
      </w:r>
      <w:r w:rsidRPr="00FE4CC5">
        <w:rPr>
          <w:lang w:val="fr-FR"/>
        </w:rPr>
        <w:t>2.2.8.1.4.4</w:t>
      </w:r>
      <w:r w:rsidR="001A0EB0" w:rsidRPr="00FE4CC5">
        <w:rPr>
          <w:lang w:val="fr-FR"/>
        </w:rPr>
        <w:t xml:space="preserve">, il y a lieu de tenir compte de l'expérience acquise </w:t>
      </w:r>
      <w:r w:rsidR="003F59CB" w:rsidRPr="00FE4CC5">
        <w:rPr>
          <w:lang w:val="fr-FR"/>
        </w:rPr>
        <w:t xml:space="preserve">sur les êtres humains </w:t>
      </w:r>
      <w:r w:rsidR="001A0EB0" w:rsidRPr="00FE4CC5">
        <w:rPr>
          <w:lang w:val="fr-FR"/>
        </w:rPr>
        <w:t xml:space="preserve">à l'occasion d'expositions accidentelles. En l'absence d'une telle expérience, le classement doit </w:t>
      </w:r>
      <w:r w:rsidR="001A0EB0" w:rsidRPr="00FE4CC5">
        <w:rPr>
          <w:lang w:val="fr-FR"/>
        </w:rPr>
        <w:lastRenderedPageBreak/>
        <w:t xml:space="preserve">se faire sur la base des résultats de l'expérimentation conformément à la </w:t>
      </w:r>
      <w:r w:rsidR="001A0EB0" w:rsidRPr="00FE4CC5">
        <w:rPr>
          <w:rFonts w:eastAsia="SimSun"/>
          <w:lang w:val="fr-FR" w:eastAsia="zh-CN"/>
        </w:rPr>
        <w:t>Ligne directrice 404</w:t>
      </w:r>
      <w:r w:rsidR="001A0EB0" w:rsidRPr="00FE4CC5">
        <w:rPr>
          <w:rFonts w:eastAsia="SimSun"/>
          <w:sz w:val="18"/>
          <w:vertAlign w:val="superscript"/>
          <w:lang w:val="fr-FR" w:eastAsia="zh-CN"/>
        </w:rPr>
        <w:footnoteReference w:customMarkFollows="1" w:id="2"/>
        <w:t>1</w:t>
      </w:r>
      <w:r w:rsidR="001A0EB0" w:rsidRPr="00FE4CC5">
        <w:rPr>
          <w:rFonts w:eastAsia="SimSun"/>
          <w:lang w:val="fr-FR" w:eastAsia="zh-CN"/>
        </w:rPr>
        <w:t xml:space="preserve"> </w:t>
      </w:r>
      <w:r w:rsidR="001A0EB0" w:rsidRPr="00FE4CC5">
        <w:rPr>
          <w:rFonts w:eastAsia="Batang"/>
          <w:lang w:val="fr-FR"/>
        </w:rPr>
        <w:t>ou 435</w:t>
      </w:r>
      <w:r w:rsidR="001A0EB0" w:rsidRPr="00FE4CC5">
        <w:rPr>
          <w:rFonts w:eastAsia="Batang"/>
          <w:sz w:val="18"/>
          <w:vertAlign w:val="superscript"/>
          <w:lang w:val="fr-FR"/>
        </w:rPr>
        <w:footnoteReference w:customMarkFollows="1" w:id="3"/>
        <w:t>2</w:t>
      </w:r>
      <w:r w:rsidR="001A0EB0" w:rsidRPr="00FE4CC5">
        <w:rPr>
          <w:rFonts w:eastAsia="Batang"/>
          <w:b/>
          <w:lang w:val="fr-FR"/>
        </w:rPr>
        <w:t xml:space="preserve"> </w:t>
      </w:r>
      <w:r w:rsidR="001A0EB0" w:rsidRPr="00FE4CC5">
        <w:rPr>
          <w:rFonts w:eastAsia="Batang"/>
          <w:lang w:val="fr-FR"/>
        </w:rPr>
        <w:t xml:space="preserve">de l’OCDE. Aux fins </w:t>
      </w:r>
      <w:r w:rsidR="00FE4CC5" w:rsidRPr="00FE4CC5">
        <w:rPr>
          <w:rFonts w:eastAsia="Batang"/>
          <w:lang w:val="fr-FR"/>
        </w:rPr>
        <w:t>de l’ADR</w:t>
      </w:r>
      <w:r w:rsidR="001A0EB0" w:rsidRPr="00FE4CC5">
        <w:rPr>
          <w:rFonts w:eastAsia="Batang"/>
          <w:lang w:val="fr-FR"/>
        </w:rPr>
        <w:t>, une matière définie comme n’étant pas corrosive conformément à la Ligne directrice 430</w:t>
      </w:r>
      <w:r w:rsidR="001A0EB0" w:rsidRPr="00FE4CC5">
        <w:rPr>
          <w:rFonts w:eastAsia="Batang"/>
          <w:sz w:val="18"/>
          <w:vertAlign w:val="superscript"/>
          <w:lang w:val="fr-FR"/>
        </w:rPr>
        <w:footnoteReference w:customMarkFollows="1" w:id="4"/>
        <w:t>3</w:t>
      </w:r>
      <w:r w:rsidR="001A0EB0" w:rsidRPr="00FE4CC5">
        <w:rPr>
          <w:rFonts w:eastAsia="Batang"/>
          <w:lang w:val="fr-FR"/>
        </w:rPr>
        <w:t xml:space="preserve"> ou 431</w:t>
      </w:r>
      <w:r w:rsidR="001A0EB0" w:rsidRPr="00FE4CC5">
        <w:rPr>
          <w:rFonts w:eastAsia="Batang"/>
          <w:sz w:val="18"/>
          <w:vertAlign w:val="superscript"/>
          <w:lang w:val="fr-FR"/>
        </w:rPr>
        <w:footnoteReference w:customMarkFollows="1" w:id="5"/>
        <w:t>4</w:t>
      </w:r>
      <w:r w:rsidR="001A0EB0" w:rsidRPr="00FE4CC5">
        <w:rPr>
          <w:rFonts w:eastAsia="Batang"/>
          <w:b/>
          <w:vertAlign w:val="superscript"/>
          <w:lang w:val="fr-FR"/>
        </w:rPr>
        <w:t xml:space="preserve"> </w:t>
      </w:r>
      <w:r w:rsidR="001A0EB0" w:rsidRPr="00FE4CC5">
        <w:rPr>
          <w:rFonts w:eastAsia="Batang"/>
          <w:lang w:val="fr-FR"/>
        </w:rPr>
        <w:t>de l’OCDE</w:t>
      </w:r>
      <w:r w:rsidR="001A0EB0" w:rsidRPr="00FE4CC5">
        <w:rPr>
          <w:rFonts w:eastAsia="Batang"/>
          <w:vertAlign w:val="superscript"/>
          <w:lang w:val="fr-FR"/>
        </w:rPr>
        <w:t xml:space="preserve"> </w:t>
      </w:r>
      <w:r w:rsidR="001A0EB0" w:rsidRPr="00FE4CC5">
        <w:rPr>
          <w:lang w:val="fr-FR"/>
        </w:rPr>
        <w:t>est considérée comme n’étant pas corrosive pour la peau sans qu’il soit nécessaire de réaliser d’autres épreuves</w:t>
      </w:r>
      <w:r w:rsidR="001A0EB0" w:rsidRPr="00FE4CC5">
        <w:rPr>
          <w:sz w:val="24"/>
          <w:szCs w:val="24"/>
          <w:lang w:val="fr-FR"/>
        </w:rPr>
        <w:t>.</w:t>
      </w:r>
    </w:p>
    <w:p w14:paraId="58FB3C12" w14:textId="2319E597" w:rsidR="001A0EB0" w:rsidRPr="00FE4CC5" w:rsidRDefault="00B36C1B" w:rsidP="001A0EB0">
      <w:pPr>
        <w:spacing w:before="120" w:after="120" w:line="240" w:lineRule="auto"/>
        <w:ind w:left="1134" w:right="1134"/>
        <w:jc w:val="both"/>
        <w:rPr>
          <w:lang w:val="fr-FR"/>
        </w:rPr>
      </w:pPr>
      <w:r w:rsidRPr="00FE4CC5">
        <w:rPr>
          <w:lang w:val="fr-FR"/>
        </w:rPr>
        <w:t>2.2.8.1.5.3</w:t>
      </w:r>
      <w:r w:rsidR="001A0EB0" w:rsidRPr="00FE4CC5">
        <w:rPr>
          <w:lang w:val="fr-FR"/>
        </w:rPr>
        <w:tab/>
        <w:t xml:space="preserve">Les matières </w:t>
      </w:r>
      <w:r w:rsidR="007D65C2" w:rsidRPr="00FE4CC5">
        <w:rPr>
          <w:lang w:val="fr-FR"/>
        </w:rPr>
        <w:t xml:space="preserve">corrosives </w:t>
      </w:r>
      <w:r w:rsidR="001A0EB0" w:rsidRPr="00FE4CC5">
        <w:rPr>
          <w:lang w:val="fr-FR"/>
        </w:rPr>
        <w:t xml:space="preserve">sont classées dans les groupes d'emballage d'après les critères suivants (voir tableau </w:t>
      </w:r>
      <w:r w:rsidRPr="00FE4CC5">
        <w:rPr>
          <w:lang w:val="fr-FR"/>
        </w:rPr>
        <w:t>2.2.8.1.5.3</w:t>
      </w:r>
      <w:r w:rsidR="001A0EB0" w:rsidRPr="00FE4CC5">
        <w:rPr>
          <w:lang w:val="fr-FR"/>
        </w:rPr>
        <w:t>)</w:t>
      </w:r>
      <w:r w:rsidR="00905D07" w:rsidRPr="00FE4CC5">
        <w:rPr>
          <w:lang w:val="fr-FR"/>
        </w:rPr>
        <w:t> </w:t>
      </w:r>
      <w:r w:rsidR="001A0EB0" w:rsidRPr="00FE4CC5">
        <w:rPr>
          <w:lang w:val="fr-FR"/>
        </w:rPr>
        <w:t>:</w:t>
      </w:r>
    </w:p>
    <w:p w14:paraId="393C5D53" w14:textId="6BC72D69" w:rsidR="001A0EB0" w:rsidRPr="00FE4CC5" w:rsidRDefault="001A0EB0" w:rsidP="001A0EB0">
      <w:pPr>
        <w:spacing w:before="120" w:after="120" w:line="240" w:lineRule="auto"/>
        <w:ind w:left="2268" w:right="1134"/>
        <w:jc w:val="both"/>
        <w:rPr>
          <w:lang w:val="fr-FR"/>
        </w:rPr>
      </w:pPr>
      <w:r w:rsidRPr="00FE4CC5">
        <w:rPr>
          <w:lang w:val="fr-FR"/>
        </w:rPr>
        <w:t>a)</w:t>
      </w:r>
      <w:r w:rsidRPr="00FE4CC5">
        <w:rPr>
          <w:lang w:val="fr-FR"/>
        </w:rPr>
        <w:tab/>
      </w:r>
      <w:r w:rsidR="002603FC" w:rsidRPr="00FE4CC5">
        <w:rPr>
          <w:lang w:val="fr-FR"/>
        </w:rPr>
        <w:t xml:space="preserve">Dans </w:t>
      </w:r>
      <w:r w:rsidRPr="00FE4CC5">
        <w:rPr>
          <w:lang w:val="fr-FR"/>
        </w:rPr>
        <w:t>le groupe d'emballage I sont classées les matières qui provoquent une lésion irréversible</w:t>
      </w:r>
      <w:r w:rsidR="008E517B" w:rsidRPr="00FE4CC5">
        <w:rPr>
          <w:lang w:val="fr-FR"/>
        </w:rPr>
        <w:t xml:space="preserve"> du tissu cutané intact</w:t>
      </w:r>
      <w:r w:rsidRPr="00FE4CC5">
        <w:rPr>
          <w:lang w:val="fr-FR"/>
        </w:rPr>
        <w:t xml:space="preserve">, sur une période d'observation </w:t>
      </w:r>
      <w:r w:rsidR="007D65C2" w:rsidRPr="00FE4CC5">
        <w:rPr>
          <w:lang w:val="fr-FR"/>
        </w:rPr>
        <w:t>allant jusqu’à</w:t>
      </w:r>
      <w:r w:rsidRPr="00FE4CC5">
        <w:rPr>
          <w:lang w:val="fr-FR"/>
        </w:rPr>
        <w:t xml:space="preserve"> 60 minutes commençant immédiatement après la durée d'application de 3 minutes ou moins</w:t>
      </w:r>
      <w:r w:rsidR="00905D07" w:rsidRPr="00FE4CC5">
        <w:rPr>
          <w:lang w:val="fr-FR"/>
        </w:rPr>
        <w:t> </w:t>
      </w:r>
      <w:r w:rsidRPr="00FE4CC5">
        <w:rPr>
          <w:lang w:val="fr-FR"/>
        </w:rPr>
        <w:t>;</w:t>
      </w:r>
    </w:p>
    <w:p w14:paraId="5BD50A60" w14:textId="2789ABFC" w:rsidR="001A0EB0" w:rsidRPr="00FE4CC5" w:rsidRDefault="001A0EB0" w:rsidP="001A0EB0">
      <w:pPr>
        <w:spacing w:before="120" w:after="120" w:line="240" w:lineRule="auto"/>
        <w:ind w:left="2268" w:right="1134"/>
        <w:jc w:val="both"/>
        <w:rPr>
          <w:lang w:val="fr-FR"/>
        </w:rPr>
      </w:pPr>
      <w:r w:rsidRPr="00FE4CC5">
        <w:rPr>
          <w:lang w:val="fr-FR"/>
        </w:rPr>
        <w:t>b)</w:t>
      </w:r>
      <w:r w:rsidRPr="00FE4CC5">
        <w:rPr>
          <w:lang w:val="fr-FR"/>
        </w:rPr>
        <w:tab/>
      </w:r>
      <w:r w:rsidR="002603FC" w:rsidRPr="00FE4CC5">
        <w:rPr>
          <w:lang w:val="fr-FR"/>
        </w:rPr>
        <w:t xml:space="preserve">Dans </w:t>
      </w:r>
      <w:r w:rsidRPr="00FE4CC5">
        <w:rPr>
          <w:lang w:val="fr-FR"/>
        </w:rPr>
        <w:t>le groupe d'emballage II sont classées les matières qui provoquent une lésion irréversible</w:t>
      </w:r>
      <w:r w:rsidR="008E517B" w:rsidRPr="00FE4CC5">
        <w:rPr>
          <w:lang w:val="fr-FR"/>
        </w:rPr>
        <w:t xml:space="preserve"> du tissu cutané intact</w:t>
      </w:r>
      <w:r w:rsidRPr="00FE4CC5">
        <w:rPr>
          <w:lang w:val="fr-FR"/>
        </w:rPr>
        <w:t xml:space="preserve">, sur une période d'observation </w:t>
      </w:r>
      <w:r w:rsidR="007D65C2" w:rsidRPr="00FE4CC5">
        <w:rPr>
          <w:lang w:val="fr-FR"/>
        </w:rPr>
        <w:t>allant jusqu’à</w:t>
      </w:r>
      <w:r w:rsidRPr="00FE4CC5">
        <w:rPr>
          <w:lang w:val="fr-FR"/>
        </w:rPr>
        <w:t xml:space="preserve"> 14 jours commençant immédiatement après la durée d'application de 3 minutes mais de moins de 60 minutes</w:t>
      </w:r>
      <w:r w:rsidR="00905D07" w:rsidRPr="00FE4CC5">
        <w:rPr>
          <w:lang w:val="fr-FR"/>
        </w:rPr>
        <w:t> </w:t>
      </w:r>
      <w:r w:rsidRPr="00FE4CC5">
        <w:rPr>
          <w:lang w:val="fr-FR"/>
        </w:rPr>
        <w:t>;</w:t>
      </w:r>
    </w:p>
    <w:p w14:paraId="16FBDAD2" w14:textId="216A4F49" w:rsidR="001A0EB0" w:rsidRPr="00FE4CC5" w:rsidRDefault="001A0EB0" w:rsidP="001A0EB0">
      <w:pPr>
        <w:spacing w:before="120" w:after="120" w:line="240" w:lineRule="auto"/>
        <w:ind w:left="2268" w:right="1134"/>
        <w:jc w:val="both"/>
        <w:rPr>
          <w:lang w:val="fr-FR"/>
        </w:rPr>
      </w:pPr>
      <w:r w:rsidRPr="00FE4CC5">
        <w:rPr>
          <w:lang w:val="fr-FR"/>
        </w:rPr>
        <w:t>c)</w:t>
      </w:r>
      <w:r w:rsidRPr="00FE4CC5">
        <w:rPr>
          <w:lang w:val="fr-FR"/>
        </w:rPr>
        <w:tab/>
      </w:r>
      <w:r w:rsidR="002603FC" w:rsidRPr="00FE4CC5">
        <w:rPr>
          <w:lang w:val="fr-FR"/>
        </w:rPr>
        <w:t xml:space="preserve">Dans </w:t>
      </w:r>
      <w:r w:rsidRPr="00FE4CC5">
        <w:rPr>
          <w:lang w:val="fr-FR"/>
        </w:rPr>
        <w:t>le groupe d'emballage III sont classées</w:t>
      </w:r>
      <w:r w:rsidR="00905D07" w:rsidRPr="00FE4CC5">
        <w:rPr>
          <w:lang w:val="fr-FR"/>
        </w:rPr>
        <w:t> </w:t>
      </w:r>
      <w:r w:rsidRPr="00FE4CC5">
        <w:rPr>
          <w:lang w:val="fr-FR"/>
        </w:rPr>
        <w:t>:</w:t>
      </w:r>
    </w:p>
    <w:p w14:paraId="57066AE0" w14:textId="176CF0EC" w:rsidR="001A0EB0" w:rsidRPr="00FE4CC5" w:rsidRDefault="001A0EB0" w:rsidP="001A0EB0">
      <w:pPr>
        <w:spacing w:before="120" w:after="120" w:line="240" w:lineRule="auto"/>
        <w:ind w:left="2835" w:right="1134"/>
        <w:jc w:val="both"/>
        <w:rPr>
          <w:lang w:val="fr-FR"/>
        </w:rPr>
      </w:pPr>
      <w:r w:rsidRPr="00FE4CC5">
        <w:rPr>
          <w:lang w:val="fr-FR"/>
        </w:rPr>
        <w:t>i)</w:t>
      </w:r>
      <w:r w:rsidRPr="00FE4CC5">
        <w:rPr>
          <w:lang w:val="fr-FR"/>
        </w:rPr>
        <w:tab/>
        <w:t>les matières qui provoquent une lésion irréversible</w:t>
      </w:r>
      <w:r w:rsidR="008E517B" w:rsidRPr="00FE4CC5">
        <w:rPr>
          <w:lang w:val="fr-FR"/>
        </w:rPr>
        <w:t xml:space="preserve"> du tissu cutané intact</w:t>
      </w:r>
      <w:r w:rsidRPr="00FE4CC5">
        <w:rPr>
          <w:lang w:val="fr-FR"/>
        </w:rPr>
        <w:t xml:space="preserve">, sur une période d'observation </w:t>
      </w:r>
      <w:r w:rsidR="007D65C2" w:rsidRPr="00FE4CC5">
        <w:rPr>
          <w:lang w:val="fr-FR"/>
        </w:rPr>
        <w:t>allant jusqu’à</w:t>
      </w:r>
      <w:r w:rsidRPr="00FE4CC5">
        <w:rPr>
          <w:lang w:val="fr-FR"/>
        </w:rPr>
        <w:t xml:space="preserve"> 14 jours commençant immédiatement après une durée d'application de plus de 60 minutes mais de 4 heures</w:t>
      </w:r>
      <w:r w:rsidR="007D65C2" w:rsidRPr="00FE4CC5">
        <w:rPr>
          <w:lang w:val="fr-FR"/>
        </w:rPr>
        <w:t xml:space="preserve"> au maximum</w:t>
      </w:r>
      <w:r w:rsidR="00905D07" w:rsidRPr="00FE4CC5">
        <w:rPr>
          <w:lang w:val="fr-FR"/>
        </w:rPr>
        <w:t> </w:t>
      </w:r>
      <w:r w:rsidRPr="00FE4CC5">
        <w:rPr>
          <w:lang w:val="fr-FR"/>
        </w:rPr>
        <w:t>; ou</w:t>
      </w:r>
    </w:p>
    <w:p w14:paraId="2C3F033F" w14:textId="474BAD29" w:rsidR="001A0EB0" w:rsidRPr="00FE4CC5" w:rsidRDefault="001A0EB0" w:rsidP="001A0EB0">
      <w:pPr>
        <w:spacing w:before="120" w:after="120" w:line="240" w:lineRule="auto"/>
        <w:ind w:left="2835" w:right="1134"/>
        <w:jc w:val="both"/>
        <w:rPr>
          <w:noProof/>
          <w:lang w:val="fr-FR"/>
        </w:rPr>
      </w:pPr>
      <w:r w:rsidRPr="00FE4CC5">
        <w:rPr>
          <w:lang w:val="fr-FR"/>
        </w:rPr>
        <w:t>ii)</w:t>
      </w:r>
      <w:r w:rsidRPr="00FE4CC5">
        <w:rPr>
          <w:lang w:val="fr-FR"/>
        </w:rPr>
        <w:tab/>
        <w:t>les matières dont on juge qu'elles ne provoquent pas une lésion irréversible</w:t>
      </w:r>
      <w:r w:rsidR="008E517B" w:rsidRPr="00FE4CC5">
        <w:rPr>
          <w:lang w:val="fr-FR"/>
        </w:rPr>
        <w:t xml:space="preserve"> du tissu cutané intact</w:t>
      </w:r>
      <w:r w:rsidRPr="00FE4CC5">
        <w:rPr>
          <w:lang w:val="fr-FR"/>
        </w:rPr>
        <w:t xml:space="preserve">, mais dont la vitesse de corrosion sur des surfaces soit en acier soit en aluminium dépasse 6,25 mm par an à la température d'épreuve de 55 °C, lorsque les épreuves sont réalisées sur ces deux matériaux. </w:t>
      </w:r>
      <w:r w:rsidRPr="00FE4CC5">
        <w:rPr>
          <w:noProof/>
          <w:lang w:val="fr-FR"/>
        </w:rPr>
        <w:t xml:space="preserve">Pour les épreuves sur l'acier, on doit utiliser les types S235JR+CR (1.0037, respectivement St 37-2), S275J2G3+CR (1.0144, respectivement St 44-3), ISO 3574, </w:t>
      </w:r>
      <w:r w:rsidR="00905D07" w:rsidRPr="00FE4CC5">
        <w:rPr>
          <w:noProof/>
          <w:lang w:val="fr-FR"/>
        </w:rPr>
        <w:t>"</w:t>
      </w:r>
      <w:r w:rsidRPr="00FE4CC5">
        <w:rPr>
          <w:noProof/>
          <w:lang w:val="fr-FR"/>
        </w:rPr>
        <w:t>Unified Numbering System</w:t>
      </w:r>
      <w:r w:rsidR="00905D07" w:rsidRPr="00FE4CC5">
        <w:rPr>
          <w:noProof/>
          <w:lang w:val="fr-FR"/>
        </w:rPr>
        <w:t>"</w:t>
      </w:r>
      <w:r w:rsidRPr="00FE4CC5">
        <w:rPr>
          <w:noProof/>
          <w:lang w:val="fr-FR"/>
        </w:rPr>
        <w:t xml:space="preserve"> (UNS) G10200 ou SAE 1020, et pour les épreuves sur l'aluminium les types non revêtus 7075-T6 ou AZ5GU-T6. Une épreuve acceptable est décrite dans le </w:t>
      </w:r>
      <w:r w:rsidRPr="00FE4CC5">
        <w:rPr>
          <w:i/>
          <w:iCs/>
          <w:noProof/>
          <w:lang w:val="fr-FR"/>
        </w:rPr>
        <w:t>Manuel d'épreuves et de critères</w:t>
      </w:r>
      <w:r w:rsidRPr="00FE4CC5">
        <w:rPr>
          <w:noProof/>
          <w:lang w:val="fr-FR"/>
        </w:rPr>
        <w:t xml:space="preserve">, </w:t>
      </w:r>
      <w:r w:rsidR="008E517B" w:rsidRPr="00FE4CC5">
        <w:rPr>
          <w:noProof/>
          <w:lang w:val="fr-FR"/>
        </w:rPr>
        <w:t>troisième p</w:t>
      </w:r>
      <w:r w:rsidRPr="00FE4CC5">
        <w:rPr>
          <w:noProof/>
          <w:lang w:val="fr-FR"/>
        </w:rPr>
        <w:t>artie, section 37.</w:t>
      </w:r>
    </w:p>
    <w:p w14:paraId="086C42A2" w14:textId="0D63AE25" w:rsidR="001A0EB0" w:rsidRPr="00FE4CC5" w:rsidRDefault="001A0EB0" w:rsidP="001A0EB0">
      <w:pPr>
        <w:spacing w:before="120" w:after="120" w:line="240" w:lineRule="auto"/>
        <w:ind w:left="2835" w:right="1134"/>
        <w:jc w:val="both"/>
        <w:rPr>
          <w:i/>
          <w:iCs/>
          <w:lang w:val="fr-FR"/>
        </w:rPr>
      </w:pPr>
      <w:r w:rsidRPr="00FE4CC5">
        <w:rPr>
          <w:b/>
          <w:bCs/>
          <w:i/>
          <w:iCs/>
          <w:lang w:val="fr-FR"/>
        </w:rPr>
        <w:t>NOTA</w:t>
      </w:r>
      <w:r w:rsidR="00D353A3" w:rsidRPr="00FE4CC5">
        <w:rPr>
          <w:lang w:val="fr-FR"/>
        </w:rPr>
        <w:t> </w:t>
      </w:r>
      <w:r w:rsidRPr="00FE4CC5">
        <w:rPr>
          <w:b/>
          <w:bCs/>
          <w:i/>
          <w:iCs/>
          <w:lang w:val="fr-FR"/>
        </w:rPr>
        <w:t xml:space="preserve">: </w:t>
      </w:r>
      <w:r w:rsidRPr="00FE4CC5">
        <w:rPr>
          <w:i/>
          <w:iCs/>
          <w:lang w:val="fr-FR"/>
        </w:rPr>
        <w:t>Lorsqu’une première épreuve sur l’acier ou l’aluminium indique que la matière testée est corrosive, l’épreuve suivante sur l’autre métal n’est pas obligatoire.</w:t>
      </w:r>
    </w:p>
    <w:p w14:paraId="3C4503EA" w14:textId="1841C182" w:rsidR="001A0EB0" w:rsidRPr="00FE4CC5" w:rsidRDefault="001A0EB0" w:rsidP="001A0EB0">
      <w:pPr>
        <w:spacing w:before="120" w:after="120" w:line="240" w:lineRule="auto"/>
        <w:ind w:left="1134" w:right="1134"/>
        <w:jc w:val="center"/>
        <w:rPr>
          <w:b/>
          <w:bCs/>
          <w:noProof/>
          <w:lang w:val="fr-FR"/>
        </w:rPr>
      </w:pPr>
      <w:r w:rsidRPr="00FE4CC5">
        <w:rPr>
          <w:b/>
          <w:bCs/>
          <w:noProof/>
          <w:lang w:val="fr-FR"/>
        </w:rPr>
        <w:t xml:space="preserve">Tableau </w:t>
      </w:r>
      <w:r w:rsidR="00B36C1B" w:rsidRPr="00FE4CC5">
        <w:rPr>
          <w:b/>
          <w:lang w:val="fr-FR"/>
        </w:rPr>
        <w:t>2.2.8.1.5.3</w:t>
      </w:r>
      <w:r w:rsidR="00D353A3" w:rsidRPr="00FE4CC5">
        <w:rPr>
          <w:lang w:val="fr-FR"/>
        </w:rPr>
        <w:t> </w:t>
      </w:r>
      <w:r w:rsidRPr="00FE4CC5">
        <w:rPr>
          <w:b/>
          <w:bCs/>
          <w:noProof/>
          <w:lang w:val="fr-FR"/>
        </w:rPr>
        <w:t xml:space="preserve">: Tableau résumant les critères du </w:t>
      </w:r>
      <w:r w:rsidR="00B36C1B" w:rsidRPr="00FE4CC5">
        <w:rPr>
          <w:b/>
          <w:lang w:val="fr-FR"/>
        </w:rPr>
        <w:t>2.2.8.1.5.3</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71"/>
        <w:gridCol w:w="1276"/>
        <w:gridCol w:w="1417"/>
        <w:gridCol w:w="4721"/>
      </w:tblGrid>
      <w:tr w:rsidR="00A074FC" w:rsidRPr="00FE4CC5" w14:paraId="04CE3350" w14:textId="77777777" w:rsidTr="007B62F4">
        <w:trPr>
          <w:cantSplit/>
          <w:jc w:val="center"/>
        </w:trPr>
        <w:tc>
          <w:tcPr>
            <w:tcW w:w="1271" w:type="dxa"/>
            <w:shd w:val="clear" w:color="auto" w:fill="auto"/>
          </w:tcPr>
          <w:p w14:paraId="3EB3F14A" w14:textId="77777777" w:rsidR="001A0EB0" w:rsidRPr="00FE4CC5" w:rsidRDefault="001A0EB0" w:rsidP="006201FD">
            <w:pPr>
              <w:keepNext/>
              <w:keepLines/>
              <w:jc w:val="center"/>
              <w:rPr>
                <w:b/>
                <w:bCs/>
                <w:noProof/>
                <w:lang w:val="fr-FR"/>
              </w:rPr>
            </w:pPr>
            <w:r w:rsidRPr="00FE4CC5">
              <w:rPr>
                <w:b/>
                <w:bCs/>
                <w:noProof/>
                <w:lang w:val="fr-FR"/>
              </w:rPr>
              <w:lastRenderedPageBreak/>
              <w:t>Groupe d’emballage</w:t>
            </w:r>
          </w:p>
        </w:tc>
        <w:tc>
          <w:tcPr>
            <w:tcW w:w="1276" w:type="dxa"/>
            <w:shd w:val="clear" w:color="auto" w:fill="auto"/>
          </w:tcPr>
          <w:p w14:paraId="183C7016" w14:textId="77777777" w:rsidR="001A0EB0" w:rsidRPr="00FE4CC5" w:rsidRDefault="001A0EB0" w:rsidP="006201FD">
            <w:pPr>
              <w:keepNext/>
              <w:keepLines/>
              <w:ind w:left="27"/>
              <w:jc w:val="center"/>
              <w:rPr>
                <w:b/>
                <w:bCs/>
                <w:noProof/>
                <w:lang w:val="fr-FR"/>
              </w:rPr>
            </w:pPr>
            <w:r w:rsidRPr="00FE4CC5">
              <w:rPr>
                <w:b/>
                <w:bCs/>
                <w:noProof/>
                <w:lang w:val="fr-FR"/>
              </w:rPr>
              <w:t>Durée d’application</w:t>
            </w:r>
          </w:p>
        </w:tc>
        <w:tc>
          <w:tcPr>
            <w:tcW w:w="1417" w:type="dxa"/>
            <w:shd w:val="clear" w:color="auto" w:fill="auto"/>
          </w:tcPr>
          <w:p w14:paraId="61A4CB6A" w14:textId="77777777" w:rsidR="001A0EB0" w:rsidRPr="00FE4CC5" w:rsidRDefault="001A0EB0" w:rsidP="006201FD">
            <w:pPr>
              <w:keepNext/>
              <w:keepLines/>
              <w:ind w:left="44"/>
              <w:jc w:val="center"/>
              <w:rPr>
                <w:b/>
                <w:bCs/>
                <w:noProof/>
                <w:lang w:val="fr-FR"/>
              </w:rPr>
            </w:pPr>
            <w:r w:rsidRPr="00FE4CC5">
              <w:rPr>
                <w:b/>
                <w:bCs/>
                <w:noProof/>
                <w:lang w:val="fr-FR"/>
              </w:rPr>
              <w:t>Période d’observation</w:t>
            </w:r>
          </w:p>
        </w:tc>
        <w:tc>
          <w:tcPr>
            <w:tcW w:w="4721" w:type="dxa"/>
            <w:shd w:val="clear" w:color="auto" w:fill="auto"/>
          </w:tcPr>
          <w:p w14:paraId="0A1C9008" w14:textId="77777777" w:rsidR="001A0EB0" w:rsidRPr="00FE4CC5" w:rsidRDefault="001A0EB0" w:rsidP="006201FD">
            <w:pPr>
              <w:keepNext/>
              <w:keepLines/>
              <w:jc w:val="center"/>
              <w:rPr>
                <w:b/>
                <w:bCs/>
                <w:noProof/>
                <w:lang w:val="fr-FR"/>
              </w:rPr>
            </w:pPr>
            <w:r w:rsidRPr="00FE4CC5">
              <w:rPr>
                <w:b/>
                <w:bCs/>
                <w:noProof/>
                <w:lang w:val="fr-FR"/>
              </w:rPr>
              <w:t>Effet</w:t>
            </w:r>
          </w:p>
        </w:tc>
      </w:tr>
      <w:tr w:rsidR="00A074FC" w:rsidRPr="00FE4CC5" w14:paraId="006F8EB9" w14:textId="77777777" w:rsidTr="007B62F4">
        <w:trPr>
          <w:cantSplit/>
          <w:jc w:val="center"/>
        </w:trPr>
        <w:tc>
          <w:tcPr>
            <w:tcW w:w="1271" w:type="dxa"/>
            <w:shd w:val="clear" w:color="auto" w:fill="auto"/>
          </w:tcPr>
          <w:p w14:paraId="75934493" w14:textId="77777777" w:rsidR="001A0EB0" w:rsidRPr="00D35303" w:rsidRDefault="001A0EB0" w:rsidP="006201FD">
            <w:pPr>
              <w:keepNext/>
              <w:keepLines/>
              <w:jc w:val="center"/>
              <w:rPr>
                <w:noProof/>
                <w:lang w:val="fr-FR"/>
              </w:rPr>
            </w:pPr>
            <w:r w:rsidRPr="00D35303">
              <w:rPr>
                <w:noProof/>
                <w:lang w:val="fr-FR"/>
              </w:rPr>
              <w:t>I</w:t>
            </w:r>
          </w:p>
        </w:tc>
        <w:tc>
          <w:tcPr>
            <w:tcW w:w="1276" w:type="dxa"/>
            <w:shd w:val="clear" w:color="auto" w:fill="auto"/>
          </w:tcPr>
          <w:p w14:paraId="2DBAA44E" w14:textId="77777777" w:rsidR="001A0EB0" w:rsidRPr="00FE4CC5" w:rsidRDefault="001A0EB0" w:rsidP="006201FD">
            <w:pPr>
              <w:keepNext/>
              <w:keepLines/>
              <w:ind w:left="27"/>
              <w:jc w:val="center"/>
              <w:rPr>
                <w:noProof/>
                <w:lang w:val="fr-FR"/>
              </w:rPr>
            </w:pPr>
            <w:r w:rsidRPr="00FE4CC5">
              <w:rPr>
                <w:noProof/>
                <w:lang w:val="fr-FR"/>
              </w:rPr>
              <w:t>≤ 3 min</w:t>
            </w:r>
          </w:p>
        </w:tc>
        <w:tc>
          <w:tcPr>
            <w:tcW w:w="1417" w:type="dxa"/>
            <w:shd w:val="clear" w:color="auto" w:fill="auto"/>
          </w:tcPr>
          <w:p w14:paraId="6C3E0333" w14:textId="77777777" w:rsidR="001A0EB0" w:rsidRPr="00FE4CC5" w:rsidRDefault="001A0EB0" w:rsidP="006201FD">
            <w:pPr>
              <w:keepNext/>
              <w:keepLines/>
              <w:ind w:left="44"/>
              <w:jc w:val="center"/>
              <w:rPr>
                <w:noProof/>
                <w:lang w:val="fr-FR"/>
              </w:rPr>
            </w:pPr>
            <w:r w:rsidRPr="00FE4CC5">
              <w:rPr>
                <w:noProof/>
                <w:lang w:val="fr-FR"/>
              </w:rPr>
              <w:t>≤ 60 min</w:t>
            </w:r>
          </w:p>
        </w:tc>
        <w:tc>
          <w:tcPr>
            <w:tcW w:w="4721" w:type="dxa"/>
            <w:shd w:val="clear" w:color="auto" w:fill="auto"/>
          </w:tcPr>
          <w:p w14:paraId="220DA494" w14:textId="73F2B255" w:rsidR="001A0EB0" w:rsidRPr="00FE4CC5" w:rsidRDefault="001A0EB0" w:rsidP="006201FD">
            <w:pPr>
              <w:keepNext/>
              <w:keepLines/>
              <w:rPr>
                <w:b/>
                <w:noProof/>
                <w:lang w:val="fr-FR"/>
              </w:rPr>
            </w:pPr>
            <w:r w:rsidRPr="00FE4CC5">
              <w:rPr>
                <w:lang w:val="fr-FR"/>
              </w:rPr>
              <w:t>Lésion irréversible</w:t>
            </w:r>
            <w:r w:rsidR="008E517B" w:rsidRPr="00FE4CC5">
              <w:rPr>
                <w:lang w:val="fr-FR"/>
              </w:rPr>
              <w:t xml:space="preserve"> du tissu cutané intact</w:t>
            </w:r>
          </w:p>
        </w:tc>
      </w:tr>
      <w:tr w:rsidR="00A074FC" w:rsidRPr="00FE4CC5" w14:paraId="1CAF2CDE" w14:textId="77777777" w:rsidTr="007B62F4">
        <w:trPr>
          <w:cantSplit/>
          <w:jc w:val="center"/>
        </w:trPr>
        <w:tc>
          <w:tcPr>
            <w:tcW w:w="1271" w:type="dxa"/>
            <w:shd w:val="clear" w:color="auto" w:fill="auto"/>
          </w:tcPr>
          <w:p w14:paraId="52C2F139" w14:textId="77777777" w:rsidR="001A0EB0" w:rsidRPr="00D35303" w:rsidRDefault="001A0EB0" w:rsidP="006201FD">
            <w:pPr>
              <w:keepNext/>
              <w:keepLines/>
              <w:jc w:val="center"/>
              <w:rPr>
                <w:noProof/>
                <w:lang w:val="fr-FR"/>
              </w:rPr>
            </w:pPr>
            <w:r w:rsidRPr="00D35303">
              <w:rPr>
                <w:noProof/>
                <w:lang w:val="fr-FR"/>
              </w:rPr>
              <w:t>II</w:t>
            </w:r>
          </w:p>
        </w:tc>
        <w:tc>
          <w:tcPr>
            <w:tcW w:w="1276" w:type="dxa"/>
            <w:shd w:val="clear" w:color="auto" w:fill="auto"/>
          </w:tcPr>
          <w:p w14:paraId="1BAD0362" w14:textId="77777777" w:rsidR="001A0EB0" w:rsidRPr="00FE4CC5" w:rsidRDefault="001A0EB0" w:rsidP="006201FD">
            <w:pPr>
              <w:keepNext/>
              <w:keepLines/>
              <w:ind w:left="27"/>
              <w:jc w:val="center"/>
              <w:rPr>
                <w:noProof/>
                <w:lang w:val="fr-FR"/>
              </w:rPr>
            </w:pPr>
            <w:r w:rsidRPr="00FE4CC5">
              <w:rPr>
                <w:noProof/>
                <w:lang w:val="fr-FR"/>
              </w:rPr>
              <w:t>&gt; 3 min ≤ 1 h</w:t>
            </w:r>
          </w:p>
        </w:tc>
        <w:tc>
          <w:tcPr>
            <w:tcW w:w="1417" w:type="dxa"/>
            <w:shd w:val="clear" w:color="auto" w:fill="auto"/>
          </w:tcPr>
          <w:p w14:paraId="57678637" w14:textId="77777777" w:rsidR="001A0EB0" w:rsidRPr="00FE4CC5" w:rsidRDefault="001A0EB0" w:rsidP="006201FD">
            <w:pPr>
              <w:keepNext/>
              <w:keepLines/>
              <w:ind w:left="44"/>
              <w:jc w:val="center"/>
              <w:rPr>
                <w:noProof/>
                <w:lang w:val="fr-FR"/>
              </w:rPr>
            </w:pPr>
            <w:r w:rsidRPr="00FE4CC5">
              <w:rPr>
                <w:noProof/>
                <w:lang w:val="fr-FR"/>
              </w:rPr>
              <w:t>≤ 14 d</w:t>
            </w:r>
          </w:p>
        </w:tc>
        <w:tc>
          <w:tcPr>
            <w:tcW w:w="4721" w:type="dxa"/>
            <w:shd w:val="clear" w:color="auto" w:fill="auto"/>
          </w:tcPr>
          <w:p w14:paraId="3994CDFD" w14:textId="29657498" w:rsidR="001A0EB0" w:rsidRPr="00FE4CC5" w:rsidRDefault="001A0EB0" w:rsidP="006201FD">
            <w:pPr>
              <w:keepNext/>
              <w:keepLines/>
              <w:rPr>
                <w:noProof/>
                <w:lang w:val="fr-FR"/>
              </w:rPr>
            </w:pPr>
            <w:r w:rsidRPr="00FE4CC5">
              <w:rPr>
                <w:lang w:val="fr-FR"/>
              </w:rPr>
              <w:t>Lésion irréversible</w:t>
            </w:r>
            <w:r w:rsidR="008E517B" w:rsidRPr="00FE4CC5">
              <w:rPr>
                <w:lang w:val="fr-FR"/>
              </w:rPr>
              <w:t xml:space="preserve"> du tissu cutané intact</w:t>
            </w:r>
          </w:p>
        </w:tc>
      </w:tr>
      <w:tr w:rsidR="00A074FC" w:rsidRPr="00FE4CC5" w14:paraId="3204CA97" w14:textId="77777777" w:rsidTr="007B62F4">
        <w:trPr>
          <w:cantSplit/>
          <w:trHeight w:val="167"/>
          <w:jc w:val="center"/>
        </w:trPr>
        <w:tc>
          <w:tcPr>
            <w:tcW w:w="1271" w:type="dxa"/>
            <w:shd w:val="clear" w:color="auto" w:fill="auto"/>
          </w:tcPr>
          <w:p w14:paraId="0758FED8" w14:textId="77777777" w:rsidR="001A0EB0" w:rsidRPr="00D35303" w:rsidRDefault="001A0EB0" w:rsidP="006201FD">
            <w:pPr>
              <w:keepNext/>
              <w:keepLines/>
              <w:jc w:val="center"/>
              <w:rPr>
                <w:noProof/>
                <w:lang w:val="fr-FR"/>
              </w:rPr>
            </w:pPr>
            <w:r w:rsidRPr="00D35303">
              <w:rPr>
                <w:noProof/>
                <w:lang w:val="fr-FR"/>
              </w:rPr>
              <w:t>III</w:t>
            </w:r>
          </w:p>
        </w:tc>
        <w:tc>
          <w:tcPr>
            <w:tcW w:w="1276" w:type="dxa"/>
            <w:shd w:val="clear" w:color="auto" w:fill="auto"/>
          </w:tcPr>
          <w:p w14:paraId="7C354ECD" w14:textId="77777777" w:rsidR="001A0EB0" w:rsidRPr="00FE4CC5" w:rsidRDefault="001A0EB0" w:rsidP="006201FD">
            <w:pPr>
              <w:keepNext/>
              <w:keepLines/>
              <w:ind w:left="27"/>
              <w:jc w:val="center"/>
              <w:rPr>
                <w:noProof/>
                <w:lang w:val="fr-FR"/>
              </w:rPr>
            </w:pPr>
            <w:r w:rsidRPr="00FE4CC5">
              <w:rPr>
                <w:noProof/>
                <w:lang w:val="fr-FR"/>
              </w:rPr>
              <w:t>&gt; 1 h ≤ 4 h</w:t>
            </w:r>
          </w:p>
        </w:tc>
        <w:tc>
          <w:tcPr>
            <w:tcW w:w="1417" w:type="dxa"/>
            <w:shd w:val="clear" w:color="auto" w:fill="auto"/>
          </w:tcPr>
          <w:p w14:paraId="241D005E" w14:textId="77777777" w:rsidR="001A0EB0" w:rsidRPr="00FE4CC5" w:rsidRDefault="001A0EB0" w:rsidP="006201FD">
            <w:pPr>
              <w:keepNext/>
              <w:keepLines/>
              <w:ind w:left="44"/>
              <w:jc w:val="center"/>
              <w:rPr>
                <w:noProof/>
                <w:lang w:val="fr-FR"/>
              </w:rPr>
            </w:pPr>
            <w:r w:rsidRPr="00FE4CC5">
              <w:rPr>
                <w:noProof/>
                <w:lang w:val="fr-FR"/>
              </w:rPr>
              <w:t>≤ 14 d</w:t>
            </w:r>
          </w:p>
        </w:tc>
        <w:tc>
          <w:tcPr>
            <w:tcW w:w="4721" w:type="dxa"/>
            <w:shd w:val="clear" w:color="auto" w:fill="auto"/>
          </w:tcPr>
          <w:p w14:paraId="07A3CD39" w14:textId="711F76AA" w:rsidR="001A0EB0" w:rsidRPr="00FE4CC5" w:rsidRDefault="001A0EB0" w:rsidP="006201FD">
            <w:pPr>
              <w:keepNext/>
              <w:keepLines/>
              <w:rPr>
                <w:noProof/>
                <w:lang w:val="fr-FR"/>
              </w:rPr>
            </w:pPr>
            <w:r w:rsidRPr="00FE4CC5">
              <w:rPr>
                <w:lang w:val="fr-FR"/>
              </w:rPr>
              <w:t>Lésion irréversible</w:t>
            </w:r>
            <w:r w:rsidR="008E517B" w:rsidRPr="00FE4CC5">
              <w:rPr>
                <w:lang w:val="fr-FR"/>
              </w:rPr>
              <w:t xml:space="preserve"> du tissu cutané intact</w:t>
            </w:r>
          </w:p>
        </w:tc>
      </w:tr>
      <w:tr w:rsidR="00A074FC" w:rsidRPr="00FE4CC5" w14:paraId="52A7C049" w14:textId="77777777" w:rsidTr="007B62F4">
        <w:trPr>
          <w:cantSplit/>
          <w:jc w:val="center"/>
        </w:trPr>
        <w:tc>
          <w:tcPr>
            <w:tcW w:w="1271" w:type="dxa"/>
            <w:shd w:val="clear" w:color="auto" w:fill="auto"/>
          </w:tcPr>
          <w:p w14:paraId="7CDCD63F" w14:textId="77777777" w:rsidR="001A0EB0" w:rsidRPr="00D35303" w:rsidRDefault="001A0EB0" w:rsidP="006201FD">
            <w:pPr>
              <w:keepNext/>
              <w:keepLines/>
              <w:jc w:val="center"/>
              <w:rPr>
                <w:noProof/>
                <w:lang w:val="fr-FR"/>
              </w:rPr>
            </w:pPr>
            <w:r w:rsidRPr="00D35303">
              <w:rPr>
                <w:noProof/>
                <w:lang w:val="fr-FR"/>
              </w:rPr>
              <w:t>III</w:t>
            </w:r>
          </w:p>
        </w:tc>
        <w:tc>
          <w:tcPr>
            <w:tcW w:w="1276" w:type="dxa"/>
            <w:shd w:val="clear" w:color="auto" w:fill="auto"/>
          </w:tcPr>
          <w:p w14:paraId="3F143575" w14:textId="77777777" w:rsidR="001A0EB0" w:rsidRPr="00FE4CC5" w:rsidRDefault="001A0EB0" w:rsidP="006201FD">
            <w:pPr>
              <w:keepNext/>
              <w:keepLines/>
              <w:ind w:left="27"/>
              <w:jc w:val="center"/>
              <w:rPr>
                <w:noProof/>
                <w:lang w:val="fr-FR"/>
              </w:rPr>
            </w:pPr>
            <w:r w:rsidRPr="00FE4CC5">
              <w:rPr>
                <w:noProof/>
                <w:lang w:val="fr-FR"/>
              </w:rPr>
              <w:t>-</w:t>
            </w:r>
          </w:p>
        </w:tc>
        <w:tc>
          <w:tcPr>
            <w:tcW w:w="1417" w:type="dxa"/>
            <w:shd w:val="clear" w:color="auto" w:fill="auto"/>
          </w:tcPr>
          <w:p w14:paraId="0553AC0A" w14:textId="77777777" w:rsidR="001A0EB0" w:rsidRPr="00FE4CC5" w:rsidRDefault="001A0EB0" w:rsidP="006201FD">
            <w:pPr>
              <w:keepNext/>
              <w:keepLines/>
              <w:ind w:left="44"/>
              <w:jc w:val="center"/>
              <w:rPr>
                <w:noProof/>
                <w:lang w:val="fr-FR"/>
              </w:rPr>
            </w:pPr>
            <w:r w:rsidRPr="00FE4CC5">
              <w:rPr>
                <w:noProof/>
                <w:lang w:val="fr-FR"/>
              </w:rPr>
              <w:t>-</w:t>
            </w:r>
          </w:p>
        </w:tc>
        <w:tc>
          <w:tcPr>
            <w:tcW w:w="4721" w:type="dxa"/>
            <w:shd w:val="clear" w:color="auto" w:fill="auto"/>
          </w:tcPr>
          <w:p w14:paraId="75FBA9A3" w14:textId="77777777" w:rsidR="001A0EB0" w:rsidRPr="00FE4CC5" w:rsidRDefault="001A0EB0" w:rsidP="006201FD">
            <w:pPr>
              <w:keepNext/>
              <w:keepLines/>
              <w:rPr>
                <w:noProof/>
                <w:lang w:val="fr-FR"/>
              </w:rPr>
            </w:pPr>
            <w:r w:rsidRPr="00FE4CC5">
              <w:rPr>
                <w:noProof/>
                <w:lang w:val="fr-FR"/>
              </w:rPr>
              <w:t>Vitesse de corrosion sur des surfaces soit en acier soit en aluminium dépassant 6,25 mm par an à la température d’épreuve de 55 °C, lorsque les épreuves sont réalisées sur ces deux matériaux</w:t>
            </w:r>
          </w:p>
        </w:tc>
      </w:tr>
    </w:tbl>
    <w:p w14:paraId="088883EB" w14:textId="60413BDF" w:rsidR="001A0EB0" w:rsidRPr="00FE4CC5" w:rsidRDefault="00B36C1B" w:rsidP="001A0EB0">
      <w:pPr>
        <w:spacing w:before="120" w:after="120" w:line="240" w:lineRule="auto"/>
        <w:ind w:left="1134" w:right="1134"/>
        <w:jc w:val="both"/>
        <w:rPr>
          <w:i/>
          <w:lang w:val="fr-FR"/>
        </w:rPr>
      </w:pPr>
      <w:r w:rsidRPr="00FE4CC5">
        <w:rPr>
          <w:lang w:val="fr-FR"/>
        </w:rPr>
        <w:t>2.2.8.1.6</w:t>
      </w:r>
      <w:r w:rsidR="001A0EB0" w:rsidRPr="00FE4CC5">
        <w:rPr>
          <w:lang w:val="fr-FR"/>
        </w:rPr>
        <w:tab/>
      </w:r>
      <w:r w:rsidR="001A0EB0" w:rsidRPr="00FE4CC5">
        <w:rPr>
          <w:i/>
          <w:lang w:val="fr-FR"/>
        </w:rPr>
        <w:t>Méthodes alternatives pour l’affectation des groupes d’emballage aux mélanges - Approche par étapes</w:t>
      </w:r>
    </w:p>
    <w:p w14:paraId="78398836" w14:textId="41A2BD84" w:rsidR="001A0EB0" w:rsidRPr="00FE4CC5" w:rsidRDefault="00B36C1B" w:rsidP="001A0EB0">
      <w:pPr>
        <w:spacing w:before="120" w:after="120" w:line="240" w:lineRule="auto"/>
        <w:ind w:left="1134" w:right="1134"/>
        <w:jc w:val="both"/>
        <w:rPr>
          <w:lang w:val="fr-FR"/>
        </w:rPr>
      </w:pPr>
      <w:r w:rsidRPr="00FE4CC5">
        <w:rPr>
          <w:bCs/>
          <w:lang w:val="fr-FR"/>
        </w:rPr>
        <w:t>2.2.8.1.6.1</w:t>
      </w:r>
      <w:r w:rsidR="001A0EB0" w:rsidRPr="00FE4CC5">
        <w:rPr>
          <w:bCs/>
          <w:lang w:val="fr-FR"/>
        </w:rPr>
        <w:tab/>
      </w:r>
      <w:r w:rsidR="001A0EB0" w:rsidRPr="00FE4CC5">
        <w:rPr>
          <w:lang w:val="fr-FR"/>
        </w:rPr>
        <w:t>Dispositions générales</w:t>
      </w:r>
    </w:p>
    <w:p w14:paraId="522B8883" w14:textId="297F777D" w:rsidR="001A0EB0" w:rsidRPr="00FE4CC5" w:rsidRDefault="00D353A3" w:rsidP="001A0EB0">
      <w:pPr>
        <w:spacing w:before="120" w:after="120" w:line="240" w:lineRule="auto"/>
        <w:ind w:left="1134" w:right="1134"/>
        <w:jc w:val="both"/>
        <w:rPr>
          <w:lang w:val="fr-FR"/>
        </w:rPr>
      </w:pPr>
      <w:r w:rsidRPr="00FE4CC5">
        <w:rPr>
          <w:lang w:val="fr-FR"/>
        </w:rPr>
        <w:tab/>
      </w:r>
      <w:r w:rsidRPr="00FE4CC5">
        <w:rPr>
          <w:lang w:val="fr-FR"/>
        </w:rPr>
        <w:tab/>
      </w:r>
      <w:r w:rsidR="001A0EB0" w:rsidRPr="00FE4CC5">
        <w:rPr>
          <w:lang w:val="fr-FR"/>
        </w:rPr>
        <w:tab/>
        <w:t xml:space="preserve">Pour la classification des mélanges et pour leur affectation à un groupe d’emballage, il faut obtenir ou interpréter des informations qui permettent d’appliquer les critères. Dans la classification et l’affectation des groupes d’emballage on procède par étapes en fonction des informations disponibles pour le mélange comme tel, pour des mélanges similaires </w:t>
      </w:r>
      <w:r w:rsidR="008E517B" w:rsidRPr="00FE4CC5">
        <w:rPr>
          <w:lang w:val="fr-FR"/>
        </w:rPr>
        <w:t xml:space="preserve">ou </w:t>
      </w:r>
      <w:r w:rsidR="001A0EB0" w:rsidRPr="00FE4CC5">
        <w:rPr>
          <w:lang w:val="fr-FR"/>
        </w:rPr>
        <w:t>pour ses composants. Le processus est représenté de façon schématique dans la figure </w:t>
      </w:r>
      <w:r w:rsidR="00B36C1B" w:rsidRPr="00FE4CC5">
        <w:rPr>
          <w:bCs/>
          <w:lang w:val="fr-FR"/>
        </w:rPr>
        <w:t>2.2.8.1.6.1</w:t>
      </w:r>
      <w:r w:rsidR="001A0EB0" w:rsidRPr="00FE4CC5">
        <w:rPr>
          <w:lang w:val="fr-FR"/>
        </w:rPr>
        <w:t>.</w:t>
      </w:r>
    </w:p>
    <w:p w14:paraId="6B20DE08" w14:textId="75443A49" w:rsidR="001A0EB0" w:rsidRPr="00FE4CC5" w:rsidRDefault="001A0EB0" w:rsidP="001A0EB0">
      <w:pPr>
        <w:spacing w:before="120" w:after="120" w:line="240" w:lineRule="auto"/>
        <w:ind w:left="1134" w:right="1134"/>
        <w:jc w:val="center"/>
        <w:rPr>
          <w:b/>
          <w:lang w:val="fr-FR"/>
        </w:rPr>
      </w:pPr>
      <w:r w:rsidRPr="00FE4CC5">
        <w:rPr>
          <w:b/>
          <w:lang w:val="fr-FR"/>
        </w:rPr>
        <w:t xml:space="preserve">Figure </w:t>
      </w:r>
      <w:r w:rsidR="00B36C1B" w:rsidRPr="00FE4CC5">
        <w:rPr>
          <w:b/>
          <w:lang w:val="fr-FR"/>
        </w:rPr>
        <w:t>2.2.8.1.6.1</w:t>
      </w:r>
      <w:r w:rsidR="00D353A3" w:rsidRPr="00FE4CC5">
        <w:rPr>
          <w:lang w:val="fr-FR"/>
        </w:rPr>
        <w:t> </w:t>
      </w:r>
      <w:r w:rsidRPr="00FE4CC5">
        <w:rPr>
          <w:b/>
          <w:lang w:val="fr-FR"/>
        </w:rPr>
        <w:t>: Approche par étapes pour la classification et l’affectation de mélanges corrosifs aux groupes d’emballage</w:t>
      </w:r>
    </w:p>
    <w:p w14:paraId="135ED9FE" w14:textId="66B97296" w:rsidR="007F7E4E" w:rsidRPr="00FE4CC5" w:rsidRDefault="007F7E4E" w:rsidP="001A0EB0">
      <w:pPr>
        <w:spacing w:before="120" w:after="120" w:line="240" w:lineRule="auto"/>
        <w:ind w:left="1134" w:right="1134"/>
        <w:jc w:val="both"/>
        <w:rPr>
          <w:lang w:val="fr-FR"/>
        </w:rPr>
      </w:pPr>
      <w:r w:rsidRPr="00FE4CC5">
        <w:rPr>
          <w:lang w:val="fr-FR"/>
        </w:rPr>
        <w:object w:dxaOrig="9945" w:dyaOrig="4335" w14:anchorId="37F73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65pt;height:179.4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5" ShapeID="_x0000_i1025" DrawAspect="Content" ObjectID="_1581925882" r:id="rId10"/>
        </w:object>
      </w:r>
    </w:p>
    <w:p w14:paraId="5E6D18FB" w14:textId="764658AB" w:rsidR="001A0EB0" w:rsidRPr="00FE4CC5" w:rsidRDefault="007F7E4E" w:rsidP="001A0EB0">
      <w:pPr>
        <w:spacing w:before="120" w:after="120" w:line="240" w:lineRule="auto"/>
        <w:ind w:left="1134" w:right="1134"/>
        <w:jc w:val="both"/>
        <w:rPr>
          <w:lang w:val="fr-FR"/>
        </w:rPr>
      </w:pPr>
      <w:r w:rsidRPr="00FE4CC5">
        <w:rPr>
          <w:bCs/>
          <w:lang w:val="fr-FR"/>
        </w:rPr>
        <w:t>2.2.8.1.6.2</w:t>
      </w:r>
      <w:r w:rsidR="001A0EB0" w:rsidRPr="00FE4CC5">
        <w:rPr>
          <w:lang w:val="fr-FR"/>
        </w:rPr>
        <w:tab/>
        <w:t>Principe d’extrapolation</w:t>
      </w:r>
    </w:p>
    <w:p w14:paraId="1A64419C" w14:textId="4E1F1EB9" w:rsidR="001A0EB0" w:rsidRPr="00FE4CC5" w:rsidRDefault="00D353A3" w:rsidP="001A0EB0">
      <w:pPr>
        <w:spacing w:before="120" w:after="120" w:line="240" w:lineRule="auto"/>
        <w:ind w:left="1134" w:right="1134"/>
        <w:jc w:val="both"/>
        <w:rPr>
          <w:lang w:val="fr-FR"/>
        </w:rPr>
      </w:pPr>
      <w:r w:rsidRPr="00FE4CC5">
        <w:rPr>
          <w:lang w:val="fr-FR"/>
        </w:rPr>
        <w:tab/>
      </w:r>
      <w:r w:rsidR="001A0EB0" w:rsidRPr="00FE4CC5">
        <w:rPr>
          <w:lang w:val="fr-FR"/>
        </w:rPr>
        <w:t xml:space="preserve">Lorsque le mélange lui-même n’a pas été testé pour son pouvoir corrosif pour la peau, mais que des données suffisantes autant sur les composants individuels que sur des mélanges similaires testés, permettant de classer le mélange et de lui affecter un groupe d’emballage sont disponibles, on </w:t>
      </w:r>
      <w:r w:rsidR="007D65C2" w:rsidRPr="00FE4CC5">
        <w:rPr>
          <w:lang w:val="fr-FR"/>
        </w:rPr>
        <w:t>utilise</w:t>
      </w:r>
      <w:r w:rsidR="001A0EB0" w:rsidRPr="00FE4CC5">
        <w:rPr>
          <w:lang w:val="fr-FR"/>
        </w:rPr>
        <w:t xml:space="preserve"> ces données à l’aide de principes d’extrapolation agréés. De cette façon, le processus de classification utilise au maximum les données disponibles afin de caractériser les dangers du mélange.</w:t>
      </w:r>
    </w:p>
    <w:p w14:paraId="1335AAC8" w14:textId="6659AA0D" w:rsidR="001A0EB0" w:rsidRPr="00FE4CC5" w:rsidRDefault="001A0EB0" w:rsidP="001A0EB0">
      <w:pPr>
        <w:spacing w:before="120" w:after="120" w:line="240" w:lineRule="auto"/>
        <w:ind w:left="2268" w:right="1134"/>
        <w:jc w:val="both"/>
        <w:rPr>
          <w:lang w:val="fr-FR"/>
        </w:rPr>
      </w:pPr>
      <w:r w:rsidRPr="00FE4CC5">
        <w:rPr>
          <w:lang w:val="fr-FR"/>
        </w:rPr>
        <w:t>a)</w:t>
      </w:r>
      <w:r w:rsidRPr="00FE4CC5">
        <w:rPr>
          <w:lang w:val="fr-FR"/>
        </w:rPr>
        <w:tab/>
        <w:t>Dilution</w:t>
      </w:r>
      <w:r w:rsidR="00D353A3" w:rsidRPr="00FE4CC5">
        <w:rPr>
          <w:lang w:val="fr-FR"/>
        </w:rPr>
        <w:t> </w:t>
      </w:r>
      <w:r w:rsidRPr="00FE4CC5">
        <w:rPr>
          <w:lang w:val="fr-FR"/>
        </w:rPr>
        <w:t>: Si un mélange testé est dilué avec un diluant qui ne répond pas aux critères de la classe 8 et qui ne modifie pas le groupe d’emballage des autres composants, le nouveau mélange dilué peut être affecté au même groupe d’emballage que le mélange initial testé;</w:t>
      </w:r>
    </w:p>
    <w:p w14:paraId="0CE57B79" w14:textId="571B0444" w:rsidR="001A0EB0" w:rsidRPr="00FE4CC5" w:rsidRDefault="001A0EB0" w:rsidP="001A0EB0">
      <w:pPr>
        <w:spacing w:before="120" w:after="120" w:line="240" w:lineRule="auto"/>
        <w:ind w:left="2268" w:right="1134"/>
        <w:jc w:val="both"/>
        <w:rPr>
          <w:i/>
          <w:lang w:val="fr-FR"/>
        </w:rPr>
      </w:pPr>
      <w:r w:rsidRPr="00FE4CC5">
        <w:rPr>
          <w:b/>
          <w:i/>
          <w:lang w:val="fr-FR"/>
        </w:rPr>
        <w:lastRenderedPageBreak/>
        <w:t>NOTA:</w:t>
      </w:r>
      <w:r w:rsidRPr="00FE4CC5">
        <w:rPr>
          <w:i/>
          <w:lang w:val="fr-FR"/>
        </w:rPr>
        <w:t xml:space="preserve"> </w:t>
      </w:r>
      <w:r w:rsidRPr="00FE4CC5">
        <w:rPr>
          <w:i/>
          <w:lang w:val="fr-FR"/>
        </w:rPr>
        <w:tab/>
        <w:t xml:space="preserve">Dans certains cas, le fait de diluer un mélange ou une matière peut entrainer une augmentation des propriétés de corrosivité. Dans ce cas, </w:t>
      </w:r>
      <w:r w:rsidR="003F59CB" w:rsidRPr="00FE4CC5">
        <w:rPr>
          <w:i/>
          <w:lang w:val="fr-FR"/>
        </w:rPr>
        <w:t>ce</w:t>
      </w:r>
      <w:r w:rsidRPr="00FE4CC5">
        <w:rPr>
          <w:i/>
          <w:lang w:val="fr-FR"/>
        </w:rPr>
        <w:t xml:space="preserve"> principe d’extrapolation ne peut être utilisé.</w:t>
      </w:r>
    </w:p>
    <w:p w14:paraId="5ABE8901" w14:textId="2C9CA1DF" w:rsidR="001A0EB0" w:rsidRPr="00FE4CC5" w:rsidRDefault="001A0EB0" w:rsidP="001A0EB0">
      <w:pPr>
        <w:spacing w:before="120" w:after="120" w:line="240" w:lineRule="auto"/>
        <w:ind w:left="2268" w:right="1134"/>
        <w:jc w:val="both"/>
        <w:rPr>
          <w:lang w:val="fr-FR"/>
        </w:rPr>
      </w:pPr>
      <w:r w:rsidRPr="00FE4CC5">
        <w:rPr>
          <w:lang w:val="fr-FR"/>
        </w:rPr>
        <w:t>b)</w:t>
      </w:r>
      <w:r w:rsidRPr="00FE4CC5">
        <w:rPr>
          <w:lang w:val="fr-FR"/>
        </w:rPr>
        <w:tab/>
        <w:t>Caractéristiques du lot de fabrication</w:t>
      </w:r>
      <w:r w:rsidR="00D353A3" w:rsidRPr="00FE4CC5">
        <w:rPr>
          <w:lang w:val="fr-FR"/>
        </w:rPr>
        <w:t> </w:t>
      </w:r>
      <w:r w:rsidRPr="00FE4CC5">
        <w:rPr>
          <w:lang w:val="fr-FR"/>
        </w:rPr>
        <w:t>: Le pouvoir corrosif pour la peau d’un lot testé de production d’un mélange peut être con</w:t>
      </w:r>
      <w:r w:rsidR="00806818" w:rsidRPr="00FE4CC5">
        <w:rPr>
          <w:lang w:val="fr-FR"/>
        </w:rPr>
        <w:t xml:space="preserve">sidéré comme substantiellement </w:t>
      </w:r>
      <w:r w:rsidRPr="00FE4CC5">
        <w:rPr>
          <w:lang w:val="fr-FR"/>
        </w:rPr>
        <w:t>équivalent à celui d’un lot non testé du même produit commercial, lorsqu’il est produit par ou sous le contrôle du même fabricant, sauf s’il y a une raison de croire qu’il existe une variation importante ayant pu modifier le pouvoir corrosif pour la peau du lot non testé. Si tel est le cas, une nouvelle classification s’impose</w:t>
      </w:r>
      <w:r w:rsidR="009722DE" w:rsidRPr="00FE4CC5">
        <w:rPr>
          <w:lang w:val="fr-FR"/>
        </w:rPr>
        <w:t>;</w:t>
      </w:r>
    </w:p>
    <w:p w14:paraId="5A9AC01B" w14:textId="0B25EEB2" w:rsidR="001A0EB0" w:rsidRPr="00FE4CC5" w:rsidRDefault="001A0EB0" w:rsidP="001A0EB0">
      <w:pPr>
        <w:spacing w:before="120" w:after="120" w:line="240" w:lineRule="auto"/>
        <w:ind w:left="2268" w:right="1134"/>
        <w:jc w:val="both"/>
        <w:rPr>
          <w:lang w:val="fr-FR"/>
        </w:rPr>
      </w:pPr>
      <w:r w:rsidRPr="00FE4CC5">
        <w:rPr>
          <w:lang w:val="fr-FR"/>
        </w:rPr>
        <w:t>c)</w:t>
      </w:r>
      <w:r w:rsidRPr="00FE4CC5">
        <w:rPr>
          <w:lang w:val="fr-FR"/>
        </w:rPr>
        <w:tab/>
        <w:t>Concentration des mélanges du groupe d’emballage I</w:t>
      </w:r>
      <w:r w:rsidR="00D353A3" w:rsidRPr="00FE4CC5">
        <w:rPr>
          <w:lang w:val="fr-FR"/>
        </w:rPr>
        <w:t> </w:t>
      </w:r>
      <w:r w:rsidRPr="00FE4CC5">
        <w:rPr>
          <w:lang w:val="fr-FR"/>
        </w:rPr>
        <w:t>:</w:t>
      </w:r>
      <w:r w:rsidR="001A3B50" w:rsidRPr="00FE4CC5">
        <w:rPr>
          <w:lang w:val="fr-FR"/>
        </w:rPr>
        <w:t xml:space="preserve"> Si </w:t>
      </w:r>
      <w:r w:rsidRPr="00FE4CC5">
        <w:rPr>
          <w:lang w:val="fr-FR"/>
        </w:rPr>
        <w:t xml:space="preserve">un mélange </w:t>
      </w:r>
      <w:r w:rsidR="001A3B50" w:rsidRPr="00FE4CC5">
        <w:rPr>
          <w:lang w:val="fr-FR"/>
        </w:rPr>
        <w:t xml:space="preserve">éprouvé </w:t>
      </w:r>
      <w:r w:rsidRPr="00FE4CC5">
        <w:rPr>
          <w:lang w:val="fr-FR"/>
        </w:rPr>
        <w:t>remplit les critères du groupe d’emballage I et que l’on accroît la concentration, le nouveau mélange concentré non éprouvé doit être affecté au groupe d’emballage I sans essais supplémentaires</w:t>
      </w:r>
      <w:r w:rsidR="009722DE" w:rsidRPr="00FE4CC5">
        <w:rPr>
          <w:lang w:val="fr-FR"/>
        </w:rPr>
        <w:t>;</w:t>
      </w:r>
    </w:p>
    <w:p w14:paraId="7DC8B65A" w14:textId="72117EE5" w:rsidR="001A0EB0" w:rsidRPr="00FE4CC5" w:rsidRDefault="001A0EB0" w:rsidP="001A0EB0">
      <w:pPr>
        <w:spacing w:before="120" w:after="120" w:line="240" w:lineRule="auto"/>
        <w:ind w:left="2268" w:right="1134"/>
        <w:jc w:val="both"/>
        <w:rPr>
          <w:lang w:val="fr-FR"/>
        </w:rPr>
      </w:pPr>
      <w:r w:rsidRPr="00FE4CC5">
        <w:rPr>
          <w:lang w:val="fr-FR"/>
        </w:rPr>
        <w:t>d)</w:t>
      </w:r>
      <w:r w:rsidRPr="00FE4CC5">
        <w:rPr>
          <w:lang w:val="fr-FR"/>
        </w:rPr>
        <w:tab/>
      </w:r>
      <w:r w:rsidRPr="00FE4CC5">
        <w:rPr>
          <w:bCs/>
          <w:iCs/>
          <w:lang w:val="fr-FR"/>
        </w:rPr>
        <w:t>Interpolation au sein d’un même groupe d’emballage</w:t>
      </w:r>
      <w:r w:rsidR="00D353A3" w:rsidRPr="00FE4CC5">
        <w:rPr>
          <w:lang w:val="fr-FR"/>
        </w:rPr>
        <w:t> </w:t>
      </w:r>
      <w:r w:rsidRPr="00FE4CC5">
        <w:rPr>
          <w:bCs/>
          <w:iCs/>
          <w:lang w:val="fr-FR"/>
        </w:rPr>
        <w:t xml:space="preserve">: </w:t>
      </w:r>
      <w:r w:rsidRPr="00FE4CC5">
        <w:rPr>
          <w:lang w:val="fr-FR"/>
        </w:rPr>
        <w:t>Dans le cas de trois mélanges (A, B et C) de composants identiques, où les mélanges A et B ont été testés et sont dans le même groupe d’emballage par rapport à la corrosion cutanée, et où le mélange C non testé contient les mêmes composants de la classe 8 que les mélanges A et B mais à des concentrations comprises entre celles de ces composants dans les mélanges A et B, on considère que le mélange C appartient au même groupe d’emballage par rapport à la corrosion cutanée que A et B</w:t>
      </w:r>
      <w:r w:rsidR="009722DE" w:rsidRPr="00FE4CC5">
        <w:rPr>
          <w:lang w:val="fr-FR"/>
        </w:rPr>
        <w:t>;</w:t>
      </w:r>
    </w:p>
    <w:p w14:paraId="1808A624" w14:textId="1D29EE23" w:rsidR="001A0EB0" w:rsidRPr="00FE4CC5" w:rsidRDefault="001A0EB0" w:rsidP="001A0EB0">
      <w:pPr>
        <w:spacing w:before="120" w:after="120" w:line="240" w:lineRule="auto"/>
        <w:ind w:left="2268" w:right="1134"/>
        <w:jc w:val="both"/>
        <w:rPr>
          <w:bCs/>
          <w:iCs/>
          <w:lang w:val="fr-FR"/>
        </w:rPr>
      </w:pPr>
      <w:r w:rsidRPr="00FE4CC5">
        <w:rPr>
          <w:lang w:val="fr-FR"/>
        </w:rPr>
        <w:t>e)</w:t>
      </w:r>
      <w:r w:rsidRPr="00FE4CC5">
        <w:rPr>
          <w:lang w:val="fr-FR"/>
        </w:rPr>
        <w:tab/>
      </w:r>
      <w:r w:rsidRPr="00FE4CC5">
        <w:rPr>
          <w:bCs/>
          <w:iCs/>
          <w:lang w:val="fr-FR"/>
        </w:rPr>
        <w:t>Mélanges globalement similaires</w:t>
      </w:r>
      <w:r w:rsidR="00D353A3" w:rsidRPr="00FE4CC5">
        <w:rPr>
          <w:lang w:val="fr-FR"/>
        </w:rPr>
        <w:t> </w:t>
      </w:r>
      <w:r w:rsidRPr="00FE4CC5">
        <w:rPr>
          <w:bCs/>
          <w:iCs/>
          <w:lang w:val="fr-FR"/>
        </w:rPr>
        <w:t>:</w:t>
      </w:r>
      <w:r w:rsidRPr="00FE4CC5">
        <w:rPr>
          <w:bCs/>
          <w:i/>
          <w:iCs/>
          <w:lang w:val="fr-FR"/>
        </w:rPr>
        <w:t xml:space="preserve"> </w:t>
      </w:r>
      <w:r w:rsidRPr="00FE4CC5">
        <w:rPr>
          <w:bCs/>
          <w:iCs/>
          <w:lang w:val="fr-FR"/>
        </w:rPr>
        <w:t>Dans le cas suivant:</w:t>
      </w:r>
    </w:p>
    <w:p w14:paraId="1EDA67E8" w14:textId="30813FFC" w:rsidR="001A0EB0" w:rsidRPr="00FE4CC5" w:rsidRDefault="001A0EB0" w:rsidP="001A0EB0">
      <w:pPr>
        <w:spacing w:before="120" w:after="120" w:line="240" w:lineRule="auto"/>
        <w:ind w:left="2835" w:right="1134"/>
        <w:jc w:val="both"/>
        <w:rPr>
          <w:bCs/>
          <w:iCs/>
          <w:lang w:val="fr-FR"/>
        </w:rPr>
      </w:pPr>
      <w:r w:rsidRPr="00FE4CC5">
        <w:rPr>
          <w:bCs/>
          <w:iCs/>
          <w:lang w:val="fr-FR"/>
        </w:rPr>
        <w:tab/>
        <w:t>i)</w:t>
      </w:r>
      <w:r w:rsidRPr="00FE4CC5">
        <w:rPr>
          <w:bCs/>
          <w:iCs/>
          <w:lang w:val="fr-FR"/>
        </w:rPr>
        <w:tab/>
        <w:t>Deux mélanges</w:t>
      </w:r>
      <w:r w:rsidRPr="00FE4CC5">
        <w:rPr>
          <w:bCs/>
          <w:iCs/>
          <w:lang w:val="fr-FR"/>
        </w:rPr>
        <w:tab/>
        <w:t>(A + B) et (C + B);</w:t>
      </w:r>
    </w:p>
    <w:p w14:paraId="3BD0E4EE" w14:textId="132EDA8D" w:rsidR="001A0EB0" w:rsidRPr="00FE4CC5" w:rsidRDefault="001A0EB0" w:rsidP="001A0EB0">
      <w:pPr>
        <w:spacing w:before="120" w:after="120" w:line="240" w:lineRule="auto"/>
        <w:ind w:left="2835" w:right="1134"/>
        <w:jc w:val="both"/>
        <w:rPr>
          <w:bCs/>
          <w:iCs/>
          <w:lang w:val="fr-FR"/>
        </w:rPr>
      </w:pPr>
      <w:r w:rsidRPr="00FE4CC5">
        <w:rPr>
          <w:bCs/>
          <w:iCs/>
          <w:lang w:val="fr-FR"/>
        </w:rPr>
        <w:tab/>
        <w:t>ii)</w:t>
      </w:r>
      <w:r w:rsidRPr="00FE4CC5">
        <w:rPr>
          <w:bCs/>
          <w:iCs/>
          <w:lang w:val="fr-FR"/>
        </w:rPr>
        <w:tab/>
        <w:t>La concentration du composant B est la même dans les deux mélanges;</w:t>
      </w:r>
    </w:p>
    <w:p w14:paraId="57EB5A66" w14:textId="125C4F1B" w:rsidR="001A0EB0" w:rsidRPr="00FE4CC5" w:rsidRDefault="001A0EB0" w:rsidP="001A0EB0">
      <w:pPr>
        <w:spacing w:before="120" w:after="120" w:line="240" w:lineRule="auto"/>
        <w:ind w:left="2835" w:right="1134"/>
        <w:jc w:val="both"/>
        <w:rPr>
          <w:bCs/>
          <w:iCs/>
          <w:lang w:val="fr-FR"/>
        </w:rPr>
      </w:pPr>
      <w:r w:rsidRPr="00FE4CC5">
        <w:rPr>
          <w:bCs/>
          <w:iCs/>
          <w:lang w:val="fr-FR"/>
        </w:rPr>
        <w:tab/>
        <w:t>iii)</w:t>
      </w:r>
      <w:r w:rsidRPr="00FE4CC5">
        <w:rPr>
          <w:bCs/>
          <w:iCs/>
          <w:lang w:val="fr-FR"/>
        </w:rPr>
        <w:tab/>
        <w:t xml:space="preserve">La concentration </w:t>
      </w:r>
      <w:r w:rsidR="00FA4265" w:rsidRPr="00FE4CC5">
        <w:rPr>
          <w:bCs/>
          <w:iCs/>
          <w:lang w:val="fr-FR"/>
        </w:rPr>
        <w:t>du composant</w:t>
      </w:r>
      <w:r w:rsidRPr="00FE4CC5">
        <w:rPr>
          <w:bCs/>
          <w:iCs/>
          <w:lang w:val="fr-FR"/>
        </w:rPr>
        <w:t xml:space="preserve"> A dans le mélange </w:t>
      </w:r>
      <w:r w:rsidR="007E0744" w:rsidRPr="00FE4CC5">
        <w:rPr>
          <w:bCs/>
          <w:iCs/>
          <w:lang w:val="fr-FR"/>
        </w:rPr>
        <w:t>(A + B)</w:t>
      </w:r>
      <w:r w:rsidRPr="00FE4CC5">
        <w:rPr>
          <w:bCs/>
          <w:iCs/>
          <w:lang w:val="fr-FR"/>
        </w:rPr>
        <w:t xml:space="preserve"> est égale à celle de C dans </w:t>
      </w:r>
      <w:r w:rsidR="00FA4265" w:rsidRPr="00FE4CC5">
        <w:rPr>
          <w:bCs/>
          <w:iCs/>
          <w:lang w:val="fr-FR"/>
        </w:rPr>
        <w:t xml:space="preserve">le mélange </w:t>
      </w:r>
      <w:r w:rsidR="007E0744" w:rsidRPr="00FE4CC5">
        <w:rPr>
          <w:bCs/>
          <w:iCs/>
          <w:lang w:val="fr-FR"/>
        </w:rPr>
        <w:t>(C + B)</w:t>
      </w:r>
      <w:r w:rsidRPr="00FE4CC5">
        <w:rPr>
          <w:bCs/>
          <w:iCs/>
          <w:lang w:val="fr-FR"/>
        </w:rPr>
        <w:t>;</w:t>
      </w:r>
    </w:p>
    <w:p w14:paraId="7AF7D005" w14:textId="1E73C5BB" w:rsidR="001A0EB0" w:rsidRPr="00FE4CC5" w:rsidRDefault="001A0EB0" w:rsidP="001A0EB0">
      <w:pPr>
        <w:spacing w:before="120" w:after="120" w:line="240" w:lineRule="auto"/>
        <w:ind w:left="2835" w:right="1134"/>
        <w:jc w:val="both"/>
        <w:rPr>
          <w:bCs/>
          <w:iCs/>
          <w:lang w:val="fr-FR"/>
        </w:rPr>
      </w:pPr>
      <w:r w:rsidRPr="00FE4CC5">
        <w:rPr>
          <w:bCs/>
          <w:iCs/>
          <w:lang w:val="fr-FR"/>
        </w:rPr>
        <w:tab/>
        <w:t>iv)</w:t>
      </w:r>
      <w:r w:rsidRPr="00FE4CC5">
        <w:rPr>
          <w:bCs/>
          <w:iCs/>
          <w:lang w:val="fr-FR"/>
        </w:rPr>
        <w:tab/>
        <w:t xml:space="preserve">Les données de corrosion cutanée </w:t>
      </w:r>
      <w:r w:rsidR="00FA4265" w:rsidRPr="00FE4CC5">
        <w:rPr>
          <w:bCs/>
          <w:iCs/>
          <w:lang w:val="fr-FR"/>
        </w:rPr>
        <w:t>des composants</w:t>
      </w:r>
      <w:r w:rsidRPr="00FE4CC5">
        <w:rPr>
          <w:bCs/>
          <w:iCs/>
          <w:lang w:val="fr-FR"/>
        </w:rPr>
        <w:t xml:space="preserve"> A et C sont </w:t>
      </w:r>
      <w:r w:rsidR="00FA4265" w:rsidRPr="00FE4CC5">
        <w:rPr>
          <w:bCs/>
          <w:iCs/>
          <w:lang w:val="fr-FR"/>
        </w:rPr>
        <w:t xml:space="preserve">disponibles et </w:t>
      </w:r>
      <w:r w:rsidRPr="00FE4CC5">
        <w:rPr>
          <w:bCs/>
          <w:iCs/>
          <w:lang w:val="fr-FR"/>
        </w:rPr>
        <w:t>essentiellement équivalentes (donc A et C sont dans le m</w:t>
      </w:r>
      <w:r w:rsidRPr="00FE4CC5">
        <w:rPr>
          <w:lang w:val="fr-FR"/>
        </w:rPr>
        <w:t>ême groupe d’emballage par rapport à la corrosion cutanée</w:t>
      </w:r>
      <w:r w:rsidRPr="00FE4CC5">
        <w:rPr>
          <w:bCs/>
          <w:iCs/>
          <w:lang w:val="fr-FR"/>
        </w:rPr>
        <w:t xml:space="preserve"> et ils n’affectent pas le pouvoir de corrosion cutanée de B).</w:t>
      </w:r>
    </w:p>
    <w:p w14:paraId="0FF44F46" w14:textId="691B825A" w:rsidR="001A0EB0" w:rsidRPr="00FE4CC5" w:rsidRDefault="001A0EB0" w:rsidP="001A0EB0">
      <w:pPr>
        <w:spacing w:before="120" w:after="120" w:line="240" w:lineRule="auto"/>
        <w:ind w:left="2268" w:right="1134"/>
        <w:jc w:val="both"/>
        <w:rPr>
          <w:bCs/>
          <w:iCs/>
          <w:lang w:val="fr-FR"/>
        </w:rPr>
      </w:pPr>
      <w:r w:rsidRPr="00FE4CC5">
        <w:rPr>
          <w:bCs/>
          <w:iCs/>
          <w:lang w:val="fr-FR"/>
        </w:rPr>
        <w:tab/>
      </w:r>
      <w:r w:rsidRPr="00FE4CC5">
        <w:rPr>
          <w:bCs/>
          <w:iCs/>
          <w:lang w:val="fr-FR"/>
        </w:rPr>
        <w:tab/>
        <w:t xml:space="preserve">Si le mélange </w:t>
      </w:r>
      <w:r w:rsidR="007E0744" w:rsidRPr="00FE4CC5">
        <w:rPr>
          <w:bCs/>
          <w:iCs/>
          <w:lang w:val="fr-FR"/>
        </w:rPr>
        <w:t xml:space="preserve">(A + B) </w:t>
      </w:r>
      <w:r w:rsidRPr="00FE4CC5">
        <w:rPr>
          <w:bCs/>
          <w:iCs/>
          <w:lang w:val="fr-FR"/>
        </w:rPr>
        <w:t xml:space="preserve">ou </w:t>
      </w:r>
      <w:r w:rsidR="007E0744" w:rsidRPr="00FE4CC5">
        <w:rPr>
          <w:bCs/>
          <w:iCs/>
          <w:lang w:val="fr-FR"/>
        </w:rPr>
        <w:t>(C + B)</w:t>
      </w:r>
      <w:r w:rsidRPr="00FE4CC5">
        <w:rPr>
          <w:bCs/>
          <w:iCs/>
          <w:lang w:val="fr-FR"/>
        </w:rPr>
        <w:t xml:space="preserve"> est déjà classé d’après des données expérimentales, l’autre mélange peut être classé dans le même groupe d’emballage.</w:t>
      </w:r>
    </w:p>
    <w:p w14:paraId="2A91E2DC" w14:textId="29538B9F" w:rsidR="001A0EB0" w:rsidRPr="00FE4CC5" w:rsidRDefault="007F7E4E" w:rsidP="00D353A3">
      <w:pPr>
        <w:tabs>
          <w:tab w:val="left" w:pos="2268"/>
        </w:tabs>
        <w:spacing w:before="120" w:after="120" w:line="240" w:lineRule="auto"/>
        <w:ind w:left="1134" w:right="1134"/>
        <w:jc w:val="both"/>
        <w:rPr>
          <w:bCs/>
          <w:lang w:val="fr-FR"/>
        </w:rPr>
      </w:pPr>
      <w:r w:rsidRPr="00FE4CC5">
        <w:rPr>
          <w:lang w:val="fr-FR"/>
        </w:rPr>
        <w:t>2.2.8.1.6.3</w:t>
      </w:r>
      <w:r w:rsidR="001A0EB0" w:rsidRPr="00FE4CC5">
        <w:rPr>
          <w:lang w:val="fr-FR"/>
        </w:rPr>
        <w:tab/>
        <w:t>Méthode de calcul fondée sur la classification des matières</w:t>
      </w:r>
    </w:p>
    <w:p w14:paraId="39B8CEC4" w14:textId="052016A7" w:rsidR="001A0EB0" w:rsidRPr="00FE4CC5" w:rsidRDefault="007F7E4E" w:rsidP="00D353A3">
      <w:pPr>
        <w:tabs>
          <w:tab w:val="left" w:pos="2268"/>
        </w:tabs>
        <w:spacing w:before="120" w:after="120" w:line="240" w:lineRule="auto"/>
        <w:ind w:left="1134" w:right="1134"/>
        <w:jc w:val="both"/>
        <w:rPr>
          <w:lang w:val="fr-FR"/>
        </w:rPr>
      </w:pPr>
      <w:r w:rsidRPr="00FE4CC5">
        <w:rPr>
          <w:lang w:val="fr-FR"/>
        </w:rPr>
        <w:t>2.2.8.1.6.3.1</w:t>
      </w:r>
      <w:r w:rsidR="001A0EB0" w:rsidRPr="00FE4CC5">
        <w:rPr>
          <w:lang w:val="fr-FR"/>
        </w:rPr>
        <w:tab/>
        <w:t xml:space="preserve">Lorsqu’un mélange n’a pas été testé pour ce qui est de </w:t>
      </w:r>
      <w:r w:rsidR="00FA4265" w:rsidRPr="00FE4CC5">
        <w:rPr>
          <w:lang w:val="fr-FR"/>
        </w:rPr>
        <w:t>son potentiel de</w:t>
      </w:r>
      <w:r w:rsidR="001A0EB0" w:rsidRPr="00FE4CC5">
        <w:rPr>
          <w:lang w:val="fr-FR"/>
        </w:rPr>
        <w:t xml:space="preserve"> corrosion cutanée </w:t>
      </w:r>
      <w:r w:rsidR="00FA4265" w:rsidRPr="00FE4CC5">
        <w:rPr>
          <w:lang w:val="fr-FR"/>
        </w:rPr>
        <w:t>ou</w:t>
      </w:r>
      <w:r w:rsidR="001A0EB0" w:rsidRPr="00FE4CC5">
        <w:rPr>
          <w:lang w:val="fr-FR"/>
        </w:rPr>
        <w:t xml:space="preserve"> que les données sur les mélanges similaires sont insuffisantes, les propriétés corrosives des matières du mélange doivent être prises en considération aux fins de classification et d’affectation aux groupes d’emballage. </w:t>
      </w:r>
    </w:p>
    <w:p w14:paraId="01E0FB91" w14:textId="47DEF25A" w:rsidR="001A0EB0" w:rsidRPr="00FE4CC5" w:rsidRDefault="001A0EB0" w:rsidP="00D353A3">
      <w:pPr>
        <w:tabs>
          <w:tab w:val="left" w:pos="2268"/>
          <w:tab w:val="left" w:pos="2835"/>
        </w:tabs>
        <w:spacing w:before="120" w:after="120" w:line="240" w:lineRule="auto"/>
        <w:ind w:left="1134" w:right="1134"/>
        <w:jc w:val="both"/>
        <w:rPr>
          <w:lang w:val="fr-FR"/>
        </w:rPr>
      </w:pPr>
      <w:r w:rsidRPr="00FE4CC5">
        <w:rPr>
          <w:lang w:val="fr-FR"/>
        </w:rPr>
        <w:t xml:space="preserve">L’utilisation de la méthode de calcul n’est autorisée que </w:t>
      </w:r>
      <w:r w:rsidR="003F59CB" w:rsidRPr="00FE4CC5">
        <w:rPr>
          <w:lang w:val="fr-FR"/>
        </w:rPr>
        <w:t>lorsqu’il n’y a pas d’</w:t>
      </w:r>
      <w:r w:rsidRPr="00FE4CC5">
        <w:rPr>
          <w:lang w:val="fr-FR"/>
        </w:rPr>
        <w:t xml:space="preserve">effets synergiques </w:t>
      </w:r>
      <w:r w:rsidR="003F59CB" w:rsidRPr="00FE4CC5">
        <w:rPr>
          <w:lang w:val="fr-FR"/>
        </w:rPr>
        <w:t xml:space="preserve">qui </w:t>
      </w:r>
      <w:r w:rsidRPr="00FE4CC5">
        <w:rPr>
          <w:lang w:val="fr-FR"/>
        </w:rPr>
        <w:t>rendent le mélange plus corrosif que la somme de ses matières. Cette restriction s’applique uniquement si le mélange est affecté au groupe d’emballage II ou III.</w:t>
      </w:r>
    </w:p>
    <w:p w14:paraId="2F1F8C4B" w14:textId="5DABDA74" w:rsidR="001A0EB0" w:rsidRPr="00FE4CC5" w:rsidRDefault="007F7E4E" w:rsidP="00D353A3">
      <w:pPr>
        <w:tabs>
          <w:tab w:val="left" w:pos="2268"/>
          <w:tab w:val="left" w:pos="2835"/>
        </w:tabs>
        <w:spacing w:before="120" w:after="120" w:line="240" w:lineRule="auto"/>
        <w:ind w:left="1134" w:right="1134"/>
        <w:jc w:val="both"/>
        <w:rPr>
          <w:lang w:val="fr-FR"/>
        </w:rPr>
      </w:pPr>
      <w:r w:rsidRPr="00FE4CC5">
        <w:rPr>
          <w:lang w:val="fr-FR"/>
        </w:rPr>
        <w:t>2.2.8.1.6.3.2</w:t>
      </w:r>
      <w:r w:rsidR="001A0EB0" w:rsidRPr="00FE4CC5">
        <w:rPr>
          <w:lang w:val="fr-FR"/>
        </w:rPr>
        <w:tab/>
      </w:r>
      <w:r w:rsidR="00F15029" w:rsidRPr="00FE4CC5">
        <w:t>Lors de l’utilisation de la méthode de calcul, il faut tenir compte de tous les composants de la classe 8 présents dans le mélange à une concentration ≥ 1%, ou à &lt; 1% s’il est toujours pertinent de tenir compte de ces composants aux fins de classification du mélange comme corrosif pour la peau.</w:t>
      </w:r>
    </w:p>
    <w:p w14:paraId="6855EFF0" w14:textId="473C9F33" w:rsidR="001A0EB0" w:rsidRPr="00D85D88" w:rsidRDefault="007F7E4E" w:rsidP="00D353A3">
      <w:pPr>
        <w:tabs>
          <w:tab w:val="left" w:pos="2268"/>
          <w:tab w:val="left" w:pos="2835"/>
        </w:tabs>
        <w:spacing w:before="120" w:after="120" w:line="240" w:lineRule="auto"/>
        <w:ind w:left="1134" w:right="1134"/>
        <w:jc w:val="both"/>
        <w:rPr>
          <w:lang w:val="fr-FR"/>
        </w:rPr>
      </w:pPr>
      <w:r w:rsidRPr="00D85D88">
        <w:rPr>
          <w:lang w:val="fr-FR"/>
        </w:rPr>
        <w:lastRenderedPageBreak/>
        <w:t>2.2.8.1.6.3.3</w:t>
      </w:r>
      <w:r w:rsidR="001A0EB0" w:rsidRPr="00D85D88">
        <w:rPr>
          <w:lang w:val="fr-FR"/>
        </w:rPr>
        <w:tab/>
        <w:t>Pour déterminer si un mélange contenant des substances corrosives doit être considéré comme un mélange corrosif et être affecté à un groupe d’emballage, la méthode de calcul de l’organigramme de la figure </w:t>
      </w:r>
      <w:r w:rsidRPr="00D85D88">
        <w:rPr>
          <w:lang w:val="fr-FR"/>
        </w:rPr>
        <w:t xml:space="preserve">2.2.8.1.6.3 </w:t>
      </w:r>
      <w:r w:rsidR="001A0EB0" w:rsidRPr="00D85D88">
        <w:rPr>
          <w:lang w:val="fr-FR"/>
        </w:rPr>
        <w:t xml:space="preserve">doit être utilisée. </w:t>
      </w:r>
    </w:p>
    <w:p w14:paraId="43E2C119" w14:textId="5576961A" w:rsidR="001A0EB0" w:rsidRPr="00D85D88" w:rsidRDefault="007F7E4E" w:rsidP="00D353A3">
      <w:pPr>
        <w:tabs>
          <w:tab w:val="left" w:pos="2268"/>
          <w:tab w:val="left" w:pos="2835"/>
        </w:tabs>
        <w:spacing w:before="120" w:after="120" w:line="240" w:lineRule="auto"/>
        <w:ind w:left="1134" w:right="1134"/>
        <w:jc w:val="both"/>
        <w:rPr>
          <w:lang w:val="fr-FR"/>
        </w:rPr>
      </w:pPr>
      <w:r w:rsidRPr="00D85D88">
        <w:rPr>
          <w:lang w:val="fr-FR"/>
        </w:rPr>
        <w:t>2.2.8.1.6.3.4</w:t>
      </w:r>
      <w:r w:rsidR="001A0EB0" w:rsidRPr="00D85D88">
        <w:rPr>
          <w:lang w:val="fr-FR"/>
        </w:rPr>
        <w:tab/>
        <w:t xml:space="preserve">Lorsqu’une limite de concentration spécifique est attribuée à une matière à la suite de son intégration </w:t>
      </w:r>
      <w:r w:rsidRPr="00D85D88">
        <w:rPr>
          <w:lang w:val="fr-FR"/>
        </w:rPr>
        <w:t>au tableau A du chapitre 3.2</w:t>
      </w:r>
      <w:r w:rsidR="001A0EB0" w:rsidRPr="00D85D88">
        <w:rPr>
          <w:lang w:val="fr-FR"/>
        </w:rPr>
        <w:t xml:space="preserve"> ou à une disposition spéciale, cette limite doit être utilisée en remplacement des limites génériques. </w:t>
      </w:r>
      <w:r w:rsidR="00FA4265" w:rsidRPr="00D85D88">
        <w:rPr>
          <w:lang w:val="fr-FR"/>
        </w:rPr>
        <w:t>Cela apparaît lorsque</w:t>
      </w:r>
      <w:r w:rsidR="001A0EB0" w:rsidRPr="00D85D88">
        <w:rPr>
          <w:lang w:val="fr-FR"/>
        </w:rPr>
        <w:t xml:space="preserve"> la valeur 1 % </w:t>
      </w:r>
      <w:r w:rsidR="00FA4265" w:rsidRPr="00D85D88">
        <w:rPr>
          <w:lang w:val="fr-FR"/>
        </w:rPr>
        <w:t xml:space="preserve">est utilisée </w:t>
      </w:r>
      <w:r w:rsidR="001A0EB0" w:rsidRPr="00D85D88">
        <w:rPr>
          <w:lang w:val="fr-FR"/>
        </w:rPr>
        <w:t xml:space="preserve">à la première étape de l’évaluation des matières du groupe d’emballage I, puis 5 % pour les étapes suivantes, dans la figure </w:t>
      </w:r>
      <w:r w:rsidRPr="00D85D88">
        <w:rPr>
          <w:lang w:val="fr-FR"/>
        </w:rPr>
        <w:t>2.2.8.1.6.3</w:t>
      </w:r>
      <w:r w:rsidR="001A0EB0" w:rsidRPr="00D85D88">
        <w:rPr>
          <w:lang w:val="fr-FR"/>
        </w:rPr>
        <w:t>.</w:t>
      </w:r>
    </w:p>
    <w:p w14:paraId="6D16C009" w14:textId="61AC0E1A" w:rsidR="001A0EB0" w:rsidRPr="00D85D88" w:rsidRDefault="00DF4228" w:rsidP="00D353A3">
      <w:pPr>
        <w:tabs>
          <w:tab w:val="left" w:pos="2268"/>
          <w:tab w:val="left" w:pos="2552"/>
          <w:tab w:val="left" w:pos="2835"/>
        </w:tabs>
        <w:spacing w:before="120" w:after="120" w:line="240" w:lineRule="auto"/>
        <w:ind w:left="1134" w:right="1134"/>
        <w:jc w:val="both"/>
        <w:rPr>
          <w:lang w:val="fr-FR"/>
        </w:rPr>
      </w:pPr>
      <w:r w:rsidRPr="00D85D88">
        <w:rPr>
          <w:lang w:val="fr-FR"/>
        </w:rPr>
        <w:t>2.2.8.1.6.3.5</w:t>
      </w:r>
      <w:r w:rsidR="00D353A3" w:rsidRPr="00D85D88">
        <w:rPr>
          <w:lang w:val="fr-FR"/>
        </w:rPr>
        <w:tab/>
      </w:r>
      <w:r w:rsidR="001A0EB0" w:rsidRPr="00D85D88">
        <w:rPr>
          <w:lang w:val="fr-FR"/>
        </w:rPr>
        <w:t>À cette fin, la formule cumulative utilisée à chaque étape du calcul doit être adaptée. Cela signifie que, le cas échéant, la limite de concentration générique doit être remplacée par la limite spécifique attribuée à la matière ou aux matières concernées, et que la formule adaptée correspond à une moyenne pondérée des différentes limites de concentration attribuées aux différentes mat</w:t>
      </w:r>
      <w:r w:rsidR="00771312" w:rsidRPr="00D85D88">
        <w:rPr>
          <w:lang w:val="fr-FR"/>
        </w:rPr>
        <w:t>ières présentes dans le mélange</w:t>
      </w:r>
      <w:r w:rsidR="001A0EB0" w:rsidRPr="00D85D88">
        <w:rPr>
          <w:lang w:val="fr-FR"/>
        </w:rPr>
        <w:t>:</w:t>
      </w:r>
    </w:p>
    <w:p w14:paraId="40F04573" w14:textId="77777777" w:rsidR="007F7E4E" w:rsidRPr="00D85D88" w:rsidRDefault="00B76415" w:rsidP="007F7E4E">
      <w:pPr>
        <w:pStyle w:val="SingleTxtG"/>
        <w:rPr>
          <w:lang w:val="fr-FR"/>
        </w:rPr>
      </w:pPr>
      <m:oMathPara>
        <m:oMath>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1</m:t>
                  </m:r>
                </m:sub>
              </m:sSub>
            </m:num>
            <m:den>
              <m:r>
                <w:rPr>
                  <w:rFonts w:ascii="Cambria Math" w:hAnsi="Cambria Math"/>
                  <w:lang w:val="fr-FR"/>
                </w:rPr>
                <m:t>GCL</m:t>
              </m:r>
            </m:den>
          </m:f>
          <m:r>
            <w:rPr>
              <w:rFonts w:ascii="Cambria Math" w:hAnsi="Cambria Math"/>
              <w:lang w:val="fr-FR"/>
            </w:rPr>
            <m:t xml:space="preserve">+ </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2</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2</m:t>
                  </m:r>
                </m:sub>
              </m:sSub>
            </m:den>
          </m:f>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i</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i</m:t>
                  </m:r>
                </m:sub>
              </m:sSub>
            </m:den>
          </m:f>
          <m:r>
            <w:rPr>
              <w:rFonts w:ascii="Cambria Math" w:hAnsi="Cambria Math"/>
              <w:lang w:val="fr-FR"/>
            </w:rPr>
            <m:t>≥1</m:t>
          </m:r>
        </m:oMath>
      </m:oMathPara>
    </w:p>
    <w:p w14:paraId="3F2E767C" w14:textId="0A2E256B" w:rsidR="001A0EB0" w:rsidRPr="00D85D88" w:rsidRDefault="001A0EB0" w:rsidP="001A0EB0">
      <w:pPr>
        <w:spacing w:before="120" w:after="120" w:line="240" w:lineRule="auto"/>
        <w:ind w:left="1134" w:right="1134"/>
        <w:jc w:val="both"/>
        <w:rPr>
          <w:lang w:val="fr-FR"/>
        </w:rPr>
      </w:pPr>
      <w:r w:rsidRPr="00D85D88">
        <w:rPr>
          <w:lang w:val="fr-FR"/>
        </w:rPr>
        <w:t>où:</w:t>
      </w:r>
    </w:p>
    <w:p w14:paraId="74845473" w14:textId="77777777" w:rsidR="001A0EB0" w:rsidRPr="00D85D88" w:rsidRDefault="001A0EB0" w:rsidP="001A0EB0">
      <w:pPr>
        <w:spacing w:before="120" w:after="120" w:line="240" w:lineRule="auto"/>
        <w:ind w:left="1134" w:right="1134"/>
        <w:jc w:val="both"/>
        <w:rPr>
          <w:lang w:val="fr-FR"/>
        </w:rPr>
      </w:pPr>
      <w:r w:rsidRPr="00D85D88">
        <w:rPr>
          <w:lang w:val="fr-FR"/>
        </w:rPr>
        <w:t>PG x</w:t>
      </w:r>
      <w:r w:rsidRPr="00D85D88">
        <w:rPr>
          <w:vertAlign w:val="subscript"/>
          <w:lang w:val="fr-FR"/>
        </w:rPr>
        <w:t>i</w:t>
      </w:r>
      <w:r w:rsidRPr="00D85D88">
        <w:rPr>
          <w:lang w:val="fr-FR"/>
        </w:rPr>
        <w:t xml:space="preserve"> = concentration de la matière 1, 2 …i dans le mélange, affectée au groupe d’emballage x (I, II ou III)</w:t>
      </w:r>
    </w:p>
    <w:p w14:paraId="13A8C514" w14:textId="77777777" w:rsidR="001A0EB0" w:rsidRPr="00D85D88" w:rsidRDefault="001A0EB0" w:rsidP="001A0EB0">
      <w:pPr>
        <w:spacing w:before="120" w:after="120" w:line="240" w:lineRule="auto"/>
        <w:ind w:left="1134" w:right="1134"/>
        <w:jc w:val="both"/>
        <w:rPr>
          <w:lang w:val="fr-FR"/>
        </w:rPr>
      </w:pPr>
      <w:r w:rsidRPr="00D85D88">
        <w:rPr>
          <w:lang w:val="fr-FR"/>
        </w:rPr>
        <w:t>GCL = limite de concentration générique</w:t>
      </w:r>
    </w:p>
    <w:p w14:paraId="4C9D4923" w14:textId="77777777" w:rsidR="001A0EB0" w:rsidRPr="00D85D88" w:rsidRDefault="001A0EB0" w:rsidP="001A0EB0">
      <w:pPr>
        <w:spacing w:before="120" w:after="120" w:line="240" w:lineRule="auto"/>
        <w:ind w:left="1134" w:right="1134"/>
        <w:jc w:val="both"/>
        <w:rPr>
          <w:lang w:val="fr-FR"/>
        </w:rPr>
      </w:pPr>
      <w:r w:rsidRPr="00D85D88">
        <w:rPr>
          <w:lang w:val="fr-FR"/>
        </w:rPr>
        <w:t>SCL</w:t>
      </w:r>
      <w:r w:rsidRPr="00D85D88">
        <w:rPr>
          <w:vertAlign w:val="subscript"/>
          <w:lang w:val="fr-FR"/>
        </w:rPr>
        <w:t>i</w:t>
      </w:r>
      <w:r w:rsidRPr="00D85D88">
        <w:rPr>
          <w:lang w:val="fr-FR"/>
        </w:rPr>
        <w:t xml:space="preserve"> = limite de concentration spécifique attribuée à la matière i </w:t>
      </w:r>
    </w:p>
    <w:p w14:paraId="5CE1CB2E" w14:textId="7F63FD78" w:rsidR="001A0EB0" w:rsidRPr="00D85D88" w:rsidRDefault="001A0EB0" w:rsidP="001A6D78">
      <w:pPr>
        <w:spacing w:before="120" w:after="120" w:line="240" w:lineRule="auto"/>
        <w:ind w:left="1134" w:right="1134"/>
        <w:jc w:val="both"/>
        <w:rPr>
          <w:lang w:val="fr-FR"/>
        </w:rPr>
      </w:pPr>
      <w:r w:rsidRPr="00D85D88">
        <w:rPr>
          <w:lang w:val="fr-FR"/>
        </w:rPr>
        <w:t>Le critère pour un groupe d’emballage est respecté si le résultat du calcul est ≥ 1.</w:t>
      </w:r>
      <w:r w:rsidR="007E0744" w:rsidRPr="00D85D88">
        <w:rPr>
          <w:lang w:val="fr-FR"/>
        </w:rPr>
        <w:t xml:space="preserve"> </w:t>
      </w:r>
      <w:r w:rsidRPr="00D85D88">
        <w:rPr>
          <w:lang w:val="fr-FR"/>
        </w:rPr>
        <w:t xml:space="preserve">Les limites de concentration génériques à utiliser pour l’évaluation à chaque étape de la méthode de calcul sont celles figurant dans la figure </w:t>
      </w:r>
      <w:r w:rsidR="007F7E4E" w:rsidRPr="00D85D88">
        <w:rPr>
          <w:lang w:val="fr-FR"/>
        </w:rPr>
        <w:t>2.2.8.1.6.3</w:t>
      </w:r>
      <w:r w:rsidRPr="00D85D88">
        <w:rPr>
          <w:lang w:val="fr-FR"/>
        </w:rPr>
        <w:t>.</w:t>
      </w:r>
    </w:p>
    <w:p w14:paraId="5D3C8CE9" w14:textId="77777777" w:rsidR="001A0EB0" w:rsidRPr="00D85D88" w:rsidRDefault="001A0EB0" w:rsidP="001A6D78">
      <w:pPr>
        <w:spacing w:before="120" w:after="120" w:line="240" w:lineRule="auto"/>
        <w:ind w:left="1134" w:right="1134"/>
        <w:jc w:val="both"/>
        <w:rPr>
          <w:spacing w:val="4"/>
          <w:lang w:val="fr-FR"/>
        </w:rPr>
      </w:pPr>
      <w:r w:rsidRPr="00D85D88">
        <w:rPr>
          <w:spacing w:val="4"/>
          <w:lang w:val="fr-FR"/>
        </w:rPr>
        <w:t>On trouvera des exemples d’application de la formule ci-dessus dans le NOTA ci-dessous.</w:t>
      </w:r>
    </w:p>
    <w:p w14:paraId="76F6A161" w14:textId="3DB05401" w:rsidR="001A0EB0" w:rsidRPr="00D85D88" w:rsidRDefault="001A0EB0" w:rsidP="001A0EB0">
      <w:pPr>
        <w:spacing w:before="120" w:after="120" w:line="240" w:lineRule="auto"/>
        <w:ind w:left="1134" w:right="1134"/>
        <w:jc w:val="both"/>
        <w:rPr>
          <w:i/>
          <w:lang w:val="fr-FR"/>
        </w:rPr>
      </w:pPr>
      <w:r w:rsidRPr="00D85D88">
        <w:rPr>
          <w:b/>
          <w:i/>
          <w:lang w:val="fr-FR"/>
        </w:rPr>
        <w:t>NOTA</w:t>
      </w:r>
      <w:r w:rsidR="00D353A3" w:rsidRPr="00D85D88">
        <w:rPr>
          <w:lang w:val="fr-FR"/>
        </w:rPr>
        <w:t> </w:t>
      </w:r>
      <w:r w:rsidRPr="00D85D88">
        <w:rPr>
          <w:b/>
          <w:i/>
          <w:lang w:val="fr-FR"/>
        </w:rPr>
        <w:t>:</w:t>
      </w:r>
      <w:r w:rsidRPr="00D85D88">
        <w:rPr>
          <w:i/>
          <w:lang w:val="fr-FR"/>
        </w:rPr>
        <w:tab/>
        <w:t>Exemples d’application de la formule ci-dessus</w:t>
      </w:r>
    </w:p>
    <w:p w14:paraId="6E9A052A" w14:textId="2A851156" w:rsidR="001A0EB0" w:rsidRPr="00D85D88" w:rsidRDefault="001A0EB0" w:rsidP="001A0EB0">
      <w:pPr>
        <w:spacing w:before="120" w:after="120" w:line="240" w:lineRule="auto"/>
        <w:ind w:left="1134" w:right="1134"/>
        <w:jc w:val="both"/>
        <w:rPr>
          <w:i/>
          <w:lang w:val="fr-FR"/>
        </w:rPr>
      </w:pPr>
      <w:r w:rsidRPr="00D85D88">
        <w:rPr>
          <w:i/>
          <w:lang w:val="fr-FR"/>
        </w:rPr>
        <w:t>Exemp</w:t>
      </w:r>
      <w:r w:rsidR="00771312" w:rsidRPr="00D85D88">
        <w:rPr>
          <w:i/>
          <w:lang w:val="fr-FR"/>
        </w:rPr>
        <w:t>le 1</w:t>
      </w:r>
      <w:r w:rsidR="00D353A3" w:rsidRPr="00D85D88">
        <w:rPr>
          <w:lang w:val="fr-FR"/>
        </w:rPr>
        <w:t> </w:t>
      </w:r>
      <w:r w:rsidRPr="00D85D88">
        <w:rPr>
          <w:i/>
          <w:lang w:val="fr-FR"/>
        </w:rPr>
        <w:t>: Un mélange contient une matière corrosive, à une concentration de 5 %, affectée au groupe d’emballage I sans lim</w:t>
      </w:r>
      <w:r w:rsidR="00771312" w:rsidRPr="00D85D88">
        <w:rPr>
          <w:i/>
          <w:lang w:val="fr-FR"/>
        </w:rPr>
        <w:t>ite de concentration spécifique</w:t>
      </w:r>
      <w:r w:rsidR="00D353A3" w:rsidRPr="00D85D88">
        <w:rPr>
          <w:lang w:val="fr-FR"/>
        </w:rPr>
        <w:t> </w:t>
      </w:r>
      <w:r w:rsidRPr="00D85D88">
        <w:rPr>
          <w:i/>
          <w:lang w:val="fr-FR"/>
        </w:rPr>
        <w:t>:</w:t>
      </w:r>
    </w:p>
    <w:p w14:paraId="64C2B476" w14:textId="46C3FBE6" w:rsidR="007F7E4E" w:rsidRPr="00D85D88" w:rsidRDefault="001A0EB0" w:rsidP="001A0EB0">
      <w:pPr>
        <w:spacing w:before="120" w:after="120" w:line="240" w:lineRule="auto"/>
        <w:ind w:left="1134" w:right="1134"/>
        <w:jc w:val="both"/>
        <w:rPr>
          <w:i/>
          <w:lang w:val="fr-FR"/>
        </w:rPr>
      </w:pPr>
      <w:r w:rsidRPr="00D85D88">
        <w:rPr>
          <w:i/>
          <w:lang w:val="fr-FR"/>
        </w:rPr>
        <w:t>Calc</w:t>
      </w:r>
      <w:r w:rsidR="00771312" w:rsidRPr="00D85D88">
        <w:rPr>
          <w:i/>
          <w:lang w:val="fr-FR"/>
        </w:rPr>
        <w:t>ul pour le groupe d’emballage I</w:t>
      </w:r>
      <w:r w:rsidR="00D353A3" w:rsidRPr="00D85D88">
        <w:rPr>
          <w:lang w:val="fr-FR"/>
        </w:rPr>
        <w:t> </w:t>
      </w:r>
      <w:r w:rsidRPr="00D85D88">
        <w:rPr>
          <w:i/>
          <w:lang w:val="fr-FR"/>
        </w:rPr>
        <w:t>:</w:t>
      </w:r>
    </w:p>
    <w:p w14:paraId="25C51113" w14:textId="354EDFCD" w:rsidR="001A0EB0" w:rsidRPr="00D85D88" w:rsidRDefault="007F7E4E" w:rsidP="001A0EB0">
      <w:pPr>
        <w:spacing w:before="120" w:after="120" w:line="240" w:lineRule="auto"/>
        <w:ind w:left="1134" w:right="1134"/>
        <w:jc w:val="both"/>
        <w:rPr>
          <w:lang w:val="fr-FR"/>
        </w:rPr>
      </w:pPr>
      <w:r w:rsidRPr="00D85D88">
        <w:rPr>
          <w:i/>
          <w:noProof/>
          <w:lang w:val="en-GB" w:eastAsia="en-GB"/>
        </w:rPr>
        <mc:AlternateContent>
          <mc:Choice Requires="wps">
            <w:drawing>
              <wp:anchor distT="0" distB="0" distL="114300" distR="114300" simplePos="0" relativeHeight="251659264" behindDoc="0" locked="0" layoutInCell="1" allowOverlap="1" wp14:anchorId="0CE79A4B" wp14:editId="568CED41">
                <wp:simplePos x="0" y="0"/>
                <wp:positionH relativeFrom="column">
                  <wp:posOffset>1483751</wp:posOffset>
                </wp:positionH>
                <wp:positionV relativeFrom="paragraph">
                  <wp:posOffset>73332</wp:posOffset>
                </wp:positionV>
                <wp:extent cx="170822" cy="80386"/>
                <wp:effectExtent l="0" t="19050" r="38735" b="34290"/>
                <wp:wrapNone/>
                <wp:docPr id="63" name="Flèche droite 28"/>
                <wp:cNvGraphicFramePr/>
                <a:graphic xmlns:a="http://schemas.openxmlformats.org/drawingml/2006/main">
                  <a:graphicData uri="http://schemas.microsoft.com/office/word/2010/wordprocessingShape">
                    <wps:wsp>
                      <wps:cNvSpPr/>
                      <wps:spPr>
                        <a:xfrm>
                          <a:off x="0" y="0"/>
                          <a:ext cx="170822" cy="80386"/>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1F03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116.85pt;margin-top:5.75pt;width:13.4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" adj="16518" fillcolor="windowText" strokecolor="windowText" strokeweight="2pt"/>
            </w:pict>
          </mc:Fallback>
        </mc:AlternateContent>
      </w:r>
      <w:r w:rsidR="001A0EB0" w:rsidRPr="00D85D88">
        <w:rPr>
          <w:i/>
          <w:lang w:val="fr-FR"/>
        </w:rPr>
        <w:t xml:space="preserve"> </w:t>
      </w:r>
      <m:oMath>
        <m:f>
          <m:fPr>
            <m:ctrlPr>
              <w:rPr>
                <w:rFonts w:ascii="Cambria Math" w:hAnsi="Cambria Math"/>
                <w:i/>
                <w:lang w:val="fr-FR"/>
              </w:rPr>
            </m:ctrlPr>
          </m:fPr>
          <m:num>
            <m:r>
              <w:rPr>
                <w:rFonts w:ascii="Cambria Math" w:hAnsi="Cambria Math"/>
                <w:lang w:val="fr-FR"/>
              </w:rPr>
              <m:t>5</m:t>
            </m:r>
          </m:num>
          <m:den>
            <m:r>
              <w:rPr>
                <w:rFonts w:ascii="Cambria Math" w:hAnsi="Cambria Math"/>
                <w:lang w:val="fr-FR"/>
              </w:rPr>
              <m:t>5 (GCL)</m:t>
            </m:r>
          </m:den>
        </m:f>
        <m:r>
          <w:rPr>
            <w:rFonts w:ascii="Cambria Math" w:hAnsi="Cambria Math"/>
            <w:lang w:val="fr-FR"/>
          </w:rPr>
          <m:t>=1</m:t>
        </m:r>
      </m:oMath>
      <w:r w:rsidR="001A0EB0" w:rsidRPr="00D85D88">
        <w:rPr>
          <w:i/>
          <w:spacing w:val="-1"/>
          <w:lang w:val="fr-FR"/>
        </w:rPr>
        <w:tab/>
      </w:r>
      <w:r w:rsidR="001A0EB0" w:rsidRPr="00D85D88">
        <w:rPr>
          <w:i/>
          <w:spacing w:val="-1"/>
          <w:lang w:val="fr-FR"/>
        </w:rPr>
        <w:tab/>
        <w:t>affecter à la classe 8,</w:t>
      </w:r>
      <w:r w:rsidR="001A0EB0" w:rsidRPr="00D85D88">
        <w:rPr>
          <w:i/>
          <w:lang w:val="fr-FR"/>
        </w:rPr>
        <w:t xml:space="preserve"> groupe d’emballage I</w:t>
      </w:r>
      <w:r w:rsidR="00CD142F" w:rsidRPr="00D85D88">
        <w:rPr>
          <w:i/>
          <w:lang w:val="fr-FR"/>
        </w:rPr>
        <w:t>.</w:t>
      </w:r>
    </w:p>
    <w:p w14:paraId="142CC046" w14:textId="7F4BBA85" w:rsidR="001A0EB0" w:rsidRPr="00D85D88" w:rsidRDefault="00771312" w:rsidP="001A0EB0">
      <w:pPr>
        <w:spacing w:before="120" w:after="120" w:line="240" w:lineRule="auto"/>
        <w:ind w:left="1134" w:right="1134"/>
        <w:jc w:val="both"/>
        <w:rPr>
          <w:i/>
          <w:lang w:val="fr-FR"/>
        </w:rPr>
      </w:pPr>
      <w:r w:rsidRPr="00D85D88">
        <w:rPr>
          <w:i/>
          <w:lang w:val="fr-FR"/>
        </w:rPr>
        <w:t>Exemple 2</w:t>
      </w:r>
      <w:r w:rsidR="00D353A3" w:rsidRPr="00D85D88">
        <w:rPr>
          <w:lang w:val="fr-FR"/>
        </w:rPr>
        <w:t> </w:t>
      </w:r>
      <w:r w:rsidR="001A0EB0" w:rsidRPr="00D85D88">
        <w:rPr>
          <w:i/>
          <w:lang w:val="fr-FR"/>
        </w:rPr>
        <w:t>: Un mélange contient trois matières corrosives pour la peau</w:t>
      </w:r>
      <w:r w:rsidR="007F7E4E" w:rsidRPr="00D85D88">
        <w:rPr>
          <w:i/>
          <w:lang w:val="fr-FR"/>
        </w:rPr>
        <w:t xml:space="preserve"> ; </w:t>
      </w:r>
      <w:r w:rsidR="001A0EB0" w:rsidRPr="00D85D88">
        <w:rPr>
          <w:i/>
          <w:lang w:val="fr-FR"/>
        </w:rPr>
        <w:t>dont deux (A et B) ont des limit</w:t>
      </w:r>
      <w:r w:rsidRPr="00D85D88">
        <w:rPr>
          <w:i/>
          <w:lang w:val="fr-FR"/>
        </w:rPr>
        <w:t>es de concentration spécifiques</w:t>
      </w:r>
      <w:r w:rsidR="001A0EB0" w:rsidRPr="00D85D88">
        <w:rPr>
          <w:i/>
          <w:lang w:val="fr-FR"/>
        </w:rPr>
        <w:t>; pour la troisième (C) la limite de concentration générique s’applique. Il n’est pas nécessaire de prendre le re</w:t>
      </w:r>
      <w:r w:rsidRPr="00D85D88">
        <w:rPr>
          <w:i/>
          <w:lang w:val="fr-FR"/>
        </w:rPr>
        <w:t>ste du mélange en considération</w:t>
      </w:r>
      <w:r w:rsidR="00D353A3" w:rsidRPr="00D85D88">
        <w:rPr>
          <w:lang w:val="fr-FR"/>
        </w:rPr>
        <w:t> </w:t>
      </w:r>
      <w:r w:rsidR="001A0EB0" w:rsidRPr="00D85D88">
        <w:rPr>
          <w:i/>
          <w:lang w:val="fr-FR"/>
        </w:rPr>
        <w:t>:</w:t>
      </w:r>
    </w:p>
    <w:tbl>
      <w:tblPr>
        <w:tblStyle w:val="TableGrid"/>
        <w:tblW w:w="7371" w:type="dxa"/>
        <w:tblInd w:w="1129" w:type="dxa"/>
        <w:tblLayout w:type="fixed"/>
        <w:tblLook w:val="04A0" w:firstRow="1" w:lastRow="0" w:firstColumn="1" w:lastColumn="0" w:noHBand="0" w:noVBand="1"/>
      </w:tblPr>
      <w:tblGrid>
        <w:gridCol w:w="2027"/>
        <w:gridCol w:w="1290"/>
        <w:gridCol w:w="1350"/>
        <w:gridCol w:w="1351"/>
        <w:gridCol w:w="1353"/>
      </w:tblGrid>
      <w:tr w:rsidR="00A074FC" w:rsidRPr="00D85D88" w14:paraId="51AA0114" w14:textId="77777777" w:rsidTr="008E3896">
        <w:trPr>
          <w:cantSplit/>
          <w:tblHeader/>
        </w:trPr>
        <w:tc>
          <w:tcPr>
            <w:tcW w:w="1869" w:type="dxa"/>
            <w:shd w:val="clear" w:color="auto" w:fill="auto"/>
            <w:vAlign w:val="center"/>
          </w:tcPr>
          <w:p w14:paraId="13D90404" w14:textId="143A99A4" w:rsidR="001A0EB0" w:rsidRPr="00D85D88" w:rsidRDefault="000F672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D85D88">
              <w:rPr>
                <w:sz w:val="18"/>
                <w:szCs w:val="18"/>
                <w:lang w:val="fr-FR"/>
              </w:rPr>
              <w:t>Affectation de la matière </w:t>
            </w:r>
            <w:r w:rsidR="001A0EB0" w:rsidRPr="00D85D88">
              <w:rPr>
                <w:sz w:val="18"/>
                <w:szCs w:val="18"/>
                <w:lang w:val="fr-FR"/>
              </w:rPr>
              <w:t>X du mélange à un groupe d’emballage au sein de la classe 8</w:t>
            </w:r>
          </w:p>
        </w:tc>
        <w:tc>
          <w:tcPr>
            <w:tcW w:w="1190" w:type="dxa"/>
            <w:shd w:val="clear" w:color="auto" w:fill="auto"/>
            <w:vAlign w:val="center"/>
          </w:tcPr>
          <w:p w14:paraId="077BC4FB" w14:textId="77777777" w:rsidR="001A0EB0" w:rsidRPr="00D85D88"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D85D88">
              <w:rPr>
                <w:sz w:val="18"/>
                <w:szCs w:val="18"/>
                <w:lang w:val="fr-FR"/>
              </w:rPr>
              <w:t>Concentration (conc) dans le mélange en %</w:t>
            </w:r>
          </w:p>
        </w:tc>
        <w:tc>
          <w:tcPr>
            <w:tcW w:w="1245" w:type="dxa"/>
            <w:shd w:val="clear" w:color="auto" w:fill="auto"/>
            <w:vAlign w:val="center"/>
          </w:tcPr>
          <w:p w14:paraId="32407526" w14:textId="77777777" w:rsidR="001A0EB0" w:rsidRPr="00D85D88"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D85D88">
              <w:rPr>
                <w:sz w:val="18"/>
                <w:szCs w:val="18"/>
                <w:lang w:val="fr-FR"/>
              </w:rPr>
              <w:t xml:space="preserve">Limite de concentration spécifique </w:t>
            </w:r>
            <w:r w:rsidRPr="00D85D88">
              <w:rPr>
                <w:sz w:val="18"/>
                <w:szCs w:val="18"/>
                <w:lang w:val="fr-FR"/>
              </w:rPr>
              <w:br/>
              <w:t>pour le groupe d’emballage I</w:t>
            </w:r>
          </w:p>
        </w:tc>
        <w:tc>
          <w:tcPr>
            <w:tcW w:w="1246" w:type="dxa"/>
            <w:shd w:val="clear" w:color="auto" w:fill="auto"/>
            <w:vAlign w:val="center"/>
          </w:tcPr>
          <w:p w14:paraId="6DDB13D6" w14:textId="77777777" w:rsidR="001A0EB0" w:rsidRPr="00D85D88"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D85D88">
              <w:rPr>
                <w:sz w:val="18"/>
                <w:szCs w:val="18"/>
                <w:lang w:val="fr-FR"/>
              </w:rPr>
              <w:t xml:space="preserve">Limite de concentration spécifique </w:t>
            </w:r>
            <w:r w:rsidRPr="00D85D88">
              <w:rPr>
                <w:sz w:val="18"/>
                <w:szCs w:val="18"/>
                <w:lang w:val="fr-FR"/>
              </w:rPr>
              <w:br/>
              <w:t>pour le groupe d’emballage II</w:t>
            </w:r>
          </w:p>
        </w:tc>
        <w:tc>
          <w:tcPr>
            <w:tcW w:w="1248" w:type="dxa"/>
            <w:shd w:val="clear" w:color="auto" w:fill="auto"/>
            <w:vAlign w:val="center"/>
          </w:tcPr>
          <w:p w14:paraId="0894DB34" w14:textId="77777777" w:rsidR="001A0EB0" w:rsidRPr="00D85D88"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D85D88">
              <w:rPr>
                <w:sz w:val="18"/>
                <w:szCs w:val="18"/>
                <w:lang w:val="fr-FR"/>
              </w:rPr>
              <w:t xml:space="preserve">Limite de concentration spécifique </w:t>
            </w:r>
            <w:r w:rsidRPr="00D85D88">
              <w:rPr>
                <w:sz w:val="18"/>
                <w:szCs w:val="18"/>
                <w:lang w:val="fr-FR"/>
              </w:rPr>
              <w:br/>
              <w:t>pour le groupe d’emballage III</w:t>
            </w:r>
          </w:p>
        </w:tc>
      </w:tr>
      <w:tr w:rsidR="00A074FC" w:rsidRPr="00D85D88" w14:paraId="0F469988" w14:textId="77777777" w:rsidTr="008E3896">
        <w:trPr>
          <w:cantSplit/>
        </w:trPr>
        <w:tc>
          <w:tcPr>
            <w:tcW w:w="1869" w:type="dxa"/>
            <w:shd w:val="clear" w:color="auto" w:fill="auto"/>
            <w:vAlign w:val="center"/>
          </w:tcPr>
          <w:p w14:paraId="01F83609"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A, affectée au groupe d’emballage I</w:t>
            </w:r>
          </w:p>
        </w:tc>
        <w:tc>
          <w:tcPr>
            <w:tcW w:w="1190" w:type="dxa"/>
            <w:shd w:val="clear" w:color="auto" w:fill="auto"/>
            <w:vAlign w:val="center"/>
          </w:tcPr>
          <w:p w14:paraId="2A3D9B9D"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3</w:t>
            </w:r>
          </w:p>
        </w:tc>
        <w:tc>
          <w:tcPr>
            <w:tcW w:w="1245" w:type="dxa"/>
            <w:shd w:val="clear" w:color="auto" w:fill="auto"/>
            <w:vAlign w:val="center"/>
          </w:tcPr>
          <w:p w14:paraId="18878D30"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30 %</w:t>
            </w:r>
          </w:p>
        </w:tc>
        <w:tc>
          <w:tcPr>
            <w:tcW w:w="1246" w:type="dxa"/>
            <w:shd w:val="clear" w:color="auto" w:fill="auto"/>
            <w:vAlign w:val="center"/>
          </w:tcPr>
          <w:p w14:paraId="234028EE"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aucune</w:t>
            </w:r>
          </w:p>
        </w:tc>
        <w:tc>
          <w:tcPr>
            <w:tcW w:w="1248" w:type="dxa"/>
            <w:shd w:val="clear" w:color="auto" w:fill="auto"/>
            <w:vAlign w:val="center"/>
          </w:tcPr>
          <w:p w14:paraId="6F6EF8AB"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aucune</w:t>
            </w:r>
          </w:p>
        </w:tc>
      </w:tr>
      <w:tr w:rsidR="00A074FC" w:rsidRPr="00D85D88" w14:paraId="6C4CF8DE" w14:textId="77777777" w:rsidTr="008E3896">
        <w:trPr>
          <w:cantSplit/>
        </w:trPr>
        <w:tc>
          <w:tcPr>
            <w:tcW w:w="1869" w:type="dxa"/>
            <w:shd w:val="clear" w:color="auto" w:fill="auto"/>
            <w:vAlign w:val="center"/>
          </w:tcPr>
          <w:p w14:paraId="227CAEFB"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B, affectée au groupe d’emballage I</w:t>
            </w:r>
          </w:p>
        </w:tc>
        <w:tc>
          <w:tcPr>
            <w:tcW w:w="1190" w:type="dxa"/>
            <w:shd w:val="clear" w:color="auto" w:fill="auto"/>
            <w:vAlign w:val="center"/>
          </w:tcPr>
          <w:p w14:paraId="24518BFB"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2</w:t>
            </w:r>
          </w:p>
        </w:tc>
        <w:tc>
          <w:tcPr>
            <w:tcW w:w="1245" w:type="dxa"/>
            <w:shd w:val="clear" w:color="auto" w:fill="auto"/>
            <w:vAlign w:val="center"/>
          </w:tcPr>
          <w:p w14:paraId="6773E9E2"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20 %</w:t>
            </w:r>
          </w:p>
        </w:tc>
        <w:tc>
          <w:tcPr>
            <w:tcW w:w="1246" w:type="dxa"/>
            <w:shd w:val="clear" w:color="auto" w:fill="auto"/>
            <w:vAlign w:val="center"/>
          </w:tcPr>
          <w:p w14:paraId="64E06ACD"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10%</w:t>
            </w:r>
          </w:p>
        </w:tc>
        <w:tc>
          <w:tcPr>
            <w:tcW w:w="1248" w:type="dxa"/>
            <w:shd w:val="clear" w:color="auto" w:fill="auto"/>
            <w:vAlign w:val="center"/>
          </w:tcPr>
          <w:p w14:paraId="106E234D"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aucune</w:t>
            </w:r>
          </w:p>
        </w:tc>
      </w:tr>
      <w:tr w:rsidR="00A074FC" w:rsidRPr="00D85D88" w14:paraId="4E1C77F5" w14:textId="77777777" w:rsidTr="008E3896">
        <w:trPr>
          <w:cantSplit/>
        </w:trPr>
        <w:tc>
          <w:tcPr>
            <w:tcW w:w="1869" w:type="dxa"/>
            <w:shd w:val="clear" w:color="auto" w:fill="auto"/>
            <w:vAlign w:val="center"/>
          </w:tcPr>
          <w:p w14:paraId="5FF449D1"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C, affectée au groupe d’emballage III</w:t>
            </w:r>
          </w:p>
        </w:tc>
        <w:tc>
          <w:tcPr>
            <w:tcW w:w="1190" w:type="dxa"/>
            <w:shd w:val="clear" w:color="auto" w:fill="auto"/>
            <w:vAlign w:val="center"/>
          </w:tcPr>
          <w:p w14:paraId="39C0C9CB"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10</w:t>
            </w:r>
          </w:p>
        </w:tc>
        <w:tc>
          <w:tcPr>
            <w:tcW w:w="1245" w:type="dxa"/>
            <w:shd w:val="clear" w:color="auto" w:fill="auto"/>
            <w:vAlign w:val="center"/>
          </w:tcPr>
          <w:p w14:paraId="340A35AE"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aucune</w:t>
            </w:r>
          </w:p>
        </w:tc>
        <w:tc>
          <w:tcPr>
            <w:tcW w:w="1246" w:type="dxa"/>
            <w:shd w:val="clear" w:color="auto" w:fill="auto"/>
            <w:vAlign w:val="center"/>
          </w:tcPr>
          <w:p w14:paraId="06BA3240"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aucune</w:t>
            </w:r>
          </w:p>
        </w:tc>
        <w:tc>
          <w:tcPr>
            <w:tcW w:w="1248" w:type="dxa"/>
            <w:shd w:val="clear" w:color="auto" w:fill="auto"/>
            <w:vAlign w:val="center"/>
          </w:tcPr>
          <w:p w14:paraId="30267327" w14:textId="77777777" w:rsidR="001A0EB0" w:rsidRPr="00D85D88"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D85D88">
              <w:rPr>
                <w:sz w:val="18"/>
                <w:szCs w:val="18"/>
                <w:lang w:val="fr-FR"/>
              </w:rPr>
              <w:t>aucune</w:t>
            </w:r>
          </w:p>
        </w:tc>
      </w:tr>
    </w:tbl>
    <w:p w14:paraId="3532D536" w14:textId="619B2464" w:rsidR="001A0EB0" w:rsidRPr="00D85D88" w:rsidRDefault="001A0EB0" w:rsidP="001A0EB0">
      <w:pPr>
        <w:spacing w:before="120" w:after="120" w:line="240" w:lineRule="auto"/>
        <w:ind w:left="1134" w:right="1134"/>
        <w:jc w:val="both"/>
        <w:rPr>
          <w:i/>
          <w:lang w:val="fr-FR"/>
        </w:rPr>
      </w:pPr>
      <w:r w:rsidRPr="00D85D88">
        <w:rPr>
          <w:i/>
          <w:lang w:val="fr-FR"/>
        </w:rPr>
        <w:lastRenderedPageBreak/>
        <w:t>Calc</w:t>
      </w:r>
      <w:r w:rsidR="00771312" w:rsidRPr="00D85D88">
        <w:rPr>
          <w:i/>
          <w:lang w:val="fr-FR"/>
        </w:rPr>
        <w:t>ul pour le groupe d’emballage I</w:t>
      </w:r>
      <w:r w:rsidR="00D353A3" w:rsidRPr="00D85D88">
        <w:rPr>
          <w:lang w:val="fr-FR"/>
        </w:rPr>
        <w:t> </w:t>
      </w:r>
      <w:r w:rsidRPr="00D85D88">
        <w:rPr>
          <w:i/>
          <w:lang w:val="fr-FR"/>
        </w:rPr>
        <w:t>:</w:t>
      </w:r>
      <w:r w:rsidRPr="00D85D88">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30 (SCL PGI)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20 (SCL PGI)</m:t>
            </m:r>
          </m:den>
        </m:f>
        <m:r>
          <w:rPr>
            <w:rFonts w:ascii="Cambria Math" w:hAnsi="Cambria Math"/>
            <w:vertAlign w:val="subscript"/>
            <w:lang w:val="fr-FR"/>
          </w:rPr>
          <m:t>=0,2&lt;1</m:t>
        </m:r>
      </m:oMath>
    </w:p>
    <w:p w14:paraId="7A2A3EF9" w14:textId="77777777" w:rsidR="001A0EB0" w:rsidRPr="00D85D88" w:rsidRDefault="001A0EB0" w:rsidP="001A0EB0">
      <w:pPr>
        <w:spacing w:before="120" w:after="120" w:line="240" w:lineRule="auto"/>
        <w:ind w:left="1134" w:right="1134"/>
        <w:jc w:val="both"/>
        <w:rPr>
          <w:i/>
          <w:lang w:val="fr-FR"/>
        </w:rPr>
      </w:pPr>
      <w:r w:rsidRPr="00D85D88">
        <w:rPr>
          <w:i/>
          <w:lang w:val="fr-FR"/>
        </w:rPr>
        <w:t>Le critère pour le groupe d’emballage I n’est pas respecté.</w:t>
      </w:r>
    </w:p>
    <w:p w14:paraId="41BEC5CD" w14:textId="7C6F2979" w:rsidR="001A0EB0" w:rsidRPr="00D85D88" w:rsidRDefault="001A0EB0" w:rsidP="001A0EB0">
      <w:pPr>
        <w:spacing w:before="120" w:after="120" w:line="240" w:lineRule="auto"/>
        <w:ind w:left="1134" w:right="1134"/>
        <w:jc w:val="both"/>
        <w:rPr>
          <w:i/>
          <w:vertAlign w:val="subscript"/>
          <w:lang w:val="fr-FR"/>
        </w:rPr>
      </w:pPr>
      <w:r w:rsidRPr="00D85D88">
        <w:rPr>
          <w:i/>
          <w:lang w:val="fr-FR"/>
        </w:rPr>
        <w:t>Calcu</w:t>
      </w:r>
      <w:r w:rsidR="00771312" w:rsidRPr="00D85D88">
        <w:rPr>
          <w:i/>
          <w:lang w:val="fr-FR"/>
        </w:rPr>
        <w:t>l pour le groupe d’emballage II</w:t>
      </w:r>
      <w:r w:rsidR="00D353A3" w:rsidRPr="00D85D88">
        <w:rPr>
          <w:lang w:val="fr-FR"/>
        </w:rPr>
        <w:t> </w:t>
      </w:r>
      <w:r w:rsidRPr="00D85D88">
        <w:rPr>
          <w:i/>
          <w:lang w:val="fr-FR"/>
        </w:rPr>
        <w:t>:</w:t>
      </w:r>
      <w:r w:rsidRPr="00D85D88">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5 (GCL PG 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10 (SCL PG II)</m:t>
            </m:r>
          </m:den>
        </m:f>
        <m:r>
          <w:rPr>
            <w:rFonts w:ascii="Cambria Math" w:hAnsi="Cambria Math"/>
            <w:vertAlign w:val="subscript"/>
            <w:lang w:val="fr-FR"/>
          </w:rPr>
          <m:t>=0,8&lt;1</m:t>
        </m:r>
      </m:oMath>
    </w:p>
    <w:p w14:paraId="4EB72050" w14:textId="77777777" w:rsidR="001A0EB0" w:rsidRPr="00D85D88" w:rsidRDefault="001A0EB0" w:rsidP="001A0EB0">
      <w:pPr>
        <w:spacing w:before="120" w:after="120" w:line="240" w:lineRule="auto"/>
        <w:ind w:left="1134" w:right="1134"/>
        <w:jc w:val="both"/>
        <w:rPr>
          <w:i/>
          <w:lang w:val="fr-FR"/>
        </w:rPr>
      </w:pPr>
      <w:r w:rsidRPr="00D85D88">
        <w:rPr>
          <w:i/>
          <w:lang w:val="fr-FR"/>
        </w:rPr>
        <w:t>Le critère pour le groupe d’emballage II n’est pas respecté.</w:t>
      </w:r>
    </w:p>
    <w:p w14:paraId="625F8AE8" w14:textId="023E0C85" w:rsidR="001A0EB0" w:rsidRPr="00D85D88" w:rsidRDefault="001A0EB0" w:rsidP="001A0EB0">
      <w:pPr>
        <w:spacing w:before="120" w:after="120" w:line="240" w:lineRule="auto"/>
        <w:ind w:left="1134" w:right="1134"/>
        <w:jc w:val="both"/>
        <w:rPr>
          <w:i/>
          <w:lang w:val="fr-FR"/>
        </w:rPr>
      </w:pPr>
      <w:r w:rsidRPr="00D85D88">
        <w:rPr>
          <w:i/>
          <w:lang w:val="fr-FR"/>
        </w:rPr>
        <w:t>Calcul</w:t>
      </w:r>
      <w:r w:rsidR="00771312" w:rsidRPr="00D85D88">
        <w:rPr>
          <w:i/>
          <w:lang w:val="fr-FR"/>
        </w:rPr>
        <w:t xml:space="preserve"> pour le groupe d’emballage III</w:t>
      </w:r>
      <w:r w:rsidR="00D353A3" w:rsidRPr="00D85D88">
        <w:rPr>
          <w:lang w:val="fr-FR"/>
        </w:rPr>
        <w:t> </w:t>
      </w:r>
      <w:r w:rsidRPr="00D85D88">
        <w:rPr>
          <w:i/>
          <w:lang w:val="fr-FR"/>
        </w:rPr>
        <w:t>:</w:t>
      </w:r>
    </w:p>
    <w:p w14:paraId="0660CB10" w14:textId="77777777" w:rsidR="001A0EB0" w:rsidRPr="00D85D88" w:rsidRDefault="001A0EB0" w:rsidP="001A0EB0">
      <w:pPr>
        <w:spacing w:before="120" w:after="120" w:line="240" w:lineRule="auto"/>
        <w:ind w:left="1134" w:right="1134"/>
        <w:jc w:val="both"/>
        <w:rPr>
          <w:i/>
          <w:vertAlign w:val="subscript"/>
          <w:lang w:val="fr-FR"/>
        </w:rPr>
      </w:pPr>
      <w:r w:rsidRPr="00D85D88">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5 (GCL PGIII)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5 (GCL PG III)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10 (conc C)  </m:t>
            </m:r>
          </m:num>
          <m:den>
            <m:r>
              <w:rPr>
                <w:rFonts w:ascii="Cambria Math" w:hAnsi="Cambria Math"/>
                <w:vertAlign w:val="subscript"/>
                <w:lang w:val="fr-FR"/>
              </w:rPr>
              <m:t>5 GCL PG III)</m:t>
            </m:r>
          </m:den>
        </m:f>
        <m:r>
          <w:rPr>
            <w:rFonts w:ascii="Cambria Math" w:hAnsi="Cambria Math"/>
            <w:vertAlign w:val="subscript"/>
            <w:lang w:val="fr-FR"/>
          </w:rPr>
          <m:t>=3 ≥ 1</m:t>
        </m:r>
      </m:oMath>
    </w:p>
    <w:p w14:paraId="4A5AE40D" w14:textId="5A1DF1AF" w:rsidR="008C5E17" w:rsidRPr="00D85D88" w:rsidRDefault="001A0EB0" w:rsidP="001A0EB0">
      <w:pPr>
        <w:spacing w:before="120" w:after="120" w:line="240" w:lineRule="auto"/>
        <w:ind w:left="1134" w:right="1134"/>
        <w:jc w:val="both"/>
        <w:rPr>
          <w:lang w:val="fr-FR"/>
        </w:rPr>
      </w:pPr>
      <w:r w:rsidRPr="00D85D88">
        <w:rPr>
          <w:i/>
          <w:lang w:val="fr-FR"/>
        </w:rPr>
        <w:t>Le critère pour le grou</w:t>
      </w:r>
      <w:r w:rsidR="00771312" w:rsidRPr="00D85D88">
        <w:rPr>
          <w:i/>
          <w:lang w:val="fr-FR"/>
        </w:rPr>
        <w:t>pe d’emballage III est respecté</w:t>
      </w:r>
      <w:r w:rsidRPr="00D85D88">
        <w:rPr>
          <w:i/>
          <w:lang w:val="fr-FR"/>
        </w:rPr>
        <w:t>; le mélange est affecté à la classe 8, groupe d’emballage III.</w:t>
      </w:r>
    </w:p>
    <w:p w14:paraId="3B3BF1CF" w14:textId="3B77BC92" w:rsidR="001A0EB0" w:rsidRPr="00D85D88" w:rsidRDefault="001A0EB0" w:rsidP="001A0EB0">
      <w:pPr>
        <w:spacing w:before="120" w:after="120" w:line="240" w:lineRule="auto"/>
        <w:ind w:left="1134" w:right="1134"/>
        <w:jc w:val="center"/>
        <w:rPr>
          <w:b/>
          <w:lang w:val="fr-FR"/>
        </w:rPr>
      </w:pPr>
      <w:r w:rsidRPr="00D85D88">
        <w:rPr>
          <w:b/>
          <w:lang w:val="fr-FR"/>
        </w:rPr>
        <w:t xml:space="preserve">Figure </w:t>
      </w:r>
      <w:r w:rsidR="006F0B9F" w:rsidRPr="00D85D88">
        <w:rPr>
          <w:b/>
          <w:lang w:val="fr-FR"/>
        </w:rPr>
        <w:t>2.2.8.1.6.3</w:t>
      </w:r>
      <w:r w:rsidRPr="00D85D88">
        <w:rPr>
          <w:b/>
          <w:lang w:val="fr-FR"/>
        </w:rPr>
        <w:t>: Méthode de calcul</w:t>
      </w:r>
    </w:p>
    <w:p w14:paraId="4F7D63B4" w14:textId="21059235" w:rsidR="004337F4" w:rsidRPr="00D85D88" w:rsidRDefault="004337F4" w:rsidP="001A0EB0">
      <w:pPr>
        <w:spacing w:before="120" w:after="120" w:line="240" w:lineRule="auto"/>
        <w:ind w:left="1134" w:right="1134"/>
        <w:jc w:val="center"/>
        <w:rPr>
          <w:noProof/>
          <w:lang w:val="fr-FR"/>
        </w:rPr>
      </w:pPr>
      <w:r w:rsidRPr="00D85D88">
        <w:rPr>
          <w:noProof/>
          <w:lang w:val="fr-FR"/>
        </w:rPr>
        <w:object w:dxaOrig="9891" w:dyaOrig="7551" w14:anchorId="5542D847">
          <v:shape id="_x0000_i1026" type="#_x0000_t75" style="width:385.65pt;height:292.9pt" o:ole="">
            <v:imagedata r:id="rId11" o:title=""/>
          </v:shape>
          <o:OLEObject Type="Embed" ProgID="Visio.Drawing.15" ShapeID="_x0000_i1026" DrawAspect="Content" ObjectID="_1581925883" r:id="rId12"/>
        </w:object>
      </w:r>
    </w:p>
    <w:p w14:paraId="47BBF77A" w14:textId="77777777" w:rsidR="002C398C" w:rsidRPr="002C398C" w:rsidRDefault="002C398C" w:rsidP="002C398C">
      <w:pPr>
        <w:spacing w:before="120" w:after="120" w:line="240" w:lineRule="auto"/>
        <w:ind w:left="1134" w:right="1134"/>
        <w:jc w:val="both"/>
        <w:rPr>
          <w:lang w:val="fr-FR"/>
        </w:rPr>
      </w:pPr>
      <w:r w:rsidRPr="002C398C">
        <w:rPr>
          <w:lang w:val="fr-FR"/>
        </w:rPr>
        <w:t>2.2.8.1.7</w:t>
      </w:r>
      <w:r w:rsidRPr="002C398C">
        <w:rPr>
          <w:lang w:val="fr-FR"/>
        </w:rPr>
        <w:tab/>
        <w:t>Lorsque les matières de la classe 8, par suite d'adjonctions, passent dans d'autres catégories de danger que celles auxquelles appartiennent les matières nommément mentionnées au tableau A du chapitre 3.2, ces mélanges ou solutions doivent être affectés aux rubriques dont ils relèvent sur la base de leur danger réel.</w:t>
      </w:r>
    </w:p>
    <w:p w14:paraId="1111D85E" w14:textId="4C8CB7D8" w:rsidR="002C398C" w:rsidRPr="002C398C" w:rsidRDefault="002C398C" w:rsidP="002C398C">
      <w:pPr>
        <w:spacing w:before="120" w:after="120" w:line="240" w:lineRule="auto"/>
        <w:ind w:left="1134" w:right="1134"/>
        <w:jc w:val="both"/>
        <w:rPr>
          <w:i/>
          <w:lang w:val="fr-FR"/>
        </w:rPr>
      </w:pPr>
      <w:r w:rsidRPr="002C398C">
        <w:rPr>
          <w:i/>
          <w:lang w:val="fr-FR"/>
        </w:rPr>
        <w:tab/>
      </w:r>
      <w:r w:rsidRPr="002C398C">
        <w:rPr>
          <w:b/>
          <w:i/>
          <w:lang w:val="fr-FR"/>
        </w:rPr>
        <w:t>NOTA:</w:t>
      </w:r>
      <w:r w:rsidRPr="002C398C">
        <w:rPr>
          <w:i/>
          <w:lang w:val="fr-FR"/>
        </w:rPr>
        <w:t xml:space="preserve"> </w:t>
      </w:r>
      <w:r>
        <w:rPr>
          <w:i/>
          <w:lang w:val="fr-FR"/>
        </w:rPr>
        <w:tab/>
      </w:r>
      <w:r w:rsidRPr="002C398C">
        <w:rPr>
          <w:i/>
          <w:lang w:val="fr-FR"/>
        </w:rPr>
        <w:t>Pour classer les solutions et mélanges (tels que préparations et déchets), voir également 2.1.3.</w:t>
      </w:r>
    </w:p>
    <w:p w14:paraId="74A647D7" w14:textId="77777777" w:rsidR="002C398C" w:rsidRPr="002C398C" w:rsidRDefault="002C398C" w:rsidP="002C398C">
      <w:pPr>
        <w:spacing w:before="120" w:after="120" w:line="240" w:lineRule="auto"/>
        <w:ind w:left="1134" w:right="1134"/>
        <w:jc w:val="both"/>
        <w:rPr>
          <w:lang w:val="fr-FR"/>
        </w:rPr>
      </w:pPr>
      <w:r w:rsidRPr="002C398C">
        <w:rPr>
          <w:lang w:val="fr-FR"/>
        </w:rPr>
        <w:t>2.2.8.1.8</w:t>
      </w:r>
      <w:r w:rsidRPr="002C398C">
        <w:rPr>
          <w:lang w:val="fr-FR"/>
        </w:rPr>
        <w:tab/>
        <w:t>Sur la base des critères du 2.2.8.1.6, on peut également déterminer si la nature d'une solution ou d'un mélange nommément mentionnés ou contenant une matière nommément mentionnée est telle que la solution ou le mélange ne sont pas soumis aux prescriptions relatives à la présente classe.</w:t>
      </w:r>
    </w:p>
    <w:p w14:paraId="2A916E4B" w14:textId="77777777" w:rsidR="002C398C" w:rsidRDefault="002C398C" w:rsidP="002C398C">
      <w:pPr>
        <w:spacing w:before="120" w:after="120" w:line="240" w:lineRule="auto"/>
        <w:ind w:left="1134" w:right="1134"/>
        <w:jc w:val="both"/>
        <w:rPr>
          <w:i/>
          <w:lang w:val="fr-FR"/>
        </w:rPr>
      </w:pPr>
      <w:r w:rsidRPr="002C398C">
        <w:rPr>
          <w:i/>
          <w:lang w:val="fr-FR"/>
        </w:rPr>
        <w:tab/>
      </w:r>
      <w:r w:rsidRPr="002C398C">
        <w:rPr>
          <w:b/>
          <w:i/>
          <w:lang w:val="fr-FR"/>
        </w:rPr>
        <w:t>NOTA:</w:t>
      </w:r>
      <w:r w:rsidRPr="002C398C">
        <w:rPr>
          <w:i/>
          <w:lang w:val="fr-FR"/>
        </w:rPr>
        <w:t xml:space="preserve"> </w:t>
      </w:r>
      <w:r>
        <w:rPr>
          <w:i/>
          <w:lang w:val="fr-FR"/>
        </w:rPr>
        <w:tab/>
      </w:r>
      <w:r w:rsidRPr="002C398C">
        <w:rPr>
          <w:i/>
          <w:lang w:val="fr-FR"/>
        </w:rPr>
        <w:t xml:space="preserve">Les Nos ONU 1910 oxyde de calcium et 2812 aluminate de sodium qui figurent dans le Règlement type de l'ONU ne sont pas soumis aux prescriptions de l'ADR. </w:t>
      </w:r>
    </w:p>
    <w:p w14:paraId="1068BE0C" w14:textId="5154FBEB" w:rsidR="001A0EB0" w:rsidRPr="00015224" w:rsidRDefault="00845C7A" w:rsidP="001A0EB0">
      <w:pPr>
        <w:spacing w:before="120" w:after="120" w:line="240" w:lineRule="auto"/>
        <w:ind w:left="1134" w:right="1134"/>
        <w:jc w:val="both"/>
        <w:rPr>
          <w:b/>
          <w:i/>
          <w:lang w:val="fr-FR"/>
        </w:rPr>
      </w:pPr>
      <w:r w:rsidRPr="00015224">
        <w:rPr>
          <w:b/>
          <w:lang w:val="fr-FR"/>
        </w:rPr>
        <w:lastRenderedPageBreak/>
        <w:t>2.2.8.2</w:t>
      </w:r>
      <w:r w:rsidR="001A0EB0" w:rsidRPr="00015224">
        <w:rPr>
          <w:b/>
          <w:lang w:val="fr-FR"/>
        </w:rPr>
        <w:t xml:space="preserve"> </w:t>
      </w:r>
      <w:r w:rsidR="001A0EB0" w:rsidRPr="00015224">
        <w:rPr>
          <w:b/>
          <w:lang w:val="fr-FR"/>
        </w:rPr>
        <w:tab/>
      </w:r>
      <w:r w:rsidR="001A0EB0" w:rsidRPr="00015224">
        <w:rPr>
          <w:b/>
          <w:i/>
          <w:lang w:val="fr-FR"/>
        </w:rPr>
        <w:t>Matières non acceptées au transport</w:t>
      </w:r>
    </w:p>
    <w:p w14:paraId="597D7FF1" w14:textId="48767A25" w:rsidR="00175646" w:rsidRPr="00175646" w:rsidRDefault="00845C7A" w:rsidP="00845C7A">
      <w:pPr>
        <w:pStyle w:val="SingleTxtG"/>
        <w:rPr>
          <w:i/>
          <w:lang w:val="fr-FR"/>
        </w:rPr>
      </w:pPr>
      <w:r w:rsidRPr="00175646">
        <w:rPr>
          <w:lang w:val="fr-FR"/>
        </w:rPr>
        <w:t xml:space="preserve">2.2.8.2.1 </w:t>
      </w:r>
      <w:r w:rsidR="00175646" w:rsidRPr="00175646">
        <w:rPr>
          <w:lang w:val="fr-FR"/>
        </w:rPr>
        <w:tab/>
      </w:r>
      <w:r w:rsidR="00175646" w:rsidRPr="00175646">
        <w:rPr>
          <w:i/>
          <w:lang w:val="fr-FR"/>
        </w:rPr>
        <w:t>[Texte existant inchangé.]</w:t>
      </w:r>
    </w:p>
    <w:p w14:paraId="3BDA7AC7" w14:textId="0438B629" w:rsidR="00845C7A" w:rsidRPr="00175646" w:rsidRDefault="00845C7A" w:rsidP="00845C7A">
      <w:pPr>
        <w:pStyle w:val="SingleTxtG"/>
        <w:rPr>
          <w:lang w:val="fr-FR"/>
        </w:rPr>
      </w:pPr>
      <w:r w:rsidRPr="00175646">
        <w:rPr>
          <w:lang w:val="fr-FR"/>
        </w:rPr>
        <w:t xml:space="preserve">2.2.8.2.2 </w:t>
      </w:r>
      <w:r w:rsidRPr="00175646">
        <w:rPr>
          <w:lang w:val="fr-FR"/>
        </w:rPr>
        <w:tab/>
      </w:r>
      <w:r w:rsidR="00175646" w:rsidRPr="00175646">
        <w:rPr>
          <w:i/>
          <w:lang w:val="fr-FR"/>
        </w:rPr>
        <w:t>[</w:t>
      </w:r>
      <w:r w:rsidRPr="00175646">
        <w:rPr>
          <w:i/>
          <w:lang w:val="fr-FR"/>
        </w:rPr>
        <w:t>Texte existant inchangé.</w:t>
      </w:r>
      <w:r w:rsidR="00175646" w:rsidRPr="00175646">
        <w:rPr>
          <w:i/>
          <w:lang w:val="fr-FR"/>
        </w:rPr>
        <w:t>]</w:t>
      </w:r>
    </w:p>
    <w:p w14:paraId="6B36D353" w14:textId="13D17AF4" w:rsidR="003A049C" w:rsidRPr="003A049C" w:rsidRDefault="00845C7A" w:rsidP="00845C7A">
      <w:pPr>
        <w:pStyle w:val="SingleTxtG"/>
        <w:rPr>
          <w:lang w:val="fr-FR"/>
        </w:rPr>
      </w:pPr>
      <w:r w:rsidRPr="00175646">
        <w:rPr>
          <w:b/>
          <w:lang w:val="fr-FR"/>
        </w:rPr>
        <w:t>2.2.8.3</w:t>
      </w:r>
      <w:r w:rsidRPr="00175646">
        <w:rPr>
          <w:b/>
          <w:lang w:val="fr-FR"/>
        </w:rPr>
        <w:tab/>
      </w:r>
      <w:r w:rsidR="00255383" w:rsidRPr="00175646">
        <w:rPr>
          <w:b/>
          <w:lang w:val="fr-FR"/>
        </w:rPr>
        <w:tab/>
      </w:r>
      <w:r w:rsidR="00175646" w:rsidRPr="00175646">
        <w:rPr>
          <w:i/>
          <w:lang w:val="fr-FR"/>
        </w:rPr>
        <w:t>[</w:t>
      </w:r>
      <w:r w:rsidRPr="00175646">
        <w:rPr>
          <w:i/>
          <w:lang w:val="fr-FR"/>
        </w:rPr>
        <w:t xml:space="preserve">Texte existant avec la modification suivante : </w:t>
      </w:r>
      <w:r w:rsidRPr="00175646">
        <w:rPr>
          <w:i/>
          <w:lang w:val="fr-FR" w:eastAsia="en-GB"/>
        </w:rPr>
        <w:t>Dans la « </w:t>
      </w:r>
      <w:r w:rsidRPr="00175646">
        <w:rPr>
          <w:i/>
          <w:iCs/>
          <w:lang w:val="fr-FR"/>
        </w:rPr>
        <w:t>Liste des rubriques collectives »,</w:t>
      </w:r>
      <w:r w:rsidRPr="00175646">
        <w:rPr>
          <w:i/>
          <w:lang w:val="fr-FR"/>
        </w:rPr>
        <w:t xml:space="preserve"> pour « Objets C11 », ajouter « 3547 OBJETS CONTENANT DE LA MATIÈRE CORROSIVE, N.S.A. ».</w:t>
      </w:r>
      <w:r w:rsidR="00E03A3F" w:rsidRPr="00175646">
        <w:rPr>
          <w:i/>
          <w:lang w:val="fr-FR"/>
        </w:rPr>
        <w:t>]</w:t>
      </w:r>
      <w:r w:rsidR="00444D01">
        <w:rPr>
          <w:i/>
          <w:lang w:val="fr-FR"/>
        </w:rPr>
        <w:t> </w:t>
      </w:r>
      <w:r w:rsidR="003A049C" w:rsidRPr="003A049C">
        <w:rPr>
          <w:lang w:val="fr-FR"/>
        </w:rPr>
        <w:t>».</w:t>
      </w:r>
    </w:p>
    <w:p w14:paraId="15C4A91A" w14:textId="23D6C64A" w:rsidR="00845C7A" w:rsidRPr="00015224" w:rsidRDefault="00845C7A" w:rsidP="00EE09DD">
      <w:pPr>
        <w:pStyle w:val="SingleTxtG"/>
        <w:rPr>
          <w:lang w:val="fr-FR"/>
        </w:rPr>
      </w:pPr>
      <w:r w:rsidRPr="00015224">
        <w:rPr>
          <w:lang w:val="fr-FR"/>
        </w:rPr>
        <w:t>2.2.9.1.2</w:t>
      </w:r>
      <w:r w:rsidRPr="00015224">
        <w:rPr>
          <w:lang w:val="fr-FR"/>
        </w:rPr>
        <w:tab/>
        <w:t>Modifier le titre de la subdivision « M11 » pour lire « Autres matières et objets présentant un danger au cours du transport, mais ne relevant pas de la définition d’une autre classe ».</w:t>
      </w:r>
    </w:p>
    <w:p w14:paraId="181E1765" w14:textId="77777777" w:rsidR="003778F9" w:rsidRPr="000A6BAA" w:rsidRDefault="003778F9" w:rsidP="003778F9">
      <w:pPr>
        <w:pStyle w:val="SingleTxtG"/>
      </w:pPr>
      <w:r w:rsidRPr="000A6BAA">
        <w:t>2.2.9.1.3</w:t>
      </w:r>
      <w:r w:rsidRPr="000A6BAA">
        <w:tab/>
        <w:t>Remplacer « 2.2.9.1.4 à 2.2.9.1.14 » par « 2.2.9.1.4 à 2.2.9.1.8, 2.2.9.1.10, 2.2.9.1.11, 2.2.9.1.13 et 2.2.9.1.14 ».</w:t>
      </w:r>
    </w:p>
    <w:p w14:paraId="40A493EB" w14:textId="77777777" w:rsidR="00214BCF" w:rsidRPr="00015224" w:rsidRDefault="00214BCF" w:rsidP="00EE09DD">
      <w:pPr>
        <w:pStyle w:val="SingleTxtG"/>
        <w:rPr>
          <w:lang w:val="fr-FR"/>
        </w:rPr>
      </w:pPr>
      <w:r w:rsidRPr="00015224">
        <w:rPr>
          <w:lang w:val="fr-FR"/>
        </w:rPr>
        <w:t>2.2.9.1.7</w:t>
      </w:r>
      <w:r w:rsidRPr="00015224">
        <w:rPr>
          <w:lang w:val="fr-FR"/>
        </w:rPr>
        <w:tab/>
        <w:t>À la fin du premier paragraphe, ajouter le nouveau Nota suivant :</w:t>
      </w:r>
    </w:p>
    <w:p w14:paraId="4E98F7FB" w14:textId="183C3B04" w:rsidR="00EE09DD" w:rsidRPr="00015224" w:rsidRDefault="00214BCF" w:rsidP="00214BCF">
      <w:pPr>
        <w:pStyle w:val="SingleTxtG"/>
        <w:rPr>
          <w:lang w:val="fr-FR"/>
        </w:rPr>
      </w:pPr>
      <w:r w:rsidRPr="00015224">
        <w:rPr>
          <w:lang w:val="fr-FR"/>
        </w:rPr>
        <w:t>« </w:t>
      </w:r>
      <w:r w:rsidRPr="00015224">
        <w:rPr>
          <w:b/>
          <w:i/>
          <w:lang w:val="fr-FR"/>
        </w:rPr>
        <w:t>NOTA</w:t>
      </w:r>
      <w:r w:rsidR="00D353A3" w:rsidRPr="00015224">
        <w:rPr>
          <w:lang w:val="fr-FR"/>
        </w:rPr>
        <w:t> </w:t>
      </w:r>
      <w:r w:rsidRPr="00015224">
        <w:rPr>
          <w:b/>
          <w:i/>
          <w:lang w:val="fr-FR"/>
        </w:rPr>
        <w:t>:</w:t>
      </w:r>
      <w:r w:rsidRPr="00015224">
        <w:rPr>
          <w:i/>
          <w:lang w:val="fr-FR"/>
        </w:rPr>
        <w:t xml:space="preserve"> Pour le No ONU </w:t>
      </w:r>
      <w:r w:rsidR="00EE09DD" w:rsidRPr="00015224">
        <w:rPr>
          <w:i/>
          <w:lang w:val="fr-FR"/>
        </w:rPr>
        <w:t>3536</w:t>
      </w:r>
      <w:r w:rsidRPr="00015224">
        <w:rPr>
          <w:i/>
          <w:lang w:val="fr-FR"/>
        </w:rPr>
        <w:t xml:space="preserve"> </w:t>
      </w:r>
      <w:r w:rsidR="00EE09DD" w:rsidRPr="00015224">
        <w:rPr>
          <w:i/>
          <w:lang w:val="fr-FR"/>
        </w:rPr>
        <w:t>BATTERIES AU LITHIUM INSTALLÉES DANS DES ENGINS DE TRANSPORT</w:t>
      </w:r>
      <w:r w:rsidRPr="00015224">
        <w:rPr>
          <w:i/>
          <w:lang w:val="fr-FR"/>
        </w:rPr>
        <w:t>, voir la disposition spéciale 389 au chapitre 3.3.</w:t>
      </w:r>
      <w:r w:rsidR="00D353A3" w:rsidRPr="00015224">
        <w:rPr>
          <w:lang w:val="fr-FR"/>
        </w:rPr>
        <w:t> </w:t>
      </w:r>
      <w:r w:rsidR="00EE09DD" w:rsidRPr="00015224">
        <w:rPr>
          <w:lang w:val="fr-FR"/>
        </w:rPr>
        <w:t>».</w:t>
      </w:r>
    </w:p>
    <w:p w14:paraId="65E3DA39" w14:textId="11D0B621" w:rsidR="00214BCF" w:rsidRPr="00015224" w:rsidRDefault="00214BCF" w:rsidP="00214BCF">
      <w:pPr>
        <w:pStyle w:val="SingleTxtG"/>
        <w:rPr>
          <w:iCs/>
          <w:lang w:val="fr-FR"/>
        </w:rPr>
      </w:pPr>
      <w:r w:rsidRPr="00015224">
        <w:rPr>
          <w:lang w:val="fr-FR"/>
        </w:rPr>
        <w:t>2.2.9.1.7</w:t>
      </w:r>
      <w:r w:rsidRPr="00015224">
        <w:rPr>
          <w:iCs/>
          <w:lang w:val="fr-FR"/>
        </w:rPr>
        <w:tab/>
        <w:t>Ajouter les nouveaux alinéas f) et g) suivants:</w:t>
      </w:r>
    </w:p>
    <w:p w14:paraId="7137B471" w14:textId="491ECB9D" w:rsidR="00214BCF" w:rsidRPr="00015224" w:rsidRDefault="00214BCF" w:rsidP="00214BCF">
      <w:pPr>
        <w:pStyle w:val="SingleTxtG"/>
        <w:rPr>
          <w:iCs/>
          <w:lang w:val="fr-FR"/>
        </w:rPr>
      </w:pPr>
      <w:r w:rsidRPr="00015224">
        <w:rPr>
          <w:iCs/>
          <w:lang w:val="fr-FR"/>
        </w:rPr>
        <w:t>«</w:t>
      </w:r>
      <w:r w:rsidR="00D45FE8" w:rsidRPr="00015224">
        <w:rPr>
          <w:iCs/>
          <w:lang w:val="fr-FR"/>
        </w:rPr>
        <w:t> </w:t>
      </w:r>
      <w:r w:rsidRPr="00015224">
        <w:rPr>
          <w:iCs/>
          <w:lang w:val="fr-FR"/>
        </w:rPr>
        <w:t>f)</w:t>
      </w:r>
      <w:r w:rsidRPr="00015224">
        <w:rPr>
          <w:iCs/>
          <w:lang w:val="fr-FR"/>
        </w:rPr>
        <w:tab/>
        <w:t>Les batteries au lithium, contenant à la fois des piles primaires au lithium métal et des piles au lithium ionique rechargeables, qui ne sont pas conçues pour être chargées de l'extérieur (voir disposition spéciale 387 du chapitre 3.3), doivent satisfaire aux conditions suivantes:</w:t>
      </w:r>
    </w:p>
    <w:p w14:paraId="011236EF" w14:textId="6A569EEA" w:rsidR="00214BCF" w:rsidRPr="00015224" w:rsidRDefault="00214BCF" w:rsidP="00214BCF">
      <w:pPr>
        <w:pStyle w:val="SingleTxtG"/>
        <w:ind w:left="1701"/>
        <w:rPr>
          <w:iCs/>
          <w:lang w:val="fr-FR"/>
        </w:rPr>
      </w:pPr>
      <w:r w:rsidRPr="00015224">
        <w:rPr>
          <w:iCs/>
          <w:lang w:val="fr-FR"/>
        </w:rPr>
        <w:t>i)</w:t>
      </w:r>
      <w:r w:rsidRPr="00015224">
        <w:rPr>
          <w:iCs/>
          <w:lang w:val="fr-FR"/>
        </w:rPr>
        <w:tab/>
        <w:t>Les piles rechargeables au lithium ionique ne peuvent être chargées qu’à partir des piles primaires au lithium métal;</w:t>
      </w:r>
    </w:p>
    <w:p w14:paraId="32D2273F" w14:textId="60777E7B" w:rsidR="00214BCF" w:rsidRPr="00015224" w:rsidRDefault="00214BCF" w:rsidP="00214BCF">
      <w:pPr>
        <w:pStyle w:val="SingleTxtG"/>
        <w:ind w:left="1701"/>
        <w:rPr>
          <w:iCs/>
          <w:lang w:val="fr-FR"/>
        </w:rPr>
      </w:pPr>
      <w:r w:rsidRPr="00015224">
        <w:rPr>
          <w:iCs/>
          <w:lang w:val="fr-FR"/>
        </w:rPr>
        <w:t xml:space="preserve">ii) </w:t>
      </w:r>
      <w:r w:rsidRPr="00015224">
        <w:rPr>
          <w:iCs/>
          <w:lang w:val="fr-FR"/>
        </w:rPr>
        <w:tab/>
        <w:t>La surcharge des piles rechargeables au lithium ionique est exclue par conception;</w:t>
      </w:r>
    </w:p>
    <w:p w14:paraId="43386D1C" w14:textId="23A81A9B" w:rsidR="00214BCF" w:rsidRPr="00015224" w:rsidRDefault="00214BCF" w:rsidP="00214BCF">
      <w:pPr>
        <w:pStyle w:val="SingleTxtG"/>
        <w:ind w:left="1701"/>
        <w:rPr>
          <w:iCs/>
          <w:lang w:val="fr-FR"/>
        </w:rPr>
      </w:pPr>
      <w:r w:rsidRPr="00015224">
        <w:rPr>
          <w:iCs/>
          <w:lang w:val="fr-FR"/>
        </w:rPr>
        <w:t>iii)</w:t>
      </w:r>
      <w:r w:rsidRPr="00015224">
        <w:rPr>
          <w:iCs/>
          <w:lang w:val="fr-FR"/>
        </w:rPr>
        <w:tab/>
        <w:t>La batterie a été éprouvée comme une batterie primaire au lithium;</w:t>
      </w:r>
    </w:p>
    <w:p w14:paraId="66BEAC9D" w14:textId="7F415496" w:rsidR="00214BCF" w:rsidRPr="00015224" w:rsidRDefault="00214BCF" w:rsidP="00214BCF">
      <w:pPr>
        <w:pStyle w:val="SingleTxtG"/>
        <w:ind w:left="1701"/>
        <w:rPr>
          <w:iCs/>
          <w:lang w:val="fr-FR"/>
        </w:rPr>
      </w:pPr>
      <w:r w:rsidRPr="00015224">
        <w:rPr>
          <w:iCs/>
          <w:lang w:val="fr-FR"/>
        </w:rPr>
        <w:t>iv)</w:t>
      </w:r>
      <w:r w:rsidRPr="00015224">
        <w:rPr>
          <w:iCs/>
          <w:lang w:val="fr-FR"/>
        </w:rPr>
        <w:tab/>
        <w:t>Les piles composant la batterie doivent être conformes à un type ayant satisfait aux prescriptions des épreuves de la sous-section 38.3 de la troisième partie du Manuel d'épreuves et de critères</w:t>
      </w:r>
      <w:r w:rsidR="00AC5A1F">
        <w:rPr>
          <w:iCs/>
          <w:lang w:val="fr-FR"/>
        </w:rPr>
        <w:t>;</w:t>
      </w:r>
    </w:p>
    <w:p w14:paraId="3BF0F8AC" w14:textId="3799A3CF" w:rsidR="00214BCF" w:rsidRPr="00015224" w:rsidRDefault="00214BCF" w:rsidP="00214BCF">
      <w:pPr>
        <w:pStyle w:val="SingleTxtG"/>
        <w:rPr>
          <w:lang w:val="fr-FR"/>
        </w:rPr>
      </w:pPr>
      <w:r w:rsidRPr="00015224">
        <w:rPr>
          <w:iCs/>
          <w:lang w:val="fr-FR"/>
        </w:rPr>
        <w:t>g)</w:t>
      </w:r>
      <w:r w:rsidRPr="00015224">
        <w:rPr>
          <w:iCs/>
          <w:lang w:val="fr-FR"/>
        </w:rPr>
        <w:tab/>
        <w:t xml:space="preserve">Les fabricants et distributeurs de piles ou batteries doivent mettre à disposition le résumé du procès-verbal d’épreuve tel que spécifié dans le </w:t>
      </w:r>
      <w:r w:rsidRPr="00015224">
        <w:rPr>
          <w:lang w:val="fr-FR"/>
        </w:rPr>
        <w:t>Manuel d’épreuves et de critères, troisième partie, sous-section 38.3, paragraphe 38.3.5.</w:t>
      </w:r>
      <w:r w:rsidR="00610DD9" w:rsidRPr="00015224">
        <w:rPr>
          <w:lang w:val="fr-FR"/>
        </w:rPr>
        <w:t> </w:t>
      </w:r>
      <w:r w:rsidRPr="00015224">
        <w:rPr>
          <w:iCs/>
          <w:lang w:val="fr-FR"/>
        </w:rPr>
        <w:t>».</w:t>
      </w:r>
    </w:p>
    <w:p w14:paraId="120D2D3B" w14:textId="27BF12EB" w:rsidR="003A687B" w:rsidRPr="00015224" w:rsidRDefault="003A687B" w:rsidP="003A687B">
      <w:pPr>
        <w:pStyle w:val="SingleTxtG"/>
        <w:rPr>
          <w:lang w:val="fr-FR"/>
        </w:rPr>
      </w:pPr>
      <w:r w:rsidRPr="00015224">
        <w:rPr>
          <w:lang w:val="fr-FR"/>
        </w:rPr>
        <w:t>2.2.9.1.10.4.6.5</w:t>
      </w:r>
      <w:r w:rsidRPr="00015224">
        <w:rPr>
          <w:lang w:val="fr-FR"/>
        </w:rPr>
        <w:tab/>
        <w:t>À la fin, supprimer «</w:t>
      </w:r>
      <w:r w:rsidR="00610DD9" w:rsidRPr="00015224">
        <w:rPr>
          <w:lang w:val="fr-FR"/>
        </w:rPr>
        <w:t> </w:t>
      </w:r>
      <w:r w:rsidRPr="00015224">
        <w:rPr>
          <w:lang w:val="fr-FR"/>
        </w:rPr>
        <w:t xml:space="preserve">et porter la mention suivante: </w:t>
      </w:r>
      <w:r w:rsidR="00610DD9" w:rsidRPr="00015224">
        <w:rPr>
          <w:lang w:val="fr-FR"/>
        </w:rPr>
        <w:t>"</w:t>
      </w:r>
      <w:r w:rsidRPr="00015224">
        <w:rPr>
          <w:lang w:val="fr-FR"/>
        </w:rPr>
        <w:t xml:space="preserve">mélange composé à </w:t>
      </w:r>
      <w:r w:rsidR="00D6216C" w:rsidRPr="00015224">
        <w:rPr>
          <w:lang w:val="fr-FR"/>
        </w:rPr>
        <w:t>x</w:t>
      </w:r>
      <w:r w:rsidRPr="00015224">
        <w:rPr>
          <w:lang w:val="fr-FR"/>
        </w:rPr>
        <w:t xml:space="preserve"> % de composants dont les dangers à l'égard de l'environnement aquatique sont inconnus</w:t>
      </w:r>
      <w:r w:rsidR="00610DD9" w:rsidRPr="00015224">
        <w:rPr>
          <w:lang w:val="fr-FR"/>
        </w:rPr>
        <w:t>"</w:t>
      </w:r>
      <w:r w:rsidR="00867522" w:rsidRPr="00015224">
        <w:rPr>
          <w:lang w:val="fr-FR"/>
        </w:rPr>
        <w:t> </w:t>
      </w:r>
      <w:r w:rsidRPr="00015224">
        <w:rPr>
          <w:lang w:val="fr-FR"/>
        </w:rPr>
        <w:t>».</w:t>
      </w:r>
    </w:p>
    <w:p w14:paraId="5A86091C" w14:textId="624EB641" w:rsidR="003A687B" w:rsidRPr="00015224" w:rsidRDefault="003A687B" w:rsidP="00BD056C">
      <w:pPr>
        <w:pStyle w:val="SingleTxtG"/>
        <w:rPr>
          <w:lang w:val="fr-FR"/>
        </w:rPr>
      </w:pPr>
      <w:r w:rsidRPr="00015224">
        <w:rPr>
          <w:lang w:val="fr-FR"/>
        </w:rPr>
        <w:t>2.2.9.1.14</w:t>
      </w:r>
      <w:r w:rsidRPr="00015224">
        <w:rPr>
          <w:lang w:val="fr-FR"/>
        </w:rPr>
        <w:tab/>
        <w:t>Modifier le titre pour lire « Autres matières et objets présentant un danger au cours du transport, mais ne relevant pas de la définition d’une autre classe ».</w:t>
      </w:r>
    </w:p>
    <w:p w14:paraId="7D6B14BC" w14:textId="3E3366EB" w:rsidR="00732101" w:rsidRPr="00015224" w:rsidRDefault="00732101" w:rsidP="003A687B">
      <w:pPr>
        <w:pStyle w:val="SingleTxtG"/>
        <w:rPr>
          <w:lang w:val="fr-FR"/>
        </w:rPr>
      </w:pPr>
      <w:r w:rsidRPr="00015224">
        <w:rPr>
          <w:lang w:val="fr-FR"/>
        </w:rPr>
        <w:t>2.2.9.1.14</w:t>
      </w:r>
      <w:r w:rsidRPr="00015224">
        <w:rPr>
          <w:lang w:val="fr-FR"/>
        </w:rPr>
        <w:tab/>
        <w:t>Remplacer « Dithionite à faible risque » par « Dithionite à faible danger ».</w:t>
      </w:r>
    </w:p>
    <w:p w14:paraId="1192459C" w14:textId="4C4E9305" w:rsidR="003A687B" w:rsidRPr="00FA184F" w:rsidRDefault="003A687B" w:rsidP="003A687B">
      <w:pPr>
        <w:pStyle w:val="SingleTxtG"/>
        <w:rPr>
          <w:lang w:val="fr-FR"/>
        </w:rPr>
      </w:pPr>
      <w:r w:rsidRPr="00FA184F">
        <w:rPr>
          <w:lang w:val="fr-FR"/>
        </w:rPr>
        <w:t>2.2.9.1.14</w:t>
      </w:r>
      <w:r w:rsidRPr="00FA184F">
        <w:rPr>
          <w:lang w:val="fr-FR"/>
        </w:rPr>
        <w:tab/>
        <w:t>Après « Véhicules, moteurs et machines à combustion interne », ajouter la nouvelle ligne suivante: « Objets contenant des marchandises dangereuses diverses ».</w:t>
      </w:r>
    </w:p>
    <w:p w14:paraId="463FBCE2" w14:textId="0034D4B5" w:rsidR="003A687B" w:rsidRPr="00FA184F" w:rsidRDefault="003A687B" w:rsidP="003A687B">
      <w:pPr>
        <w:pStyle w:val="SingleTxtG"/>
        <w:rPr>
          <w:lang w:val="fr-FR"/>
        </w:rPr>
      </w:pPr>
      <w:r w:rsidRPr="00FA184F">
        <w:rPr>
          <w:lang w:val="fr-FR"/>
        </w:rPr>
        <w:t>2.2.9.1.14</w:t>
      </w:r>
      <w:r w:rsidRPr="00FA184F">
        <w:rPr>
          <w:lang w:val="fr-FR"/>
        </w:rPr>
        <w:tab/>
        <w:t>Dans le Nota, supprimer « No ONU 2071 engrais au nitrate d’ammonium, ».</w:t>
      </w:r>
    </w:p>
    <w:p w14:paraId="4669F5AB" w14:textId="640CA13C" w:rsidR="003A687B" w:rsidRPr="00FA184F" w:rsidRDefault="003A687B" w:rsidP="003A687B">
      <w:pPr>
        <w:pStyle w:val="SingleTxtG"/>
        <w:rPr>
          <w:lang w:val="fr-FR"/>
        </w:rPr>
      </w:pPr>
      <w:r w:rsidRPr="00FA184F">
        <w:rPr>
          <w:lang w:val="fr-FR"/>
        </w:rPr>
        <w:t>2.2.9.1.14</w:t>
      </w:r>
      <w:r w:rsidRPr="00FA184F">
        <w:rPr>
          <w:lang w:val="fr-FR"/>
        </w:rPr>
        <w:tab/>
        <w:t>Dans le Nota, remplacer «</w:t>
      </w:r>
      <w:r w:rsidR="00610DD9" w:rsidRPr="00FA184F">
        <w:rPr>
          <w:lang w:val="fr-FR"/>
        </w:rPr>
        <w:t> </w:t>
      </w:r>
      <w:r w:rsidRPr="00FA184F">
        <w:rPr>
          <w:lang w:val="fr-FR"/>
        </w:rPr>
        <w:t>, 3335 matière solide réglementée pour l'aviation, n.s.a. et 3363 marchandises dangereuses contenues dans des machines ou marchandises dangereuses contenues dans des appareils » par « et 3335 matière solide réglementée pour l'aviation, n.s.a. ».</w:t>
      </w:r>
    </w:p>
    <w:p w14:paraId="63D0E4CB" w14:textId="41BD0A79" w:rsidR="005A32BE" w:rsidRPr="00FA184F" w:rsidRDefault="005A32BE" w:rsidP="00B956B7">
      <w:pPr>
        <w:pStyle w:val="SingleTxtG"/>
        <w:tabs>
          <w:tab w:val="left" w:pos="2268"/>
        </w:tabs>
        <w:rPr>
          <w:lang w:val="fr-FR"/>
        </w:rPr>
      </w:pPr>
      <w:r w:rsidRPr="00FA184F">
        <w:rPr>
          <w:lang w:val="fr-FR"/>
        </w:rPr>
        <w:lastRenderedPageBreak/>
        <w:t>2.2.9.3</w:t>
      </w:r>
      <w:r w:rsidRPr="00FA184F">
        <w:rPr>
          <w:lang w:val="fr-FR"/>
        </w:rPr>
        <w:tab/>
        <w:t>Pour « Piles au lithium M4 », ajouter la nouvelle rubrique suivante :</w:t>
      </w:r>
    </w:p>
    <w:p w14:paraId="50BAF3EA" w14:textId="0F5C5132" w:rsidR="005A32BE" w:rsidRPr="00FA184F" w:rsidRDefault="005A32BE" w:rsidP="00C64110">
      <w:pPr>
        <w:pStyle w:val="SingleTxtG"/>
        <w:rPr>
          <w:lang w:val="fr-FR"/>
        </w:rPr>
      </w:pPr>
      <w:r w:rsidRPr="00FA184F">
        <w:rPr>
          <w:lang w:val="fr-FR"/>
        </w:rPr>
        <w:t>« 3536 BATTERIES AU LITHIUM INSTALLÉES DANS DES ENGINS DE TRANSPORT batteries au lithium ionique ou batteries au lithium métal ».</w:t>
      </w:r>
    </w:p>
    <w:p w14:paraId="022BC385" w14:textId="1D991795" w:rsidR="00A3434F" w:rsidRPr="00FA184F" w:rsidRDefault="00A3434F" w:rsidP="00610DD9">
      <w:pPr>
        <w:pStyle w:val="SingleTxtG"/>
        <w:tabs>
          <w:tab w:val="left" w:pos="2268"/>
        </w:tabs>
        <w:rPr>
          <w:lang w:val="fr-FR"/>
        </w:rPr>
      </w:pPr>
      <w:r w:rsidRPr="00FA184F">
        <w:rPr>
          <w:lang w:val="fr-FR"/>
        </w:rPr>
        <w:t>2.2.9.3</w:t>
      </w:r>
      <w:r w:rsidR="00196C06" w:rsidRPr="00FA184F">
        <w:rPr>
          <w:lang w:val="fr-FR"/>
        </w:rPr>
        <w:tab/>
      </w:r>
      <w:r w:rsidRPr="00FA184F">
        <w:rPr>
          <w:lang w:val="fr-FR"/>
        </w:rPr>
        <w:t xml:space="preserve">Modifier le titre de la subdivision « M11 » </w:t>
      </w:r>
      <w:r w:rsidR="00196C06" w:rsidRPr="00FA184F">
        <w:rPr>
          <w:lang w:val="fr-FR"/>
        </w:rPr>
        <w:t>pour lire «</w:t>
      </w:r>
      <w:r w:rsidRPr="00FA184F">
        <w:rPr>
          <w:lang w:val="fr-FR"/>
        </w:rPr>
        <w:t> </w:t>
      </w:r>
      <w:r w:rsidR="00196C06" w:rsidRPr="00FA184F">
        <w:rPr>
          <w:lang w:val="fr-FR"/>
        </w:rPr>
        <w:t>Autres matières et objets présentant un danger au cours du transport, mais ne relevant pas de la définition d’une autre classe</w:t>
      </w:r>
      <w:r w:rsidRPr="00FA184F">
        <w:rPr>
          <w:lang w:val="fr-FR"/>
        </w:rPr>
        <w:t> </w:t>
      </w:r>
      <w:r w:rsidR="00196C06" w:rsidRPr="00FA184F">
        <w:rPr>
          <w:lang w:val="fr-FR"/>
        </w:rPr>
        <w:t>»</w:t>
      </w:r>
      <w:r w:rsidR="00EE09DD" w:rsidRPr="00FA184F">
        <w:rPr>
          <w:lang w:val="fr-FR"/>
        </w:rPr>
        <w:t xml:space="preserve">. </w:t>
      </w:r>
    </w:p>
    <w:p w14:paraId="24848ED6" w14:textId="733F7886" w:rsidR="00EE09DD" w:rsidRPr="00FA184F" w:rsidRDefault="00A3434F" w:rsidP="00C64110">
      <w:pPr>
        <w:pStyle w:val="SingleTxtG"/>
        <w:rPr>
          <w:lang w:val="fr-FR"/>
        </w:rPr>
      </w:pPr>
      <w:r w:rsidRPr="00FA184F">
        <w:rPr>
          <w:lang w:val="fr-FR"/>
        </w:rPr>
        <w:t>2.2.9.3</w:t>
      </w:r>
      <w:r w:rsidRPr="00FA184F">
        <w:rPr>
          <w:lang w:val="fr-FR"/>
        </w:rPr>
        <w:tab/>
      </w:r>
      <w:r w:rsidRPr="00FA184F">
        <w:rPr>
          <w:lang w:val="fr-FR"/>
        </w:rPr>
        <w:tab/>
        <w:t>Pour « Autres matières et objets présentant un danger au cours du transport, mais ne relevant pas de la définition d’une autre classe M11</w:t>
      </w:r>
      <w:r w:rsidR="00610DD9" w:rsidRPr="00FA184F">
        <w:rPr>
          <w:lang w:val="fr-FR"/>
        </w:rPr>
        <w:t> </w:t>
      </w:r>
      <w:r w:rsidRPr="00FA184F">
        <w:rPr>
          <w:lang w:val="fr-FR"/>
        </w:rPr>
        <w:t xml:space="preserve">», </w:t>
      </w:r>
      <w:r w:rsidR="00AD051F" w:rsidRPr="00FA184F">
        <w:rPr>
          <w:lang w:val="fr-FR"/>
        </w:rPr>
        <w:t xml:space="preserve">ajouter </w:t>
      </w:r>
      <w:r w:rsidRPr="00FA184F">
        <w:rPr>
          <w:lang w:val="fr-FR"/>
        </w:rPr>
        <w:t xml:space="preserve">les </w:t>
      </w:r>
      <w:r w:rsidR="00EE09DD" w:rsidRPr="00FA184F">
        <w:rPr>
          <w:lang w:val="fr-FR"/>
        </w:rPr>
        <w:t>nouvelle</w:t>
      </w:r>
      <w:r w:rsidRPr="00FA184F">
        <w:rPr>
          <w:lang w:val="fr-FR"/>
        </w:rPr>
        <w:t>s</w:t>
      </w:r>
      <w:r w:rsidR="00EE09DD" w:rsidRPr="00FA184F">
        <w:rPr>
          <w:lang w:val="fr-FR"/>
        </w:rPr>
        <w:t xml:space="preserve"> rubrique</w:t>
      </w:r>
      <w:r w:rsidRPr="00FA184F">
        <w:rPr>
          <w:lang w:val="fr-FR"/>
        </w:rPr>
        <w:t>s</w:t>
      </w:r>
      <w:r w:rsidR="00EE09DD" w:rsidRPr="00FA184F">
        <w:rPr>
          <w:lang w:val="fr-FR"/>
        </w:rPr>
        <w:t xml:space="preserve"> suivante</w:t>
      </w:r>
      <w:r w:rsidRPr="00FA184F">
        <w:rPr>
          <w:lang w:val="fr-FR"/>
        </w:rPr>
        <w:t>s</w:t>
      </w:r>
      <w:r w:rsidR="00610DD9" w:rsidRPr="00FA184F">
        <w:rPr>
          <w:lang w:val="fr-FR"/>
        </w:rPr>
        <w:t> </w:t>
      </w:r>
      <w:r w:rsidR="00EE09DD" w:rsidRPr="00FA184F">
        <w:rPr>
          <w:lang w:val="fr-FR"/>
        </w:rPr>
        <w:t>:</w:t>
      </w:r>
    </w:p>
    <w:p w14:paraId="572F74A5" w14:textId="0E005AC6" w:rsidR="00AD051F" w:rsidRPr="00FA184F" w:rsidRDefault="00A3434F" w:rsidP="004C65CA">
      <w:pPr>
        <w:pStyle w:val="SingleTxtG"/>
        <w:tabs>
          <w:tab w:val="left" w:pos="1276"/>
        </w:tabs>
        <w:jc w:val="left"/>
        <w:rPr>
          <w:lang w:val="fr-FR"/>
        </w:rPr>
      </w:pPr>
      <w:r w:rsidRPr="00FA184F">
        <w:rPr>
          <w:lang w:val="fr-FR"/>
        </w:rPr>
        <w:t>« 2071</w:t>
      </w:r>
      <w:r w:rsidRPr="00FA184F">
        <w:rPr>
          <w:lang w:val="fr-FR"/>
        </w:rPr>
        <w:tab/>
        <w:t>ENGRAIS AU NITRATE D’AMMONIUM</w:t>
      </w:r>
      <w:r w:rsidR="00FA184F">
        <w:rPr>
          <w:lang w:val="fr-FR"/>
        </w:rPr>
        <w:t> »</w:t>
      </w:r>
      <w:r w:rsidRPr="00FA184F">
        <w:rPr>
          <w:lang w:val="fr-FR"/>
        </w:rPr>
        <w:br/>
      </w:r>
      <w:r w:rsidR="00FA184F">
        <w:rPr>
          <w:lang w:val="fr-FR"/>
        </w:rPr>
        <w:t>« </w:t>
      </w:r>
      <w:r w:rsidRPr="00FA184F">
        <w:rPr>
          <w:lang w:val="fr-FR"/>
        </w:rPr>
        <w:t>3363</w:t>
      </w:r>
      <w:r w:rsidRPr="00FA184F">
        <w:rPr>
          <w:lang w:val="fr-FR"/>
        </w:rPr>
        <w:tab/>
        <w:t>MARCHANDISES DANGEREUSES CONTENUES DANS DES MACHINES ou</w:t>
      </w:r>
      <w:r w:rsidRPr="00FA184F">
        <w:rPr>
          <w:lang w:val="fr-FR"/>
        </w:rPr>
        <w:br/>
      </w:r>
      <w:r w:rsidR="004C65CA" w:rsidRPr="00FA184F">
        <w:rPr>
          <w:lang w:val="fr-FR"/>
        </w:rPr>
        <w:tab/>
      </w:r>
      <w:r w:rsidRPr="00FA184F">
        <w:rPr>
          <w:lang w:val="fr-FR"/>
        </w:rPr>
        <w:t>3363</w:t>
      </w:r>
      <w:r w:rsidRPr="00FA184F">
        <w:rPr>
          <w:lang w:val="fr-FR"/>
        </w:rPr>
        <w:tab/>
        <w:t>MARCHANDISES DANGEREUSES CONTENUES DANS DES APPAREILS</w:t>
      </w:r>
      <w:r w:rsidR="00FA184F">
        <w:rPr>
          <w:lang w:val="fr-FR"/>
        </w:rPr>
        <w:t> »</w:t>
      </w:r>
      <w:r w:rsidRPr="00FA184F">
        <w:rPr>
          <w:lang w:val="fr-FR"/>
        </w:rPr>
        <w:br/>
      </w:r>
      <w:r w:rsidR="00FA184F">
        <w:rPr>
          <w:lang w:val="fr-FR"/>
        </w:rPr>
        <w:t>« </w:t>
      </w:r>
      <w:r w:rsidR="00EE09DD" w:rsidRPr="00FA184F">
        <w:rPr>
          <w:lang w:val="fr-FR"/>
        </w:rPr>
        <w:t>3548</w:t>
      </w:r>
      <w:r w:rsidR="00EE09DD" w:rsidRPr="00FA184F">
        <w:rPr>
          <w:lang w:val="fr-FR"/>
        </w:rPr>
        <w:tab/>
        <w:t xml:space="preserve">OBJETS CONTENANT DES MARCHANDISES DANGEREUSES DIVERSES, </w:t>
      </w:r>
      <w:r w:rsidR="004C65CA" w:rsidRPr="00FA184F">
        <w:rPr>
          <w:lang w:val="fr-FR"/>
        </w:rPr>
        <w:tab/>
      </w:r>
      <w:r w:rsidR="004C65CA" w:rsidRPr="00FA184F">
        <w:rPr>
          <w:lang w:val="fr-FR"/>
        </w:rPr>
        <w:tab/>
      </w:r>
      <w:r w:rsidR="00EE09DD" w:rsidRPr="00FA184F">
        <w:rPr>
          <w:lang w:val="fr-FR"/>
        </w:rPr>
        <w:t>N.S.A.</w:t>
      </w:r>
      <w:r w:rsidRPr="00FA184F">
        <w:rPr>
          <w:lang w:val="fr-FR"/>
        </w:rPr>
        <w:t> </w:t>
      </w:r>
      <w:r w:rsidR="00EE09DD" w:rsidRPr="00FA184F">
        <w:rPr>
          <w:lang w:val="fr-FR"/>
        </w:rPr>
        <w:t>».</w:t>
      </w:r>
    </w:p>
    <w:p w14:paraId="5D461A7E" w14:textId="36BC9B2F" w:rsidR="00A3434F" w:rsidRPr="004F04D8" w:rsidRDefault="00A3434F" w:rsidP="00B956B7">
      <w:pPr>
        <w:pStyle w:val="SingleTxtG"/>
        <w:tabs>
          <w:tab w:val="left" w:pos="2268"/>
        </w:tabs>
        <w:rPr>
          <w:lang w:val="fr-FR"/>
        </w:rPr>
      </w:pPr>
      <w:r w:rsidRPr="004F04D8">
        <w:rPr>
          <w:lang w:val="fr-FR"/>
        </w:rPr>
        <w:t>2.2.9.3</w:t>
      </w:r>
      <w:r w:rsidRPr="004F04D8">
        <w:rPr>
          <w:lang w:val="fr-FR"/>
        </w:rPr>
        <w:tab/>
        <w:t>Pour « Autres matières et objets présentant un danger au cours du transport, mais ne relevant pas de la définition d’une autre classe M11</w:t>
      </w:r>
      <w:r w:rsidR="00610DD9" w:rsidRPr="004F04D8">
        <w:rPr>
          <w:lang w:val="fr-FR"/>
        </w:rPr>
        <w:t> </w:t>
      </w:r>
      <w:r w:rsidRPr="004F04D8">
        <w:rPr>
          <w:lang w:val="fr-FR"/>
        </w:rPr>
        <w:t xml:space="preserve">», </w:t>
      </w:r>
      <w:r w:rsidR="00255383" w:rsidRPr="004F04D8">
        <w:rPr>
          <w:lang w:val="fr-FR"/>
        </w:rPr>
        <w:t>au-dessus</w:t>
      </w:r>
      <w:r w:rsidRPr="004F04D8">
        <w:rPr>
          <w:lang w:val="fr-FR"/>
        </w:rPr>
        <w:t xml:space="preserve"> de la liste de rubriques, supprimer « Pas de rubrique collective. ». </w:t>
      </w:r>
    </w:p>
    <w:p w14:paraId="7683B882" w14:textId="77777777" w:rsidR="00196C06" w:rsidRPr="004F04D8" w:rsidRDefault="00196C06" w:rsidP="00196C06">
      <w:pPr>
        <w:pStyle w:val="H1G"/>
        <w:rPr>
          <w:lang w:val="fr-FR"/>
        </w:rPr>
      </w:pPr>
      <w:r w:rsidRPr="004F04D8">
        <w:rPr>
          <w:lang w:val="fr-FR"/>
        </w:rPr>
        <w:tab/>
      </w:r>
      <w:r w:rsidRPr="004F04D8">
        <w:rPr>
          <w:lang w:val="fr-FR"/>
        </w:rPr>
        <w:tab/>
        <w:t>Chapitre 3.1</w:t>
      </w:r>
    </w:p>
    <w:p w14:paraId="25B9F131" w14:textId="6C174B71" w:rsidR="00583629" w:rsidRPr="004F04D8" w:rsidRDefault="00583629" w:rsidP="00583629">
      <w:pPr>
        <w:pStyle w:val="SingleTxtG"/>
        <w:rPr>
          <w:lang w:val="fr-FR"/>
        </w:rPr>
      </w:pPr>
      <w:r w:rsidRPr="004F04D8">
        <w:rPr>
          <w:lang w:val="fr-FR"/>
        </w:rPr>
        <w:t>3.1.2.2</w:t>
      </w:r>
      <w:r w:rsidRPr="004F04D8">
        <w:rPr>
          <w:lang w:val="fr-FR"/>
        </w:rPr>
        <w:tab/>
      </w:r>
      <w:r w:rsidRPr="004F04D8">
        <w:rPr>
          <w:lang w:val="fr-FR"/>
        </w:rPr>
        <w:tab/>
        <w:t>Modifier la première phrase pour lire comme suit</w:t>
      </w:r>
      <w:r w:rsidR="00610DD9" w:rsidRPr="004F04D8">
        <w:rPr>
          <w:lang w:val="fr-FR"/>
        </w:rPr>
        <w:t> </w:t>
      </w:r>
      <w:r w:rsidRPr="004F04D8">
        <w:rPr>
          <w:lang w:val="fr-FR"/>
        </w:rPr>
        <w:t>: «</w:t>
      </w:r>
      <w:r w:rsidR="00A3368F" w:rsidRPr="004F04D8">
        <w:rPr>
          <w:lang w:val="fr-FR"/>
        </w:rPr>
        <w:t> </w:t>
      </w:r>
      <w:r w:rsidRPr="004F04D8">
        <w:rPr>
          <w:lang w:val="fr-FR"/>
        </w:rPr>
        <w:t xml:space="preserve">Si une combinaison de plusieurs désignations officielles de transport figure sous un même numéro ONU, et que celles-ci sont séparées par les conjonctions </w:t>
      </w:r>
      <w:r w:rsidR="00610DD9" w:rsidRPr="004F04D8">
        <w:rPr>
          <w:lang w:val="fr-FR"/>
        </w:rPr>
        <w:t>"</w:t>
      </w:r>
      <w:r w:rsidRPr="004F04D8">
        <w:rPr>
          <w:lang w:val="fr-FR"/>
        </w:rPr>
        <w:t>et</w:t>
      </w:r>
      <w:r w:rsidR="00610DD9" w:rsidRPr="004F04D8">
        <w:rPr>
          <w:lang w:val="fr-FR"/>
        </w:rPr>
        <w:t>"</w:t>
      </w:r>
      <w:r w:rsidRPr="004F04D8">
        <w:rPr>
          <w:lang w:val="fr-FR"/>
        </w:rPr>
        <w:t xml:space="preserve"> ou </w:t>
      </w:r>
      <w:r w:rsidR="00610DD9" w:rsidRPr="004F04D8">
        <w:rPr>
          <w:lang w:val="fr-FR"/>
        </w:rPr>
        <w:t>"</w:t>
      </w:r>
      <w:r w:rsidRPr="004F04D8">
        <w:rPr>
          <w:lang w:val="fr-FR"/>
        </w:rPr>
        <w:t>ou</w:t>
      </w:r>
      <w:r w:rsidR="00610DD9" w:rsidRPr="004F04D8">
        <w:rPr>
          <w:lang w:val="fr-FR"/>
        </w:rPr>
        <w:t xml:space="preserve">" </w:t>
      </w:r>
      <w:r w:rsidRPr="004F04D8">
        <w:rPr>
          <w:lang w:val="fr-FR"/>
        </w:rPr>
        <w:t>en minuscules ou sont séparées par des virgules, seule la plus appropriée doit figurer dans le document de transport et dans les marques du colis.</w:t>
      </w:r>
      <w:r w:rsidR="00A3368F" w:rsidRPr="004F04D8">
        <w:rPr>
          <w:lang w:val="fr-FR"/>
        </w:rPr>
        <w:t> </w:t>
      </w:r>
      <w:r w:rsidRPr="004F04D8">
        <w:rPr>
          <w:lang w:val="fr-FR"/>
        </w:rPr>
        <w:t>». Supprimer la deuxième phrase.</w:t>
      </w:r>
    </w:p>
    <w:p w14:paraId="6B8B5594" w14:textId="7DA93195" w:rsidR="004F04D8" w:rsidRPr="00154472" w:rsidRDefault="004F04D8" w:rsidP="004F04D8">
      <w:pPr>
        <w:pStyle w:val="SingleTxtG"/>
        <w:rPr>
          <w:lang w:val="fr-FR"/>
        </w:rPr>
      </w:pPr>
      <w:r w:rsidRPr="00154472">
        <w:rPr>
          <w:lang w:val="fr-FR"/>
        </w:rPr>
        <w:t>3.1.2.6 a)</w:t>
      </w:r>
      <w:r w:rsidRPr="00154472">
        <w:rPr>
          <w:lang w:val="fr-FR"/>
        </w:rPr>
        <w:tab/>
        <w:t xml:space="preserve">Après « chapitre 3.3, » ajouter « 7.1.7 ». </w:t>
      </w:r>
    </w:p>
    <w:p w14:paraId="5B5F0C6B" w14:textId="0E8E05AC" w:rsidR="004F04D8" w:rsidRPr="00154472" w:rsidRDefault="004F04D8" w:rsidP="004F04D8">
      <w:pPr>
        <w:pStyle w:val="SingleTxtG"/>
        <w:tabs>
          <w:tab w:val="left" w:pos="2268"/>
        </w:tabs>
        <w:rPr>
          <w:lang w:val="fr-FR"/>
        </w:rPr>
      </w:pPr>
      <w:r>
        <w:rPr>
          <w:lang w:val="fr-FR"/>
        </w:rPr>
        <w:t>3.1.2.6</w:t>
      </w:r>
      <w:r w:rsidRPr="00154472">
        <w:rPr>
          <w:lang w:val="fr-FR"/>
        </w:rPr>
        <w:tab/>
        <w:t>L’alinéa b) devient l’alinéa c). Insérer un nouvel alinéa b) pour lire comme suit:</w:t>
      </w:r>
    </w:p>
    <w:p w14:paraId="5F875897" w14:textId="2D05F54E" w:rsidR="004215B9" w:rsidRPr="004F04D8" w:rsidRDefault="004215B9" w:rsidP="004F04D8">
      <w:pPr>
        <w:pStyle w:val="SingleTxtG"/>
        <w:rPr>
          <w:lang w:val="fr-FR"/>
        </w:rPr>
      </w:pPr>
      <w:r w:rsidRPr="004F04D8">
        <w:rPr>
          <w:lang w:val="fr-FR"/>
        </w:rPr>
        <w:t>«</w:t>
      </w:r>
      <w:r w:rsidR="00A3368F" w:rsidRPr="004F04D8">
        <w:rPr>
          <w:lang w:val="fr-FR"/>
        </w:rPr>
        <w:t> </w:t>
      </w:r>
      <w:r w:rsidRPr="004F04D8">
        <w:rPr>
          <w:lang w:val="fr-FR"/>
        </w:rPr>
        <w:t>b)</w:t>
      </w:r>
      <w:r w:rsidRPr="004F04D8">
        <w:rPr>
          <w:lang w:val="fr-FR"/>
        </w:rPr>
        <w:tab/>
        <w:t xml:space="preserve">À moins qu’ils ne figurent déjà, en lettres majuscules, dans le nom indiqué dans la </w:t>
      </w:r>
      <w:r w:rsidR="00A3368F" w:rsidRPr="004F04D8">
        <w:rPr>
          <w:lang w:val="fr-FR"/>
        </w:rPr>
        <w:t>colonne (2) du tableau A du chapitre 3.2</w:t>
      </w:r>
      <w:r w:rsidRPr="004F04D8">
        <w:rPr>
          <w:lang w:val="fr-FR"/>
        </w:rPr>
        <w:t>, les mots «AVEC RÉGULATION DE TEMPÉRATURE» doivent être ajoutés dans la désignation officielle de transport;</w:t>
      </w:r>
      <w:r w:rsidR="00A3368F" w:rsidRPr="004F04D8">
        <w:rPr>
          <w:lang w:val="fr-FR"/>
        </w:rPr>
        <w:t> </w:t>
      </w:r>
      <w:r w:rsidRPr="004F04D8">
        <w:rPr>
          <w:lang w:val="fr-FR"/>
        </w:rPr>
        <w:t>».</w:t>
      </w:r>
    </w:p>
    <w:p w14:paraId="5498D7D6" w14:textId="4F2F4610" w:rsidR="00196C06" w:rsidRPr="004F04D8" w:rsidRDefault="00196C06" w:rsidP="00196C06">
      <w:pPr>
        <w:pStyle w:val="SingleTxtG"/>
        <w:rPr>
          <w:lang w:val="fr-FR" w:eastAsia="en-GB"/>
        </w:rPr>
      </w:pPr>
      <w:r w:rsidRPr="004F04D8">
        <w:rPr>
          <w:lang w:val="fr-FR"/>
        </w:rPr>
        <w:t xml:space="preserve">3.1.2.8.1.1 </w:t>
      </w:r>
      <w:r w:rsidRPr="004F04D8">
        <w:rPr>
          <w:lang w:val="fr-FR"/>
        </w:rPr>
        <w:tab/>
        <w:t>Dans la dernière phrase, remplacer «</w:t>
      </w:r>
      <w:r w:rsidR="00610DD9" w:rsidRPr="004F04D8">
        <w:rPr>
          <w:lang w:val="fr-FR"/>
        </w:rPr>
        <w:t> </w:t>
      </w:r>
      <w:r w:rsidRPr="004F04D8">
        <w:rPr>
          <w:lang w:val="fr-FR"/>
        </w:rPr>
        <w:t>risque</w:t>
      </w:r>
      <w:r w:rsidR="00610DD9" w:rsidRPr="004F04D8">
        <w:rPr>
          <w:lang w:val="fr-FR"/>
        </w:rPr>
        <w:t> </w:t>
      </w:r>
      <w:r w:rsidRPr="004F04D8">
        <w:rPr>
          <w:lang w:val="fr-FR"/>
        </w:rPr>
        <w:t>» par «</w:t>
      </w:r>
      <w:r w:rsidR="00610DD9" w:rsidRPr="004F04D8">
        <w:rPr>
          <w:lang w:val="fr-FR"/>
        </w:rPr>
        <w:t> </w:t>
      </w:r>
      <w:r w:rsidRPr="004F04D8">
        <w:rPr>
          <w:lang w:val="fr-FR"/>
        </w:rPr>
        <w:t>danger</w:t>
      </w:r>
      <w:r w:rsidR="00610DD9" w:rsidRPr="004F04D8">
        <w:rPr>
          <w:lang w:val="fr-FR"/>
        </w:rPr>
        <w:t> </w:t>
      </w:r>
      <w:r w:rsidRPr="004F04D8">
        <w:rPr>
          <w:lang w:val="fr-FR"/>
        </w:rPr>
        <w:t>» et après «</w:t>
      </w:r>
      <w:r w:rsidR="00610DD9" w:rsidRPr="004F04D8">
        <w:rPr>
          <w:lang w:val="fr-FR"/>
        </w:rPr>
        <w:t> </w:t>
      </w:r>
      <w:r w:rsidRPr="004F04D8">
        <w:rPr>
          <w:lang w:val="fr-FR"/>
        </w:rPr>
        <w:t>(OMS)</w:t>
      </w:r>
      <w:r w:rsidR="00610DD9" w:rsidRPr="004F04D8">
        <w:rPr>
          <w:lang w:val="fr-FR"/>
        </w:rPr>
        <w:t> </w:t>
      </w:r>
      <w:r w:rsidRPr="004F04D8">
        <w:rPr>
          <w:lang w:val="fr-FR"/>
        </w:rPr>
        <w:t>» ajouter «</w:t>
      </w:r>
      <w:r w:rsidR="00610DD9" w:rsidRPr="004F04D8">
        <w:rPr>
          <w:lang w:val="fr-FR"/>
        </w:rPr>
        <w:t> </w:t>
      </w:r>
      <w:r w:rsidRPr="004F04D8">
        <w:rPr>
          <w:lang w:val="fr-FR"/>
        </w:rPr>
        <w:t>(The WHO recommended classification of pesticides by hazard and guidelines to classification)</w:t>
      </w:r>
      <w:r w:rsidR="00610DD9" w:rsidRPr="004F04D8">
        <w:rPr>
          <w:lang w:val="fr-FR"/>
        </w:rPr>
        <w:t> </w:t>
      </w:r>
      <w:r w:rsidRPr="004F04D8">
        <w:rPr>
          <w:lang w:val="fr-FR"/>
        </w:rPr>
        <w:t>».</w:t>
      </w:r>
    </w:p>
    <w:p w14:paraId="5520051D" w14:textId="5439997C" w:rsidR="00196C06" w:rsidRPr="004F04D8" w:rsidRDefault="00196C06" w:rsidP="00196C06">
      <w:pPr>
        <w:pStyle w:val="SingleTxtG"/>
        <w:rPr>
          <w:lang w:val="fr-FR"/>
        </w:rPr>
      </w:pPr>
      <w:r w:rsidRPr="004F04D8">
        <w:rPr>
          <w:lang w:val="fr-FR" w:eastAsia="en-GB"/>
        </w:rPr>
        <w:t>3.1.2.8.1.2</w:t>
      </w:r>
      <w:r w:rsidRPr="004F04D8">
        <w:rPr>
          <w:lang w:val="fr-FR" w:eastAsia="en-GB"/>
        </w:rPr>
        <w:tab/>
      </w:r>
      <w:r w:rsidR="00BF6723" w:rsidRPr="004F04D8">
        <w:rPr>
          <w:lang w:val="fr-FR"/>
        </w:rPr>
        <w:t>Modifier la première phrase pour lire comme suit</w:t>
      </w:r>
      <w:r w:rsidR="00610DD9" w:rsidRPr="004F04D8">
        <w:rPr>
          <w:lang w:val="fr-FR"/>
        </w:rPr>
        <w:t> </w:t>
      </w:r>
      <w:r w:rsidR="00BF6723" w:rsidRPr="004F04D8">
        <w:rPr>
          <w:lang w:val="fr-FR"/>
        </w:rPr>
        <w:t>: «</w:t>
      </w:r>
      <w:r w:rsidR="00610DD9" w:rsidRPr="004F04D8">
        <w:rPr>
          <w:lang w:val="fr-FR"/>
        </w:rPr>
        <w:t> </w:t>
      </w:r>
      <w:r w:rsidR="00BF6723" w:rsidRPr="004F04D8">
        <w:rPr>
          <w:lang w:val="fr-FR"/>
        </w:rPr>
        <w:t xml:space="preserve">Lorsqu'un mélange de marchandises dangereuses ou des objets contenant des marchandises dangereuses sont décrits par l'une des rubriques </w:t>
      </w:r>
      <w:r w:rsidR="00610DD9" w:rsidRPr="004F04D8">
        <w:rPr>
          <w:lang w:val="fr-FR"/>
        </w:rPr>
        <w:t>"</w:t>
      </w:r>
      <w:r w:rsidR="00BF6723" w:rsidRPr="004F04D8">
        <w:rPr>
          <w:lang w:val="fr-FR"/>
        </w:rPr>
        <w:t>N.S.A.</w:t>
      </w:r>
      <w:r w:rsidR="00610DD9" w:rsidRPr="004F04D8">
        <w:rPr>
          <w:lang w:val="fr-FR"/>
        </w:rPr>
        <w:t>"</w:t>
      </w:r>
      <w:r w:rsidR="00BF6723" w:rsidRPr="004F04D8">
        <w:rPr>
          <w:lang w:val="fr-FR"/>
        </w:rPr>
        <w:t xml:space="preserve"> ou </w:t>
      </w:r>
      <w:r w:rsidR="00610DD9" w:rsidRPr="004F04D8">
        <w:rPr>
          <w:lang w:val="fr-FR"/>
        </w:rPr>
        <w:t>"</w:t>
      </w:r>
      <w:r w:rsidR="00BF6723" w:rsidRPr="004F04D8">
        <w:rPr>
          <w:lang w:val="fr-FR"/>
        </w:rPr>
        <w:t>générique</w:t>
      </w:r>
      <w:r w:rsidR="00610DD9" w:rsidRPr="004F04D8">
        <w:rPr>
          <w:lang w:val="fr-FR"/>
        </w:rPr>
        <w:t>"</w:t>
      </w:r>
      <w:r w:rsidR="00BF6723" w:rsidRPr="004F04D8">
        <w:rPr>
          <w:lang w:val="fr-FR"/>
        </w:rPr>
        <w:t xml:space="preserve"> assortie de la disposition spéciale 274 dans la </w:t>
      </w:r>
      <w:r w:rsidR="00A3368F" w:rsidRPr="004F04D8">
        <w:rPr>
          <w:lang w:val="fr-FR"/>
        </w:rPr>
        <w:t>colonne (6) du tableau A du chapitre 3.2</w:t>
      </w:r>
      <w:r w:rsidR="00BF6723" w:rsidRPr="004F04D8">
        <w:rPr>
          <w:lang w:val="fr-FR"/>
        </w:rPr>
        <w:t>, il suffit d'indiquer les deux constituants qui concourent le plus au danger ou aux dangers du mélange ou des objets, exception faite des matières soumises à un contrôle lorsque leur divulgation est interdite par une loi nationale ou une convention internationale.</w:t>
      </w:r>
      <w:r w:rsidR="00610DD9" w:rsidRPr="004F04D8">
        <w:rPr>
          <w:lang w:val="fr-FR"/>
        </w:rPr>
        <w:t> </w:t>
      </w:r>
      <w:r w:rsidR="00BF6723" w:rsidRPr="004F04D8">
        <w:rPr>
          <w:lang w:val="fr-FR"/>
        </w:rPr>
        <w:t xml:space="preserve">». </w:t>
      </w:r>
      <w:r w:rsidR="00BF6723" w:rsidRPr="004F04D8">
        <w:rPr>
          <w:lang w:val="fr-FR" w:eastAsia="en-GB"/>
        </w:rPr>
        <w:t>Dans la deuxième phrase, r</w:t>
      </w:r>
      <w:r w:rsidRPr="004F04D8">
        <w:rPr>
          <w:lang w:val="fr-FR"/>
        </w:rPr>
        <w:t>emplacer «</w:t>
      </w:r>
      <w:r w:rsidR="00610DD9" w:rsidRPr="004F04D8">
        <w:rPr>
          <w:lang w:val="fr-FR"/>
        </w:rPr>
        <w:t> </w:t>
      </w:r>
      <w:r w:rsidRPr="004F04D8">
        <w:rPr>
          <w:lang w:val="fr-FR"/>
        </w:rPr>
        <w:t>risque</w:t>
      </w:r>
      <w:r w:rsidR="00610DD9" w:rsidRPr="004F04D8">
        <w:rPr>
          <w:lang w:val="fr-FR"/>
        </w:rPr>
        <w:t> </w:t>
      </w:r>
      <w:r w:rsidRPr="004F04D8">
        <w:rPr>
          <w:lang w:val="fr-FR"/>
        </w:rPr>
        <w:t>» par «</w:t>
      </w:r>
      <w:r w:rsidR="00610DD9" w:rsidRPr="004F04D8">
        <w:rPr>
          <w:lang w:val="fr-FR"/>
        </w:rPr>
        <w:t> </w:t>
      </w:r>
      <w:r w:rsidRPr="004F04D8">
        <w:rPr>
          <w:lang w:val="fr-FR"/>
        </w:rPr>
        <w:t>danger</w:t>
      </w:r>
      <w:r w:rsidR="00610DD9" w:rsidRPr="004F04D8">
        <w:rPr>
          <w:lang w:val="fr-FR"/>
        </w:rPr>
        <w:t> </w:t>
      </w:r>
      <w:r w:rsidRPr="004F04D8">
        <w:rPr>
          <w:lang w:val="fr-FR"/>
        </w:rPr>
        <w:t>» (deux fois).</w:t>
      </w:r>
    </w:p>
    <w:p w14:paraId="340AD22C" w14:textId="737372C4" w:rsidR="002D5CD0" w:rsidRPr="004F04D8" w:rsidRDefault="002D5CD0" w:rsidP="002D5CD0">
      <w:pPr>
        <w:pStyle w:val="SingleTxtG"/>
        <w:rPr>
          <w:lang w:val="fr-FR"/>
        </w:rPr>
      </w:pPr>
      <w:r w:rsidRPr="004F04D8">
        <w:rPr>
          <w:lang w:val="fr-FR"/>
        </w:rPr>
        <w:t>3.1.2.8.1.3</w:t>
      </w:r>
      <w:r w:rsidRPr="004F04D8">
        <w:rPr>
          <w:lang w:val="fr-FR"/>
        </w:rPr>
        <w:tab/>
        <w:t>Ajouter le nouvel exemple suivant à la fin</w:t>
      </w:r>
      <w:r w:rsidR="00610DD9" w:rsidRPr="004F04D8">
        <w:rPr>
          <w:lang w:val="fr-FR"/>
        </w:rPr>
        <w:t> </w:t>
      </w:r>
      <w:r w:rsidRPr="004F04D8">
        <w:rPr>
          <w:lang w:val="fr-FR"/>
        </w:rPr>
        <w:t>:</w:t>
      </w:r>
    </w:p>
    <w:p w14:paraId="1E2DB48F" w14:textId="4C0DC4E2" w:rsidR="002D5CD0" w:rsidRPr="004F04D8" w:rsidRDefault="002D5CD0" w:rsidP="002D5CD0">
      <w:pPr>
        <w:pStyle w:val="SingleTxtG"/>
        <w:rPr>
          <w:lang w:val="fr-FR"/>
        </w:rPr>
      </w:pPr>
      <w:r w:rsidRPr="004F04D8">
        <w:rPr>
          <w:lang w:val="fr-FR"/>
        </w:rPr>
        <w:t>«</w:t>
      </w:r>
      <w:r w:rsidR="00610DD9" w:rsidRPr="004F04D8">
        <w:rPr>
          <w:lang w:val="fr-FR"/>
        </w:rPr>
        <w:t> </w:t>
      </w:r>
      <w:r w:rsidRPr="004F04D8">
        <w:rPr>
          <w:lang w:val="fr-FR"/>
        </w:rPr>
        <w:t xml:space="preserve">UN 3540 </w:t>
      </w:r>
      <w:r w:rsidRPr="004F04D8">
        <w:rPr>
          <w:lang w:val="fr-FR"/>
        </w:rPr>
        <w:tab/>
      </w:r>
      <w:r w:rsidR="00FE4F7E" w:rsidRPr="004F04D8">
        <w:rPr>
          <w:lang w:val="fr-FR"/>
        </w:rPr>
        <w:t>OBJETS CONTENANT DU LIQUIDE INFLAMMABLE, N.S.A.</w:t>
      </w:r>
      <w:r w:rsidR="00FE4F7E" w:rsidRPr="004F04D8" w:rsidDel="00FE4F7E">
        <w:rPr>
          <w:lang w:val="fr-FR"/>
        </w:rPr>
        <w:t xml:space="preserve"> </w:t>
      </w:r>
      <w:r w:rsidRPr="004F04D8">
        <w:rPr>
          <w:lang w:val="fr-FR"/>
        </w:rPr>
        <w:t>(pyrrolidine)</w:t>
      </w:r>
      <w:r w:rsidR="00610DD9" w:rsidRPr="004F04D8">
        <w:rPr>
          <w:lang w:val="fr-FR"/>
        </w:rPr>
        <w:t> </w:t>
      </w:r>
      <w:r w:rsidRPr="004F04D8">
        <w:rPr>
          <w:lang w:val="fr-FR"/>
        </w:rPr>
        <w:t>».</w:t>
      </w:r>
    </w:p>
    <w:p w14:paraId="6700D896" w14:textId="77777777" w:rsidR="00196C06" w:rsidRPr="000A6BAA" w:rsidRDefault="00196C06" w:rsidP="00196C06">
      <w:pPr>
        <w:pStyle w:val="H1G"/>
        <w:rPr>
          <w:lang w:val="fr-FR"/>
        </w:rPr>
      </w:pPr>
      <w:r w:rsidRPr="000A6BAA">
        <w:rPr>
          <w:lang w:val="fr-FR"/>
        </w:rPr>
        <w:lastRenderedPageBreak/>
        <w:tab/>
      </w:r>
      <w:r w:rsidRPr="000A6BAA">
        <w:rPr>
          <w:lang w:val="fr-FR"/>
        </w:rPr>
        <w:tab/>
        <w:t>Chapitre 3.2</w:t>
      </w:r>
    </w:p>
    <w:p w14:paraId="6DCF3A9B" w14:textId="680B2DC4" w:rsidR="000A6BAA" w:rsidRPr="000A6BAA" w:rsidRDefault="000A6BAA" w:rsidP="000A6BAA">
      <w:pPr>
        <w:pStyle w:val="SingleTxtG"/>
        <w:rPr>
          <w:lang w:val="fr-FR"/>
        </w:rPr>
      </w:pPr>
      <w:r w:rsidRPr="000A6BAA">
        <w:rPr>
          <w:lang w:val="fr-FR"/>
        </w:rPr>
        <w:t>3.2.1</w:t>
      </w:r>
      <w:r w:rsidRPr="000A6BAA">
        <w:rPr>
          <w:lang w:val="fr-FR"/>
        </w:rPr>
        <w:tab/>
      </w:r>
      <w:r w:rsidRPr="000A6BAA">
        <w:rPr>
          <w:lang w:val="fr-FR"/>
        </w:rPr>
        <w:tab/>
        <w:t>Dans l’explication relative à la colonne (3b), dans l’avant-dernier tiret, supprimer « , 8 ». Ajouter un nouveau tiret après celui-ci pour lire comme suit :</w:t>
      </w:r>
    </w:p>
    <w:p w14:paraId="2024C23D" w14:textId="52B00C66" w:rsidR="003778F9" w:rsidRPr="000A6BAA" w:rsidRDefault="003778F9" w:rsidP="000A6BAA">
      <w:pPr>
        <w:pStyle w:val="SingleTxtG"/>
        <w:rPr>
          <w:lang w:val="fr-FR"/>
        </w:rPr>
      </w:pPr>
      <w:r w:rsidRPr="000A6BAA">
        <w:rPr>
          <w:lang w:val="fr-FR"/>
        </w:rPr>
        <w:t>« - Pour les matières ou objets dangereux de la classe 8 les codes sont expliqués au 2.2.8.1.4.1; ».</w:t>
      </w:r>
    </w:p>
    <w:p w14:paraId="59E37015" w14:textId="3D6AF7A6" w:rsidR="002F085E" w:rsidRPr="00FB1878" w:rsidRDefault="002F085E" w:rsidP="002F085E">
      <w:pPr>
        <w:pStyle w:val="SingleTxtG"/>
        <w:tabs>
          <w:tab w:val="left" w:pos="2268"/>
        </w:tabs>
        <w:rPr>
          <w:lang w:val="fr-FR"/>
        </w:rPr>
      </w:pPr>
      <w:r w:rsidRPr="00FB1878">
        <w:rPr>
          <w:lang w:val="fr-FR"/>
        </w:rPr>
        <w:t>3.2.1</w:t>
      </w:r>
      <w:r w:rsidRPr="00FB1878">
        <w:rPr>
          <w:lang w:val="fr-FR"/>
        </w:rPr>
        <w:tab/>
        <w:t xml:space="preserve">Dans </w:t>
      </w:r>
      <w:r w:rsidR="00244ABE" w:rsidRPr="00FB1878">
        <w:rPr>
          <w:lang w:val="fr-FR"/>
        </w:rPr>
        <w:t xml:space="preserve">l’explication </w:t>
      </w:r>
      <w:r w:rsidRPr="00FB1878">
        <w:rPr>
          <w:lang w:val="fr-FR"/>
        </w:rPr>
        <w:t>relative à la colonne (9a), au troisième tiret, après « la lettre "L" », insérer: « ou les lettres "LL" » (deux fois).</w:t>
      </w:r>
    </w:p>
    <w:p w14:paraId="450CFCE4" w14:textId="73DE9D51" w:rsidR="00196C06" w:rsidRPr="00CA4E32" w:rsidRDefault="00196C06" w:rsidP="00B76415">
      <w:pPr>
        <w:pStyle w:val="SingleTxtG"/>
        <w:tabs>
          <w:tab w:val="left" w:pos="2268"/>
        </w:tabs>
        <w:rPr>
          <w:lang w:val="fr-FR"/>
        </w:rPr>
      </w:pPr>
      <w:r w:rsidRPr="00CA4E32">
        <w:rPr>
          <w:lang w:val="fr-FR"/>
        </w:rPr>
        <w:t>3.2.1</w:t>
      </w:r>
      <w:r w:rsidRPr="00CA4E32">
        <w:rPr>
          <w:lang w:val="fr-FR"/>
        </w:rPr>
        <w:tab/>
      </w:r>
      <w:r w:rsidR="00F15029" w:rsidRPr="00CA4E32">
        <w:rPr>
          <w:lang w:val="fr-FR"/>
        </w:rPr>
        <w:t xml:space="preserve">Dans l’explication </w:t>
      </w:r>
      <w:r w:rsidR="00244ABE" w:rsidRPr="00CA4E32">
        <w:rPr>
          <w:lang w:val="fr-FR"/>
        </w:rPr>
        <w:t>relative à</w:t>
      </w:r>
      <w:r w:rsidR="00F15029" w:rsidRPr="00CA4E32">
        <w:rPr>
          <w:lang w:val="fr-FR"/>
        </w:rPr>
        <w:t xml:space="preserve"> la colonne (15), ajouter la nouvelle deuxième phrase suivante : « La mention "-" indique qu'aucune catégorie de transport n'a été affectée. ».</w:t>
      </w:r>
    </w:p>
    <w:p w14:paraId="4835F49A" w14:textId="1A4E4486" w:rsidR="00196C06" w:rsidRPr="00D134BD" w:rsidRDefault="00196C06" w:rsidP="00196C06">
      <w:pPr>
        <w:pStyle w:val="H23G"/>
        <w:rPr>
          <w:lang w:val="fr-FR"/>
        </w:rPr>
      </w:pPr>
      <w:r w:rsidRPr="00D134BD">
        <w:rPr>
          <w:lang w:val="fr-FR"/>
        </w:rPr>
        <w:tab/>
      </w:r>
      <w:r w:rsidRPr="00D134BD">
        <w:rPr>
          <w:lang w:val="fr-FR"/>
        </w:rPr>
        <w:tab/>
      </w:r>
      <w:r w:rsidR="007931DC" w:rsidRPr="00D134BD">
        <w:rPr>
          <w:lang w:val="fr-FR"/>
        </w:rPr>
        <w:t>Tableau A</w:t>
      </w:r>
    </w:p>
    <w:p w14:paraId="11A306F2" w14:textId="2F440D68" w:rsidR="00196C06" w:rsidRPr="00D134BD" w:rsidRDefault="00196C06" w:rsidP="00196C06">
      <w:pPr>
        <w:pStyle w:val="SingleTxtG"/>
        <w:rPr>
          <w:lang w:val="fr-FR"/>
        </w:rPr>
      </w:pPr>
      <w:r w:rsidRPr="00D134BD">
        <w:rPr>
          <w:lang w:val="fr-FR"/>
        </w:rPr>
        <w:t>Pour les Nos ONU 0349, 0367, 0384 et 0481, ajouter «</w:t>
      </w:r>
      <w:r w:rsidR="00610DD9" w:rsidRPr="00D134BD">
        <w:rPr>
          <w:lang w:val="fr-FR"/>
        </w:rPr>
        <w:t> </w:t>
      </w:r>
      <w:r w:rsidRPr="00D134BD">
        <w:rPr>
          <w:lang w:val="fr-FR"/>
        </w:rPr>
        <w:t>347</w:t>
      </w:r>
      <w:r w:rsidR="00610DD9" w:rsidRPr="00D134BD">
        <w:rPr>
          <w:lang w:val="fr-FR"/>
        </w:rPr>
        <w:t> </w:t>
      </w:r>
      <w:r w:rsidRPr="00D134BD">
        <w:rPr>
          <w:lang w:val="fr-FR"/>
        </w:rPr>
        <w:t>» en colonne (6).</w:t>
      </w:r>
    </w:p>
    <w:p w14:paraId="50F04D47" w14:textId="77777777" w:rsidR="002F085E" w:rsidRPr="00FB1878" w:rsidRDefault="002F085E" w:rsidP="002F085E">
      <w:pPr>
        <w:pStyle w:val="SingleTxtG"/>
        <w:rPr>
          <w:i/>
          <w:iCs/>
          <w:lang w:val="fr-FR"/>
        </w:rPr>
      </w:pPr>
      <w:r w:rsidRPr="00FB1878">
        <w:rPr>
          <w:lang w:val="fr-FR"/>
        </w:rPr>
        <w:t>Pour le No ONU 0509, dans la colonne (9b), ajouter : « MP24 ».</w:t>
      </w:r>
      <w:r w:rsidRPr="00FB1878">
        <w:rPr>
          <w:i/>
          <w:iCs/>
          <w:lang w:val="fr-FR"/>
        </w:rPr>
        <w:t xml:space="preserve"> </w:t>
      </w:r>
    </w:p>
    <w:p w14:paraId="4DAFDCF3" w14:textId="509EADD9" w:rsidR="00735A19" w:rsidRPr="00CF3DE3" w:rsidRDefault="00735A19" w:rsidP="00735A19">
      <w:pPr>
        <w:pStyle w:val="SingleTxtG"/>
        <w:rPr>
          <w:lang w:val="fr-FR"/>
        </w:rPr>
      </w:pPr>
      <w:r w:rsidRPr="00CF3DE3">
        <w:rPr>
          <w:lang w:val="fr-FR"/>
        </w:rPr>
        <w:t>Pour les Nos ONU 1002, 1006, 1013, 1046, 1056, 1058, 1065, 1066, 1080, 1952, 1956, 2036, 3070, 3163, 3297, 3298 et 3299 insérer « 660 » dans la colonne (6).</w:t>
      </w:r>
    </w:p>
    <w:p w14:paraId="3CC429F0" w14:textId="6E432D2B" w:rsidR="00F12C72" w:rsidRPr="00477B36" w:rsidRDefault="00F12C72" w:rsidP="00F12C72">
      <w:pPr>
        <w:pStyle w:val="SingleTxtG"/>
        <w:rPr>
          <w:lang w:val="fr-FR"/>
        </w:rPr>
      </w:pPr>
      <w:r w:rsidRPr="00477B36">
        <w:rPr>
          <w:iCs/>
          <w:lang w:val="fr-FR"/>
        </w:rPr>
        <w:t xml:space="preserve">Pour les Nos ONU </w:t>
      </w:r>
      <w:r w:rsidRPr="00477B36">
        <w:rPr>
          <w:lang w:val="fr-FR"/>
        </w:rPr>
        <w:t>1011, 1049, 1075, 1954, 1965, 1969, 1971</w:t>
      </w:r>
      <w:r w:rsidR="007931DC" w:rsidRPr="00477B36">
        <w:rPr>
          <w:lang w:val="fr-FR"/>
        </w:rPr>
        <w:t>, 1972</w:t>
      </w:r>
      <w:r w:rsidRPr="00477B36">
        <w:rPr>
          <w:lang w:val="fr-FR"/>
        </w:rPr>
        <w:t xml:space="preserve"> et 1978</w:t>
      </w:r>
      <w:r w:rsidRPr="00477B36">
        <w:rPr>
          <w:iCs/>
          <w:lang w:val="fr-FR"/>
        </w:rPr>
        <w:t>, en colonne (6), ajouter «</w:t>
      </w:r>
      <w:r w:rsidR="00610DD9" w:rsidRPr="00477B36">
        <w:rPr>
          <w:lang w:val="fr-FR"/>
        </w:rPr>
        <w:t> </w:t>
      </w:r>
      <w:r w:rsidRPr="00477B36">
        <w:rPr>
          <w:iCs/>
          <w:lang w:val="fr-FR"/>
        </w:rPr>
        <w:t>392</w:t>
      </w:r>
      <w:r w:rsidR="00610DD9" w:rsidRPr="00477B36">
        <w:rPr>
          <w:lang w:val="fr-FR"/>
        </w:rPr>
        <w:t> </w:t>
      </w:r>
      <w:r w:rsidRPr="00477B36">
        <w:rPr>
          <w:iCs/>
          <w:lang w:val="fr-FR"/>
        </w:rPr>
        <w:t>»</w:t>
      </w:r>
      <w:r w:rsidR="007931DC" w:rsidRPr="00477B36">
        <w:rPr>
          <w:iCs/>
          <w:lang w:val="fr-FR"/>
        </w:rPr>
        <w:t xml:space="preserve"> et supprimer « 660 »</w:t>
      </w:r>
      <w:r w:rsidRPr="00477B36">
        <w:rPr>
          <w:iCs/>
          <w:lang w:val="fr-FR"/>
        </w:rPr>
        <w:t>.</w:t>
      </w:r>
    </w:p>
    <w:p w14:paraId="49197368" w14:textId="76082907" w:rsidR="00342D08" w:rsidRPr="000A6BAA" w:rsidRDefault="00342D08" w:rsidP="00342D08">
      <w:pPr>
        <w:pStyle w:val="SingleTxtG"/>
        <w:rPr>
          <w:lang w:val="fr-FR"/>
        </w:rPr>
      </w:pPr>
      <w:r w:rsidRPr="000A6BAA">
        <w:rPr>
          <w:lang w:val="fr-FR"/>
        </w:rPr>
        <w:t xml:space="preserve">Pour les Nos </w:t>
      </w:r>
      <w:r w:rsidR="007B5EC0" w:rsidRPr="000A6BAA">
        <w:rPr>
          <w:lang w:val="fr-FR"/>
        </w:rPr>
        <w:t xml:space="preserve">ONU </w:t>
      </w:r>
      <w:r w:rsidRPr="000A6BAA">
        <w:rPr>
          <w:lang w:val="fr-FR"/>
        </w:rPr>
        <w:t>1011, 1075, 1965, 1969 et 1978, ajouter « 674 » en colonne (6).</w:t>
      </w:r>
    </w:p>
    <w:p w14:paraId="2ED12285" w14:textId="77777777" w:rsidR="002F5575" w:rsidRPr="00F26437" w:rsidRDefault="002F5575" w:rsidP="002F5575">
      <w:pPr>
        <w:pStyle w:val="SingleTxtG"/>
        <w:rPr>
          <w:bCs/>
          <w:iCs/>
          <w:lang w:val="fr-FR"/>
        </w:rPr>
      </w:pPr>
      <w:r w:rsidRPr="00F26437">
        <w:rPr>
          <w:bCs/>
          <w:iCs/>
          <w:lang w:val="fr-FR"/>
        </w:rPr>
        <w:t xml:space="preserve">Pour les Nos ONU 1043, 3166 et 3171, en colonne (15), ajouter </w:t>
      </w:r>
    </w:p>
    <w:p w14:paraId="5949D217" w14:textId="49493B5C" w:rsidR="002F5575" w:rsidRPr="00F26437" w:rsidRDefault="002F5575" w:rsidP="002F5575">
      <w:pPr>
        <w:pStyle w:val="SingleTxtG"/>
        <w:rPr>
          <w:bCs/>
          <w:iCs/>
          <w:lang w:val="fr-FR"/>
        </w:rPr>
      </w:pPr>
      <w:r w:rsidRPr="00F26437">
        <w:rPr>
          <w:bCs/>
          <w:iCs/>
          <w:lang w:val="fr-FR"/>
        </w:rPr>
        <w:t>« - </w:t>
      </w:r>
      <w:r w:rsidR="00F26437">
        <w:rPr>
          <w:bCs/>
          <w:iCs/>
          <w:lang w:val="fr-FR"/>
        </w:rPr>
        <w:br/>
        <w:t xml:space="preserve">  </w:t>
      </w:r>
      <w:r w:rsidRPr="00F26437">
        <w:rPr>
          <w:bCs/>
          <w:iCs/>
          <w:lang w:val="fr-FR"/>
        </w:rPr>
        <w:t>(-) ».</w:t>
      </w:r>
    </w:p>
    <w:p w14:paraId="6E25A8B2" w14:textId="3B0FB2B3" w:rsidR="00196C06" w:rsidRPr="00477B36" w:rsidRDefault="00196C06" w:rsidP="00196C06">
      <w:pPr>
        <w:pStyle w:val="SingleTxtG"/>
        <w:rPr>
          <w:lang w:val="fr-FR"/>
        </w:rPr>
      </w:pPr>
      <w:r w:rsidRPr="00477B36">
        <w:rPr>
          <w:iCs/>
          <w:lang w:val="fr-FR"/>
        </w:rPr>
        <w:t>Pour les Nos ONU 1363, 1386, 1398, 1435, 2217 et 2793, en colonne (10), ajouter «</w:t>
      </w:r>
      <w:r w:rsidR="00610DD9" w:rsidRPr="00477B36">
        <w:rPr>
          <w:lang w:val="fr-FR"/>
        </w:rPr>
        <w:t> </w:t>
      </w:r>
      <w:r w:rsidRPr="00477B36">
        <w:rPr>
          <w:iCs/>
          <w:lang w:val="fr-FR"/>
        </w:rPr>
        <w:t>BK2</w:t>
      </w:r>
      <w:r w:rsidR="00610DD9" w:rsidRPr="00477B36">
        <w:rPr>
          <w:lang w:val="fr-FR"/>
        </w:rPr>
        <w:t> </w:t>
      </w:r>
      <w:r w:rsidRPr="00477B36">
        <w:rPr>
          <w:iCs/>
          <w:lang w:val="fr-FR"/>
        </w:rPr>
        <w:t>».</w:t>
      </w:r>
    </w:p>
    <w:p w14:paraId="440D2991" w14:textId="77777777" w:rsidR="00512CCD" w:rsidRPr="000A6BAA" w:rsidRDefault="00512CCD" w:rsidP="00512CCD">
      <w:pPr>
        <w:pStyle w:val="SingleTxtG"/>
        <w:rPr>
          <w:lang w:val="fr-FR"/>
        </w:rPr>
      </w:pPr>
      <w:r w:rsidRPr="000A6BAA">
        <w:rPr>
          <w:lang w:val="fr-FR"/>
        </w:rPr>
        <w:t>Pour le No ONU 1744, ajouter « TU43 » en colonne (13).</w:t>
      </w:r>
    </w:p>
    <w:p w14:paraId="5FC5C3C4" w14:textId="7376E344" w:rsidR="002F085E" w:rsidRPr="00EF30C2" w:rsidRDefault="002F085E" w:rsidP="002F085E">
      <w:pPr>
        <w:pStyle w:val="SingleTxtG"/>
        <w:rPr>
          <w:lang w:val="fr-FR"/>
        </w:rPr>
      </w:pPr>
      <w:r w:rsidRPr="00EF30C2">
        <w:rPr>
          <w:lang w:val="fr-FR"/>
        </w:rPr>
        <w:t xml:space="preserve">Pour les Nos ONU 1755, groupes d’emballage II et III, 1778, groupe d’emballage II, 1779 groupe d’emballage II, 1788, groupes d’emballage II et III, 1789, groupes d’emballage II et III, 1791, groupes d’emballage II et III, 1803, groupe d’emballage II, 1805, groupe d’emballage III, 1814, groupes d’emballage II et III, 1819, groupes d’emballage II et III, 1824, groupes d’emballage II et III, 1830, groupe d’emballage II, 1832, groupe d’emballage II, 1840, groupe d’emballage III, 1906, groupe d’emballage II, 2031, groupe d’emballage II, 2581, groupe d’emballage III, 2582, groupe d’emballage III, 2586, groupe d’emballage III, 2693, groupe d’emballage III, 2796, groupe d’emballage II, 3264, groupes </w:t>
      </w:r>
      <w:r w:rsidR="00D46107" w:rsidRPr="00EF30C2">
        <w:rPr>
          <w:lang w:val="fr-FR"/>
        </w:rPr>
        <w:t>d’emballage II et III et 3266, groupes d’emballage II et III,</w:t>
      </w:r>
      <w:r w:rsidRPr="00EF30C2">
        <w:rPr>
          <w:lang w:val="fr-FR"/>
        </w:rPr>
        <w:t xml:space="preserve"> ajouter « TU42 » en colonne (13).</w:t>
      </w:r>
    </w:p>
    <w:p w14:paraId="58822987" w14:textId="3BFD90B6" w:rsidR="008E1085" w:rsidRPr="00477B36" w:rsidRDefault="008E1085" w:rsidP="008E1085">
      <w:pPr>
        <w:spacing w:before="120" w:after="120" w:line="240" w:lineRule="auto"/>
        <w:ind w:left="1134" w:right="1134"/>
        <w:jc w:val="both"/>
        <w:rPr>
          <w:iCs/>
          <w:lang w:val="fr-FR"/>
        </w:rPr>
      </w:pPr>
      <w:r w:rsidRPr="00477B36">
        <w:rPr>
          <w:iCs/>
          <w:lang w:val="fr-FR"/>
        </w:rPr>
        <w:t xml:space="preserve">Pour </w:t>
      </w:r>
      <w:r w:rsidR="007931DC" w:rsidRPr="00477B36">
        <w:rPr>
          <w:iCs/>
          <w:lang w:val="fr-FR"/>
        </w:rPr>
        <w:t>le No</w:t>
      </w:r>
      <w:r w:rsidRPr="00477B36">
        <w:rPr>
          <w:iCs/>
          <w:lang w:val="fr-FR"/>
        </w:rPr>
        <w:t xml:space="preserve"> ONU 2067, supprimer «</w:t>
      </w:r>
      <w:r w:rsidR="00610DD9" w:rsidRPr="00477B36">
        <w:rPr>
          <w:lang w:val="fr-FR"/>
        </w:rPr>
        <w:t> </w:t>
      </w:r>
      <w:r w:rsidRPr="00477B36">
        <w:rPr>
          <w:iCs/>
          <w:lang w:val="fr-FR"/>
        </w:rPr>
        <w:t>186</w:t>
      </w:r>
      <w:r w:rsidR="00610DD9" w:rsidRPr="00477B36">
        <w:rPr>
          <w:lang w:val="fr-FR"/>
        </w:rPr>
        <w:t> </w:t>
      </w:r>
      <w:r w:rsidRPr="00477B36">
        <w:rPr>
          <w:iCs/>
          <w:lang w:val="fr-FR"/>
        </w:rPr>
        <w:t>» en colonne (6).</w:t>
      </w:r>
    </w:p>
    <w:p w14:paraId="0A7417AC" w14:textId="4F95D24A" w:rsidR="007931DC" w:rsidRPr="00477B36" w:rsidRDefault="007931DC" w:rsidP="008E1085">
      <w:pPr>
        <w:spacing w:before="120" w:after="120" w:line="240" w:lineRule="auto"/>
        <w:ind w:left="1134" w:right="1134"/>
        <w:jc w:val="both"/>
        <w:rPr>
          <w:lang w:val="fr-FR"/>
        </w:rPr>
      </w:pPr>
      <w:r w:rsidRPr="00477B36">
        <w:rPr>
          <w:iCs/>
          <w:lang w:val="fr-FR"/>
        </w:rPr>
        <w:t>Pour le No ONU 2071, en colonne (2), modifier la désignation pour lire « </w:t>
      </w:r>
      <w:r w:rsidRPr="00477B36">
        <w:rPr>
          <w:lang w:val="fr-FR"/>
        </w:rPr>
        <w:t>ENGRAIS AU NITRATE D’AMMONIUM ». En colonne (3b), ajouter « M11 ».</w:t>
      </w:r>
    </w:p>
    <w:p w14:paraId="4E315424" w14:textId="6244D6DA" w:rsidR="00477B36" w:rsidRPr="00154472" w:rsidRDefault="00477B36" w:rsidP="00477B36">
      <w:pPr>
        <w:spacing w:before="120" w:after="120" w:line="240" w:lineRule="auto"/>
        <w:ind w:left="1134" w:right="1134"/>
        <w:jc w:val="both"/>
        <w:rPr>
          <w:iCs/>
          <w:lang w:val="fr-FR"/>
        </w:rPr>
      </w:pPr>
      <w:r w:rsidRPr="00154472">
        <w:rPr>
          <w:iCs/>
          <w:lang w:val="fr-FR"/>
        </w:rPr>
        <w:t>Pour le No ONU 2071, supprimer « NON SOUMIS À L'ADR ». En colonne (5), ajouter « 193 ».</w:t>
      </w:r>
    </w:p>
    <w:p w14:paraId="5828686D" w14:textId="1815AEC2" w:rsidR="005C3B29" w:rsidRPr="00477B36" w:rsidRDefault="005C3B29" w:rsidP="005C3B29">
      <w:pPr>
        <w:spacing w:before="120" w:after="120" w:line="240" w:lineRule="auto"/>
        <w:ind w:left="1134" w:right="1134"/>
        <w:jc w:val="both"/>
        <w:rPr>
          <w:iCs/>
          <w:lang w:val="fr-FR"/>
        </w:rPr>
      </w:pPr>
      <w:r w:rsidRPr="00477B36">
        <w:rPr>
          <w:iCs/>
          <w:lang w:val="fr-FR"/>
        </w:rPr>
        <w:t xml:space="preserve">Pour le No ONU </w:t>
      </w:r>
      <w:r>
        <w:rPr>
          <w:iCs/>
          <w:lang w:val="fr-FR"/>
        </w:rPr>
        <w:t>2381</w:t>
      </w:r>
      <w:r w:rsidRPr="00477B36">
        <w:rPr>
          <w:iCs/>
          <w:lang w:val="fr-FR"/>
        </w:rPr>
        <w:t>, supprimer «</w:t>
      </w:r>
      <w:r w:rsidRPr="00477B36">
        <w:rPr>
          <w:lang w:val="fr-FR"/>
        </w:rPr>
        <w:t> </w:t>
      </w:r>
      <w:r>
        <w:rPr>
          <w:iCs/>
          <w:lang w:val="fr-FR"/>
        </w:rPr>
        <w:t>TP38</w:t>
      </w:r>
      <w:r w:rsidRPr="00477B36">
        <w:rPr>
          <w:lang w:val="fr-FR"/>
        </w:rPr>
        <w:t> </w:t>
      </w:r>
      <w:r w:rsidRPr="00477B36">
        <w:rPr>
          <w:iCs/>
          <w:lang w:val="fr-FR"/>
        </w:rPr>
        <w:t>» en colonne (</w:t>
      </w:r>
      <w:r>
        <w:rPr>
          <w:iCs/>
          <w:lang w:val="fr-FR"/>
        </w:rPr>
        <w:t>11</w:t>
      </w:r>
      <w:r w:rsidRPr="00477B36">
        <w:rPr>
          <w:iCs/>
          <w:lang w:val="fr-FR"/>
        </w:rPr>
        <w:t>).</w:t>
      </w:r>
    </w:p>
    <w:p w14:paraId="7BB93C87" w14:textId="111FC0A9" w:rsidR="00196C06" w:rsidRPr="00477B36" w:rsidRDefault="00196C06" w:rsidP="00196C06">
      <w:pPr>
        <w:pStyle w:val="SingleTxtG"/>
        <w:rPr>
          <w:iCs/>
          <w:lang w:val="fr-FR"/>
        </w:rPr>
      </w:pPr>
      <w:r w:rsidRPr="00477B36">
        <w:rPr>
          <w:iCs/>
          <w:lang w:val="fr-FR"/>
        </w:rPr>
        <w:t>Pour les Nos ONU 3090, 3091, 3480 et 3481, ajouter «</w:t>
      </w:r>
      <w:r w:rsidR="00610DD9" w:rsidRPr="00477B36">
        <w:rPr>
          <w:lang w:val="fr-FR"/>
        </w:rPr>
        <w:t> </w:t>
      </w:r>
      <w:r w:rsidRPr="00477B36">
        <w:rPr>
          <w:iCs/>
          <w:lang w:val="fr-FR"/>
        </w:rPr>
        <w:t>387</w:t>
      </w:r>
      <w:r w:rsidR="00610DD9" w:rsidRPr="00477B36">
        <w:rPr>
          <w:lang w:val="fr-FR"/>
        </w:rPr>
        <w:t> </w:t>
      </w:r>
      <w:r w:rsidRPr="00477B36">
        <w:rPr>
          <w:iCs/>
          <w:lang w:val="fr-FR"/>
        </w:rPr>
        <w:t>» en colonne (6).</w:t>
      </w:r>
      <w:r w:rsidR="007931DC" w:rsidRPr="00477B36">
        <w:rPr>
          <w:iCs/>
          <w:lang w:val="fr-FR"/>
        </w:rPr>
        <w:t xml:space="preserve"> En colonne (8), ajouter « P911 » et « LP905 LP906 ».</w:t>
      </w:r>
    </w:p>
    <w:p w14:paraId="46A846BE" w14:textId="77777777" w:rsidR="002F085E" w:rsidRPr="00FB1878" w:rsidRDefault="002F085E" w:rsidP="002F085E">
      <w:pPr>
        <w:pStyle w:val="SingleTxtG"/>
        <w:rPr>
          <w:rFonts w:eastAsia="MS Mincho"/>
          <w:lang w:val="fr-FR" w:eastAsia="nl-NL"/>
        </w:rPr>
      </w:pPr>
      <w:r w:rsidRPr="00FB1878">
        <w:rPr>
          <w:rFonts w:eastAsia="MS Mincho"/>
          <w:lang w:val="fr-FR" w:eastAsia="nl-NL"/>
        </w:rPr>
        <w:t>Pour les Nos ONU 3091 et 3481, remplacer « 636 » par « 670 » en colonne (6).</w:t>
      </w:r>
    </w:p>
    <w:p w14:paraId="3685A29D" w14:textId="1839CCE7" w:rsidR="005C3B29" w:rsidRPr="00477B36" w:rsidRDefault="005C3B29" w:rsidP="005C3B29">
      <w:pPr>
        <w:spacing w:before="120" w:after="120" w:line="240" w:lineRule="auto"/>
        <w:ind w:left="1134" w:right="1134"/>
        <w:jc w:val="both"/>
        <w:rPr>
          <w:iCs/>
          <w:lang w:val="fr-FR"/>
        </w:rPr>
      </w:pPr>
      <w:r w:rsidRPr="00477B36">
        <w:rPr>
          <w:iCs/>
          <w:lang w:val="fr-FR"/>
        </w:rPr>
        <w:t xml:space="preserve">Pour le No ONU </w:t>
      </w:r>
      <w:r>
        <w:rPr>
          <w:iCs/>
          <w:lang w:val="fr-FR"/>
        </w:rPr>
        <w:t>3148</w:t>
      </w:r>
      <w:r w:rsidRPr="00477B36">
        <w:rPr>
          <w:iCs/>
          <w:lang w:val="fr-FR"/>
        </w:rPr>
        <w:t>, supprimer «</w:t>
      </w:r>
      <w:r w:rsidRPr="00477B36">
        <w:rPr>
          <w:lang w:val="fr-FR"/>
        </w:rPr>
        <w:t> </w:t>
      </w:r>
      <w:r>
        <w:rPr>
          <w:iCs/>
          <w:lang w:val="fr-FR"/>
        </w:rPr>
        <w:t>TP39</w:t>
      </w:r>
      <w:r w:rsidRPr="00477B36">
        <w:rPr>
          <w:lang w:val="fr-FR"/>
        </w:rPr>
        <w:t> </w:t>
      </w:r>
      <w:r w:rsidRPr="00477B36">
        <w:rPr>
          <w:iCs/>
          <w:lang w:val="fr-FR"/>
        </w:rPr>
        <w:t>» en colonne (</w:t>
      </w:r>
      <w:r>
        <w:rPr>
          <w:iCs/>
          <w:lang w:val="fr-FR"/>
        </w:rPr>
        <w:t>11</w:t>
      </w:r>
      <w:r w:rsidRPr="00477B36">
        <w:rPr>
          <w:iCs/>
          <w:lang w:val="fr-FR"/>
        </w:rPr>
        <w:t>).</w:t>
      </w:r>
    </w:p>
    <w:p w14:paraId="0E19F40C" w14:textId="109E6E92" w:rsidR="00196C06" w:rsidRPr="00477B36" w:rsidRDefault="00196C06" w:rsidP="00196C06">
      <w:pPr>
        <w:spacing w:before="120" w:after="120" w:line="240" w:lineRule="auto"/>
        <w:ind w:left="1134" w:right="1134"/>
        <w:jc w:val="both"/>
        <w:rPr>
          <w:iCs/>
          <w:lang w:val="fr-FR"/>
        </w:rPr>
      </w:pPr>
      <w:r w:rsidRPr="00477B36">
        <w:rPr>
          <w:iCs/>
          <w:lang w:val="fr-FR"/>
        </w:rPr>
        <w:lastRenderedPageBreak/>
        <w:t>Pour le No ONU 3166, supprimer «</w:t>
      </w:r>
      <w:r w:rsidR="00610DD9" w:rsidRPr="00477B36">
        <w:rPr>
          <w:lang w:val="fr-FR"/>
        </w:rPr>
        <w:t> </w:t>
      </w:r>
      <w:r w:rsidRPr="00477B36">
        <w:rPr>
          <w:iCs/>
          <w:lang w:val="fr-FR"/>
        </w:rPr>
        <w:t>312</w:t>
      </w:r>
      <w:r w:rsidR="00610DD9" w:rsidRPr="00477B36">
        <w:rPr>
          <w:lang w:val="fr-FR"/>
        </w:rPr>
        <w:t> </w:t>
      </w:r>
      <w:r w:rsidRPr="00477B36">
        <w:rPr>
          <w:iCs/>
          <w:lang w:val="fr-FR"/>
        </w:rPr>
        <w:t>» et «</w:t>
      </w:r>
      <w:r w:rsidR="00610DD9" w:rsidRPr="00477B36">
        <w:rPr>
          <w:lang w:val="fr-FR"/>
        </w:rPr>
        <w:t> </w:t>
      </w:r>
      <w:r w:rsidRPr="00477B36">
        <w:rPr>
          <w:iCs/>
          <w:lang w:val="fr-FR"/>
        </w:rPr>
        <w:t>385</w:t>
      </w:r>
      <w:r w:rsidR="00610DD9" w:rsidRPr="00477B36">
        <w:rPr>
          <w:lang w:val="fr-FR"/>
        </w:rPr>
        <w:t> </w:t>
      </w:r>
      <w:r w:rsidRPr="00477B36">
        <w:rPr>
          <w:iCs/>
          <w:lang w:val="fr-FR"/>
        </w:rPr>
        <w:t>» en colonne (6).</w:t>
      </w:r>
    </w:p>
    <w:p w14:paraId="615911AD" w14:textId="3122EC35" w:rsidR="00196C06" w:rsidRPr="00477B36" w:rsidRDefault="00196C06" w:rsidP="00196C06">
      <w:pPr>
        <w:spacing w:before="120" w:after="120" w:line="240" w:lineRule="auto"/>
        <w:ind w:left="1134" w:right="1134"/>
        <w:jc w:val="both"/>
        <w:rPr>
          <w:iCs/>
          <w:lang w:val="fr-FR"/>
        </w:rPr>
      </w:pPr>
      <w:r w:rsidRPr="00477B36">
        <w:rPr>
          <w:iCs/>
          <w:lang w:val="fr-FR"/>
        </w:rPr>
        <w:t>Pour les Nos ONU 3166 et 3171, ajouter «</w:t>
      </w:r>
      <w:r w:rsidR="00610DD9" w:rsidRPr="00477B36">
        <w:rPr>
          <w:lang w:val="fr-FR"/>
        </w:rPr>
        <w:t> </w:t>
      </w:r>
      <w:r w:rsidRPr="00477B36">
        <w:rPr>
          <w:iCs/>
          <w:lang w:val="fr-FR"/>
        </w:rPr>
        <w:t>388</w:t>
      </w:r>
      <w:r w:rsidR="00610DD9" w:rsidRPr="00477B36">
        <w:rPr>
          <w:lang w:val="fr-FR"/>
        </w:rPr>
        <w:t> </w:t>
      </w:r>
      <w:r w:rsidRPr="00477B36">
        <w:rPr>
          <w:iCs/>
          <w:lang w:val="fr-FR"/>
        </w:rPr>
        <w:t>» en colonne (6).</w:t>
      </w:r>
    </w:p>
    <w:p w14:paraId="19F9CEA7" w14:textId="1C82CEEE" w:rsidR="00196C06" w:rsidRPr="00477B36" w:rsidRDefault="00196C06" w:rsidP="00196C06">
      <w:pPr>
        <w:spacing w:before="120" w:after="120" w:line="240" w:lineRule="auto"/>
        <w:ind w:left="1134" w:right="1134"/>
        <w:jc w:val="both"/>
        <w:rPr>
          <w:iCs/>
          <w:lang w:val="fr-FR"/>
        </w:rPr>
      </w:pPr>
      <w:r w:rsidRPr="00477B36">
        <w:rPr>
          <w:iCs/>
          <w:lang w:val="fr-FR"/>
        </w:rPr>
        <w:t>Pour le No ONU 3171, supprimer «</w:t>
      </w:r>
      <w:r w:rsidR="00610DD9" w:rsidRPr="00477B36">
        <w:rPr>
          <w:lang w:val="fr-FR"/>
        </w:rPr>
        <w:t> </w:t>
      </w:r>
      <w:r w:rsidRPr="00477B36">
        <w:rPr>
          <w:iCs/>
          <w:lang w:val="fr-FR"/>
        </w:rPr>
        <w:t>240</w:t>
      </w:r>
      <w:r w:rsidR="00610DD9" w:rsidRPr="00477B36">
        <w:rPr>
          <w:lang w:val="fr-FR"/>
        </w:rPr>
        <w:t> </w:t>
      </w:r>
      <w:r w:rsidRPr="00477B36">
        <w:rPr>
          <w:iCs/>
          <w:lang w:val="fr-FR"/>
        </w:rPr>
        <w:t>» en colonne (6).</w:t>
      </w:r>
    </w:p>
    <w:p w14:paraId="3E803E0E" w14:textId="09C89638" w:rsidR="00470FED" w:rsidRPr="00477B36" w:rsidRDefault="00470FED" w:rsidP="00470FED">
      <w:pPr>
        <w:pStyle w:val="SingleTxtG"/>
        <w:rPr>
          <w:lang w:val="fr-FR"/>
        </w:rPr>
      </w:pPr>
      <w:r w:rsidRPr="00477B36">
        <w:rPr>
          <w:iCs/>
          <w:lang w:val="fr-FR"/>
        </w:rPr>
        <w:t>Pour les Nos ONU 3223 et 3224, en colonne (9</w:t>
      </w:r>
      <w:r w:rsidR="00A35BBA" w:rsidRPr="00477B36">
        <w:rPr>
          <w:iCs/>
          <w:lang w:val="fr-FR"/>
        </w:rPr>
        <w:t>a</w:t>
      </w:r>
      <w:r w:rsidRPr="00477B36">
        <w:rPr>
          <w:iCs/>
          <w:lang w:val="fr-FR"/>
        </w:rPr>
        <w:t>), ajouter «</w:t>
      </w:r>
      <w:r w:rsidR="00610DD9" w:rsidRPr="00477B36">
        <w:rPr>
          <w:lang w:val="fr-FR"/>
        </w:rPr>
        <w:t> </w:t>
      </w:r>
      <w:r w:rsidRPr="00477B36">
        <w:rPr>
          <w:iCs/>
          <w:lang w:val="fr-FR"/>
        </w:rPr>
        <w:t>PP94 PP95</w:t>
      </w:r>
      <w:r w:rsidR="00610DD9" w:rsidRPr="00477B36">
        <w:rPr>
          <w:lang w:val="fr-FR"/>
        </w:rPr>
        <w:t> </w:t>
      </w:r>
      <w:r w:rsidRPr="00477B36">
        <w:rPr>
          <w:iCs/>
          <w:lang w:val="fr-FR"/>
        </w:rPr>
        <w:t>».</w:t>
      </w:r>
    </w:p>
    <w:p w14:paraId="19BA9DA7" w14:textId="47841527" w:rsidR="00196C06" w:rsidRPr="00477B36" w:rsidRDefault="00196C06" w:rsidP="00196C06">
      <w:pPr>
        <w:pStyle w:val="SingleTxtG"/>
        <w:rPr>
          <w:lang w:val="fr-FR"/>
        </w:rPr>
      </w:pPr>
      <w:r w:rsidRPr="00477B36">
        <w:rPr>
          <w:lang w:val="fr-FR"/>
        </w:rPr>
        <w:t>Pour le No ONU 3302, dans la colonne (2), à la fin de la désignation, ajouter «</w:t>
      </w:r>
      <w:r w:rsidR="00610DD9" w:rsidRPr="00477B36">
        <w:rPr>
          <w:lang w:val="fr-FR"/>
        </w:rPr>
        <w:t> </w:t>
      </w:r>
      <w:r w:rsidRPr="00477B36">
        <w:rPr>
          <w:lang w:val="fr-FR"/>
        </w:rPr>
        <w:t>STABILISÉ</w:t>
      </w:r>
      <w:r w:rsidR="00610DD9" w:rsidRPr="00477B36">
        <w:rPr>
          <w:lang w:val="fr-FR"/>
        </w:rPr>
        <w:t> </w:t>
      </w:r>
      <w:r w:rsidRPr="00477B36">
        <w:rPr>
          <w:lang w:val="fr-FR"/>
        </w:rPr>
        <w:t>». Ajouter «</w:t>
      </w:r>
      <w:r w:rsidR="00610DD9" w:rsidRPr="00477B36">
        <w:rPr>
          <w:lang w:val="fr-FR"/>
        </w:rPr>
        <w:t> </w:t>
      </w:r>
      <w:r w:rsidRPr="00477B36">
        <w:rPr>
          <w:lang w:val="fr-FR"/>
        </w:rPr>
        <w:t>386</w:t>
      </w:r>
      <w:r w:rsidR="00610DD9" w:rsidRPr="00477B36">
        <w:rPr>
          <w:lang w:val="fr-FR"/>
        </w:rPr>
        <w:t> </w:t>
      </w:r>
      <w:r w:rsidRPr="00477B36">
        <w:rPr>
          <w:lang w:val="fr-FR"/>
        </w:rPr>
        <w:t>» en colonne (6).</w:t>
      </w:r>
      <w:r w:rsidR="00A35BBA" w:rsidRPr="00477B36">
        <w:rPr>
          <w:lang w:val="fr-FR"/>
        </w:rPr>
        <w:t xml:space="preserve"> Ajouter « V8 » en colonne (16) et « S4 » en colonne (19).</w:t>
      </w:r>
    </w:p>
    <w:p w14:paraId="310FEEBD" w14:textId="7A3E6545" w:rsidR="00196C06" w:rsidRPr="00477B36" w:rsidRDefault="00196C06" w:rsidP="00196C06">
      <w:pPr>
        <w:pStyle w:val="SingleTxtG"/>
        <w:rPr>
          <w:iCs/>
          <w:lang w:val="fr-FR"/>
        </w:rPr>
      </w:pPr>
      <w:r w:rsidRPr="00477B36">
        <w:rPr>
          <w:iCs/>
          <w:lang w:val="fr-FR"/>
        </w:rPr>
        <w:t>Pour le No ONU 3316, première rubrique, supprimer le groupe d’emballage en colonne (5)</w:t>
      </w:r>
      <w:r w:rsidR="00A35BBA" w:rsidRPr="00477B36">
        <w:rPr>
          <w:iCs/>
          <w:lang w:val="fr-FR"/>
        </w:rPr>
        <w:t xml:space="preserve"> et ajouter « 671 » en colonne (6). En colonne (15), dans la partie haute de la cellule, remplacer « 2 » par « Voir DS 671 »</w:t>
      </w:r>
      <w:r w:rsidRPr="00477B36">
        <w:rPr>
          <w:iCs/>
          <w:lang w:val="fr-FR"/>
        </w:rPr>
        <w:t>. Supprimer la deuxième rubrique</w:t>
      </w:r>
      <w:r w:rsidR="003D6AA4" w:rsidRPr="00477B36">
        <w:rPr>
          <w:iCs/>
          <w:lang w:val="fr-FR"/>
        </w:rPr>
        <w:t xml:space="preserve"> correspondant au groupe d’emballage III</w:t>
      </w:r>
      <w:r w:rsidRPr="00477B36">
        <w:rPr>
          <w:iCs/>
          <w:lang w:val="fr-FR"/>
        </w:rPr>
        <w:t xml:space="preserve">. </w:t>
      </w:r>
    </w:p>
    <w:p w14:paraId="23C04D03" w14:textId="40CAA5C4" w:rsidR="00EF30C2" w:rsidRPr="00410EC7" w:rsidRDefault="00EF30C2" w:rsidP="00EF30C2">
      <w:pPr>
        <w:pStyle w:val="SingleTxtG"/>
        <w:rPr>
          <w:lang w:val="fr-FR"/>
        </w:rPr>
      </w:pPr>
      <w:r w:rsidRPr="00410EC7">
        <w:rPr>
          <w:lang w:val="fr-FR"/>
        </w:rPr>
        <w:t>Pour les Nos ONU 3359 et 3373 première rubrique, ajouter « - » dans la partie supérieure de la colonne (15).</w:t>
      </w:r>
    </w:p>
    <w:p w14:paraId="651781CA" w14:textId="01AC599D" w:rsidR="00AD3A60" w:rsidRPr="00477B36" w:rsidRDefault="00AD3A60" w:rsidP="00AD3A60">
      <w:pPr>
        <w:pStyle w:val="SingleTxtG"/>
        <w:rPr>
          <w:lang w:val="fr-FR"/>
        </w:rPr>
      </w:pPr>
      <w:r w:rsidRPr="00477B36">
        <w:rPr>
          <w:lang w:val="fr-FR"/>
        </w:rPr>
        <w:t>Remplacer la ligne pour le No ONU 3363 par la ligne suivante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1675"/>
        <w:gridCol w:w="346"/>
        <w:gridCol w:w="516"/>
        <w:gridCol w:w="266"/>
        <w:gridCol w:w="266"/>
        <w:gridCol w:w="447"/>
        <w:gridCol w:w="347"/>
        <w:gridCol w:w="376"/>
        <w:gridCol w:w="547"/>
        <w:gridCol w:w="347"/>
        <w:gridCol w:w="356"/>
        <w:gridCol w:w="356"/>
        <w:gridCol w:w="356"/>
        <w:gridCol w:w="3012"/>
      </w:tblGrid>
      <w:tr w:rsidR="00A074FC" w:rsidRPr="00477B36" w14:paraId="3A969CFC" w14:textId="77777777" w:rsidTr="00F12F57">
        <w:trPr>
          <w:cantSplit/>
          <w:tblHead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142798B1"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(1)</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4E19729A"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(2)</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14E4F8B"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(3a)</w:t>
            </w:r>
          </w:p>
        </w:tc>
        <w:tc>
          <w:tcPr>
            <w:tcW w:w="268" w:type="pct"/>
            <w:tcBorders>
              <w:top w:val="single" w:sz="4" w:space="0" w:color="auto"/>
              <w:left w:val="single" w:sz="4" w:space="0" w:color="auto"/>
              <w:bottom w:val="single" w:sz="4" w:space="0" w:color="auto"/>
              <w:right w:val="single" w:sz="4" w:space="0" w:color="auto"/>
            </w:tcBorders>
          </w:tcPr>
          <w:p w14:paraId="744E59EA"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(3b)</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7CDC5EB7"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(4)</w:t>
            </w:r>
          </w:p>
        </w:tc>
        <w:tc>
          <w:tcPr>
            <w:tcW w:w="138" w:type="pct"/>
            <w:tcBorders>
              <w:top w:val="single" w:sz="4" w:space="0" w:color="auto"/>
              <w:left w:val="single" w:sz="4" w:space="0" w:color="auto"/>
              <w:bottom w:val="single" w:sz="4" w:space="0" w:color="auto"/>
              <w:right w:val="single" w:sz="4" w:space="0" w:color="auto"/>
            </w:tcBorders>
          </w:tcPr>
          <w:p w14:paraId="2D2A844C"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(5)</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3222E27"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(6)</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1516023"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(7a)</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9E213FB"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(7b)</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12541ED"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(8)</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D5EEE59"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(9a)</w:t>
            </w:r>
          </w:p>
        </w:tc>
        <w:tc>
          <w:tcPr>
            <w:tcW w:w="185" w:type="pct"/>
            <w:tcBorders>
              <w:top w:val="single" w:sz="4" w:space="0" w:color="auto"/>
              <w:left w:val="single" w:sz="4" w:space="0" w:color="auto"/>
              <w:bottom w:val="single" w:sz="4" w:space="0" w:color="auto"/>
              <w:right w:val="single" w:sz="4" w:space="0" w:color="auto"/>
            </w:tcBorders>
          </w:tcPr>
          <w:p w14:paraId="4DEAB096"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(9b)</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F8545AE" w14:textId="77777777" w:rsidR="00AD3A60" w:rsidRPr="00477B36" w:rsidRDefault="00AD3A60" w:rsidP="004A14F3">
            <w:pPr>
              <w:suppressAutoHyphens w:val="0"/>
              <w:spacing w:before="40" w:after="120" w:line="276" w:lineRule="auto"/>
              <w:jc w:val="center"/>
              <w:rPr>
                <w:bCs/>
                <w:sz w:val="18"/>
                <w:szCs w:val="18"/>
                <w:lang w:val="fr-FR"/>
              </w:rPr>
            </w:pPr>
            <w:r w:rsidRPr="00477B36">
              <w:rPr>
                <w:bCs/>
                <w:sz w:val="18"/>
                <w:szCs w:val="18"/>
                <w:lang w:val="fr-FR"/>
              </w:rPr>
              <w:t>(10)</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76CF0038" w14:textId="77777777" w:rsidR="00AD3A60" w:rsidRPr="00477B36" w:rsidRDefault="00AD3A60" w:rsidP="004A14F3">
            <w:pPr>
              <w:suppressAutoHyphens w:val="0"/>
              <w:spacing w:before="40" w:after="120" w:line="276" w:lineRule="auto"/>
              <w:jc w:val="center"/>
              <w:rPr>
                <w:bCs/>
                <w:iCs/>
                <w:sz w:val="18"/>
                <w:szCs w:val="18"/>
                <w:lang w:val="fr-FR"/>
              </w:rPr>
            </w:pPr>
            <w:r w:rsidRPr="00477B36">
              <w:rPr>
                <w:bCs/>
                <w:iCs/>
                <w:sz w:val="18"/>
                <w:szCs w:val="18"/>
                <w:lang w:val="fr-FR"/>
              </w:rPr>
              <w:t>(11)</w:t>
            </w:r>
          </w:p>
        </w:tc>
        <w:tc>
          <w:tcPr>
            <w:tcW w:w="1566" w:type="pct"/>
            <w:tcBorders>
              <w:top w:val="single" w:sz="4" w:space="0" w:color="auto"/>
              <w:left w:val="single" w:sz="4" w:space="0" w:color="auto"/>
              <w:bottom w:val="single" w:sz="4" w:space="0" w:color="auto"/>
              <w:right w:val="single" w:sz="4" w:space="0" w:color="auto"/>
            </w:tcBorders>
          </w:tcPr>
          <w:p w14:paraId="7E4866A4" w14:textId="77777777" w:rsidR="00AD3A60" w:rsidRPr="00477B36" w:rsidRDefault="00AD3A60" w:rsidP="004A14F3">
            <w:pPr>
              <w:suppressAutoHyphens w:val="0"/>
              <w:spacing w:before="40" w:after="120" w:line="276" w:lineRule="auto"/>
              <w:jc w:val="center"/>
              <w:rPr>
                <w:bCs/>
                <w:iCs/>
                <w:sz w:val="18"/>
                <w:szCs w:val="18"/>
                <w:lang w:val="fr-FR"/>
              </w:rPr>
            </w:pPr>
            <w:r w:rsidRPr="00477B36">
              <w:rPr>
                <w:bCs/>
                <w:iCs/>
                <w:sz w:val="18"/>
                <w:szCs w:val="18"/>
                <w:lang w:val="fr-FR"/>
              </w:rPr>
              <w:t>(12) – (20)</w:t>
            </w:r>
          </w:p>
        </w:tc>
      </w:tr>
      <w:tr w:rsidR="00F12F57" w:rsidRPr="00477B36" w14:paraId="57457AAF" w14:textId="77777777" w:rsidTr="00F12F57">
        <w:trPr>
          <w:cantSplit/>
        </w:trPr>
        <w:tc>
          <w:tcPr>
            <w:tcW w:w="216" w:type="pct"/>
            <w:tcBorders>
              <w:top w:val="single" w:sz="4" w:space="0" w:color="auto"/>
              <w:left w:val="single" w:sz="4" w:space="0" w:color="auto"/>
              <w:bottom w:val="single" w:sz="4" w:space="0" w:color="auto"/>
              <w:right w:val="single" w:sz="4" w:space="0" w:color="auto"/>
            </w:tcBorders>
            <w:shd w:val="clear" w:color="auto" w:fill="auto"/>
          </w:tcPr>
          <w:p w14:paraId="3F114FAE" w14:textId="77777777" w:rsidR="00AD3A60" w:rsidRPr="00477B36" w:rsidRDefault="00AD3A60" w:rsidP="004A14F3">
            <w:pPr>
              <w:suppressAutoHyphens w:val="0"/>
              <w:spacing w:line="200" w:lineRule="exact"/>
              <w:jc w:val="center"/>
              <w:rPr>
                <w:sz w:val="18"/>
                <w:szCs w:val="18"/>
                <w:lang w:val="fr-FR"/>
              </w:rPr>
            </w:pPr>
            <w:r w:rsidRPr="00477B36">
              <w:rPr>
                <w:sz w:val="18"/>
                <w:szCs w:val="18"/>
                <w:lang w:val="fr-FR"/>
              </w:rPr>
              <w:t>3363</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162AA1C7" w14:textId="4AA13EDD" w:rsidR="00AD3A60" w:rsidRPr="00477B36" w:rsidRDefault="00AD3A60" w:rsidP="00AD3A60">
            <w:pPr>
              <w:tabs>
                <w:tab w:val="left" w:pos="288"/>
                <w:tab w:val="left" w:pos="576"/>
                <w:tab w:val="left" w:pos="864"/>
                <w:tab w:val="left" w:pos="1152"/>
              </w:tabs>
              <w:spacing w:after="40" w:line="210" w:lineRule="exact"/>
              <w:ind w:right="40"/>
              <w:rPr>
                <w:sz w:val="18"/>
                <w:szCs w:val="18"/>
                <w:lang w:val="fr-FR"/>
              </w:rPr>
            </w:pPr>
            <w:r w:rsidRPr="00477B36">
              <w:rPr>
                <w:lang w:val="fr-FR"/>
              </w:rPr>
              <w:t>MARCHANDISES DANGEREUSES CONTENUES DANS DES MACHINES ou MARCHANDISES DANGEREUSES CONTENUES DANS DES APPAREILS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C8D016B" w14:textId="77777777" w:rsidR="00AD3A60" w:rsidRPr="00477B36" w:rsidRDefault="00AD3A60" w:rsidP="004A14F3">
            <w:pPr>
              <w:suppressAutoHyphens w:val="0"/>
              <w:spacing w:before="40" w:after="120" w:line="220" w:lineRule="exact"/>
              <w:jc w:val="center"/>
              <w:rPr>
                <w:sz w:val="18"/>
                <w:szCs w:val="18"/>
                <w:lang w:val="fr-FR"/>
              </w:rPr>
            </w:pPr>
            <w:r w:rsidRPr="00477B36">
              <w:rPr>
                <w:sz w:val="18"/>
                <w:szCs w:val="18"/>
                <w:lang w:val="fr-FR"/>
              </w:rPr>
              <w:t>9</w:t>
            </w:r>
          </w:p>
        </w:tc>
        <w:tc>
          <w:tcPr>
            <w:tcW w:w="268" w:type="pct"/>
            <w:tcBorders>
              <w:top w:val="single" w:sz="4" w:space="0" w:color="auto"/>
              <w:left w:val="single" w:sz="4" w:space="0" w:color="auto"/>
              <w:bottom w:val="single" w:sz="4" w:space="0" w:color="auto"/>
              <w:right w:val="single" w:sz="4" w:space="0" w:color="auto"/>
            </w:tcBorders>
          </w:tcPr>
          <w:p w14:paraId="487C5391" w14:textId="39065565" w:rsidR="00AD3A60" w:rsidRPr="00477B36" w:rsidRDefault="00AD3A60" w:rsidP="00FC5572">
            <w:pPr>
              <w:suppressAutoHyphens w:val="0"/>
              <w:spacing w:before="40" w:after="120" w:line="220" w:lineRule="exact"/>
              <w:jc w:val="center"/>
              <w:rPr>
                <w:sz w:val="18"/>
                <w:szCs w:val="18"/>
                <w:lang w:val="fr-FR"/>
              </w:rPr>
            </w:pPr>
            <w:r w:rsidRPr="00477B36">
              <w:rPr>
                <w:sz w:val="18"/>
                <w:szCs w:val="18"/>
                <w:lang w:val="fr-FR"/>
              </w:rPr>
              <w:t>M11</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649EB884" w14:textId="77777777" w:rsidR="00AD3A60" w:rsidRPr="00477B36" w:rsidRDefault="00AD3A60" w:rsidP="004A14F3">
            <w:pPr>
              <w:suppressAutoHyphens w:val="0"/>
              <w:spacing w:before="40" w:after="120" w:line="220" w:lineRule="exact"/>
              <w:jc w:val="center"/>
              <w:rPr>
                <w:sz w:val="18"/>
                <w:szCs w:val="18"/>
                <w:lang w:val="fr-FR"/>
              </w:rPr>
            </w:pPr>
          </w:p>
        </w:tc>
        <w:tc>
          <w:tcPr>
            <w:tcW w:w="138" w:type="pct"/>
            <w:tcBorders>
              <w:top w:val="single" w:sz="4" w:space="0" w:color="auto"/>
              <w:left w:val="single" w:sz="4" w:space="0" w:color="auto"/>
              <w:bottom w:val="single" w:sz="4" w:space="0" w:color="auto"/>
              <w:right w:val="single" w:sz="4" w:space="0" w:color="auto"/>
            </w:tcBorders>
          </w:tcPr>
          <w:p w14:paraId="38198DCC" w14:textId="7603A364" w:rsidR="00AD3A60" w:rsidRPr="00477B36" w:rsidRDefault="00AD3A60" w:rsidP="00FC5572">
            <w:pPr>
              <w:suppressAutoHyphens w:val="0"/>
              <w:spacing w:before="40" w:after="120" w:line="220" w:lineRule="exact"/>
              <w:jc w:val="center"/>
              <w:rPr>
                <w:sz w:val="18"/>
                <w:szCs w:val="18"/>
                <w:lang w:val="fr-FR"/>
              </w:rPr>
            </w:pPr>
            <w:r w:rsidRPr="00477B36">
              <w:rPr>
                <w:sz w:val="18"/>
                <w:szCs w:val="18"/>
                <w:lang w:val="fr-FR"/>
              </w:rPr>
              <w:t>9</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761AFE3" w14:textId="0EDA91B2" w:rsidR="00AD3A60" w:rsidRPr="00477B36" w:rsidRDefault="00AD3A60" w:rsidP="004A14F3">
            <w:pPr>
              <w:suppressAutoHyphens w:val="0"/>
              <w:spacing w:before="40" w:after="120" w:line="220" w:lineRule="exact"/>
              <w:jc w:val="center"/>
              <w:rPr>
                <w:sz w:val="18"/>
                <w:szCs w:val="18"/>
                <w:lang w:val="fr-FR"/>
              </w:rPr>
            </w:pPr>
            <w:r w:rsidRPr="00477B36">
              <w:rPr>
                <w:sz w:val="18"/>
                <w:szCs w:val="18"/>
                <w:lang w:val="fr-FR"/>
              </w:rPr>
              <w:t>301</w:t>
            </w:r>
          </w:p>
          <w:p w14:paraId="09A57D12" w14:textId="04ADE23F" w:rsidR="00AD3A60" w:rsidRPr="00477B36" w:rsidRDefault="00AD3A60" w:rsidP="00FC5572">
            <w:pPr>
              <w:suppressAutoHyphens w:val="0"/>
              <w:spacing w:before="40" w:after="120" w:line="220" w:lineRule="exact"/>
              <w:jc w:val="center"/>
              <w:rPr>
                <w:sz w:val="18"/>
                <w:szCs w:val="18"/>
                <w:lang w:val="fr-FR"/>
              </w:rPr>
            </w:pPr>
            <w:r w:rsidRPr="00477B36">
              <w:rPr>
                <w:sz w:val="18"/>
                <w:szCs w:val="18"/>
                <w:lang w:val="fr-FR"/>
              </w:rPr>
              <w:t>672</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CBBDAB5" w14:textId="67E3B02D" w:rsidR="00AD3A60" w:rsidRPr="00477B36" w:rsidRDefault="00AD3A60" w:rsidP="00FC5572">
            <w:pPr>
              <w:suppressAutoHyphens w:val="0"/>
              <w:spacing w:before="40" w:after="120" w:line="220" w:lineRule="exact"/>
              <w:jc w:val="center"/>
              <w:rPr>
                <w:sz w:val="18"/>
                <w:szCs w:val="18"/>
                <w:lang w:val="fr-FR"/>
              </w:rPr>
            </w:pPr>
            <w:r w:rsidRPr="00477B36">
              <w:rPr>
                <w:sz w:val="18"/>
                <w:szCs w:val="18"/>
                <w:lang w:val="fr-FR"/>
              </w:rPr>
              <w:t>0</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DC209F3" w14:textId="58377FEA" w:rsidR="00AD3A60" w:rsidRPr="00477B36" w:rsidRDefault="00AD3A60" w:rsidP="00FC5572">
            <w:pPr>
              <w:suppressAutoHyphens w:val="0"/>
              <w:spacing w:before="40" w:after="120" w:line="220" w:lineRule="exact"/>
              <w:jc w:val="center"/>
              <w:rPr>
                <w:sz w:val="18"/>
                <w:szCs w:val="18"/>
                <w:lang w:val="fr-FR"/>
              </w:rPr>
            </w:pPr>
            <w:r w:rsidRPr="00477B36">
              <w:rPr>
                <w:sz w:val="18"/>
                <w:szCs w:val="18"/>
                <w:lang w:val="fr-FR"/>
              </w:rPr>
              <w:t>E0</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80491F5" w14:textId="16480844" w:rsidR="00AD3A60" w:rsidRPr="00477B36" w:rsidRDefault="00AD3A60" w:rsidP="00FC5572">
            <w:pPr>
              <w:suppressAutoHyphens w:val="0"/>
              <w:spacing w:before="40" w:after="120" w:line="220" w:lineRule="exact"/>
              <w:jc w:val="center"/>
              <w:rPr>
                <w:sz w:val="18"/>
                <w:szCs w:val="18"/>
                <w:lang w:val="fr-FR"/>
              </w:rPr>
            </w:pPr>
            <w:r w:rsidRPr="00477B36">
              <w:rPr>
                <w:sz w:val="18"/>
                <w:szCs w:val="18"/>
                <w:lang w:val="fr-FR"/>
              </w:rPr>
              <w:t>P907</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260464F" w14:textId="77777777" w:rsidR="00AD3A60" w:rsidRPr="00477B36" w:rsidRDefault="00AD3A60" w:rsidP="004A14F3">
            <w:pPr>
              <w:suppressAutoHyphens w:val="0"/>
              <w:spacing w:line="200" w:lineRule="exact"/>
              <w:jc w:val="center"/>
              <w:rPr>
                <w:sz w:val="18"/>
                <w:szCs w:val="18"/>
                <w:lang w:val="fr-FR" w:eastAsia="nb-NO"/>
              </w:rPr>
            </w:pPr>
          </w:p>
        </w:tc>
        <w:tc>
          <w:tcPr>
            <w:tcW w:w="185" w:type="pct"/>
            <w:tcBorders>
              <w:top w:val="single" w:sz="4" w:space="0" w:color="auto"/>
              <w:left w:val="single" w:sz="4" w:space="0" w:color="auto"/>
              <w:bottom w:val="single" w:sz="4" w:space="0" w:color="auto"/>
              <w:right w:val="single" w:sz="4" w:space="0" w:color="auto"/>
            </w:tcBorders>
          </w:tcPr>
          <w:p w14:paraId="02762A88" w14:textId="77777777" w:rsidR="00AD3A60" w:rsidRPr="00477B36" w:rsidRDefault="00AD3A60" w:rsidP="004A14F3">
            <w:pPr>
              <w:suppressAutoHyphens w:val="0"/>
              <w:spacing w:line="200" w:lineRule="exact"/>
              <w:jc w:val="center"/>
              <w:rPr>
                <w:sz w:val="18"/>
                <w:szCs w:val="18"/>
                <w:lang w:val="fr-FR" w:eastAsia="nb-NO"/>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0A4A511E" w14:textId="77777777" w:rsidR="00AD3A60" w:rsidRPr="00477B36" w:rsidRDefault="00AD3A60" w:rsidP="004A14F3">
            <w:pPr>
              <w:suppressAutoHyphens w:val="0"/>
              <w:spacing w:line="200" w:lineRule="exact"/>
              <w:jc w:val="center"/>
              <w:rPr>
                <w:sz w:val="18"/>
                <w:szCs w:val="18"/>
                <w:lang w:val="fr-FR" w:eastAsia="nb-NO"/>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601697BB" w14:textId="77777777" w:rsidR="00AD3A60" w:rsidRPr="00477B36" w:rsidRDefault="00AD3A60" w:rsidP="004A14F3">
            <w:pPr>
              <w:suppressAutoHyphens w:val="0"/>
              <w:spacing w:line="200" w:lineRule="exact"/>
              <w:jc w:val="center"/>
              <w:rPr>
                <w:sz w:val="18"/>
                <w:szCs w:val="18"/>
                <w:lang w:val="fr-FR" w:eastAsia="nb-NO"/>
              </w:rPr>
            </w:pPr>
          </w:p>
        </w:tc>
        <w:tc>
          <w:tcPr>
            <w:tcW w:w="1566" w:type="pct"/>
            <w:tcBorders>
              <w:top w:val="single" w:sz="4" w:space="0" w:color="auto"/>
              <w:left w:val="single" w:sz="4" w:space="0" w:color="auto"/>
              <w:bottom w:val="single" w:sz="4" w:space="0" w:color="auto"/>
              <w:right w:val="single" w:sz="4" w:space="0" w:color="auto"/>
            </w:tcBorders>
          </w:tcPr>
          <w:p w14:paraId="5DC7DBBB" w14:textId="77777777" w:rsidR="00AD3A60" w:rsidRPr="00477B36" w:rsidRDefault="00AD3A60" w:rsidP="004A14F3">
            <w:pPr>
              <w:suppressAutoHyphens w:val="0"/>
              <w:spacing w:line="200" w:lineRule="exact"/>
              <w:jc w:val="center"/>
              <w:rPr>
                <w:sz w:val="18"/>
                <w:szCs w:val="18"/>
                <w:lang w:val="fr-FR" w:eastAsia="nb-NO"/>
              </w:rPr>
            </w:pPr>
          </w:p>
        </w:tc>
      </w:tr>
    </w:tbl>
    <w:p w14:paraId="0F097204" w14:textId="77777777" w:rsidR="00B822EA" w:rsidRDefault="00B822EA" w:rsidP="00B822EA">
      <w:pPr>
        <w:pStyle w:val="SingleTxtG"/>
        <w:rPr>
          <w:lang w:val="fr-FR"/>
        </w:rPr>
      </w:pPr>
    </w:p>
    <w:p w14:paraId="7BDAAD8B" w14:textId="291B1536" w:rsidR="000029D1" w:rsidRPr="00FB1878" w:rsidRDefault="002F085E" w:rsidP="00B822EA">
      <w:pPr>
        <w:pStyle w:val="SingleTxtG"/>
        <w:rPr>
          <w:lang w:val="fr-FR"/>
        </w:rPr>
      </w:pPr>
      <w:r w:rsidRPr="00FB1878">
        <w:rPr>
          <w:lang w:val="fr-FR"/>
        </w:rPr>
        <w:t xml:space="preserve">Pour le No ONU 3528, dans la colonne (15), insérer </w:t>
      </w:r>
    </w:p>
    <w:p w14:paraId="59B035B9" w14:textId="01B7E615" w:rsidR="002F085E" w:rsidRPr="00FB1878" w:rsidRDefault="002F085E" w:rsidP="002F085E">
      <w:pPr>
        <w:pStyle w:val="SingleTxtG"/>
        <w:rPr>
          <w:lang w:val="fr-FR"/>
        </w:rPr>
      </w:pPr>
      <w:r w:rsidRPr="00FB1878">
        <w:rPr>
          <w:lang w:val="fr-FR"/>
        </w:rPr>
        <w:t>« </w:t>
      </w:r>
      <w:r w:rsidR="00FB1878" w:rsidRPr="00FB1878">
        <w:rPr>
          <w:lang w:val="fr-FR"/>
        </w:rPr>
        <w:t>-</w:t>
      </w:r>
      <w:r w:rsidR="00FB1878" w:rsidRPr="00FB1878">
        <w:rPr>
          <w:lang w:val="fr-FR"/>
        </w:rPr>
        <w:br/>
      </w:r>
      <w:r w:rsidRPr="00FB1878">
        <w:rPr>
          <w:lang w:val="fr-FR"/>
        </w:rPr>
        <w:t>(D) ».</w:t>
      </w:r>
    </w:p>
    <w:p w14:paraId="492BA7D8" w14:textId="77A7C5BB" w:rsidR="000029D1" w:rsidRPr="00FB1878" w:rsidRDefault="002F085E" w:rsidP="002F085E">
      <w:pPr>
        <w:pStyle w:val="SingleTxtG"/>
        <w:rPr>
          <w:lang w:val="fr-FR"/>
        </w:rPr>
      </w:pPr>
      <w:r w:rsidRPr="00FB1878">
        <w:rPr>
          <w:lang w:val="fr-FR"/>
        </w:rPr>
        <w:t xml:space="preserve">Pour le No ONU 3529, dans la colonne (15), insérer </w:t>
      </w:r>
    </w:p>
    <w:p w14:paraId="19201994" w14:textId="55F75E30" w:rsidR="002F085E" w:rsidRPr="00FB1878" w:rsidRDefault="002F085E" w:rsidP="002F085E">
      <w:pPr>
        <w:pStyle w:val="SingleTxtG"/>
        <w:rPr>
          <w:lang w:val="fr-FR"/>
        </w:rPr>
      </w:pPr>
      <w:r w:rsidRPr="00FB1878">
        <w:rPr>
          <w:lang w:val="fr-FR"/>
        </w:rPr>
        <w:t>« </w:t>
      </w:r>
      <w:r w:rsidR="00FB1878" w:rsidRPr="00FB1878">
        <w:rPr>
          <w:lang w:val="fr-FR"/>
        </w:rPr>
        <w:t>-</w:t>
      </w:r>
      <w:r w:rsidR="00FB1878" w:rsidRPr="00FB1878">
        <w:rPr>
          <w:lang w:val="fr-FR"/>
        </w:rPr>
        <w:br/>
      </w:r>
      <w:r w:rsidRPr="00FB1878">
        <w:rPr>
          <w:lang w:val="fr-FR"/>
        </w:rPr>
        <w:t>(B) ».</w:t>
      </w:r>
    </w:p>
    <w:p w14:paraId="3DECF15A" w14:textId="7A599B07" w:rsidR="000029D1" w:rsidRPr="00FB1878" w:rsidRDefault="002F085E" w:rsidP="002F085E">
      <w:pPr>
        <w:pStyle w:val="SingleTxtG"/>
        <w:rPr>
          <w:lang w:val="fr-FR"/>
        </w:rPr>
      </w:pPr>
      <w:r w:rsidRPr="00FB1878">
        <w:rPr>
          <w:lang w:val="fr-FR"/>
        </w:rPr>
        <w:t xml:space="preserve">Pour le No ONU 3530, dans la colonne (15), insérer </w:t>
      </w:r>
    </w:p>
    <w:p w14:paraId="7791B122" w14:textId="375FC560" w:rsidR="002F085E" w:rsidRPr="00FB1878" w:rsidRDefault="002F085E" w:rsidP="002F085E">
      <w:pPr>
        <w:pStyle w:val="SingleTxtG"/>
        <w:rPr>
          <w:lang w:val="fr-FR"/>
        </w:rPr>
      </w:pPr>
      <w:r w:rsidRPr="00FB1878">
        <w:rPr>
          <w:lang w:val="fr-FR"/>
        </w:rPr>
        <w:t>« </w:t>
      </w:r>
      <w:r w:rsidR="00FB1878" w:rsidRPr="00FB1878">
        <w:rPr>
          <w:lang w:val="fr-FR"/>
        </w:rPr>
        <w:t>-</w:t>
      </w:r>
      <w:r w:rsidR="00FB1878" w:rsidRPr="00FB1878">
        <w:rPr>
          <w:lang w:val="fr-FR"/>
        </w:rPr>
        <w:br/>
      </w:r>
      <w:r w:rsidRPr="00FB1878">
        <w:rPr>
          <w:lang w:val="fr-FR"/>
        </w:rPr>
        <w:t>(E) ».</w:t>
      </w:r>
    </w:p>
    <w:p w14:paraId="1CEE2F68" w14:textId="4DE06D5C" w:rsidR="00AD3A60" w:rsidRPr="006774AA" w:rsidRDefault="00AD3A60" w:rsidP="00AD3A60">
      <w:pPr>
        <w:pStyle w:val="SingleTxtG"/>
        <w:rPr>
          <w:highlight w:val="yellow"/>
          <w:lang w:val="fr-FR"/>
        </w:rPr>
      </w:pPr>
    </w:p>
    <w:p w14:paraId="35D0384A" w14:textId="77777777" w:rsidR="00AD3A60" w:rsidRPr="006774AA" w:rsidRDefault="00AD3A60" w:rsidP="00AD3A60">
      <w:pPr>
        <w:pStyle w:val="SingleTxtG"/>
        <w:rPr>
          <w:highlight w:val="yellow"/>
          <w:lang w:val="fr-FR"/>
        </w:rPr>
        <w:sectPr w:rsidR="00AD3A60" w:rsidRPr="006774AA" w:rsidSect="006201FD">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pPr>
    </w:p>
    <w:p w14:paraId="40B0D418" w14:textId="4BB4C77C" w:rsidR="00F12F57" w:rsidRPr="00477B36" w:rsidRDefault="00196C06" w:rsidP="00F12F57">
      <w:pPr>
        <w:pStyle w:val="SingleTxtG"/>
        <w:rPr>
          <w:i/>
        </w:rPr>
      </w:pPr>
      <w:r w:rsidRPr="00477B36">
        <w:rPr>
          <w:lang w:val="fr-FR"/>
        </w:rPr>
        <w:lastRenderedPageBreak/>
        <w:t>Ajouter les nouvelles rubriques suivantes:</w:t>
      </w:r>
      <w:r w:rsidR="00F12F57" w:rsidRPr="00477B36">
        <w:rPr>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3460"/>
        <w:gridCol w:w="346"/>
        <w:gridCol w:w="456"/>
        <w:gridCol w:w="266"/>
        <w:gridCol w:w="776"/>
        <w:gridCol w:w="326"/>
        <w:gridCol w:w="370"/>
        <w:gridCol w:w="356"/>
        <w:gridCol w:w="537"/>
        <w:gridCol w:w="346"/>
        <w:gridCol w:w="497"/>
        <w:gridCol w:w="356"/>
        <w:gridCol w:w="447"/>
        <w:gridCol w:w="547"/>
        <w:gridCol w:w="570"/>
        <w:gridCol w:w="356"/>
        <w:gridCol w:w="466"/>
        <w:gridCol w:w="366"/>
        <w:gridCol w:w="356"/>
        <w:gridCol w:w="487"/>
        <w:gridCol w:w="402"/>
        <w:gridCol w:w="356"/>
      </w:tblGrid>
      <w:tr w:rsidR="001E52BC" w:rsidRPr="00477B36" w14:paraId="5104C30A" w14:textId="5FF7A241" w:rsidTr="004A05F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8A48B" w14:textId="538BAE29"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D5239" w14:textId="77777777"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(2)</w:t>
            </w:r>
          </w:p>
        </w:tc>
        <w:tc>
          <w:tcPr>
            <w:tcW w:w="0" w:type="auto"/>
            <w:tcBorders>
              <w:top w:val="single" w:sz="4" w:space="0" w:color="auto"/>
              <w:left w:val="single" w:sz="4" w:space="0" w:color="auto"/>
              <w:bottom w:val="single" w:sz="4" w:space="0" w:color="auto"/>
              <w:right w:val="single" w:sz="4" w:space="0" w:color="auto"/>
            </w:tcBorders>
          </w:tcPr>
          <w:p w14:paraId="112E5D2F" w14:textId="61B5250D"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(3a)</w:t>
            </w:r>
          </w:p>
        </w:tc>
        <w:tc>
          <w:tcPr>
            <w:tcW w:w="0" w:type="auto"/>
            <w:tcBorders>
              <w:top w:val="single" w:sz="4" w:space="0" w:color="auto"/>
              <w:left w:val="single" w:sz="4" w:space="0" w:color="auto"/>
              <w:bottom w:val="single" w:sz="4" w:space="0" w:color="auto"/>
              <w:right w:val="single" w:sz="4" w:space="0" w:color="auto"/>
            </w:tcBorders>
          </w:tcPr>
          <w:p w14:paraId="3AB97BA3" w14:textId="7D5B5310"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(3b)</w:t>
            </w:r>
          </w:p>
        </w:tc>
        <w:tc>
          <w:tcPr>
            <w:tcW w:w="0" w:type="auto"/>
            <w:tcBorders>
              <w:top w:val="single" w:sz="4" w:space="0" w:color="auto"/>
              <w:left w:val="single" w:sz="4" w:space="0" w:color="auto"/>
              <w:bottom w:val="single" w:sz="4" w:space="0" w:color="auto"/>
              <w:right w:val="single" w:sz="4" w:space="0" w:color="auto"/>
            </w:tcBorders>
          </w:tcPr>
          <w:p w14:paraId="78C8F274" w14:textId="338E89DE"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(4)</w:t>
            </w:r>
          </w:p>
        </w:tc>
        <w:tc>
          <w:tcPr>
            <w:tcW w:w="0" w:type="auto"/>
            <w:tcBorders>
              <w:top w:val="single" w:sz="4" w:space="0" w:color="auto"/>
              <w:left w:val="single" w:sz="4" w:space="0" w:color="auto"/>
              <w:bottom w:val="single" w:sz="4" w:space="0" w:color="auto"/>
              <w:right w:val="single" w:sz="4" w:space="0" w:color="auto"/>
            </w:tcBorders>
          </w:tcPr>
          <w:p w14:paraId="500A4EF7" w14:textId="7E4BE9A1"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(5)</w:t>
            </w:r>
          </w:p>
        </w:tc>
        <w:tc>
          <w:tcPr>
            <w:tcW w:w="0" w:type="auto"/>
            <w:tcBorders>
              <w:top w:val="single" w:sz="4" w:space="0" w:color="auto"/>
              <w:left w:val="single" w:sz="4" w:space="0" w:color="auto"/>
              <w:bottom w:val="single" w:sz="4" w:space="0" w:color="auto"/>
              <w:right w:val="single" w:sz="4" w:space="0" w:color="auto"/>
            </w:tcBorders>
          </w:tcPr>
          <w:p w14:paraId="36843944" w14:textId="414EB97A"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(6)</w:t>
            </w:r>
          </w:p>
        </w:tc>
        <w:tc>
          <w:tcPr>
            <w:tcW w:w="0" w:type="auto"/>
            <w:tcBorders>
              <w:top w:val="single" w:sz="4" w:space="0" w:color="auto"/>
              <w:left w:val="single" w:sz="4" w:space="0" w:color="auto"/>
              <w:bottom w:val="single" w:sz="4" w:space="0" w:color="auto"/>
              <w:right w:val="single" w:sz="4" w:space="0" w:color="auto"/>
            </w:tcBorders>
          </w:tcPr>
          <w:p w14:paraId="0995AFE3" w14:textId="042E5E0F"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(7a)</w:t>
            </w:r>
          </w:p>
        </w:tc>
        <w:tc>
          <w:tcPr>
            <w:tcW w:w="0" w:type="auto"/>
            <w:tcBorders>
              <w:top w:val="single" w:sz="4" w:space="0" w:color="auto"/>
              <w:left w:val="single" w:sz="4" w:space="0" w:color="auto"/>
              <w:bottom w:val="single" w:sz="4" w:space="0" w:color="auto"/>
              <w:right w:val="single" w:sz="4" w:space="0" w:color="auto"/>
            </w:tcBorders>
          </w:tcPr>
          <w:p w14:paraId="4E894432" w14:textId="01DB05AC"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(7b)</w:t>
            </w:r>
          </w:p>
        </w:tc>
        <w:tc>
          <w:tcPr>
            <w:tcW w:w="0" w:type="auto"/>
            <w:tcBorders>
              <w:top w:val="single" w:sz="4" w:space="0" w:color="auto"/>
              <w:left w:val="single" w:sz="4" w:space="0" w:color="auto"/>
              <w:bottom w:val="single" w:sz="4" w:space="0" w:color="auto"/>
              <w:right w:val="single" w:sz="4" w:space="0" w:color="auto"/>
            </w:tcBorders>
          </w:tcPr>
          <w:p w14:paraId="030A1CDE" w14:textId="4A754F02"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(8)</w:t>
            </w:r>
          </w:p>
        </w:tc>
        <w:tc>
          <w:tcPr>
            <w:tcW w:w="0" w:type="auto"/>
            <w:tcBorders>
              <w:top w:val="single" w:sz="4" w:space="0" w:color="auto"/>
              <w:left w:val="single" w:sz="4" w:space="0" w:color="auto"/>
              <w:bottom w:val="single" w:sz="4" w:space="0" w:color="auto"/>
              <w:right w:val="single" w:sz="4" w:space="0" w:color="auto"/>
            </w:tcBorders>
          </w:tcPr>
          <w:p w14:paraId="360216F0" w14:textId="1164CA10"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(9a)</w:t>
            </w:r>
          </w:p>
        </w:tc>
        <w:tc>
          <w:tcPr>
            <w:tcW w:w="0" w:type="auto"/>
            <w:tcBorders>
              <w:top w:val="single" w:sz="4" w:space="0" w:color="auto"/>
              <w:left w:val="single" w:sz="4" w:space="0" w:color="auto"/>
              <w:bottom w:val="single" w:sz="4" w:space="0" w:color="auto"/>
              <w:right w:val="single" w:sz="4" w:space="0" w:color="auto"/>
            </w:tcBorders>
          </w:tcPr>
          <w:p w14:paraId="0936C810" w14:textId="62A8731F"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(9b)</w:t>
            </w:r>
          </w:p>
        </w:tc>
        <w:tc>
          <w:tcPr>
            <w:tcW w:w="0" w:type="auto"/>
            <w:tcBorders>
              <w:top w:val="single" w:sz="4" w:space="0" w:color="auto"/>
              <w:left w:val="single" w:sz="4" w:space="0" w:color="auto"/>
              <w:bottom w:val="single" w:sz="4" w:space="0" w:color="auto"/>
              <w:right w:val="single" w:sz="4" w:space="0" w:color="auto"/>
            </w:tcBorders>
          </w:tcPr>
          <w:p w14:paraId="15A5D43F" w14:textId="735545A6" w:rsidR="006A6437" w:rsidRPr="00477B36" w:rsidRDefault="006A6437" w:rsidP="004A05F2">
            <w:pPr>
              <w:suppressAutoHyphens w:val="0"/>
              <w:spacing w:line="276" w:lineRule="auto"/>
              <w:jc w:val="center"/>
              <w:rPr>
                <w:bCs/>
                <w:sz w:val="18"/>
                <w:szCs w:val="18"/>
                <w:lang w:val="fr-FR"/>
              </w:rPr>
            </w:pPr>
            <w:r w:rsidRPr="00477B36">
              <w:rPr>
                <w:bCs/>
                <w:sz w:val="18"/>
                <w:szCs w:val="18"/>
                <w:lang w:val="fr-FR"/>
              </w:rPr>
              <w:t>(10)</w:t>
            </w:r>
          </w:p>
        </w:tc>
        <w:tc>
          <w:tcPr>
            <w:tcW w:w="0" w:type="auto"/>
            <w:tcBorders>
              <w:top w:val="single" w:sz="4" w:space="0" w:color="auto"/>
              <w:left w:val="single" w:sz="4" w:space="0" w:color="auto"/>
              <w:bottom w:val="single" w:sz="4" w:space="0" w:color="auto"/>
              <w:right w:val="single" w:sz="4" w:space="0" w:color="auto"/>
            </w:tcBorders>
          </w:tcPr>
          <w:p w14:paraId="15CC44D7" w14:textId="295DE5E5" w:rsidR="006A6437" w:rsidRPr="00477B36" w:rsidRDefault="006A6437" w:rsidP="004A05F2">
            <w:pPr>
              <w:suppressAutoHyphens w:val="0"/>
              <w:spacing w:line="276" w:lineRule="auto"/>
              <w:jc w:val="center"/>
              <w:rPr>
                <w:bCs/>
                <w:sz w:val="18"/>
                <w:szCs w:val="18"/>
                <w:lang w:val="fr-FR"/>
              </w:rPr>
            </w:pPr>
            <w:r w:rsidRPr="00477B36">
              <w:rPr>
                <w:bCs/>
                <w:iCs/>
                <w:sz w:val="18"/>
                <w:szCs w:val="18"/>
                <w:lang w:val="fr-FR"/>
              </w:rPr>
              <w:t>(11)</w:t>
            </w:r>
          </w:p>
        </w:tc>
        <w:tc>
          <w:tcPr>
            <w:tcW w:w="0" w:type="auto"/>
            <w:tcBorders>
              <w:top w:val="single" w:sz="4" w:space="0" w:color="auto"/>
              <w:left w:val="single" w:sz="4" w:space="0" w:color="auto"/>
              <w:bottom w:val="single" w:sz="4" w:space="0" w:color="auto"/>
              <w:right w:val="single" w:sz="4" w:space="0" w:color="auto"/>
            </w:tcBorders>
          </w:tcPr>
          <w:p w14:paraId="58799850" w14:textId="12494DF2" w:rsidR="006A6437" w:rsidRPr="00477B36" w:rsidRDefault="006A6437" w:rsidP="004A05F2">
            <w:pPr>
              <w:suppressAutoHyphens w:val="0"/>
              <w:spacing w:line="276" w:lineRule="auto"/>
              <w:jc w:val="center"/>
              <w:rPr>
                <w:bCs/>
                <w:sz w:val="18"/>
                <w:szCs w:val="18"/>
                <w:lang w:val="fr-FR"/>
              </w:rPr>
            </w:pPr>
            <w:r w:rsidRPr="00477B36">
              <w:rPr>
                <w:bCs/>
                <w:iCs/>
                <w:sz w:val="18"/>
                <w:szCs w:val="18"/>
                <w:lang w:val="fr-FR"/>
              </w:rPr>
              <w:t>(12)</w:t>
            </w:r>
          </w:p>
        </w:tc>
        <w:tc>
          <w:tcPr>
            <w:tcW w:w="0" w:type="auto"/>
            <w:tcBorders>
              <w:top w:val="single" w:sz="4" w:space="0" w:color="auto"/>
              <w:left w:val="single" w:sz="4" w:space="0" w:color="auto"/>
              <w:bottom w:val="single" w:sz="4" w:space="0" w:color="auto"/>
              <w:right w:val="single" w:sz="4" w:space="0" w:color="auto"/>
            </w:tcBorders>
          </w:tcPr>
          <w:p w14:paraId="4BD51558" w14:textId="214008E5" w:rsidR="006A6437" w:rsidRPr="00477B36" w:rsidRDefault="006A6437" w:rsidP="004A05F2">
            <w:pPr>
              <w:suppressAutoHyphens w:val="0"/>
              <w:spacing w:line="276" w:lineRule="auto"/>
              <w:jc w:val="center"/>
              <w:rPr>
                <w:bCs/>
                <w:sz w:val="18"/>
                <w:szCs w:val="18"/>
                <w:lang w:val="fr-FR"/>
              </w:rPr>
            </w:pPr>
            <w:r w:rsidRPr="00477B36">
              <w:rPr>
                <w:bCs/>
                <w:iCs/>
                <w:sz w:val="18"/>
                <w:szCs w:val="18"/>
                <w:lang w:val="fr-FR"/>
              </w:rPr>
              <w:t>(13)</w:t>
            </w:r>
          </w:p>
        </w:tc>
        <w:tc>
          <w:tcPr>
            <w:tcW w:w="0" w:type="auto"/>
            <w:tcBorders>
              <w:top w:val="single" w:sz="4" w:space="0" w:color="auto"/>
              <w:left w:val="single" w:sz="4" w:space="0" w:color="auto"/>
              <w:bottom w:val="single" w:sz="4" w:space="0" w:color="auto"/>
              <w:right w:val="single" w:sz="4" w:space="0" w:color="auto"/>
            </w:tcBorders>
          </w:tcPr>
          <w:p w14:paraId="48A0BA78" w14:textId="30A52BE5" w:rsidR="006A6437" w:rsidRPr="00477B36" w:rsidRDefault="006A6437" w:rsidP="004A05F2">
            <w:pPr>
              <w:suppressAutoHyphens w:val="0"/>
              <w:spacing w:line="276" w:lineRule="auto"/>
              <w:jc w:val="center"/>
              <w:rPr>
                <w:bCs/>
                <w:sz w:val="18"/>
                <w:szCs w:val="18"/>
                <w:lang w:val="fr-FR"/>
              </w:rPr>
            </w:pPr>
            <w:r w:rsidRPr="00477B36">
              <w:rPr>
                <w:bCs/>
                <w:iCs/>
                <w:sz w:val="18"/>
                <w:szCs w:val="18"/>
                <w:lang w:val="fr-FR"/>
              </w:rPr>
              <w:t>(14)</w:t>
            </w:r>
          </w:p>
        </w:tc>
        <w:tc>
          <w:tcPr>
            <w:tcW w:w="0" w:type="auto"/>
            <w:tcBorders>
              <w:top w:val="single" w:sz="4" w:space="0" w:color="auto"/>
              <w:left w:val="single" w:sz="4" w:space="0" w:color="auto"/>
              <w:bottom w:val="single" w:sz="4" w:space="0" w:color="auto"/>
              <w:right w:val="single" w:sz="4" w:space="0" w:color="auto"/>
            </w:tcBorders>
          </w:tcPr>
          <w:p w14:paraId="591E5DD7" w14:textId="79217FDB" w:rsidR="006A6437" w:rsidRPr="00477B36" w:rsidRDefault="006A6437" w:rsidP="004A05F2">
            <w:pPr>
              <w:suppressAutoHyphens w:val="0"/>
              <w:spacing w:line="276" w:lineRule="auto"/>
              <w:jc w:val="center"/>
              <w:rPr>
                <w:bCs/>
                <w:sz w:val="18"/>
                <w:szCs w:val="18"/>
                <w:lang w:val="fr-FR"/>
              </w:rPr>
            </w:pPr>
            <w:r w:rsidRPr="00477B36">
              <w:rPr>
                <w:bCs/>
                <w:iCs/>
                <w:sz w:val="18"/>
                <w:szCs w:val="18"/>
                <w:lang w:val="fr-FR"/>
              </w:rPr>
              <w:t>(15)</w:t>
            </w:r>
          </w:p>
        </w:tc>
        <w:tc>
          <w:tcPr>
            <w:tcW w:w="0" w:type="auto"/>
            <w:tcBorders>
              <w:top w:val="single" w:sz="4" w:space="0" w:color="auto"/>
              <w:left w:val="single" w:sz="4" w:space="0" w:color="auto"/>
              <w:bottom w:val="single" w:sz="4" w:space="0" w:color="auto"/>
              <w:right w:val="single" w:sz="4" w:space="0" w:color="auto"/>
            </w:tcBorders>
          </w:tcPr>
          <w:p w14:paraId="7D02EF8C" w14:textId="1532E601" w:rsidR="006A6437" w:rsidRPr="00477B36" w:rsidRDefault="006A6437" w:rsidP="004A05F2">
            <w:pPr>
              <w:suppressAutoHyphens w:val="0"/>
              <w:spacing w:line="276" w:lineRule="auto"/>
              <w:jc w:val="center"/>
              <w:rPr>
                <w:bCs/>
                <w:sz w:val="18"/>
                <w:szCs w:val="18"/>
                <w:lang w:val="fr-FR"/>
              </w:rPr>
            </w:pPr>
            <w:r w:rsidRPr="00477B36">
              <w:rPr>
                <w:bCs/>
                <w:iCs/>
                <w:sz w:val="18"/>
                <w:szCs w:val="18"/>
                <w:lang w:val="fr-FR"/>
              </w:rPr>
              <w:t>(16)</w:t>
            </w:r>
          </w:p>
        </w:tc>
        <w:tc>
          <w:tcPr>
            <w:tcW w:w="0" w:type="auto"/>
            <w:tcBorders>
              <w:top w:val="single" w:sz="4" w:space="0" w:color="auto"/>
              <w:left w:val="single" w:sz="4" w:space="0" w:color="auto"/>
              <w:bottom w:val="single" w:sz="4" w:space="0" w:color="auto"/>
              <w:right w:val="single" w:sz="4" w:space="0" w:color="auto"/>
            </w:tcBorders>
          </w:tcPr>
          <w:p w14:paraId="74ACC405" w14:textId="5CAE6823" w:rsidR="006A6437" w:rsidRPr="00477B36" w:rsidRDefault="006A6437" w:rsidP="004A05F2">
            <w:pPr>
              <w:suppressAutoHyphens w:val="0"/>
              <w:spacing w:line="276" w:lineRule="auto"/>
              <w:jc w:val="center"/>
              <w:rPr>
                <w:bCs/>
                <w:sz w:val="18"/>
                <w:szCs w:val="18"/>
                <w:lang w:val="fr-FR"/>
              </w:rPr>
            </w:pPr>
            <w:r w:rsidRPr="00477B36">
              <w:rPr>
                <w:bCs/>
                <w:iCs/>
                <w:sz w:val="18"/>
                <w:szCs w:val="18"/>
                <w:lang w:val="fr-FR"/>
              </w:rPr>
              <w:t>(17)</w:t>
            </w:r>
          </w:p>
        </w:tc>
        <w:tc>
          <w:tcPr>
            <w:tcW w:w="0" w:type="auto"/>
            <w:tcBorders>
              <w:top w:val="single" w:sz="4" w:space="0" w:color="auto"/>
              <w:left w:val="single" w:sz="4" w:space="0" w:color="auto"/>
              <w:bottom w:val="single" w:sz="4" w:space="0" w:color="auto"/>
              <w:right w:val="single" w:sz="4" w:space="0" w:color="auto"/>
            </w:tcBorders>
          </w:tcPr>
          <w:p w14:paraId="22E8DEE4" w14:textId="29DDF443" w:rsidR="006A6437" w:rsidRPr="00477B36" w:rsidRDefault="006A6437" w:rsidP="004A05F2">
            <w:pPr>
              <w:suppressAutoHyphens w:val="0"/>
              <w:spacing w:line="276" w:lineRule="auto"/>
              <w:jc w:val="center"/>
              <w:rPr>
                <w:bCs/>
                <w:sz w:val="18"/>
                <w:szCs w:val="18"/>
                <w:lang w:val="fr-FR"/>
              </w:rPr>
            </w:pPr>
            <w:r w:rsidRPr="00477B36">
              <w:rPr>
                <w:bCs/>
                <w:iCs/>
                <w:sz w:val="18"/>
                <w:szCs w:val="18"/>
                <w:lang w:val="fr-FR"/>
              </w:rPr>
              <w:t>(18)</w:t>
            </w:r>
          </w:p>
        </w:tc>
        <w:tc>
          <w:tcPr>
            <w:tcW w:w="0" w:type="auto"/>
            <w:tcBorders>
              <w:top w:val="single" w:sz="4" w:space="0" w:color="auto"/>
              <w:left w:val="single" w:sz="4" w:space="0" w:color="auto"/>
              <w:bottom w:val="single" w:sz="4" w:space="0" w:color="auto"/>
              <w:right w:val="single" w:sz="4" w:space="0" w:color="auto"/>
            </w:tcBorders>
          </w:tcPr>
          <w:p w14:paraId="5ABB9A08" w14:textId="42F0773F" w:rsidR="006A6437" w:rsidRPr="00477B36" w:rsidRDefault="006A6437" w:rsidP="004A05F2">
            <w:pPr>
              <w:suppressAutoHyphens w:val="0"/>
              <w:spacing w:line="276" w:lineRule="auto"/>
              <w:jc w:val="center"/>
              <w:rPr>
                <w:bCs/>
                <w:sz w:val="18"/>
                <w:szCs w:val="18"/>
                <w:lang w:val="fr-FR"/>
              </w:rPr>
            </w:pPr>
            <w:r w:rsidRPr="00477B36">
              <w:rPr>
                <w:bCs/>
                <w:iCs/>
                <w:sz w:val="18"/>
                <w:szCs w:val="18"/>
                <w:lang w:val="fr-FR"/>
              </w:rPr>
              <w:t>(19)</w:t>
            </w:r>
          </w:p>
        </w:tc>
        <w:tc>
          <w:tcPr>
            <w:tcW w:w="0" w:type="auto"/>
            <w:tcBorders>
              <w:top w:val="single" w:sz="4" w:space="0" w:color="auto"/>
              <w:left w:val="single" w:sz="4" w:space="0" w:color="auto"/>
              <w:bottom w:val="single" w:sz="4" w:space="0" w:color="auto"/>
              <w:right w:val="single" w:sz="4" w:space="0" w:color="auto"/>
            </w:tcBorders>
          </w:tcPr>
          <w:p w14:paraId="6A111080" w14:textId="1E1B7B9D" w:rsidR="006A6437" w:rsidRPr="00477B36" w:rsidRDefault="006A6437" w:rsidP="004A05F2">
            <w:pPr>
              <w:suppressAutoHyphens w:val="0"/>
              <w:spacing w:line="276" w:lineRule="auto"/>
              <w:jc w:val="center"/>
              <w:rPr>
                <w:bCs/>
                <w:sz w:val="18"/>
                <w:szCs w:val="18"/>
                <w:lang w:val="fr-FR"/>
              </w:rPr>
            </w:pPr>
            <w:r w:rsidRPr="00477B36">
              <w:rPr>
                <w:bCs/>
                <w:iCs/>
                <w:sz w:val="18"/>
                <w:szCs w:val="18"/>
                <w:lang w:val="fr-FR"/>
              </w:rPr>
              <w:t>(20)</w:t>
            </w:r>
          </w:p>
        </w:tc>
      </w:tr>
      <w:tr w:rsidR="001E52BC" w:rsidRPr="00477B36" w14:paraId="303DED58" w14:textId="503058CB"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BB460D"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B3E62" w14:textId="77777777" w:rsidR="006A6437" w:rsidRPr="00477B36" w:rsidRDefault="006A6437" w:rsidP="006A6437">
            <w:pPr>
              <w:spacing w:line="240" w:lineRule="auto"/>
              <w:rPr>
                <w:sz w:val="18"/>
                <w:szCs w:val="18"/>
                <w:lang w:val="fr-FR" w:eastAsia="zh-CN"/>
              </w:rPr>
            </w:pPr>
            <w:r w:rsidRPr="00477B36">
              <w:rPr>
                <w:sz w:val="18"/>
                <w:szCs w:val="18"/>
                <w:lang w:val="fr-FR" w:eastAsia="zh-CN"/>
              </w:rPr>
              <w:t>SOLIDE INORGANIQUE TOXIQUE, INFLAMMABLE, N.S.A.</w:t>
            </w:r>
          </w:p>
        </w:tc>
        <w:tc>
          <w:tcPr>
            <w:tcW w:w="0" w:type="auto"/>
            <w:tcBorders>
              <w:top w:val="single" w:sz="4" w:space="0" w:color="auto"/>
              <w:left w:val="single" w:sz="4" w:space="0" w:color="auto"/>
              <w:bottom w:val="single" w:sz="4" w:space="0" w:color="auto"/>
              <w:right w:val="single" w:sz="4" w:space="0" w:color="auto"/>
            </w:tcBorders>
          </w:tcPr>
          <w:p w14:paraId="0BF09BEE" w14:textId="1F61F3B4" w:rsidR="006A6437" w:rsidRPr="00477B36" w:rsidRDefault="006A6437" w:rsidP="006A6437">
            <w:pPr>
              <w:spacing w:line="240" w:lineRule="auto"/>
              <w:jc w:val="center"/>
              <w:rPr>
                <w:sz w:val="18"/>
                <w:szCs w:val="18"/>
                <w:lang w:val="fr-FR" w:eastAsia="zh-CN"/>
              </w:rPr>
            </w:pPr>
            <w:r w:rsidRPr="00477B36">
              <w:rPr>
                <w:sz w:val="18"/>
                <w:szCs w:val="18"/>
                <w:lang w:val="fr-FR"/>
              </w:rPr>
              <w:t>6.1</w:t>
            </w:r>
          </w:p>
        </w:tc>
        <w:tc>
          <w:tcPr>
            <w:tcW w:w="0" w:type="auto"/>
            <w:tcBorders>
              <w:top w:val="single" w:sz="4" w:space="0" w:color="auto"/>
              <w:left w:val="single" w:sz="4" w:space="0" w:color="auto"/>
              <w:bottom w:val="single" w:sz="4" w:space="0" w:color="auto"/>
              <w:right w:val="single" w:sz="4" w:space="0" w:color="auto"/>
            </w:tcBorders>
          </w:tcPr>
          <w:p w14:paraId="289AAD63" w14:textId="0BCF06AD" w:rsidR="006A6437" w:rsidRPr="00477B36" w:rsidRDefault="006A6437" w:rsidP="006A6437">
            <w:pPr>
              <w:spacing w:line="240" w:lineRule="auto"/>
              <w:jc w:val="center"/>
              <w:rPr>
                <w:sz w:val="18"/>
                <w:szCs w:val="18"/>
                <w:lang w:val="fr-FR" w:eastAsia="zh-CN"/>
              </w:rPr>
            </w:pPr>
            <w:r w:rsidRPr="00477B36">
              <w:rPr>
                <w:sz w:val="18"/>
                <w:szCs w:val="18"/>
                <w:lang w:val="fr-FR"/>
              </w:rPr>
              <w:t>TF3</w:t>
            </w:r>
          </w:p>
        </w:tc>
        <w:tc>
          <w:tcPr>
            <w:tcW w:w="0" w:type="auto"/>
            <w:tcBorders>
              <w:top w:val="single" w:sz="4" w:space="0" w:color="auto"/>
              <w:left w:val="single" w:sz="4" w:space="0" w:color="auto"/>
              <w:bottom w:val="single" w:sz="4" w:space="0" w:color="auto"/>
              <w:right w:val="single" w:sz="4" w:space="0" w:color="auto"/>
            </w:tcBorders>
          </w:tcPr>
          <w:p w14:paraId="50FA8415" w14:textId="203FDCDD" w:rsidR="006A6437" w:rsidRPr="00477B36" w:rsidRDefault="006A6437" w:rsidP="006A6437">
            <w:pPr>
              <w:spacing w:line="240" w:lineRule="auto"/>
              <w:jc w:val="center"/>
              <w:rPr>
                <w:sz w:val="18"/>
                <w:szCs w:val="18"/>
                <w:lang w:val="fr-FR" w:eastAsia="zh-CN"/>
              </w:rPr>
            </w:pPr>
            <w:r w:rsidRPr="00477B36">
              <w:rPr>
                <w:sz w:val="18"/>
                <w:szCs w:val="18"/>
                <w:lang w:val="fr-FR"/>
              </w:rPr>
              <w:t>I</w:t>
            </w:r>
          </w:p>
        </w:tc>
        <w:tc>
          <w:tcPr>
            <w:tcW w:w="0" w:type="auto"/>
            <w:tcBorders>
              <w:top w:val="single" w:sz="4" w:space="0" w:color="auto"/>
              <w:left w:val="single" w:sz="4" w:space="0" w:color="auto"/>
              <w:bottom w:val="single" w:sz="4" w:space="0" w:color="auto"/>
              <w:right w:val="single" w:sz="4" w:space="0" w:color="auto"/>
            </w:tcBorders>
          </w:tcPr>
          <w:p w14:paraId="35AA00A8" w14:textId="3C99ADBB" w:rsidR="006A6437" w:rsidRPr="00477B36" w:rsidRDefault="006A6437" w:rsidP="006A6437">
            <w:pPr>
              <w:suppressAutoHyphens w:val="0"/>
              <w:spacing w:line="220" w:lineRule="exact"/>
              <w:jc w:val="center"/>
              <w:rPr>
                <w:sz w:val="18"/>
                <w:szCs w:val="18"/>
                <w:lang w:val="fr-FR" w:eastAsia="zh-CN"/>
              </w:rPr>
            </w:pPr>
            <w:r w:rsidRPr="00477B36">
              <w:rPr>
                <w:sz w:val="18"/>
                <w:szCs w:val="18"/>
                <w:lang w:val="fr-FR"/>
              </w:rPr>
              <w:t>6.1</w:t>
            </w:r>
            <w:r w:rsidRPr="00477B36">
              <w:rPr>
                <w:sz w:val="18"/>
                <w:szCs w:val="18"/>
                <w:lang w:val="fr-FR"/>
              </w:rPr>
              <w:br/>
              <w:t>+4.1</w:t>
            </w:r>
          </w:p>
        </w:tc>
        <w:tc>
          <w:tcPr>
            <w:tcW w:w="0" w:type="auto"/>
            <w:tcBorders>
              <w:top w:val="single" w:sz="4" w:space="0" w:color="auto"/>
              <w:left w:val="single" w:sz="4" w:space="0" w:color="auto"/>
              <w:bottom w:val="single" w:sz="4" w:space="0" w:color="auto"/>
              <w:right w:val="single" w:sz="4" w:space="0" w:color="auto"/>
            </w:tcBorders>
          </w:tcPr>
          <w:p w14:paraId="55E7FD81" w14:textId="42DAE28F" w:rsidR="006A6437" w:rsidRPr="00477B36" w:rsidRDefault="006A6437" w:rsidP="006A6437">
            <w:pPr>
              <w:spacing w:line="240" w:lineRule="auto"/>
              <w:jc w:val="center"/>
              <w:rPr>
                <w:sz w:val="18"/>
                <w:szCs w:val="18"/>
                <w:lang w:val="fr-FR" w:eastAsia="zh-CN"/>
              </w:rPr>
            </w:pPr>
            <w:r w:rsidRPr="00477B36">
              <w:rPr>
                <w:sz w:val="18"/>
                <w:szCs w:val="18"/>
                <w:lang w:val="fr-FR"/>
              </w:rPr>
              <w:t>274</w:t>
            </w:r>
          </w:p>
        </w:tc>
        <w:tc>
          <w:tcPr>
            <w:tcW w:w="0" w:type="auto"/>
            <w:tcBorders>
              <w:top w:val="single" w:sz="4" w:space="0" w:color="auto"/>
              <w:left w:val="single" w:sz="4" w:space="0" w:color="auto"/>
              <w:bottom w:val="single" w:sz="4" w:space="0" w:color="auto"/>
              <w:right w:val="single" w:sz="4" w:space="0" w:color="auto"/>
            </w:tcBorders>
          </w:tcPr>
          <w:p w14:paraId="3FF51ADA" w14:textId="62325B0B"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3913E0A2" w14:textId="40DB9FB2" w:rsidR="006A6437" w:rsidRPr="00477B36" w:rsidRDefault="006A6437" w:rsidP="006A6437">
            <w:pPr>
              <w:spacing w:line="240" w:lineRule="auto"/>
              <w:jc w:val="center"/>
              <w:rPr>
                <w:sz w:val="18"/>
                <w:szCs w:val="18"/>
                <w:lang w:val="fr-FR" w:eastAsia="zh-CN"/>
              </w:rPr>
            </w:pPr>
            <w:r w:rsidRPr="00477B36">
              <w:rPr>
                <w:sz w:val="18"/>
                <w:szCs w:val="18"/>
                <w:lang w:val="fr-FR"/>
              </w:rPr>
              <w:t>E5</w:t>
            </w:r>
          </w:p>
        </w:tc>
        <w:tc>
          <w:tcPr>
            <w:tcW w:w="0" w:type="auto"/>
            <w:tcBorders>
              <w:top w:val="single" w:sz="4" w:space="0" w:color="auto"/>
              <w:left w:val="single" w:sz="4" w:space="0" w:color="auto"/>
              <w:bottom w:val="single" w:sz="4" w:space="0" w:color="auto"/>
              <w:right w:val="single" w:sz="4" w:space="0" w:color="auto"/>
            </w:tcBorders>
          </w:tcPr>
          <w:p w14:paraId="4A9D6C9C" w14:textId="448A3C51" w:rsidR="006A6437" w:rsidRPr="00477B36" w:rsidRDefault="006A6437" w:rsidP="006A6437">
            <w:pPr>
              <w:spacing w:line="240" w:lineRule="auto"/>
              <w:jc w:val="center"/>
              <w:rPr>
                <w:sz w:val="18"/>
                <w:szCs w:val="18"/>
                <w:lang w:val="fr-FR" w:eastAsia="zh-CN"/>
              </w:rPr>
            </w:pPr>
            <w:r w:rsidRPr="00477B36">
              <w:rPr>
                <w:sz w:val="18"/>
                <w:szCs w:val="18"/>
                <w:lang w:val="fr-FR"/>
              </w:rPr>
              <w:t>P002</w:t>
            </w:r>
            <w:r w:rsidRPr="00477B36">
              <w:rPr>
                <w:sz w:val="18"/>
                <w:szCs w:val="18"/>
                <w:lang w:val="fr-FR"/>
              </w:rPr>
              <w:br/>
              <w:t>IBC99</w:t>
            </w:r>
          </w:p>
        </w:tc>
        <w:tc>
          <w:tcPr>
            <w:tcW w:w="0" w:type="auto"/>
            <w:tcBorders>
              <w:top w:val="single" w:sz="4" w:space="0" w:color="auto"/>
              <w:left w:val="single" w:sz="4" w:space="0" w:color="auto"/>
              <w:bottom w:val="single" w:sz="4" w:space="0" w:color="auto"/>
              <w:right w:val="single" w:sz="4" w:space="0" w:color="auto"/>
            </w:tcBorders>
          </w:tcPr>
          <w:p w14:paraId="145C7AA3"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AD96A26" w14:textId="0638C24D" w:rsidR="006A6437" w:rsidRPr="00477B36" w:rsidRDefault="006A6437" w:rsidP="006A6437">
            <w:pPr>
              <w:spacing w:line="240" w:lineRule="auto"/>
              <w:jc w:val="center"/>
              <w:rPr>
                <w:sz w:val="18"/>
                <w:szCs w:val="18"/>
                <w:lang w:val="fr-FR" w:eastAsia="zh-CN"/>
              </w:rPr>
            </w:pPr>
            <w:r w:rsidRPr="00477B36">
              <w:rPr>
                <w:sz w:val="18"/>
                <w:szCs w:val="18"/>
                <w:lang w:val="fr-FR" w:eastAsia="nb-NO"/>
              </w:rPr>
              <w:t>MP18</w:t>
            </w:r>
          </w:p>
        </w:tc>
        <w:tc>
          <w:tcPr>
            <w:tcW w:w="0" w:type="auto"/>
            <w:tcBorders>
              <w:top w:val="single" w:sz="4" w:space="0" w:color="auto"/>
              <w:left w:val="single" w:sz="4" w:space="0" w:color="auto"/>
              <w:bottom w:val="single" w:sz="4" w:space="0" w:color="auto"/>
              <w:right w:val="single" w:sz="4" w:space="0" w:color="auto"/>
            </w:tcBorders>
          </w:tcPr>
          <w:p w14:paraId="41CA10B7" w14:textId="4A82B367" w:rsidR="006A6437" w:rsidRPr="00477B36" w:rsidRDefault="006A6437" w:rsidP="006A6437">
            <w:pPr>
              <w:spacing w:line="240" w:lineRule="auto"/>
              <w:jc w:val="center"/>
              <w:rPr>
                <w:sz w:val="18"/>
                <w:szCs w:val="18"/>
                <w:lang w:val="fr-FR" w:eastAsia="zh-CN"/>
              </w:rPr>
            </w:pPr>
            <w:r w:rsidRPr="00477B36">
              <w:rPr>
                <w:sz w:val="18"/>
                <w:szCs w:val="18"/>
                <w:lang w:val="fr-FR" w:eastAsia="nb-NO"/>
              </w:rPr>
              <w:t>T6</w:t>
            </w:r>
          </w:p>
        </w:tc>
        <w:tc>
          <w:tcPr>
            <w:tcW w:w="0" w:type="auto"/>
            <w:tcBorders>
              <w:top w:val="single" w:sz="4" w:space="0" w:color="auto"/>
              <w:left w:val="single" w:sz="4" w:space="0" w:color="auto"/>
              <w:bottom w:val="single" w:sz="4" w:space="0" w:color="auto"/>
              <w:right w:val="single" w:sz="4" w:space="0" w:color="auto"/>
            </w:tcBorders>
          </w:tcPr>
          <w:p w14:paraId="7FF01F4F" w14:textId="13294F70" w:rsidR="006A6437" w:rsidRPr="00477B36" w:rsidRDefault="006A6437" w:rsidP="006A6437">
            <w:pPr>
              <w:spacing w:line="240" w:lineRule="auto"/>
              <w:jc w:val="center"/>
              <w:rPr>
                <w:sz w:val="18"/>
                <w:szCs w:val="18"/>
                <w:lang w:val="fr-FR" w:eastAsia="zh-CN"/>
              </w:rPr>
            </w:pPr>
            <w:r w:rsidRPr="00477B36">
              <w:rPr>
                <w:sz w:val="18"/>
                <w:szCs w:val="18"/>
                <w:lang w:val="fr-FR" w:eastAsia="nb-NO"/>
              </w:rPr>
              <w:t>TP33</w:t>
            </w:r>
          </w:p>
        </w:tc>
        <w:tc>
          <w:tcPr>
            <w:tcW w:w="0" w:type="auto"/>
            <w:tcBorders>
              <w:top w:val="single" w:sz="4" w:space="0" w:color="auto"/>
              <w:left w:val="single" w:sz="4" w:space="0" w:color="auto"/>
              <w:bottom w:val="single" w:sz="4" w:space="0" w:color="auto"/>
              <w:right w:val="single" w:sz="4" w:space="0" w:color="auto"/>
            </w:tcBorders>
          </w:tcPr>
          <w:p w14:paraId="39EE09F1"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C004048"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0AF1347" w14:textId="32D92712" w:rsidR="006A6437" w:rsidRPr="00477B36" w:rsidRDefault="006A6437" w:rsidP="006A6437">
            <w:pPr>
              <w:spacing w:line="240" w:lineRule="auto"/>
              <w:jc w:val="center"/>
              <w:rPr>
                <w:sz w:val="18"/>
                <w:szCs w:val="18"/>
                <w:lang w:val="fr-FR" w:eastAsia="zh-CN"/>
              </w:rPr>
            </w:pPr>
            <w:r w:rsidRPr="00477B36">
              <w:rPr>
                <w:sz w:val="18"/>
                <w:szCs w:val="18"/>
                <w:lang w:val="fr-FR" w:eastAsia="nb-NO"/>
              </w:rPr>
              <w:t>AT</w:t>
            </w:r>
          </w:p>
        </w:tc>
        <w:tc>
          <w:tcPr>
            <w:tcW w:w="0" w:type="auto"/>
            <w:tcBorders>
              <w:top w:val="single" w:sz="4" w:space="0" w:color="auto"/>
              <w:left w:val="single" w:sz="4" w:space="0" w:color="auto"/>
              <w:bottom w:val="single" w:sz="4" w:space="0" w:color="auto"/>
              <w:right w:val="single" w:sz="4" w:space="0" w:color="auto"/>
            </w:tcBorders>
          </w:tcPr>
          <w:p w14:paraId="47834DDB" w14:textId="6C22D638"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rPr>
              <w:t>1</w:t>
            </w:r>
            <w:r w:rsidRPr="00477B36">
              <w:rPr>
                <w:sz w:val="18"/>
                <w:szCs w:val="18"/>
                <w:lang w:val="fr-FR"/>
              </w:rPr>
              <w:br/>
              <w:t>(C/E)</w:t>
            </w:r>
          </w:p>
        </w:tc>
        <w:tc>
          <w:tcPr>
            <w:tcW w:w="0" w:type="auto"/>
            <w:tcBorders>
              <w:top w:val="single" w:sz="4" w:space="0" w:color="auto"/>
              <w:left w:val="single" w:sz="4" w:space="0" w:color="auto"/>
              <w:bottom w:val="single" w:sz="4" w:space="0" w:color="auto"/>
              <w:right w:val="single" w:sz="4" w:space="0" w:color="auto"/>
            </w:tcBorders>
          </w:tcPr>
          <w:p w14:paraId="134E93D7" w14:textId="2402DA23" w:rsidR="006A6437" w:rsidRPr="00477B36" w:rsidRDefault="006A6437" w:rsidP="006A6437">
            <w:pPr>
              <w:spacing w:line="240" w:lineRule="auto"/>
              <w:jc w:val="center"/>
              <w:rPr>
                <w:sz w:val="18"/>
                <w:szCs w:val="18"/>
                <w:lang w:val="fr-FR" w:eastAsia="zh-CN"/>
              </w:rPr>
            </w:pPr>
            <w:r w:rsidRPr="00477B36">
              <w:rPr>
                <w:sz w:val="18"/>
                <w:szCs w:val="18"/>
                <w:lang w:val="fr-FR"/>
              </w:rPr>
              <w:t>V10</w:t>
            </w:r>
          </w:p>
        </w:tc>
        <w:tc>
          <w:tcPr>
            <w:tcW w:w="0" w:type="auto"/>
            <w:tcBorders>
              <w:top w:val="single" w:sz="4" w:space="0" w:color="auto"/>
              <w:left w:val="single" w:sz="4" w:space="0" w:color="auto"/>
              <w:bottom w:val="single" w:sz="4" w:space="0" w:color="auto"/>
              <w:right w:val="single" w:sz="4" w:space="0" w:color="auto"/>
            </w:tcBorders>
          </w:tcPr>
          <w:p w14:paraId="488A6B4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1438521" w14:textId="256E928A" w:rsidR="006A6437" w:rsidRPr="00477B36" w:rsidRDefault="006A6437" w:rsidP="006A6437">
            <w:pPr>
              <w:spacing w:line="240" w:lineRule="auto"/>
              <w:jc w:val="center"/>
              <w:rPr>
                <w:sz w:val="18"/>
                <w:szCs w:val="18"/>
                <w:lang w:val="fr-FR" w:eastAsia="zh-CN"/>
              </w:rPr>
            </w:pPr>
            <w:r w:rsidRPr="00477B36">
              <w:rPr>
                <w:sz w:val="18"/>
                <w:szCs w:val="18"/>
                <w:lang w:val="fr-FR"/>
              </w:rPr>
              <w:t>CV1</w:t>
            </w:r>
            <w:r w:rsidRPr="00477B36">
              <w:rPr>
                <w:sz w:val="18"/>
                <w:szCs w:val="18"/>
                <w:lang w:val="fr-FR"/>
              </w:rPr>
              <w:br/>
              <w:t>CV13</w:t>
            </w:r>
            <w:r w:rsidRPr="00477B36">
              <w:rPr>
                <w:sz w:val="18"/>
                <w:szCs w:val="18"/>
                <w:lang w:val="fr-FR"/>
              </w:rPr>
              <w:br/>
              <w:t>CV28</w:t>
            </w:r>
          </w:p>
        </w:tc>
        <w:tc>
          <w:tcPr>
            <w:tcW w:w="0" w:type="auto"/>
            <w:tcBorders>
              <w:top w:val="single" w:sz="4" w:space="0" w:color="auto"/>
              <w:left w:val="single" w:sz="4" w:space="0" w:color="auto"/>
              <w:bottom w:val="single" w:sz="4" w:space="0" w:color="auto"/>
              <w:right w:val="single" w:sz="4" w:space="0" w:color="auto"/>
            </w:tcBorders>
          </w:tcPr>
          <w:p w14:paraId="1656E4C9" w14:textId="60223BE0" w:rsidR="006A6437" w:rsidRPr="00477B36" w:rsidRDefault="006A6437" w:rsidP="006A6437">
            <w:pPr>
              <w:spacing w:line="240" w:lineRule="auto"/>
              <w:jc w:val="center"/>
              <w:rPr>
                <w:sz w:val="18"/>
                <w:szCs w:val="18"/>
                <w:lang w:val="fr-FR" w:eastAsia="zh-CN"/>
              </w:rPr>
            </w:pPr>
            <w:r w:rsidRPr="00477B36">
              <w:rPr>
                <w:sz w:val="18"/>
                <w:szCs w:val="18"/>
                <w:lang w:val="fr-FR"/>
              </w:rPr>
              <w:t>S9 S14</w:t>
            </w:r>
          </w:p>
        </w:tc>
        <w:tc>
          <w:tcPr>
            <w:tcW w:w="0" w:type="auto"/>
            <w:tcBorders>
              <w:top w:val="single" w:sz="4" w:space="0" w:color="auto"/>
              <w:left w:val="single" w:sz="4" w:space="0" w:color="auto"/>
              <w:bottom w:val="single" w:sz="4" w:space="0" w:color="auto"/>
              <w:right w:val="single" w:sz="4" w:space="0" w:color="auto"/>
            </w:tcBorders>
          </w:tcPr>
          <w:p w14:paraId="1E93A36D" w14:textId="1C5FE036" w:rsidR="006A6437" w:rsidRPr="00477B36" w:rsidRDefault="006A6437" w:rsidP="006A6437">
            <w:pPr>
              <w:spacing w:line="240" w:lineRule="auto"/>
              <w:jc w:val="center"/>
              <w:rPr>
                <w:sz w:val="18"/>
                <w:szCs w:val="18"/>
                <w:lang w:val="fr-FR" w:eastAsia="zh-CN"/>
              </w:rPr>
            </w:pPr>
            <w:r w:rsidRPr="00477B36">
              <w:rPr>
                <w:sz w:val="18"/>
                <w:szCs w:val="18"/>
                <w:lang w:val="fr-FR"/>
              </w:rPr>
              <w:t>664</w:t>
            </w:r>
          </w:p>
        </w:tc>
      </w:tr>
      <w:tr w:rsidR="001E52BC" w:rsidRPr="00477B36" w14:paraId="6964059A" w14:textId="3B50AA96"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C723EE"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A4EEF" w14:textId="77777777" w:rsidR="006A6437" w:rsidRPr="00477B36" w:rsidRDefault="006A6437" w:rsidP="006A6437">
            <w:pPr>
              <w:spacing w:line="240" w:lineRule="auto"/>
              <w:rPr>
                <w:sz w:val="18"/>
                <w:szCs w:val="18"/>
                <w:lang w:val="fr-FR" w:eastAsia="zh-CN"/>
              </w:rPr>
            </w:pPr>
            <w:r w:rsidRPr="00477B36">
              <w:rPr>
                <w:sz w:val="18"/>
                <w:szCs w:val="18"/>
                <w:lang w:val="fr-FR" w:eastAsia="zh-CN"/>
              </w:rPr>
              <w:t>SOLIDE INORGANIQUE TOXIQUE, INFLAMMABLE, N.S.A.</w:t>
            </w:r>
          </w:p>
        </w:tc>
        <w:tc>
          <w:tcPr>
            <w:tcW w:w="0" w:type="auto"/>
            <w:tcBorders>
              <w:top w:val="single" w:sz="4" w:space="0" w:color="auto"/>
              <w:left w:val="single" w:sz="4" w:space="0" w:color="auto"/>
              <w:bottom w:val="single" w:sz="4" w:space="0" w:color="auto"/>
              <w:right w:val="single" w:sz="4" w:space="0" w:color="auto"/>
            </w:tcBorders>
          </w:tcPr>
          <w:p w14:paraId="65E15038" w14:textId="2529374F" w:rsidR="006A6437" w:rsidRPr="00477B36" w:rsidRDefault="006A6437" w:rsidP="006A6437">
            <w:pPr>
              <w:spacing w:line="240" w:lineRule="auto"/>
              <w:jc w:val="center"/>
              <w:rPr>
                <w:sz w:val="18"/>
                <w:szCs w:val="18"/>
                <w:lang w:val="fr-FR" w:eastAsia="zh-CN"/>
              </w:rPr>
            </w:pPr>
            <w:r w:rsidRPr="00477B36">
              <w:rPr>
                <w:sz w:val="18"/>
                <w:szCs w:val="18"/>
                <w:lang w:val="fr-FR"/>
              </w:rPr>
              <w:t>6.1</w:t>
            </w:r>
          </w:p>
        </w:tc>
        <w:tc>
          <w:tcPr>
            <w:tcW w:w="0" w:type="auto"/>
            <w:tcBorders>
              <w:top w:val="single" w:sz="4" w:space="0" w:color="auto"/>
              <w:left w:val="single" w:sz="4" w:space="0" w:color="auto"/>
              <w:bottom w:val="single" w:sz="4" w:space="0" w:color="auto"/>
              <w:right w:val="single" w:sz="4" w:space="0" w:color="auto"/>
            </w:tcBorders>
          </w:tcPr>
          <w:p w14:paraId="0FCF59FD" w14:textId="393B9450" w:rsidR="006A6437" w:rsidRPr="00477B36" w:rsidRDefault="006A6437" w:rsidP="006A6437">
            <w:pPr>
              <w:spacing w:line="240" w:lineRule="auto"/>
              <w:jc w:val="center"/>
              <w:rPr>
                <w:sz w:val="18"/>
                <w:szCs w:val="18"/>
                <w:lang w:val="fr-FR" w:eastAsia="zh-CN"/>
              </w:rPr>
            </w:pPr>
            <w:r w:rsidRPr="00477B36">
              <w:rPr>
                <w:sz w:val="18"/>
                <w:szCs w:val="18"/>
                <w:lang w:val="fr-FR"/>
              </w:rPr>
              <w:t>TF3</w:t>
            </w:r>
          </w:p>
        </w:tc>
        <w:tc>
          <w:tcPr>
            <w:tcW w:w="0" w:type="auto"/>
            <w:tcBorders>
              <w:top w:val="single" w:sz="4" w:space="0" w:color="auto"/>
              <w:left w:val="single" w:sz="4" w:space="0" w:color="auto"/>
              <w:bottom w:val="single" w:sz="4" w:space="0" w:color="auto"/>
              <w:right w:val="single" w:sz="4" w:space="0" w:color="auto"/>
            </w:tcBorders>
          </w:tcPr>
          <w:p w14:paraId="20BBEE6B" w14:textId="3DB586E5" w:rsidR="006A6437" w:rsidRPr="00477B36" w:rsidRDefault="006A6437" w:rsidP="006A6437">
            <w:pPr>
              <w:spacing w:line="240" w:lineRule="auto"/>
              <w:jc w:val="center"/>
              <w:rPr>
                <w:sz w:val="18"/>
                <w:szCs w:val="18"/>
                <w:lang w:val="fr-FR" w:eastAsia="zh-CN"/>
              </w:rPr>
            </w:pPr>
            <w:r w:rsidRPr="00477B36">
              <w:rPr>
                <w:sz w:val="18"/>
                <w:szCs w:val="18"/>
                <w:lang w:val="fr-FR"/>
              </w:rPr>
              <w:t>II</w:t>
            </w:r>
          </w:p>
        </w:tc>
        <w:tc>
          <w:tcPr>
            <w:tcW w:w="0" w:type="auto"/>
            <w:tcBorders>
              <w:top w:val="single" w:sz="4" w:space="0" w:color="auto"/>
              <w:left w:val="single" w:sz="4" w:space="0" w:color="auto"/>
              <w:bottom w:val="single" w:sz="4" w:space="0" w:color="auto"/>
              <w:right w:val="single" w:sz="4" w:space="0" w:color="auto"/>
            </w:tcBorders>
          </w:tcPr>
          <w:p w14:paraId="64B6387D" w14:textId="7B1F81E1" w:rsidR="006A6437" w:rsidRPr="00477B36" w:rsidRDefault="006A6437" w:rsidP="006A6437">
            <w:pPr>
              <w:suppressAutoHyphens w:val="0"/>
              <w:spacing w:line="220" w:lineRule="exact"/>
              <w:jc w:val="center"/>
              <w:rPr>
                <w:sz w:val="18"/>
                <w:szCs w:val="18"/>
                <w:lang w:val="fr-FR" w:eastAsia="zh-CN"/>
              </w:rPr>
            </w:pPr>
            <w:r w:rsidRPr="00477B36">
              <w:rPr>
                <w:sz w:val="18"/>
                <w:szCs w:val="18"/>
                <w:lang w:val="fr-FR"/>
              </w:rPr>
              <w:t>6.1</w:t>
            </w:r>
            <w:r w:rsidRPr="00477B36">
              <w:rPr>
                <w:sz w:val="18"/>
                <w:szCs w:val="18"/>
                <w:lang w:val="fr-FR"/>
              </w:rPr>
              <w:br/>
              <w:t>+4.1</w:t>
            </w:r>
          </w:p>
        </w:tc>
        <w:tc>
          <w:tcPr>
            <w:tcW w:w="0" w:type="auto"/>
            <w:tcBorders>
              <w:top w:val="single" w:sz="4" w:space="0" w:color="auto"/>
              <w:left w:val="single" w:sz="4" w:space="0" w:color="auto"/>
              <w:bottom w:val="single" w:sz="4" w:space="0" w:color="auto"/>
              <w:right w:val="single" w:sz="4" w:space="0" w:color="auto"/>
            </w:tcBorders>
          </w:tcPr>
          <w:p w14:paraId="3DA20766" w14:textId="7B8B141F" w:rsidR="006A6437" w:rsidRPr="00477B36" w:rsidRDefault="006A6437" w:rsidP="006A6437">
            <w:pPr>
              <w:spacing w:line="240" w:lineRule="auto"/>
              <w:jc w:val="center"/>
              <w:rPr>
                <w:sz w:val="18"/>
                <w:szCs w:val="18"/>
                <w:lang w:val="fr-FR" w:eastAsia="zh-CN"/>
              </w:rPr>
            </w:pPr>
            <w:r w:rsidRPr="00477B36">
              <w:rPr>
                <w:sz w:val="18"/>
                <w:szCs w:val="18"/>
                <w:lang w:val="fr-FR"/>
              </w:rPr>
              <w:t>274</w:t>
            </w:r>
          </w:p>
        </w:tc>
        <w:tc>
          <w:tcPr>
            <w:tcW w:w="0" w:type="auto"/>
            <w:tcBorders>
              <w:top w:val="single" w:sz="4" w:space="0" w:color="auto"/>
              <w:left w:val="single" w:sz="4" w:space="0" w:color="auto"/>
              <w:bottom w:val="single" w:sz="4" w:space="0" w:color="auto"/>
              <w:right w:val="single" w:sz="4" w:space="0" w:color="auto"/>
            </w:tcBorders>
          </w:tcPr>
          <w:p w14:paraId="0C02B4CA" w14:textId="218FD696" w:rsidR="006A6437" w:rsidRPr="00477B36" w:rsidRDefault="006A6437" w:rsidP="006A6437">
            <w:pPr>
              <w:spacing w:line="240" w:lineRule="auto"/>
              <w:jc w:val="center"/>
              <w:rPr>
                <w:sz w:val="18"/>
                <w:szCs w:val="18"/>
                <w:lang w:val="fr-FR" w:eastAsia="zh-CN"/>
              </w:rPr>
            </w:pPr>
            <w:r w:rsidRPr="00477B36">
              <w:rPr>
                <w:sz w:val="18"/>
                <w:szCs w:val="18"/>
                <w:lang w:val="fr-FR"/>
              </w:rPr>
              <w:t>500 g</w:t>
            </w:r>
          </w:p>
        </w:tc>
        <w:tc>
          <w:tcPr>
            <w:tcW w:w="0" w:type="auto"/>
            <w:tcBorders>
              <w:top w:val="single" w:sz="4" w:space="0" w:color="auto"/>
              <w:left w:val="single" w:sz="4" w:space="0" w:color="auto"/>
              <w:bottom w:val="single" w:sz="4" w:space="0" w:color="auto"/>
              <w:right w:val="single" w:sz="4" w:space="0" w:color="auto"/>
            </w:tcBorders>
          </w:tcPr>
          <w:p w14:paraId="5EDE6FF7" w14:textId="2627EC92" w:rsidR="006A6437" w:rsidRPr="00477B36" w:rsidRDefault="006A6437" w:rsidP="006A6437">
            <w:pPr>
              <w:spacing w:line="240" w:lineRule="auto"/>
              <w:jc w:val="center"/>
              <w:rPr>
                <w:sz w:val="18"/>
                <w:szCs w:val="18"/>
                <w:lang w:val="fr-FR" w:eastAsia="zh-CN"/>
              </w:rPr>
            </w:pPr>
            <w:r w:rsidRPr="00477B36">
              <w:rPr>
                <w:sz w:val="18"/>
                <w:szCs w:val="18"/>
                <w:lang w:val="fr-FR"/>
              </w:rPr>
              <w:t>E4</w:t>
            </w:r>
          </w:p>
        </w:tc>
        <w:tc>
          <w:tcPr>
            <w:tcW w:w="0" w:type="auto"/>
            <w:tcBorders>
              <w:top w:val="single" w:sz="4" w:space="0" w:color="auto"/>
              <w:left w:val="single" w:sz="4" w:space="0" w:color="auto"/>
              <w:bottom w:val="single" w:sz="4" w:space="0" w:color="auto"/>
              <w:right w:val="single" w:sz="4" w:space="0" w:color="auto"/>
            </w:tcBorders>
          </w:tcPr>
          <w:p w14:paraId="167A349E" w14:textId="64AB59BB" w:rsidR="006A6437" w:rsidRPr="00477B36" w:rsidRDefault="006A6437" w:rsidP="006A6437">
            <w:pPr>
              <w:spacing w:line="240" w:lineRule="auto"/>
              <w:jc w:val="center"/>
              <w:rPr>
                <w:sz w:val="18"/>
                <w:szCs w:val="18"/>
                <w:lang w:val="fr-FR" w:eastAsia="zh-CN"/>
              </w:rPr>
            </w:pPr>
            <w:r w:rsidRPr="00477B36">
              <w:rPr>
                <w:sz w:val="18"/>
                <w:szCs w:val="18"/>
                <w:lang w:val="fr-FR"/>
              </w:rPr>
              <w:t>P002</w:t>
            </w:r>
            <w:r w:rsidRPr="00477B36">
              <w:rPr>
                <w:sz w:val="18"/>
                <w:szCs w:val="18"/>
                <w:lang w:val="fr-FR"/>
              </w:rPr>
              <w:br/>
              <w:t>IBC08</w:t>
            </w:r>
          </w:p>
        </w:tc>
        <w:tc>
          <w:tcPr>
            <w:tcW w:w="0" w:type="auto"/>
            <w:tcBorders>
              <w:top w:val="single" w:sz="4" w:space="0" w:color="auto"/>
              <w:left w:val="single" w:sz="4" w:space="0" w:color="auto"/>
              <w:bottom w:val="single" w:sz="4" w:space="0" w:color="auto"/>
              <w:right w:val="single" w:sz="4" w:space="0" w:color="auto"/>
            </w:tcBorders>
          </w:tcPr>
          <w:p w14:paraId="69415BBA" w14:textId="1C9E39B8" w:rsidR="006A6437" w:rsidRPr="00477B36" w:rsidRDefault="006A6437" w:rsidP="006A6437">
            <w:pPr>
              <w:spacing w:line="240" w:lineRule="auto"/>
              <w:jc w:val="center"/>
              <w:rPr>
                <w:sz w:val="18"/>
                <w:szCs w:val="18"/>
                <w:lang w:val="fr-FR" w:eastAsia="zh-CN"/>
              </w:rPr>
            </w:pPr>
            <w:r w:rsidRPr="00477B36">
              <w:rPr>
                <w:sz w:val="18"/>
                <w:szCs w:val="18"/>
                <w:lang w:val="fr-FR"/>
              </w:rPr>
              <w:br/>
              <w:t>B4</w:t>
            </w:r>
          </w:p>
        </w:tc>
        <w:tc>
          <w:tcPr>
            <w:tcW w:w="0" w:type="auto"/>
            <w:tcBorders>
              <w:top w:val="single" w:sz="4" w:space="0" w:color="auto"/>
              <w:left w:val="single" w:sz="4" w:space="0" w:color="auto"/>
              <w:bottom w:val="single" w:sz="4" w:space="0" w:color="auto"/>
              <w:right w:val="single" w:sz="4" w:space="0" w:color="auto"/>
            </w:tcBorders>
          </w:tcPr>
          <w:p w14:paraId="0B68CF9B" w14:textId="7D191910" w:rsidR="006A6437" w:rsidRPr="00477B36" w:rsidRDefault="006A6437" w:rsidP="006A6437">
            <w:pPr>
              <w:spacing w:line="240" w:lineRule="auto"/>
              <w:jc w:val="center"/>
              <w:rPr>
                <w:sz w:val="18"/>
                <w:szCs w:val="18"/>
                <w:lang w:val="fr-FR" w:eastAsia="zh-CN"/>
              </w:rPr>
            </w:pPr>
            <w:r w:rsidRPr="00477B36">
              <w:rPr>
                <w:sz w:val="18"/>
                <w:szCs w:val="18"/>
                <w:lang w:val="fr-FR" w:eastAsia="nb-NO"/>
              </w:rPr>
              <w:t>MP10</w:t>
            </w:r>
          </w:p>
        </w:tc>
        <w:tc>
          <w:tcPr>
            <w:tcW w:w="0" w:type="auto"/>
            <w:tcBorders>
              <w:top w:val="single" w:sz="4" w:space="0" w:color="auto"/>
              <w:left w:val="single" w:sz="4" w:space="0" w:color="auto"/>
              <w:bottom w:val="single" w:sz="4" w:space="0" w:color="auto"/>
              <w:right w:val="single" w:sz="4" w:space="0" w:color="auto"/>
            </w:tcBorders>
          </w:tcPr>
          <w:p w14:paraId="4EF12967" w14:textId="46E3771E" w:rsidR="006A6437" w:rsidRPr="00477B36" w:rsidRDefault="006A6437" w:rsidP="006A6437">
            <w:pPr>
              <w:spacing w:line="240" w:lineRule="auto"/>
              <w:jc w:val="center"/>
              <w:rPr>
                <w:sz w:val="18"/>
                <w:szCs w:val="18"/>
                <w:lang w:val="fr-FR" w:eastAsia="zh-CN"/>
              </w:rPr>
            </w:pPr>
            <w:r w:rsidRPr="00477B36">
              <w:rPr>
                <w:sz w:val="18"/>
                <w:szCs w:val="18"/>
                <w:lang w:val="fr-FR" w:eastAsia="nb-NO"/>
              </w:rPr>
              <w:t>T3</w:t>
            </w:r>
          </w:p>
        </w:tc>
        <w:tc>
          <w:tcPr>
            <w:tcW w:w="0" w:type="auto"/>
            <w:tcBorders>
              <w:top w:val="single" w:sz="4" w:space="0" w:color="auto"/>
              <w:left w:val="single" w:sz="4" w:space="0" w:color="auto"/>
              <w:bottom w:val="single" w:sz="4" w:space="0" w:color="auto"/>
              <w:right w:val="single" w:sz="4" w:space="0" w:color="auto"/>
            </w:tcBorders>
          </w:tcPr>
          <w:p w14:paraId="14CE21D2" w14:textId="1F5DA0ED" w:rsidR="006A6437" w:rsidRPr="00477B36" w:rsidRDefault="006A6437" w:rsidP="006A6437">
            <w:pPr>
              <w:spacing w:line="240" w:lineRule="auto"/>
              <w:jc w:val="center"/>
              <w:rPr>
                <w:sz w:val="18"/>
                <w:szCs w:val="18"/>
                <w:lang w:val="fr-FR" w:eastAsia="zh-CN"/>
              </w:rPr>
            </w:pPr>
            <w:r w:rsidRPr="00477B36">
              <w:rPr>
                <w:sz w:val="18"/>
                <w:szCs w:val="18"/>
                <w:lang w:val="fr-FR" w:eastAsia="nb-NO"/>
              </w:rPr>
              <w:t>TP33</w:t>
            </w:r>
          </w:p>
        </w:tc>
        <w:tc>
          <w:tcPr>
            <w:tcW w:w="0" w:type="auto"/>
            <w:tcBorders>
              <w:top w:val="single" w:sz="4" w:space="0" w:color="auto"/>
              <w:left w:val="single" w:sz="4" w:space="0" w:color="auto"/>
              <w:bottom w:val="single" w:sz="4" w:space="0" w:color="auto"/>
              <w:right w:val="single" w:sz="4" w:space="0" w:color="auto"/>
            </w:tcBorders>
          </w:tcPr>
          <w:p w14:paraId="42F4411E" w14:textId="65F37492" w:rsidR="006A6437" w:rsidRPr="00477B36" w:rsidRDefault="006A6437" w:rsidP="006A6437">
            <w:pPr>
              <w:spacing w:line="240" w:lineRule="auto"/>
              <w:jc w:val="center"/>
              <w:rPr>
                <w:sz w:val="18"/>
                <w:szCs w:val="18"/>
                <w:lang w:val="fr-FR" w:eastAsia="zh-CN"/>
              </w:rPr>
            </w:pPr>
            <w:r w:rsidRPr="00477B36">
              <w:rPr>
                <w:sz w:val="18"/>
                <w:szCs w:val="18"/>
                <w:lang w:val="fr-FR"/>
              </w:rPr>
              <w:t>SGAH</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2F72EED8" w14:textId="0F811EF4" w:rsidR="006A6437" w:rsidRPr="00477B36" w:rsidRDefault="006A6437" w:rsidP="006217AF">
            <w:pPr>
              <w:spacing w:line="240" w:lineRule="auto"/>
              <w:jc w:val="center"/>
              <w:rPr>
                <w:sz w:val="18"/>
                <w:szCs w:val="18"/>
                <w:lang w:val="fr-FR" w:eastAsia="zh-CN"/>
              </w:rPr>
            </w:pPr>
            <w:r w:rsidRPr="00477B36">
              <w:rPr>
                <w:sz w:val="18"/>
                <w:szCs w:val="18"/>
                <w:lang w:val="fr-FR"/>
              </w:rPr>
              <w:t>TU15 TE19</w:t>
            </w:r>
          </w:p>
        </w:tc>
        <w:tc>
          <w:tcPr>
            <w:tcW w:w="0" w:type="auto"/>
            <w:tcBorders>
              <w:top w:val="single" w:sz="4" w:space="0" w:color="auto"/>
              <w:left w:val="single" w:sz="4" w:space="0" w:color="auto"/>
              <w:bottom w:val="single" w:sz="4" w:space="0" w:color="auto"/>
              <w:right w:val="single" w:sz="4" w:space="0" w:color="auto"/>
            </w:tcBorders>
          </w:tcPr>
          <w:p w14:paraId="6741B13A" w14:textId="73AAE9FA" w:rsidR="006A6437" w:rsidRPr="00477B36" w:rsidRDefault="006A6437" w:rsidP="006A6437">
            <w:pPr>
              <w:spacing w:line="240" w:lineRule="auto"/>
              <w:jc w:val="center"/>
              <w:rPr>
                <w:sz w:val="18"/>
                <w:szCs w:val="18"/>
                <w:lang w:val="fr-FR" w:eastAsia="zh-CN"/>
              </w:rPr>
            </w:pPr>
            <w:r w:rsidRPr="00477B36">
              <w:rPr>
                <w:sz w:val="18"/>
                <w:szCs w:val="18"/>
                <w:lang w:val="fr-FR" w:eastAsia="nb-NO"/>
              </w:rPr>
              <w:t>AT</w:t>
            </w:r>
          </w:p>
        </w:tc>
        <w:tc>
          <w:tcPr>
            <w:tcW w:w="0" w:type="auto"/>
            <w:tcBorders>
              <w:top w:val="single" w:sz="4" w:space="0" w:color="auto"/>
              <w:left w:val="single" w:sz="4" w:space="0" w:color="auto"/>
              <w:bottom w:val="single" w:sz="4" w:space="0" w:color="auto"/>
              <w:right w:val="single" w:sz="4" w:space="0" w:color="auto"/>
            </w:tcBorders>
          </w:tcPr>
          <w:p w14:paraId="5E38F953" w14:textId="678D2CD0" w:rsidR="006A6437" w:rsidRPr="00477B36" w:rsidRDefault="006A6437" w:rsidP="006217AF">
            <w:pPr>
              <w:spacing w:line="240" w:lineRule="auto"/>
              <w:jc w:val="center"/>
              <w:rPr>
                <w:sz w:val="18"/>
                <w:szCs w:val="18"/>
                <w:lang w:val="fr-FR" w:eastAsia="zh-CN"/>
              </w:rPr>
            </w:pPr>
            <w:r w:rsidRPr="00477B36">
              <w:rPr>
                <w:sz w:val="18"/>
                <w:szCs w:val="18"/>
                <w:lang w:val="fr-FR"/>
              </w:rPr>
              <w:t>2</w:t>
            </w:r>
            <w:r w:rsidRPr="00477B36">
              <w:rPr>
                <w:sz w:val="18"/>
                <w:szCs w:val="18"/>
                <w:lang w:val="fr-FR"/>
              </w:rPr>
              <w:br/>
              <w:t>(D/E)</w:t>
            </w:r>
          </w:p>
        </w:tc>
        <w:tc>
          <w:tcPr>
            <w:tcW w:w="0" w:type="auto"/>
            <w:tcBorders>
              <w:top w:val="single" w:sz="4" w:space="0" w:color="auto"/>
              <w:left w:val="single" w:sz="4" w:space="0" w:color="auto"/>
              <w:bottom w:val="single" w:sz="4" w:space="0" w:color="auto"/>
              <w:right w:val="single" w:sz="4" w:space="0" w:color="auto"/>
            </w:tcBorders>
          </w:tcPr>
          <w:p w14:paraId="4AC1DDA3" w14:textId="3F7800D5" w:rsidR="006A6437" w:rsidRPr="00477B36" w:rsidRDefault="006A6437" w:rsidP="006A6437">
            <w:pPr>
              <w:spacing w:line="240" w:lineRule="auto"/>
              <w:jc w:val="center"/>
              <w:rPr>
                <w:sz w:val="18"/>
                <w:szCs w:val="18"/>
                <w:lang w:val="fr-FR" w:eastAsia="zh-CN"/>
              </w:rPr>
            </w:pPr>
            <w:r w:rsidRPr="00477B36">
              <w:rPr>
                <w:sz w:val="18"/>
                <w:szCs w:val="18"/>
                <w:lang w:val="fr-FR"/>
              </w:rPr>
              <w:t>V11</w:t>
            </w:r>
          </w:p>
        </w:tc>
        <w:tc>
          <w:tcPr>
            <w:tcW w:w="0" w:type="auto"/>
            <w:tcBorders>
              <w:top w:val="single" w:sz="4" w:space="0" w:color="auto"/>
              <w:left w:val="single" w:sz="4" w:space="0" w:color="auto"/>
              <w:bottom w:val="single" w:sz="4" w:space="0" w:color="auto"/>
              <w:right w:val="single" w:sz="4" w:space="0" w:color="auto"/>
            </w:tcBorders>
          </w:tcPr>
          <w:p w14:paraId="0A60930E"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5F63596" w14:textId="2DFD0DEA"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rPr>
              <w:t>CV13</w:t>
            </w:r>
            <w:r w:rsidRPr="00477B36">
              <w:rPr>
                <w:sz w:val="18"/>
                <w:szCs w:val="18"/>
                <w:lang w:val="fr-FR"/>
              </w:rPr>
              <w:br/>
              <w:t>CV28</w:t>
            </w:r>
          </w:p>
        </w:tc>
        <w:tc>
          <w:tcPr>
            <w:tcW w:w="0" w:type="auto"/>
            <w:tcBorders>
              <w:top w:val="single" w:sz="4" w:space="0" w:color="auto"/>
              <w:left w:val="single" w:sz="4" w:space="0" w:color="auto"/>
              <w:bottom w:val="single" w:sz="4" w:space="0" w:color="auto"/>
              <w:right w:val="single" w:sz="4" w:space="0" w:color="auto"/>
            </w:tcBorders>
          </w:tcPr>
          <w:p w14:paraId="4172897E" w14:textId="22D07596" w:rsidR="006A6437" w:rsidRPr="00477B36" w:rsidRDefault="006A6437" w:rsidP="006A6437">
            <w:pPr>
              <w:spacing w:line="240" w:lineRule="auto"/>
              <w:jc w:val="center"/>
              <w:rPr>
                <w:sz w:val="18"/>
                <w:szCs w:val="18"/>
                <w:lang w:val="fr-FR" w:eastAsia="zh-CN"/>
              </w:rPr>
            </w:pPr>
            <w:r w:rsidRPr="00477B36">
              <w:rPr>
                <w:sz w:val="18"/>
                <w:szCs w:val="18"/>
                <w:lang w:val="fr-FR"/>
              </w:rPr>
              <w:t>S9 S19</w:t>
            </w:r>
          </w:p>
        </w:tc>
        <w:tc>
          <w:tcPr>
            <w:tcW w:w="0" w:type="auto"/>
            <w:tcBorders>
              <w:top w:val="single" w:sz="4" w:space="0" w:color="auto"/>
              <w:left w:val="single" w:sz="4" w:space="0" w:color="auto"/>
              <w:bottom w:val="single" w:sz="4" w:space="0" w:color="auto"/>
              <w:right w:val="single" w:sz="4" w:space="0" w:color="auto"/>
            </w:tcBorders>
          </w:tcPr>
          <w:p w14:paraId="621183FC" w14:textId="323BB976" w:rsidR="006A6437" w:rsidRPr="00477B36" w:rsidRDefault="006A6437" w:rsidP="006A6437">
            <w:pPr>
              <w:spacing w:line="240" w:lineRule="auto"/>
              <w:jc w:val="center"/>
              <w:rPr>
                <w:sz w:val="18"/>
                <w:szCs w:val="18"/>
                <w:lang w:val="fr-FR" w:eastAsia="zh-CN"/>
              </w:rPr>
            </w:pPr>
            <w:r w:rsidRPr="00477B36">
              <w:rPr>
                <w:sz w:val="18"/>
                <w:szCs w:val="18"/>
                <w:lang w:val="fr-FR" w:eastAsia="nb-NO"/>
              </w:rPr>
              <w:t>64</w:t>
            </w:r>
          </w:p>
        </w:tc>
      </w:tr>
      <w:tr w:rsidR="001E52BC" w:rsidRPr="00477B36" w14:paraId="6F049EB9" w14:textId="7A3A8373"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37D5B6"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E8F1F" w14:textId="77777777" w:rsidR="006A6437" w:rsidRPr="00477B36" w:rsidRDefault="006A6437" w:rsidP="006A6437">
            <w:pPr>
              <w:spacing w:line="240" w:lineRule="auto"/>
              <w:rPr>
                <w:sz w:val="18"/>
                <w:szCs w:val="18"/>
                <w:lang w:val="fr-FR" w:eastAsia="zh-CN"/>
              </w:rPr>
            </w:pPr>
            <w:r w:rsidRPr="00477B36">
              <w:rPr>
                <w:sz w:val="18"/>
                <w:szCs w:val="18"/>
                <w:lang w:val="fr-FR"/>
              </w:rPr>
              <w:t>BATTERIES AU LITHIUM INSTALLÉES DANS DES ENGINS DE TRANSPORT batteries au lithium ionique ou batteries au lithium métal</w:t>
            </w:r>
          </w:p>
        </w:tc>
        <w:tc>
          <w:tcPr>
            <w:tcW w:w="0" w:type="auto"/>
            <w:tcBorders>
              <w:top w:val="single" w:sz="4" w:space="0" w:color="auto"/>
              <w:left w:val="single" w:sz="4" w:space="0" w:color="auto"/>
              <w:bottom w:val="single" w:sz="4" w:space="0" w:color="auto"/>
              <w:right w:val="single" w:sz="4" w:space="0" w:color="auto"/>
            </w:tcBorders>
          </w:tcPr>
          <w:p w14:paraId="2A0A0E3A" w14:textId="38469FA9" w:rsidR="006A6437" w:rsidRPr="00477B36" w:rsidRDefault="006A6437" w:rsidP="006A6437">
            <w:pPr>
              <w:spacing w:line="240" w:lineRule="auto"/>
              <w:jc w:val="center"/>
              <w:rPr>
                <w:sz w:val="18"/>
                <w:szCs w:val="18"/>
                <w:lang w:val="fr-FR"/>
              </w:rPr>
            </w:pPr>
            <w:r w:rsidRPr="00477B36">
              <w:rPr>
                <w:sz w:val="18"/>
                <w:szCs w:val="18"/>
                <w:lang w:val="fr-FR"/>
              </w:rPr>
              <w:t>9</w:t>
            </w:r>
          </w:p>
        </w:tc>
        <w:tc>
          <w:tcPr>
            <w:tcW w:w="0" w:type="auto"/>
            <w:tcBorders>
              <w:top w:val="single" w:sz="4" w:space="0" w:color="auto"/>
              <w:left w:val="single" w:sz="4" w:space="0" w:color="auto"/>
              <w:bottom w:val="single" w:sz="4" w:space="0" w:color="auto"/>
              <w:right w:val="single" w:sz="4" w:space="0" w:color="auto"/>
            </w:tcBorders>
          </w:tcPr>
          <w:p w14:paraId="5ED07FCA" w14:textId="0867EE4A" w:rsidR="006A6437" w:rsidRPr="00477B36" w:rsidRDefault="006A6437" w:rsidP="006A6437">
            <w:pPr>
              <w:spacing w:line="240" w:lineRule="auto"/>
              <w:jc w:val="center"/>
              <w:rPr>
                <w:sz w:val="18"/>
                <w:szCs w:val="18"/>
                <w:lang w:val="fr-FR"/>
              </w:rPr>
            </w:pPr>
            <w:r w:rsidRPr="00477B36">
              <w:rPr>
                <w:sz w:val="18"/>
                <w:szCs w:val="18"/>
                <w:lang w:val="fr-FR"/>
              </w:rPr>
              <w:t>M4</w:t>
            </w:r>
          </w:p>
        </w:tc>
        <w:tc>
          <w:tcPr>
            <w:tcW w:w="0" w:type="auto"/>
            <w:tcBorders>
              <w:top w:val="single" w:sz="4" w:space="0" w:color="auto"/>
              <w:left w:val="single" w:sz="4" w:space="0" w:color="auto"/>
              <w:bottom w:val="single" w:sz="4" w:space="0" w:color="auto"/>
              <w:right w:val="single" w:sz="4" w:space="0" w:color="auto"/>
            </w:tcBorders>
          </w:tcPr>
          <w:p w14:paraId="7FC3557A"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03B31525" w14:textId="13FB62D2" w:rsidR="006A6437" w:rsidRPr="00477B36" w:rsidRDefault="006A6437" w:rsidP="006A6437">
            <w:pPr>
              <w:spacing w:line="240" w:lineRule="auto"/>
              <w:jc w:val="center"/>
              <w:rPr>
                <w:sz w:val="18"/>
                <w:szCs w:val="18"/>
                <w:lang w:val="fr-FR"/>
              </w:rPr>
            </w:pPr>
            <w:r w:rsidRPr="00477B36">
              <w:rPr>
                <w:sz w:val="18"/>
                <w:szCs w:val="18"/>
                <w:lang w:val="fr-FR" w:eastAsia="nb-NO"/>
              </w:rPr>
              <w:t>9</w:t>
            </w:r>
          </w:p>
        </w:tc>
        <w:tc>
          <w:tcPr>
            <w:tcW w:w="0" w:type="auto"/>
            <w:tcBorders>
              <w:top w:val="single" w:sz="4" w:space="0" w:color="auto"/>
              <w:left w:val="single" w:sz="4" w:space="0" w:color="auto"/>
              <w:bottom w:val="single" w:sz="4" w:space="0" w:color="auto"/>
              <w:right w:val="single" w:sz="4" w:space="0" w:color="auto"/>
            </w:tcBorders>
          </w:tcPr>
          <w:p w14:paraId="083EEE9B" w14:textId="6169B6D3" w:rsidR="006A6437" w:rsidRPr="00477B36" w:rsidRDefault="006A6437" w:rsidP="006A6437">
            <w:pPr>
              <w:spacing w:line="240" w:lineRule="auto"/>
              <w:jc w:val="center"/>
              <w:rPr>
                <w:sz w:val="18"/>
                <w:szCs w:val="18"/>
                <w:lang w:val="fr-FR"/>
              </w:rPr>
            </w:pPr>
            <w:r w:rsidRPr="00477B36">
              <w:rPr>
                <w:sz w:val="18"/>
                <w:szCs w:val="18"/>
                <w:lang w:val="fr-FR" w:eastAsia="nb-NO"/>
              </w:rPr>
              <w:t>389</w:t>
            </w:r>
          </w:p>
        </w:tc>
        <w:tc>
          <w:tcPr>
            <w:tcW w:w="0" w:type="auto"/>
            <w:tcBorders>
              <w:top w:val="single" w:sz="4" w:space="0" w:color="auto"/>
              <w:left w:val="single" w:sz="4" w:space="0" w:color="auto"/>
              <w:bottom w:val="single" w:sz="4" w:space="0" w:color="auto"/>
              <w:right w:val="single" w:sz="4" w:space="0" w:color="auto"/>
            </w:tcBorders>
          </w:tcPr>
          <w:p w14:paraId="715472B1" w14:textId="2F97A780" w:rsidR="006A6437" w:rsidRPr="00477B36" w:rsidRDefault="006A6437" w:rsidP="006A6437">
            <w:pPr>
              <w:spacing w:line="240" w:lineRule="auto"/>
              <w:jc w:val="center"/>
              <w:rPr>
                <w:sz w:val="18"/>
                <w:szCs w:val="18"/>
                <w:lang w:val="fr-FR"/>
              </w:rPr>
            </w:pPr>
            <w:r w:rsidRPr="00477B36">
              <w:rPr>
                <w:sz w:val="18"/>
                <w:szCs w:val="18"/>
                <w:lang w:val="fr-FR" w:eastAsia="nb-NO"/>
              </w:rPr>
              <w:t>0</w:t>
            </w:r>
          </w:p>
        </w:tc>
        <w:tc>
          <w:tcPr>
            <w:tcW w:w="0" w:type="auto"/>
            <w:tcBorders>
              <w:top w:val="single" w:sz="4" w:space="0" w:color="auto"/>
              <w:left w:val="single" w:sz="4" w:space="0" w:color="auto"/>
              <w:bottom w:val="single" w:sz="4" w:space="0" w:color="auto"/>
              <w:right w:val="single" w:sz="4" w:space="0" w:color="auto"/>
            </w:tcBorders>
          </w:tcPr>
          <w:p w14:paraId="4FC0EDF4" w14:textId="6801B416" w:rsidR="006A6437" w:rsidRPr="00477B36" w:rsidRDefault="006A6437" w:rsidP="006A6437">
            <w:pPr>
              <w:spacing w:line="240" w:lineRule="auto"/>
              <w:jc w:val="center"/>
              <w:rPr>
                <w:sz w:val="18"/>
                <w:szCs w:val="18"/>
                <w:lang w:val="fr-FR"/>
              </w:rPr>
            </w:pPr>
            <w:r w:rsidRPr="00477B36">
              <w:rPr>
                <w:sz w:val="18"/>
                <w:szCs w:val="18"/>
                <w:lang w:val="fr-FR" w:eastAsia="nb-NO"/>
              </w:rPr>
              <w:t>E0</w:t>
            </w:r>
          </w:p>
        </w:tc>
        <w:tc>
          <w:tcPr>
            <w:tcW w:w="0" w:type="auto"/>
            <w:tcBorders>
              <w:top w:val="single" w:sz="4" w:space="0" w:color="auto"/>
              <w:left w:val="single" w:sz="4" w:space="0" w:color="auto"/>
              <w:bottom w:val="single" w:sz="4" w:space="0" w:color="auto"/>
              <w:right w:val="single" w:sz="4" w:space="0" w:color="auto"/>
            </w:tcBorders>
          </w:tcPr>
          <w:p w14:paraId="37759B02"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35C86EC0"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54D791D"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82C44AB"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05534CFC"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7BD127F"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5B7B7FC1"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BE1055A"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466A0FC" w14:textId="600BA87E" w:rsidR="006A6437" w:rsidRPr="00477B36" w:rsidRDefault="006A6437" w:rsidP="006A6437">
            <w:pPr>
              <w:suppressAutoHyphens w:val="0"/>
              <w:spacing w:line="240" w:lineRule="auto"/>
              <w:jc w:val="center"/>
              <w:rPr>
                <w:sz w:val="18"/>
                <w:szCs w:val="18"/>
                <w:lang w:val="fr-FR" w:eastAsia="en-GB"/>
              </w:rPr>
            </w:pPr>
            <w:r w:rsidRPr="00477B36">
              <w:rPr>
                <w:sz w:val="18"/>
                <w:szCs w:val="18"/>
                <w:lang w:val="fr-FR"/>
              </w:rPr>
              <w:t>-</w:t>
            </w:r>
            <w:r w:rsidRPr="00477B36">
              <w:rPr>
                <w:sz w:val="18"/>
                <w:szCs w:val="18"/>
                <w:lang w:val="fr-FR"/>
              </w:rPr>
              <w:br/>
              <w:t>(E)</w:t>
            </w:r>
          </w:p>
          <w:p w14:paraId="7297194C"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9B25D04"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3AA72537"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394B82C0"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20E3DC70" w14:textId="77777777" w:rsidR="006A6437" w:rsidRPr="00477B36" w:rsidRDefault="006A6437"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14:paraId="608C829C" w14:textId="3A4BC57D" w:rsidR="006A6437" w:rsidRPr="00477B36" w:rsidRDefault="006A6437" w:rsidP="007D7488">
            <w:pPr>
              <w:spacing w:line="240" w:lineRule="auto"/>
              <w:jc w:val="center"/>
              <w:rPr>
                <w:sz w:val="18"/>
                <w:szCs w:val="18"/>
                <w:lang w:val="fr-FR"/>
              </w:rPr>
            </w:pPr>
            <w:r w:rsidRPr="00477B36">
              <w:rPr>
                <w:sz w:val="18"/>
                <w:szCs w:val="18"/>
                <w:lang w:val="fr-FR" w:eastAsia="nb-NO"/>
              </w:rPr>
              <w:t>90</w:t>
            </w:r>
          </w:p>
        </w:tc>
      </w:tr>
      <w:tr w:rsidR="001E52BC" w:rsidRPr="00477B36" w14:paraId="14050A5F" w14:textId="3E374C8E"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A0BB5"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FD2D3" w14:textId="2C23ED9F" w:rsidR="006A6437" w:rsidRPr="00477B36" w:rsidRDefault="006A6437" w:rsidP="006A6437">
            <w:pPr>
              <w:spacing w:line="240" w:lineRule="auto"/>
              <w:rPr>
                <w:sz w:val="18"/>
                <w:szCs w:val="18"/>
                <w:lang w:val="fr-FR" w:eastAsia="zh-CN"/>
              </w:rPr>
            </w:pPr>
            <w:r w:rsidRPr="00477B36">
              <w:rPr>
                <w:sz w:val="18"/>
                <w:szCs w:val="18"/>
                <w:lang w:val="fr-FR" w:eastAsia="zh-CN"/>
              </w:rPr>
              <w:t>OBJETS CONTENANT DU GAZ INFLAMMABLE, N.S.A.</w:t>
            </w:r>
          </w:p>
        </w:tc>
        <w:tc>
          <w:tcPr>
            <w:tcW w:w="0" w:type="auto"/>
            <w:tcBorders>
              <w:top w:val="single" w:sz="4" w:space="0" w:color="auto"/>
              <w:left w:val="single" w:sz="4" w:space="0" w:color="auto"/>
              <w:bottom w:val="single" w:sz="4" w:space="0" w:color="auto"/>
              <w:right w:val="single" w:sz="4" w:space="0" w:color="auto"/>
            </w:tcBorders>
          </w:tcPr>
          <w:p w14:paraId="65675B41" w14:textId="3801D654" w:rsidR="006A6437" w:rsidRPr="00477B36" w:rsidRDefault="006A6437" w:rsidP="006A6437">
            <w:pPr>
              <w:spacing w:line="240" w:lineRule="auto"/>
              <w:jc w:val="center"/>
              <w:rPr>
                <w:sz w:val="18"/>
                <w:szCs w:val="18"/>
                <w:lang w:val="fr-FR" w:eastAsia="zh-CN"/>
              </w:rPr>
            </w:pPr>
            <w:r w:rsidRPr="00477B36">
              <w:rPr>
                <w:sz w:val="18"/>
                <w:szCs w:val="18"/>
                <w:lang w:val="fr-FR"/>
              </w:rPr>
              <w:t>2</w:t>
            </w:r>
          </w:p>
        </w:tc>
        <w:tc>
          <w:tcPr>
            <w:tcW w:w="0" w:type="auto"/>
            <w:tcBorders>
              <w:top w:val="single" w:sz="4" w:space="0" w:color="auto"/>
              <w:left w:val="single" w:sz="4" w:space="0" w:color="auto"/>
              <w:bottom w:val="single" w:sz="4" w:space="0" w:color="auto"/>
              <w:right w:val="single" w:sz="4" w:space="0" w:color="auto"/>
            </w:tcBorders>
          </w:tcPr>
          <w:p w14:paraId="4924ABFF" w14:textId="3988236A" w:rsidR="006A6437" w:rsidRPr="00477B36" w:rsidRDefault="006A6437" w:rsidP="006A6437">
            <w:pPr>
              <w:spacing w:line="240" w:lineRule="auto"/>
              <w:jc w:val="center"/>
              <w:rPr>
                <w:sz w:val="18"/>
                <w:szCs w:val="18"/>
                <w:lang w:val="fr-FR" w:eastAsia="zh-CN"/>
              </w:rPr>
            </w:pPr>
            <w:r w:rsidRPr="00477B36">
              <w:rPr>
                <w:bCs/>
                <w:sz w:val="18"/>
                <w:szCs w:val="18"/>
                <w:lang w:val="fr-FR"/>
              </w:rPr>
              <w:t>6F</w:t>
            </w:r>
          </w:p>
        </w:tc>
        <w:tc>
          <w:tcPr>
            <w:tcW w:w="0" w:type="auto"/>
            <w:tcBorders>
              <w:top w:val="single" w:sz="4" w:space="0" w:color="auto"/>
              <w:left w:val="single" w:sz="4" w:space="0" w:color="auto"/>
              <w:bottom w:val="single" w:sz="4" w:space="0" w:color="auto"/>
              <w:right w:val="single" w:sz="4" w:space="0" w:color="auto"/>
            </w:tcBorders>
          </w:tcPr>
          <w:p w14:paraId="1EE7383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6C37D9D" w14:textId="3EF0B217" w:rsidR="006A6437" w:rsidRPr="00477B36" w:rsidRDefault="007D7488" w:rsidP="006A6437">
            <w:pPr>
              <w:suppressAutoHyphens w:val="0"/>
              <w:spacing w:line="220" w:lineRule="exact"/>
              <w:jc w:val="center"/>
              <w:rPr>
                <w:sz w:val="18"/>
                <w:szCs w:val="18"/>
                <w:lang w:val="fr-FR"/>
              </w:rPr>
            </w:pPr>
            <w:r w:rsidRPr="00477B36">
              <w:rPr>
                <w:bCs/>
                <w:sz w:val="18"/>
                <w:szCs w:val="18"/>
                <w:lang w:val="fr-FR"/>
              </w:rPr>
              <w:t>Voir</w:t>
            </w:r>
          </w:p>
          <w:p w14:paraId="27657DDD" w14:textId="04B6BD4A"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7B9A4ADE" w14:textId="52BF6369"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693720B4" w14:textId="75018AFB"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02EE958D" w14:textId="573DC873"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15EBF4E1" w14:textId="783FDAFC"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44C0F560" w14:textId="77777777" w:rsidR="006A6437" w:rsidRPr="00477B36" w:rsidRDefault="006A6437" w:rsidP="006A6437">
            <w:pPr>
              <w:suppressAutoHyphens w:val="0"/>
              <w:autoSpaceDE w:val="0"/>
              <w:autoSpaceDN w:val="0"/>
              <w:adjustRightInd w:val="0"/>
              <w:spacing w:line="220" w:lineRule="exact"/>
              <w:ind w:right="113"/>
              <w:jc w:val="center"/>
              <w:rPr>
                <w:sz w:val="18"/>
                <w:szCs w:val="18"/>
                <w:lang w:val="fr-FR"/>
              </w:rPr>
            </w:pPr>
          </w:p>
          <w:p w14:paraId="181E0720"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304279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170E629"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33AA636"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C072E00"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A7C7B4E"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4936037"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4DEE1A3" w14:textId="5CD9E203"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25832B3E"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41EBB45"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73F4B1E"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62319C02"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1A03266D" w14:textId="2DC07671"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5E5EDB5" w14:textId="4B8C8F5D"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0DCDE84" w14:textId="77777777" w:rsidR="006A6437" w:rsidRPr="00477B36" w:rsidRDefault="006A6437" w:rsidP="006A6437">
            <w:pPr>
              <w:spacing w:line="240" w:lineRule="auto"/>
              <w:jc w:val="center"/>
              <w:rPr>
                <w:sz w:val="18"/>
                <w:szCs w:val="18"/>
                <w:lang w:val="fr-FR" w:eastAsia="zh-CN"/>
              </w:rPr>
            </w:pPr>
          </w:p>
        </w:tc>
      </w:tr>
      <w:tr w:rsidR="001E52BC" w:rsidRPr="00477B36" w14:paraId="2F93251B" w14:textId="35258028"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6B900B"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1ABF1" w14:textId="2119B126" w:rsidR="006A6437" w:rsidRPr="00477B36" w:rsidRDefault="006A6437" w:rsidP="006A6437">
            <w:pPr>
              <w:spacing w:line="240" w:lineRule="auto"/>
              <w:rPr>
                <w:sz w:val="18"/>
                <w:szCs w:val="18"/>
                <w:lang w:val="fr-FR" w:eastAsia="zh-CN"/>
              </w:rPr>
            </w:pPr>
            <w:r w:rsidRPr="00477B36">
              <w:rPr>
                <w:sz w:val="18"/>
                <w:szCs w:val="18"/>
                <w:lang w:val="fr-FR" w:eastAsia="zh-CN"/>
              </w:rPr>
              <w:t>OBJETS CONTENANT DU GAZ ININFLAMMABLE, NON TOXIQUE, N.S.A.</w:t>
            </w:r>
          </w:p>
        </w:tc>
        <w:tc>
          <w:tcPr>
            <w:tcW w:w="0" w:type="auto"/>
            <w:tcBorders>
              <w:top w:val="single" w:sz="4" w:space="0" w:color="auto"/>
              <w:left w:val="single" w:sz="4" w:space="0" w:color="auto"/>
              <w:bottom w:val="single" w:sz="4" w:space="0" w:color="auto"/>
              <w:right w:val="single" w:sz="4" w:space="0" w:color="auto"/>
            </w:tcBorders>
          </w:tcPr>
          <w:p w14:paraId="1060E436" w14:textId="687D6EB1" w:rsidR="006A6437" w:rsidRPr="00477B36" w:rsidRDefault="006A6437" w:rsidP="006A6437">
            <w:pPr>
              <w:spacing w:line="240" w:lineRule="auto"/>
              <w:jc w:val="center"/>
              <w:rPr>
                <w:sz w:val="18"/>
                <w:szCs w:val="18"/>
                <w:lang w:val="fr-FR" w:eastAsia="zh-CN"/>
              </w:rPr>
            </w:pPr>
            <w:r w:rsidRPr="00477B36">
              <w:rPr>
                <w:sz w:val="18"/>
                <w:szCs w:val="18"/>
                <w:lang w:val="fr-FR"/>
              </w:rPr>
              <w:t>2</w:t>
            </w:r>
          </w:p>
        </w:tc>
        <w:tc>
          <w:tcPr>
            <w:tcW w:w="0" w:type="auto"/>
            <w:tcBorders>
              <w:top w:val="single" w:sz="4" w:space="0" w:color="auto"/>
              <w:left w:val="single" w:sz="4" w:space="0" w:color="auto"/>
              <w:bottom w:val="single" w:sz="4" w:space="0" w:color="auto"/>
              <w:right w:val="single" w:sz="4" w:space="0" w:color="auto"/>
            </w:tcBorders>
          </w:tcPr>
          <w:p w14:paraId="701F9BA5" w14:textId="2F0C61D4" w:rsidR="006A6437" w:rsidRPr="00477B36" w:rsidRDefault="006A6437" w:rsidP="006A6437">
            <w:pPr>
              <w:spacing w:line="240" w:lineRule="auto"/>
              <w:jc w:val="center"/>
              <w:rPr>
                <w:sz w:val="18"/>
                <w:szCs w:val="18"/>
                <w:lang w:val="fr-FR" w:eastAsia="zh-CN"/>
              </w:rPr>
            </w:pPr>
            <w:r w:rsidRPr="00477B36">
              <w:rPr>
                <w:bCs/>
                <w:sz w:val="18"/>
                <w:szCs w:val="18"/>
                <w:lang w:val="fr-FR"/>
              </w:rPr>
              <w:t>6A</w:t>
            </w:r>
          </w:p>
        </w:tc>
        <w:tc>
          <w:tcPr>
            <w:tcW w:w="0" w:type="auto"/>
            <w:tcBorders>
              <w:top w:val="single" w:sz="4" w:space="0" w:color="auto"/>
              <w:left w:val="single" w:sz="4" w:space="0" w:color="auto"/>
              <w:bottom w:val="single" w:sz="4" w:space="0" w:color="auto"/>
              <w:right w:val="single" w:sz="4" w:space="0" w:color="auto"/>
            </w:tcBorders>
          </w:tcPr>
          <w:p w14:paraId="07A2F358"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911E094" w14:textId="311BACA0" w:rsidR="006A6437" w:rsidRPr="00477B36" w:rsidRDefault="007D7488" w:rsidP="006A6437">
            <w:pPr>
              <w:suppressAutoHyphens w:val="0"/>
              <w:spacing w:line="220" w:lineRule="exact"/>
              <w:jc w:val="center"/>
              <w:rPr>
                <w:sz w:val="18"/>
                <w:szCs w:val="18"/>
                <w:lang w:val="fr-FR"/>
              </w:rPr>
            </w:pPr>
            <w:r w:rsidRPr="00477B36">
              <w:rPr>
                <w:bCs/>
                <w:sz w:val="18"/>
                <w:szCs w:val="18"/>
                <w:lang w:val="fr-FR"/>
              </w:rPr>
              <w:t>Voir</w:t>
            </w:r>
          </w:p>
          <w:p w14:paraId="115E27C0" w14:textId="0DE14A16"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6427ADBD" w14:textId="34380839"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61412651" w14:textId="49D2E9BD"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1B67D888" w14:textId="3B5DC9DB"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79EA8A7B" w14:textId="1815BA5E"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35CF8FE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6D0C7F7"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2944544"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D322954"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8685D60"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6D2E7E4"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41702A1"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1CC8413" w14:textId="1EABD576"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2DF39F7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639C53D"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3210890"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4552400C"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21509EA9" w14:textId="4128E403"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CE389A5" w14:textId="58C02041"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0244706" w14:textId="77777777" w:rsidR="006A6437" w:rsidRPr="00477B36" w:rsidRDefault="006A6437" w:rsidP="006A6437">
            <w:pPr>
              <w:spacing w:line="240" w:lineRule="auto"/>
              <w:jc w:val="center"/>
              <w:rPr>
                <w:sz w:val="18"/>
                <w:szCs w:val="18"/>
                <w:lang w:val="fr-FR" w:eastAsia="zh-CN"/>
              </w:rPr>
            </w:pPr>
          </w:p>
        </w:tc>
      </w:tr>
      <w:tr w:rsidR="001E52BC" w:rsidRPr="00477B36" w14:paraId="12B572CA" w14:textId="6FA84111"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035B12"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9885A" w14:textId="3C9AC794" w:rsidR="006A6437" w:rsidRPr="00477B36" w:rsidRDefault="006A6437" w:rsidP="006A6437">
            <w:pPr>
              <w:spacing w:line="240" w:lineRule="auto"/>
              <w:rPr>
                <w:sz w:val="18"/>
                <w:szCs w:val="18"/>
                <w:lang w:val="fr-FR" w:eastAsia="zh-CN"/>
              </w:rPr>
            </w:pPr>
            <w:r w:rsidRPr="00477B36">
              <w:rPr>
                <w:sz w:val="18"/>
                <w:szCs w:val="18"/>
                <w:lang w:val="fr-FR" w:eastAsia="zh-CN"/>
              </w:rPr>
              <w:t>OBJETS CONTENANT DU GAZ TOXIQUE, N.S.A.</w:t>
            </w:r>
          </w:p>
        </w:tc>
        <w:tc>
          <w:tcPr>
            <w:tcW w:w="0" w:type="auto"/>
            <w:tcBorders>
              <w:top w:val="single" w:sz="4" w:space="0" w:color="auto"/>
              <w:left w:val="single" w:sz="4" w:space="0" w:color="auto"/>
              <w:bottom w:val="single" w:sz="4" w:space="0" w:color="auto"/>
              <w:right w:val="single" w:sz="4" w:space="0" w:color="auto"/>
            </w:tcBorders>
          </w:tcPr>
          <w:p w14:paraId="05F1E1D2" w14:textId="5ECF54E5" w:rsidR="006A6437" w:rsidRPr="00477B36" w:rsidRDefault="006A6437" w:rsidP="006A6437">
            <w:pPr>
              <w:spacing w:line="240" w:lineRule="auto"/>
              <w:jc w:val="center"/>
              <w:rPr>
                <w:sz w:val="18"/>
                <w:szCs w:val="18"/>
                <w:lang w:val="fr-FR" w:eastAsia="zh-CN"/>
              </w:rPr>
            </w:pPr>
            <w:r w:rsidRPr="00477B36">
              <w:rPr>
                <w:sz w:val="18"/>
                <w:szCs w:val="18"/>
                <w:lang w:val="fr-FR"/>
              </w:rPr>
              <w:t>2</w:t>
            </w:r>
          </w:p>
        </w:tc>
        <w:tc>
          <w:tcPr>
            <w:tcW w:w="0" w:type="auto"/>
            <w:tcBorders>
              <w:top w:val="single" w:sz="4" w:space="0" w:color="auto"/>
              <w:left w:val="single" w:sz="4" w:space="0" w:color="auto"/>
              <w:bottom w:val="single" w:sz="4" w:space="0" w:color="auto"/>
              <w:right w:val="single" w:sz="4" w:space="0" w:color="auto"/>
            </w:tcBorders>
          </w:tcPr>
          <w:p w14:paraId="2B70F774" w14:textId="52F8B207" w:rsidR="006A6437" w:rsidRPr="00477B36" w:rsidRDefault="006A6437" w:rsidP="006A6437">
            <w:pPr>
              <w:spacing w:line="240" w:lineRule="auto"/>
              <w:jc w:val="center"/>
              <w:rPr>
                <w:sz w:val="18"/>
                <w:szCs w:val="18"/>
                <w:lang w:val="fr-FR" w:eastAsia="zh-CN"/>
              </w:rPr>
            </w:pPr>
            <w:r w:rsidRPr="00477B36">
              <w:rPr>
                <w:bCs/>
                <w:sz w:val="18"/>
                <w:szCs w:val="18"/>
                <w:lang w:val="fr-FR"/>
              </w:rPr>
              <w:t>6T</w:t>
            </w:r>
          </w:p>
        </w:tc>
        <w:tc>
          <w:tcPr>
            <w:tcW w:w="0" w:type="auto"/>
            <w:tcBorders>
              <w:top w:val="single" w:sz="4" w:space="0" w:color="auto"/>
              <w:left w:val="single" w:sz="4" w:space="0" w:color="auto"/>
              <w:bottom w:val="single" w:sz="4" w:space="0" w:color="auto"/>
              <w:right w:val="single" w:sz="4" w:space="0" w:color="auto"/>
            </w:tcBorders>
          </w:tcPr>
          <w:p w14:paraId="27D1DF87"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9D29268" w14:textId="630D5391" w:rsidR="006A6437" w:rsidRPr="00477B36" w:rsidRDefault="007D7488" w:rsidP="006A6437">
            <w:pPr>
              <w:suppressAutoHyphens w:val="0"/>
              <w:spacing w:line="220" w:lineRule="exact"/>
              <w:jc w:val="center"/>
              <w:rPr>
                <w:sz w:val="18"/>
                <w:szCs w:val="18"/>
                <w:lang w:val="fr-FR"/>
              </w:rPr>
            </w:pPr>
            <w:r w:rsidRPr="00477B36">
              <w:rPr>
                <w:bCs/>
                <w:sz w:val="18"/>
                <w:szCs w:val="18"/>
                <w:lang w:val="fr-FR"/>
              </w:rPr>
              <w:t>Voir</w:t>
            </w:r>
          </w:p>
          <w:p w14:paraId="39791556" w14:textId="0E476DC9"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75344F2B" w14:textId="341664BA"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72CE1709" w14:textId="1D8A53AC"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67569C31" w14:textId="5EB8A634"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00B3019C" w14:textId="6CCD05FC"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6E51702C"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5493229"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4161CB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F599AA8"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B8F25FB"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DB0C6E8"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1CB7903"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5EE53EA" w14:textId="6394DF2E"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4315FA2B"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D2B2C5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790753C"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3BEE5617"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3C520FCE" w14:textId="6142DE19"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3351CC4" w14:textId="5D4F3E9F"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79D5742" w14:textId="77777777" w:rsidR="006A6437" w:rsidRPr="00477B36" w:rsidRDefault="006A6437" w:rsidP="006A6437">
            <w:pPr>
              <w:spacing w:line="240" w:lineRule="auto"/>
              <w:jc w:val="center"/>
              <w:rPr>
                <w:sz w:val="18"/>
                <w:szCs w:val="18"/>
                <w:lang w:val="fr-FR" w:eastAsia="zh-CN"/>
              </w:rPr>
            </w:pPr>
          </w:p>
        </w:tc>
      </w:tr>
      <w:tr w:rsidR="001E52BC" w:rsidRPr="00477B36" w14:paraId="4E393340" w14:textId="5A4D7DC5"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015DC3"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6EC64" w14:textId="046248C4" w:rsidR="006A6437" w:rsidRPr="00477B36" w:rsidRDefault="006A6437" w:rsidP="006A6437">
            <w:pPr>
              <w:spacing w:line="240" w:lineRule="auto"/>
              <w:rPr>
                <w:sz w:val="18"/>
                <w:szCs w:val="18"/>
                <w:lang w:val="fr-FR" w:eastAsia="zh-CN"/>
              </w:rPr>
            </w:pPr>
            <w:r w:rsidRPr="00477B36">
              <w:rPr>
                <w:sz w:val="18"/>
                <w:szCs w:val="18"/>
                <w:lang w:val="fr-FR" w:eastAsia="zh-CN"/>
              </w:rPr>
              <w:t>OBJETS CONTENANT DU LIQUIDE INFLAMMABLE, N.S.A.</w:t>
            </w:r>
          </w:p>
        </w:tc>
        <w:tc>
          <w:tcPr>
            <w:tcW w:w="0" w:type="auto"/>
            <w:tcBorders>
              <w:top w:val="single" w:sz="4" w:space="0" w:color="auto"/>
              <w:left w:val="single" w:sz="4" w:space="0" w:color="auto"/>
              <w:bottom w:val="single" w:sz="4" w:space="0" w:color="auto"/>
              <w:right w:val="single" w:sz="4" w:space="0" w:color="auto"/>
            </w:tcBorders>
          </w:tcPr>
          <w:p w14:paraId="6B9AE5A0" w14:textId="460E7AC8" w:rsidR="006A6437" w:rsidRPr="00477B36" w:rsidRDefault="006A6437" w:rsidP="006A6437">
            <w:pPr>
              <w:spacing w:line="240" w:lineRule="auto"/>
              <w:jc w:val="center"/>
              <w:rPr>
                <w:sz w:val="18"/>
                <w:szCs w:val="18"/>
                <w:lang w:val="fr-FR" w:eastAsia="zh-CN"/>
              </w:rPr>
            </w:pPr>
            <w:r w:rsidRPr="00477B36">
              <w:rPr>
                <w:sz w:val="18"/>
                <w:szCs w:val="18"/>
                <w:lang w:val="fr-FR"/>
              </w:rPr>
              <w:t>3</w:t>
            </w:r>
          </w:p>
        </w:tc>
        <w:tc>
          <w:tcPr>
            <w:tcW w:w="0" w:type="auto"/>
            <w:tcBorders>
              <w:top w:val="single" w:sz="4" w:space="0" w:color="auto"/>
              <w:left w:val="single" w:sz="4" w:space="0" w:color="auto"/>
              <w:bottom w:val="single" w:sz="4" w:space="0" w:color="auto"/>
              <w:right w:val="single" w:sz="4" w:space="0" w:color="auto"/>
            </w:tcBorders>
          </w:tcPr>
          <w:p w14:paraId="30682782" w14:textId="34893248" w:rsidR="006A6437" w:rsidRPr="00477B36" w:rsidRDefault="006A6437" w:rsidP="006A6437">
            <w:pPr>
              <w:spacing w:line="240" w:lineRule="auto"/>
              <w:jc w:val="center"/>
              <w:rPr>
                <w:sz w:val="18"/>
                <w:szCs w:val="18"/>
                <w:lang w:val="fr-FR" w:eastAsia="zh-CN"/>
              </w:rPr>
            </w:pPr>
            <w:r w:rsidRPr="00477B36">
              <w:rPr>
                <w:bCs/>
                <w:sz w:val="18"/>
                <w:szCs w:val="18"/>
                <w:lang w:val="fr-FR"/>
              </w:rPr>
              <w:t>F3</w:t>
            </w:r>
          </w:p>
        </w:tc>
        <w:tc>
          <w:tcPr>
            <w:tcW w:w="0" w:type="auto"/>
            <w:tcBorders>
              <w:top w:val="single" w:sz="4" w:space="0" w:color="auto"/>
              <w:left w:val="single" w:sz="4" w:space="0" w:color="auto"/>
              <w:bottom w:val="single" w:sz="4" w:space="0" w:color="auto"/>
              <w:right w:val="single" w:sz="4" w:space="0" w:color="auto"/>
            </w:tcBorders>
          </w:tcPr>
          <w:p w14:paraId="26C06DC9"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E5AD604" w14:textId="7F1D5A24" w:rsidR="006A6437" w:rsidRPr="00477B36" w:rsidRDefault="007D7488" w:rsidP="006A6437">
            <w:pPr>
              <w:suppressAutoHyphens w:val="0"/>
              <w:spacing w:line="220" w:lineRule="exact"/>
              <w:jc w:val="center"/>
              <w:rPr>
                <w:sz w:val="18"/>
                <w:szCs w:val="18"/>
                <w:lang w:val="fr-FR"/>
              </w:rPr>
            </w:pPr>
            <w:r w:rsidRPr="00477B36">
              <w:rPr>
                <w:bCs/>
                <w:sz w:val="18"/>
                <w:szCs w:val="18"/>
                <w:lang w:val="fr-FR"/>
              </w:rPr>
              <w:t>Voir</w:t>
            </w:r>
          </w:p>
          <w:p w14:paraId="3F407D67" w14:textId="4DD11378"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2817B9E7" w14:textId="6F7B889B"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31439275" w14:textId="4DF2195D"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08566D8C" w14:textId="5BC3E511"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76B53B92" w14:textId="0537A6AE"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21BB3438"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5CF1CA4"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58A805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D697ADD"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29B6F83"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011DEE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8A1872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7CBD730" w14:textId="00BD79F1"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520B205B"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FE52DA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7D7C90F"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6C490915"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66165841" w14:textId="7FFBCC8B"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244B2F9" w14:textId="79E2E0F6"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092A984" w14:textId="77777777" w:rsidR="006A6437" w:rsidRPr="00477B36" w:rsidRDefault="006A6437" w:rsidP="006A6437">
            <w:pPr>
              <w:spacing w:line="240" w:lineRule="auto"/>
              <w:jc w:val="center"/>
              <w:rPr>
                <w:sz w:val="18"/>
                <w:szCs w:val="18"/>
                <w:lang w:val="fr-FR" w:eastAsia="zh-CN"/>
              </w:rPr>
            </w:pPr>
          </w:p>
        </w:tc>
      </w:tr>
      <w:tr w:rsidR="001E52BC" w:rsidRPr="00477B36" w14:paraId="1E0F8106" w14:textId="47636B9C"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700338"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838C8" w14:textId="5F6B94D3" w:rsidR="006A6437" w:rsidRPr="00477B36" w:rsidRDefault="006A6437" w:rsidP="006A6437">
            <w:pPr>
              <w:spacing w:line="240" w:lineRule="auto"/>
              <w:rPr>
                <w:sz w:val="18"/>
                <w:szCs w:val="18"/>
                <w:lang w:val="fr-FR" w:eastAsia="zh-CN"/>
              </w:rPr>
            </w:pPr>
            <w:r w:rsidRPr="00477B36">
              <w:rPr>
                <w:sz w:val="18"/>
                <w:szCs w:val="18"/>
                <w:lang w:val="fr-FR" w:eastAsia="zh-CN"/>
              </w:rPr>
              <w:t>OBJETS CONTENANT DU SOLIDE INFLAMMABLE, N.S.A.</w:t>
            </w:r>
          </w:p>
        </w:tc>
        <w:tc>
          <w:tcPr>
            <w:tcW w:w="0" w:type="auto"/>
            <w:tcBorders>
              <w:top w:val="single" w:sz="4" w:space="0" w:color="auto"/>
              <w:left w:val="single" w:sz="4" w:space="0" w:color="auto"/>
              <w:bottom w:val="single" w:sz="4" w:space="0" w:color="auto"/>
              <w:right w:val="single" w:sz="4" w:space="0" w:color="auto"/>
            </w:tcBorders>
          </w:tcPr>
          <w:p w14:paraId="397F3FFB" w14:textId="2F425D10" w:rsidR="006A6437" w:rsidRPr="00477B36" w:rsidRDefault="006A6437" w:rsidP="006A6437">
            <w:pPr>
              <w:spacing w:line="240" w:lineRule="auto"/>
              <w:jc w:val="center"/>
              <w:rPr>
                <w:sz w:val="18"/>
                <w:szCs w:val="18"/>
                <w:lang w:val="fr-FR" w:eastAsia="zh-CN"/>
              </w:rPr>
            </w:pPr>
            <w:r w:rsidRPr="00477B36">
              <w:rPr>
                <w:sz w:val="18"/>
                <w:szCs w:val="18"/>
                <w:lang w:val="fr-FR"/>
              </w:rPr>
              <w:t>4.1</w:t>
            </w:r>
          </w:p>
        </w:tc>
        <w:tc>
          <w:tcPr>
            <w:tcW w:w="0" w:type="auto"/>
            <w:tcBorders>
              <w:top w:val="single" w:sz="4" w:space="0" w:color="auto"/>
              <w:left w:val="single" w:sz="4" w:space="0" w:color="auto"/>
              <w:bottom w:val="single" w:sz="4" w:space="0" w:color="auto"/>
              <w:right w:val="single" w:sz="4" w:space="0" w:color="auto"/>
            </w:tcBorders>
          </w:tcPr>
          <w:p w14:paraId="61C6559A" w14:textId="1FF8F94B" w:rsidR="006A6437" w:rsidRPr="00477B36" w:rsidRDefault="006A6437" w:rsidP="006A6437">
            <w:pPr>
              <w:spacing w:line="240" w:lineRule="auto"/>
              <w:jc w:val="center"/>
              <w:rPr>
                <w:sz w:val="18"/>
                <w:szCs w:val="18"/>
                <w:lang w:val="fr-FR" w:eastAsia="zh-CN"/>
              </w:rPr>
            </w:pPr>
            <w:r w:rsidRPr="00477B36">
              <w:rPr>
                <w:bCs/>
                <w:sz w:val="18"/>
                <w:szCs w:val="18"/>
                <w:lang w:val="fr-FR"/>
              </w:rPr>
              <w:t>F4</w:t>
            </w:r>
          </w:p>
        </w:tc>
        <w:tc>
          <w:tcPr>
            <w:tcW w:w="0" w:type="auto"/>
            <w:tcBorders>
              <w:top w:val="single" w:sz="4" w:space="0" w:color="auto"/>
              <w:left w:val="single" w:sz="4" w:space="0" w:color="auto"/>
              <w:bottom w:val="single" w:sz="4" w:space="0" w:color="auto"/>
              <w:right w:val="single" w:sz="4" w:space="0" w:color="auto"/>
            </w:tcBorders>
          </w:tcPr>
          <w:p w14:paraId="10CED17C"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08BB735" w14:textId="77777777" w:rsidR="007D7488" w:rsidRPr="00477B36" w:rsidRDefault="007D7488" w:rsidP="007D7488">
            <w:pPr>
              <w:suppressAutoHyphens w:val="0"/>
              <w:spacing w:line="220" w:lineRule="exact"/>
              <w:jc w:val="center"/>
              <w:rPr>
                <w:sz w:val="18"/>
                <w:szCs w:val="18"/>
                <w:lang w:val="fr-FR"/>
              </w:rPr>
            </w:pPr>
            <w:r w:rsidRPr="00477B36">
              <w:rPr>
                <w:bCs/>
                <w:sz w:val="18"/>
                <w:szCs w:val="18"/>
                <w:lang w:val="fr-FR"/>
              </w:rPr>
              <w:t>Voir</w:t>
            </w:r>
          </w:p>
          <w:p w14:paraId="69474209" w14:textId="34F5D769"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6DBD31C0" w14:textId="353F5F68"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0E2A94D4" w14:textId="27E207CB"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129C4915" w14:textId="2551B0E4"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10AC69B9" w14:textId="49FBF2DE"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41608F6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06B7C21"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685B98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32C65E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94F6A81"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6B580E6"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C1ECD93"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4C147F6" w14:textId="0CAE12C4"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05F26DC1"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069403B"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D081612"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3A43AA73"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20D1FD57" w14:textId="0D12B329"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2F0A748" w14:textId="216FEA16"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54E433B" w14:textId="77777777" w:rsidR="006A6437" w:rsidRPr="00477B36" w:rsidRDefault="006A6437" w:rsidP="006A6437">
            <w:pPr>
              <w:spacing w:line="240" w:lineRule="auto"/>
              <w:jc w:val="center"/>
              <w:rPr>
                <w:sz w:val="18"/>
                <w:szCs w:val="18"/>
                <w:lang w:val="fr-FR" w:eastAsia="zh-CN"/>
              </w:rPr>
            </w:pPr>
          </w:p>
        </w:tc>
      </w:tr>
      <w:tr w:rsidR="001E52BC" w:rsidRPr="00477B36" w14:paraId="415DDFBB" w14:textId="794FD286"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5856A"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233A" w14:textId="30A029D4" w:rsidR="006A6437" w:rsidRPr="00477B36" w:rsidRDefault="006A6437" w:rsidP="006A6437">
            <w:pPr>
              <w:spacing w:line="240" w:lineRule="auto"/>
              <w:rPr>
                <w:sz w:val="18"/>
                <w:szCs w:val="18"/>
                <w:lang w:val="fr-FR" w:eastAsia="zh-CN"/>
              </w:rPr>
            </w:pPr>
            <w:r w:rsidRPr="00477B36">
              <w:rPr>
                <w:sz w:val="18"/>
                <w:szCs w:val="18"/>
                <w:lang w:val="fr-FR" w:eastAsia="zh-CN"/>
              </w:rPr>
              <w:t>OBJETS CONTENANT DE LA MATIÈRE SUJETTE À L'INFLAMMATION SPONTANEE, N.S.A.</w:t>
            </w:r>
          </w:p>
        </w:tc>
        <w:tc>
          <w:tcPr>
            <w:tcW w:w="0" w:type="auto"/>
            <w:tcBorders>
              <w:top w:val="single" w:sz="4" w:space="0" w:color="auto"/>
              <w:left w:val="single" w:sz="4" w:space="0" w:color="auto"/>
              <w:bottom w:val="single" w:sz="4" w:space="0" w:color="auto"/>
              <w:right w:val="single" w:sz="4" w:space="0" w:color="auto"/>
            </w:tcBorders>
          </w:tcPr>
          <w:p w14:paraId="6AB4E541" w14:textId="6A9D4A9F" w:rsidR="006A6437" w:rsidRPr="00477B36" w:rsidRDefault="006A6437" w:rsidP="006A6437">
            <w:pPr>
              <w:spacing w:line="240" w:lineRule="auto"/>
              <w:jc w:val="center"/>
              <w:rPr>
                <w:sz w:val="18"/>
                <w:szCs w:val="18"/>
                <w:lang w:val="fr-FR" w:eastAsia="zh-CN"/>
              </w:rPr>
            </w:pPr>
            <w:r w:rsidRPr="00477B36">
              <w:rPr>
                <w:sz w:val="18"/>
                <w:szCs w:val="18"/>
                <w:lang w:val="fr-FR"/>
              </w:rPr>
              <w:t>4.2</w:t>
            </w:r>
          </w:p>
        </w:tc>
        <w:tc>
          <w:tcPr>
            <w:tcW w:w="0" w:type="auto"/>
            <w:tcBorders>
              <w:top w:val="single" w:sz="4" w:space="0" w:color="auto"/>
              <w:left w:val="single" w:sz="4" w:space="0" w:color="auto"/>
              <w:bottom w:val="single" w:sz="4" w:space="0" w:color="auto"/>
              <w:right w:val="single" w:sz="4" w:space="0" w:color="auto"/>
            </w:tcBorders>
          </w:tcPr>
          <w:p w14:paraId="38CBCEBF" w14:textId="2F44A1CF" w:rsidR="006A6437" w:rsidRPr="00477B36" w:rsidRDefault="006A6437" w:rsidP="006A6437">
            <w:pPr>
              <w:spacing w:line="240" w:lineRule="auto"/>
              <w:jc w:val="center"/>
              <w:rPr>
                <w:sz w:val="18"/>
                <w:szCs w:val="18"/>
                <w:lang w:val="fr-FR" w:eastAsia="zh-CN"/>
              </w:rPr>
            </w:pPr>
            <w:r w:rsidRPr="00477B36">
              <w:rPr>
                <w:bCs/>
                <w:sz w:val="18"/>
                <w:szCs w:val="18"/>
                <w:lang w:val="fr-FR"/>
              </w:rPr>
              <w:t>S6</w:t>
            </w:r>
          </w:p>
        </w:tc>
        <w:tc>
          <w:tcPr>
            <w:tcW w:w="0" w:type="auto"/>
            <w:tcBorders>
              <w:top w:val="single" w:sz="4" w:space="0" w:color="auto"/>
              <w:left w:val="single" w:sz="4" w:space="0" w:color="auto"/>
              <w:bottom w:val="single" w:sz="4" w:space="0" w:color="auto"/>
              <w:right w:val="single" w:sz="4" w:space="0" w:color="auto"/>
            </w:tcBorders>
          </w:tcPr>
          <w:p w14:paraId="7DC750F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0D98B7D" w14:textId="77777777" w:rsidR="007D7488" w:rsidRPr="00477B36" w:rsidRDefault="007D7488" w:rsidP="007D7488">
            <w:pPr>
              <w:suppressAutoHyphens w:val="0"/>
              <w:spacing w:line="220" w:lineRule="exact"/>
              <w:jc w:val="center"/>
              <w:rPr>
                <w:sz w:val="18"/>
                <w:szCs w:val="18"/>
                <w:lang w:val="fr-FR"/>
              </w:rPr>
            </w:pPr>
            <w:r w:rsidRPr="00477B36">
              <w:rPr>
                <w:bCs/>
                <w:sz w:val="18"/>
                <w:szCs w:val="18"/>
                <w:lang w:val="fr-FR"/>
              </w:rPr>
              <w:t>Voir</w:t>
            </w:r>
          </w:p>
          <w:p w14:paraId="627952C4" w14:textId="636A8238"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636916F9" w14:textId="4ACA37D4"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51A32C44" w14:textId="670780D7"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7BE6166C" w14:textId="25E693D2"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44F738C0" w14:textId="19C19F5B"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5B48FFFB"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A911F0C"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C60C130"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6E02043"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F426B4D"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21B555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DA4F74B"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CAFBD2E" w14:textId="5CA8E393"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6CF96BBE"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7A756A7"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33EDB7E"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7D7752B4"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29B41D9C" w14:textId="562F5E9C"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DE0B472" w14:textId="724D6933"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0778442" w14:textId="77777777" w:rsidR="006A6437" w:rsidRPr="00477B36" w:rsidRDefault="006A6437" w:rsidP="006A6437">
            <w:pPr>
              <w:spacing w:line="240" w:lineRule="auto"/>
              <w:jc w:val="center"/>
              <w:rPr>
                <w:sz w:val="18"/>
                <w:szCs w:val="18"/>
                <w:lang w:val="fr-FR" w:eastAsia="zh-CN"/>
              </w:rPr>
            </w:pPr>
          </w:p>
        </w:tc>
      </w:tr>
      <w:tr w:rsidR="001E52BC" w:rsidRPr="00477B36" w14:paraId="735C7B67" w14:textId="3A2064FC"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5CEEFC"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92286" w14:textId="22BD8EF4" w:rsidR="006A6437" w:rsidRPr="00477B36" w:rsidRDefault="006A6437" w:rsidP="006A6437">
            <w:pPr>
              <w:spacing w:line="240" w:lineRule="auto"/>
              <w:rPr>
                <w:sz w:val="18"/>
                <w:szCs w:val="18"/>
                <w:lang w:val="fr-FR" w:eastAsia="zh-CN"/>
              </w:rPr>
            </w:pPr>
            <w:r w:rsidRPr="00477B36">
              <w:rPr>
                <w:sz w:val="18"/>
                <w:szCs w:val="18"/>
                <w:lang w:val="fr-FR" w:eastAsia="zh-CN"/>
              </w:rPr>
              <w:t>OBJETS CONTENANT DE LA MATIÈRE QUI, AU CONTACT DE L'EAU, DÉGAGE DES GAZ INFLAMMABLES, N.S.A.</w:t>
            </w:r>
          </w:p>
        </w:tc>
        <w:tc>
          <w:tcPr>
            <w:tcW w:w="0" w:type="auto"/>
            <w:tcBorders>
              <w:top w:val="single" w:sz="4" w:space="0" w:color="auto"/>
              <w:left w:val="single" w:sz="4" w:space="0" w:color="auto"/>
              <w:bottom w:val="single" w:sz="4" w:space="0" w:color="auto"/>
              <w:right w:val="single" w:sz="4" w:space="0" w:color="auto"/>
            </w:tcBorders>
          </w:tcPr>
          <w:p w14:paraId="16604C47" w14:textId="32ACA100" w:rsidR="006A6437" w:rsidRPr="00477B36" w:rsidRDefault="006A6437" w:rsidP="006A6437">
            <w:pPr>
              <w:spacing w:line="240" w:lineRule="auto"/>
              <w:jc w:val="center"/>
              <w:rPr>
                <w:sz w:val="18"/>
                <w:szCs w:val="18"/>
                <w:lang w:val="fr-FR" w:eastAsia="zh-CN"/>
              </w:rPr>
            </w:pPr>
            <w:r w:rsidRPr="00477B36">
              <w:rPr>
                <w:sz w:val="18"/>
                <w:szCs w:val="18"/>
                <w:lang w:val="fr-FR"/>
              </w:rPr>
              <w:t>4.3</w:t>
            </w:r>
          </w:p>
        </w:tc>
        <w:tc>
          <w:tcPr>
            <w:tcW w:w="0" w:type="auto"/>
            <w:tcBorders>
              <w:top w:val="single" w:sz="4" w:space="0" w:color="auto"/>
              <w:left w:val="single" w:sz="4" w:space="0" w:color="auto"/>
              <w:bottom w:val="single" w:sz="4" w:space="0" w:color="auto"/>
              <w:right w:val="single" w:sz="4" w:space="0" w:color="auto"/>
            </w:tcBorders>
          </w:tcPr>
          <w:p w14:paraId="075AF260" w14:textId="23A938CB" w:rsidR="006A6437" w:rsidRPr="00477B36" w:rsidRDefault="006A6437" w:rsidP="006A6437">
            <w:pPr>
              <w:spacing w:line="240" w:lineRule="auto"/>
              <w:jc w:val="center"/>
              <w:rPr>
                <w:sz w:val="18"/>
                <w:szCs w:val="18"/>
                <w:lang w:val="fr-FR" w:eastAsia="zh-CN"/>
              </w:rPr>
            </w:pPr>
            <w:r w:rsidRPr="00477B36">
              <w:rPr>
                <w:bCs/>
                <w:sz w:val="18"/>
                <w:szCs w:val="18"/>
                <w:lang w:val="fr-FR"/>
              </w:rPr>
              <w:t>W3</w:t>
            </w:r>
          </w:p>
        </w:tc>
        <w:tc>
          <w:tcPr>
            <w:tcW w:w="0" w:type="auto"/>
            <w:tcBorders>
              <w:top w:val="single" w:sz="4" w:space="0" w:color="auto"/>
              <w:left w:val="single" w:sz="4" w:space="0" w:color="auto"/>
              <w:bottom w:val="single" w:sz="4" w:space="0" w:color="auto"/>
              <w:right w:val="single" w:sz="4" w:space="0" w:color="auto"/>
            </w:tcBorders>
          </w:tcPr>
          <w:p w14:paraId="4710F14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9BEE448" w14:textId="77777777" w:rsidR="007D7488" w:rsidRPr="00477B36" w:rsidRDefault="007D7488" w:rsidP="007D7488">
            <w:pPr>
              <w:suppressAutoHyphens w:val="0"/>
              <w:spacing w:line="220" w:lineRule="exact"/>
              <w:jc w:val="center"/>
              <w:rPr>
                <w:sz w:val="18"/>
                <w:szCs w:val="18"/>
                <w:lang w:val="fr-FR"/>
              </w:rPr>
            </w:pPr>
            <w:r w:rsidRPr="00477B36">
              <w:rPr>
                <w:bCs/>
                <w:sz w:val="18"/>
                <w:szCs w:val="18"/>
                <w:lang w:val="fr-FR"/>
              </w:rPr>
              <w:t>Voir</w:t>
            </w:r>
          </w:p>
          <w:p w14:paraId="7005885C" w14:textId="1C039887"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1F4D2184" w14:textId="3D7B0632"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6D0B9499" w14:textId="71DA7090"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7050B501" w14:textId="641D3561"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633CD847" w14:textId="4F95A7D3"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304211CE"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1B1E8E5"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14089F5"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3F96415"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1813893"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56402B1"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8C82F58"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2CD2F9E" w14:textId="32D773D6" w:rsidR="006A6437" w:rsidRPr="00477B36" w:rsidRDefault="006A6437" w:rsidP="006A6437">
            <w:pPr>
              <w:spacing w:line="240" w:lineRule="auto"/>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04A88290"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FA590B3"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DACBA22"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066D5F7B"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1DACFA52" w14:textId="6B78660B"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00BE6B8" w14:textId="04EF9FAC"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39EECE6" w14:textId="77777777" w:rsidR="006A6437" w:rsidRPr="00477B36" w:rsidRDefault="006A6437" w:rsidP="006A6437">
            <w:pPr>
              <w:spacing w:line="240" w:lineRule="auto"/>
              <w:jc w:val="center"/>
              <w:rPr>
                <w:sz w:val="18"/>
                <w:szCs w:val="18"/>
                <w:lang w:val="fr-FR" w:eastAsia="zh-CN"/>
              </w:rPr>
            </w:pPr>
          </w:p>
        </w:tc>
      </w:tr>
      <w:tr w:rsidR="001E52BC" w:rsidRPr="00477B36" w14:paraId="7734EF9E" w14:textId="7BEC932E"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F721EB"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D05D1" w14:textId="0BE90706" w:rsidR="006A6437" w:rsidRPr="00477B36" w:rsidRDefault="006A6437" w:rsidP="006A6437">
            <w:pPr>
              <w:spacing w:line="240" w:lineRule="auto"/>
              <w:rPr>
                <w:sz w:val="18"/>
                <w:szCs w:val="18"/>
                <w:lang w:val="fr-FR" w:eastAsia="zh-CN"/>
              </w:rPr>
            </w:pPr>
            <w:r w:rsidRPr="00477B36">
              <w:rPr>
                <w:sz w:val="18"/>
                <w:szCs w:val="18"/>
                <w:lang w:val="fr-FR" w:eastAsia="zh-CN"/>
              </w:rPr>
              <w:t>OBJETS CONTENANT DE LA MATIÈRE COMBURANTE, N.S.A.</w:t>
            </w:r>
          </w:p>
        </w:tc>
        <w:tc>
          <w:tcPr>
            <w:tcW w:w="0" w:type="auto"/>
            <w:tcBorders>
              <w:top w:val="single" w:sz="4" w:space="0" w:color="auto"/>
              <w:left w:val="single" w:sz="4" w:space="0" w:color="auto"/>
              <w:bottom w:val="single" w:sz="4" w:space="0" w:color="auto"/>
              <w:right w:val="single" w:sz="4" w:space="0" w:color="auto"/>
            </w:tcBorders>
          </w:tcPr>
          <w:p w14:paraId="6DAF7764" w14:textId="6BACD54A" w:rsidR="006A6437" w:rsidRPr="00477B36" w:rsidRDefault="006A6437" w:rsidP="006A6437">
            <w:pPr>
              <w:spacing w:line="240" w:lineRule="auto"/>
              <w:jc w:val="center"/>
              <w:rPr>
                <w:sz w:val="18"/>
                <w:szCs w:val="18"/>
                <w:lang w:val="fr-FR" w:eastAsia="zh-CN"/>
              </w:rPr>
            </w:pPr>
            <w:r w:rsidRPr="00477B36">
              <w:rPr>
                <w:sz w:val="18"/>
                <w:szCs w:val="18"/>
                <w:lang w:val="fr-FR"/>
              </w:rPr>
              <w:t>5.1</w:t>
            </w:r>
          </w:p>
        </w:tc>
        <w:tc>
          <w:tcPr>
            <w:tcW w:w="0" w:type="auto"/>
            <w:tcBorders>
              <w:top w:val="single" w:sz="4" w:space="0" w:color="auto"/>
              <w:left w:val="single" w:sz="4" w:space="0" w:color="auto"/>
              <w:bottom w:val="single" w:sz="4" w:space="0" w:color="auto"/>
              <w:right w:val="single" w:sz="4" w:space="0" w:color="auto"/>
            </w:tcBorders>
          </w:tcPr>
          <w:p w14:paraId="7F8433C8" w14:textId="607F71F0" w:rsidR="006A6437" w:rsidRPr="00477B36" w:rsidRDefault="006A6437" w:rsidP="006A6437">
            <w:pPr>
              <w:spacing w:line="240" w:lineRule="auto"/>
              <w:jc w:val="center"/>
              <w:rPr>
                <w:sz w:val="18"/>
                <w:szCs w:val="18"/>
                <w:lang w:val="fr-FR" w:eastAsia="zh-CN"/>
              </w:rPr>
            </w:pPr>
            <w:r w:rsidRPr="00477B36">
              <w:rPr>
                <w:bCs/>
                <w:sz w:val="18"/>
                <w:szCs w:val="18"/>
                <w:lang w:val="fr-FR"/>
              </w:rPr>
              <w:t>O3</w:t>
            </w:r>
          </w:p>
        </w:tc>
        <w:tc>
          <w:tcPr>
            <w:tcW w:w="0" w:type="auto"/>
            <w:tcBorders>
              <w:top w:val="single" w:sz="4" w:space="0" w:color="auto"/>
              <w:left w:val="single" w:sz="4" w:space="0" w:color="auto"/>
              <w:bottom w:val="single" w:sz="4" w:space="0" w:color="auto"/>
              <w:right w:val="single" w:sz="4" w:space="0" w:color="auto"/>
            </w:tcBorders>
          </w:tcPr>
          <w:p w14:paraId="0DC3749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FA1886B" w14:textId="77777777" w:rsidR="007D7488" w:rsidRPr="00477B36" w:rsidRDefault="007D7488" w:rsidP="007D7488">
            <w:pPr>
              <w:suppressAutoHyphens w:val="0"/>
              <w:spacing w:line="220" w:lineRule="exact"/>
              <w:jc w:val="center"/>
              <w:rPr>
                <w:sz w:val="18"/>
                <w:szCs w:val="18"/>
                <w:lang w:val="fr-FR"/>
              </w:rPr>
            </w:pPr>
            <w:r w:rsidRPr="00477B36">
              <w:rPr>
                <w:bCs/>
                <w:sz w:val="18"/>
                <w:szCs w:val="18"/>
                <w:lang w:val="fr-FR"/>
              </w:rPr>
              <w:t>Voir</w:t>
            </w:r>
          </w:p>
          <w:p w14:paraId="1E5DC012" w14:textId="697108FB"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0D9E30E2" w14:textId="17C539C0"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08C60660" w14:textId="5A61B269"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2FEF5429" w14:textId="710658A2"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0B7C8715" w14:textId="1B832DAC"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4356F078"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953FC23"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5FCD509"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F8579BB"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E9BF55D"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020E97E"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9AA7897"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BE10F65" w14:textId="6E727739"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64188E06"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D0D717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AA821B8"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1F228DBA"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27C5E028" w14:textId="3854A9E3"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D352BC8" w14:textId="23063DC3"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BDD7BE9" w14:textId="77777777" w:rsidR="006A6437" w:rsidRPr="00477B36" w:rsidRDefault="006A6437" w:rsidP="006A6437">
            <w:pPr>
              <w:spacing w:line="240" w:lineRule="auto"/>
              <w:jc w:val="center"/>
              <w:rPr>
                <w:sz w:val="18"/>
                <w:szCs w:val="18"/>
                <w:lang w:val="fr-FR" w:eastAsia="zh-CN"/>
              </w:rPr>
            </w:pPr>
          </w:p>
        </w:tc>
      </w:tr>
      <w:tr w:rsidR="001E52BC" w:rsidRPr="00477B36" w14:paraId="36D86865" w14:textId="3D25D52F"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D982B3"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E212" w14:textId="0E3AED31" w:rsidR="006A6437" w:rsidRPr="00477B36" w:rsidRDefault="006A6437" w:rsidP="006A6437">
            <w:pPr>
              <w:spacing w:line="240" w:lineRule="auto"/>
              <w:rPr>
                <w:sz w:val="18"/>
                <w:szCs w:val="18"/>
                <w:lang w:val="fr-FR" w:eastAsia="zh-CN"/>
              </w:rPr>
            </w:pPr>
            <w:r w:rsidRPr="00477B36">
              <w:rPr>
                <w:sz w:val="18"/>
                <w:szCs w:val="18"/>
                <w:lang w:val="fr-FR" w:eastAsia="zh-CN"/>
              </w:rPr>
              <w:t>OBJETS CONTENANT DU PEROXYDE ORGANIQUE, N.S.A.</w:t>
            </w:r>
          </w:p>
        </w:tc>
        <w:tc>
          <w:tcPr>
            <w:tcW w:w="0" w:type="auto"/>
            <w:tcBorders>
              <w:top w:val="single" w:sz="4" w:space="0" w:color="auto"/>
              <w:left w:val="single" w:sz="4" w:space="0" w:color="auto"/>
              <w:bottom w:val="single" w:sz="4" w:space="0" w:color="auto"/>
              <w:right w:val="single" w:sz="4" w:space="0" w:color="auto"/>
            </w:tcBorders>
          </w:tcPr>
          <w:p w14:paraId="4C7FAB22" w14:textId="49F594A1" w:rsidR="006A6437" w:rsidRPr="00477B36" w:rsidRDefault="006A6437" w:rsidP="006A6437">
            <w:pPr>
              <w:spacing w:line="240" w:lineRule="auto"/>
              <w:jc w:val="center"/>
              <w:rPr>
                <w:sz w:val="18"/>
                <w:szCs w:val="18"/>
                <w:lang w:val="fr-FR" w:eastAsia="zh-CN"/>
              </w:rPr>
            </w:pPr>
            <w:r w:rsidRPr="00477B36">
              <w:rPr>
                <w:sz w:val="18"/>
                <w:szCs w:val="18"/>
                <w:lang w:val="fr-FR"/>
              </w:rPr>
              <w:t>5.2</w:t>
            </w:r>
          </w:p>
        </w:tc>
        <w:tc>
          <w:tcPr>
            <w:tcW w:w="0" w:type="auto"/>
            <w:tcBorders>
              <w:top w:val="single" w:sz="4" w:space="0" w:color="auto"/>
              <w:left w:val="single" w:sz="4" w:space="0" w:color="auto"/>
              <w:bottom w:val="single" w:sz="4" w:space="0" w:color="auto"/>
              <w:right w:val="single" w:sz="4" w:space="0" w:color="auto"/>
            </w:tcBorders>
          </w:tcPr>
          <w:p w14:paraId="58D50B32" w14:textId="6D53C1C6" w:rsidR="006A6437" w:rsidRPr="00477B36" w:rsidRDefault="006A6437" w:rsidP="006A6437">
            <w:pPr>
              <w:spacing w:line="240" w:lineRule="auto"/>
              <w:jc w:val="center"/>
              <w:rPr>
                <w:sz w:val="18"/>
                <w:szCs w:val="18"/>
                <w:lang w:val="fr-FR" w:eastAsia="zh-CN"/>
              </w:rPr>
            </w:pPr>
            <w:r w:rsidRPr="00477B36">
              <w:rPr>
                <w:bCs/>
                <w:sz w:val="18"/>
                <w:szCs w:val="18"/>
                <w:lang w:val="fr-FR"/>
              </w:rPr>
              <w:t>P1 or P2</w:t>
            </w:r>
          </w:p>
        </w:tc>
        <w:tc>
          <w:tcPr>
            <w:tcW w:w="0" w:type="auto"/>
            <w:tcBorders>
              <w:top w:val="single" w:sz="4" w:space="0" w:color="auto"/>
              <w:left w:val="single" w:sz="4" w:space="0" w:color="auto"/>
              <w:bottom w:val="single" w:sz="4" w:space="0" w:color="auto"/>
              <w:right w:val="single" w:sz="4" w:space="0" w:color="auto"/>
            </w:tcBorders>
          </w:tcPr>
          <w:p w14:paraId="001B60D3"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4C6804D" w14:textId="77777777" w:rsidR="007D7488" w:rsidRPr="00477B36" w:rsidRDefault="007D7488" w:rsidP="007D7488">
            <w:pPr>
              <w:suppressAutoHyphens w:val="0"/>
              <w:spacing w:line="220" w:lineRule="exact"/>
              <w:jc w:val="center"/>
              <w:rPr>
                <w:sz w:val="18"/>
                <w:szCs w:val="18"/>
                <w:lang w:val="fr-FR"/>
              </w:rPr>
            </w:pPr>
            <w:r w:rsidRPr="00477B36">
              <w:rPr>
                <w:bCs/>
                <w:sz w:val="18"/>
                <w:szCs w:val="18"/>
                <w:lang w:val="fr-FR"/>
              </w:rPr>
              <w:t>Voir</w:t>
            </w:r>
          </w:p>
          <w:p w14:paraId="355E2218" w14:textId="756C07CB"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774EC956" w14:textId="52475F35"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248ECF92" w14:textId="47269E35"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15BDDA1A" w14:textId="2F903956"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2F64C48E" w14:textId="4AF4692A"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47D53C66"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A7AF377"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9DAF0F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F5B6B0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124EA7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042CC2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D9F3C4E"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0D93608" w14:textId="030A3525"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37FAA580"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5ABFC1D"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0E995E2"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5C27C801"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51F3AB7E" w14:textId="39A56F6F"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C06DB24" w14:textId="1AB0C880"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E11A9CC" w14:textId="77777777" w:rsidR="006A6437" w:rsidRPr="00477B36" w:rsidRDefault="006A6437" w:rsidP="006A6437">
            <w:pPr>
              <w:spacing w:line="240" w:lineRule="auto"/>
              <w:jc w:val="center"/>
              <w:rPr>
                <w:sz w:val="18"/>
                <w:szCs w:val="18"/>
                <w:lang w:val="fr-FR" w:eastAsia="zh-CN"/>
              </w:rPr>
            </w:pPr>
          </w:p>
        </w:tc>
      </w:tr>
      <w:tr w:rsidR="001E52BC" w:rsidRPr="00477B36" w14:paraId="4602277D" w14:textId="4BAE707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29B865"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lastRenderedPageBreak/>
              <w:t>3546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3BC08" w14:textId="204CBBA4" w:rsidR="006A6437" w:rsidRPr="00477B36" w:rsidRDefault="006A6437" w:rsidP="006A6437">
            <w:pPr>
              <w:spacing w:line="240" w:lineRule="auto"/>
              <w:rPr>
                <w:sz w:val="18"/>
                <w:szCs w:val="18"/>
                <w:lang w:val="fr-FR" w:eastAsia="zh-CN"/>
              </w:rPr>
            </w:pPr>
            <w:r w:rsidRPr="00477B36">
              <w:rPr>
                <w:sz w:val="18"/>
                <w:szCs w:val="18"/>
                <w:lang w:val="fr-FR" w:eastAsia="zh-CN"/>
              </w:rPr>
              <w:t>OBJETS CONTENANT DE LA MATIÈRE TOXIQUE, N.S.A.</w:t>
            </w:r>
          </w:p>
        </w:tc>
        <w:tc>
          <w:tcPr>
            <w:tcW w:w="0" w:type="auto"/>
            <w:tcBorders>
              <w:top w:val="single" w:sz="4" w:space="0" w:color="auto"/>
              <w:left w:val="single" w:sz="4" w:space="0" w:color="auto"/>
              <w:bottom w:val="single" w:sz="4" w:space="0" w:color="auto"/>
              <w:right w:val="single" w:sz="4" w:space="0" w:color="auto"/>
            </w:tcBorders>
          </w:tcPr>
          <w:p w14:paraId="0F975A17" w14:textId="283074D2" w:rsidR="006A6437" w:rsidRPr="00477B36" w:rsidRDefault="006A6437" w:rsidP="006A6437">
            <w:pPr>
              <w:spacing w:line="240" w:lineRule="auto"/>
              <w:jc w:val="center"/>
              <w:rPr>
                <w:sz w:val="18"/>
                <w:szCs w:val="18"/>
                <w:lang w:val="fr-FR" w:eastAsia="zh-CN"/>
              </w:rPr>
            </w:pPr>
            <w:r w:rsidRPr="00477B36">
              <w:rPr>
                <w:sz w:val="18"/>
                <w:szCs w:val="18"/>
                <w:lang w:val="fr-FR"/>
              </w:rPr>
              <w:t>6.1</w:t>
            </w:r>
          </w:p>
        </w:tc>
        <w:tc>
          <w:tcPr>
            <w:tcW w:w="0" w:type="auto"/>
            <w:tcBorders>
              <w:top w:val="single" w:sz="4" w:space="0" w:color="auto"/>
              <w:left w:val="single" w:sz="4" w:space="0" w:color="auto"/>
              <w:bottom w:val="single" w:sz="4" w:space="0" w:color="auto"/>
              <w:right w:val="single" w:sz="4" w:space="0" w:color="auto"/>
            </w:tcBorders>
          </w:tcPr>
          <w:p w14:paraId="3C67D775" w14:textId="65FE5AB4" w:rsidR="006A6437" w:rsidRPr="00477B36" w:rsidRDefault="006A6437" w:rsidP="006A6437">
            <w:pPr>
              <w:spacing w:line="240" w:lineRule="auto"/>
              <w:jc w:val="center"/>
              <w:rPr>
                <w:sz w:val="18"/>
                <w:szCs w:val="18"/>
                <w:lang w:val="fr-FR" w:eastAsia="zh-CN"/>
              </w:rPr>
            </w:pPr>
            <w:r w:rsidRPr="00477B36">
              <w:rPr>
                <w:bCs/>
                <w:sz w:val="18"/>
                <w:szCs w:val="18"/>
                <w:lang w:val="fr-FR"/>
              </w:rPr>
              <w:t>T10</w:t>
            </w:r>
          </w:p>
        </w:tc>
        <w:tc>
          <w:tcPr>
            <w:tcW w:w="0" w:type="auto"/>
            <w:tcBorders>
              <w:top w:val="single" w:sz="4" w:space="0" w:color="auto"/>
              <w:left w:val="single" w:sz="4" w:space="0" w:color="auto"/>
              <w:bottom w:val="single" w:sz="4" w:space="0" w:color="auto"/>
              <w:right w:val="single" w:sz="4" w:space="0" w:color="auto"/>
            </w:tcBorders>
          </w:tcPr>
          <w:p w14:paraId="76C178B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B6A0D65" w14:textId="77777777" w:rsidR="007D7488" w:rsidRPr="00477B36" w:rsidRDefault="007D7488" w:rsidP="007D7488">
            <w:pPr>
              <w:suppressAutoHyphens w:val="0"/>
              <w:spacing w:line="220" w:lineRule="exact"/>
              <w:jc w:val="center"/>
              <w:rPr>
                <w:sz w:val="18"/>
                <w:szCs w:val="18"/>
                <w:lang w:val="fr-FR"/>
              </w:rPr>
            </w:pPr>
            <w:r w:rsidRPr="00477B36">
              <w:rPr>
                <w:bCs/>
                <w:sz w:val="18"/>
                <w:szCs w:val="18"/>
                <w:lang w:val="fr-FR"/>
              </w:rPr>
              <w:t>Voir</w:t>
            </w:r>
          </w:p>
          <w:p w14:paraId="774032A8" w14:textId="66C945CD"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74E449BE" w14:textId="62E6DEE0"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74EE01D2" w14:textId="51E9E5CC"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69C8C29B" w14:textId="1521A8F1"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55DEB51C" w14:textId="475AD342"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5BD6D63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BE54DD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6E89BC9"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4AD1D9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0555D89"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5F21A47"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3E6D08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8DB0132" w14:textId="2B0F9A7F"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44C9A47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6B6759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B51D120"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3CD09E01"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20CAFDD3" w14:textId="10A6D1E2"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6784FCF" w14:textId="6ACE731C"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09A8EF7" w14:textId="77777777" w:rsidR="006A6437" w:rsidRPr="00477B36" w:rsidRDefault="006A6437" w:rsidP="006A6437">
            <w:pPr>
              <w:spacing w:line="240" w:lineRule="auto"/>
              <w:jc w:val="center"/>
              <w:rPr>
                <w:sz w:val="18"/>
                <w:szCs w:val="18"/>
                <w:lang w:val="fr-FR" w:eastAsia="zh-CN"/>
              </w:rPr>
            </w:pPr>
          </w:p>
        </w:tc>
      </w:tr>
      <w:tr w:rsidR="001E52BC" w:rsidRPr="00477B36" w14:paraId="27D9F74D" w14:textId="3D684D14"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B1BB27"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5B1B7" w14:textId="20161EAF" w:rsidR="006A6437" w:rsidRPr="00477B36" w:rsidRDefault="006A6437" w:rsidP="006A6437">
            <w:pPr>
              <w:spacing w:line="240" w:lineRule="auto"/>
              <w:rPr>
                <w:sz w:val="18"/>
                <w:szCs w:val="18"/>
                <w:lang w:val="fr-FR" w:eastAsia="zh-CN"/>
              </w:rPr>
            </w:pPr>
            <w:r w:rsidRPr="00477B36">
              <w:rPr>
                <w:sz w:val="18"/>
                <w:szCs w:val="18"/>
                <w:lang w:val="fr-FR" w:eastAsia="zh-CN"/>
              </w:rPr>
              <w:t>OBJETS CONTENANT DE LA MATIÈRE CORROSIVE, N.S.A.</w:t>
            </w:r>
          </w:p>
        </w:tc>
        <w:tc>
          <w:tcPr>
            <w:tcW w:w="0" w:type="auto"/>
            <w:tcBorders>
              <w:top w:val="single" w:sz="4" w:space="0" w:color="auto"/>
              <w:left w:val="single" w:sz="4" w:space="0" w:color="auto"/>
              <w:bottom w:val="single" w:sz="4" w:space="0" w:color="auto"/>
              <w:right w:val="single" w:sz="4" w:space="0" w:color="auto"/>
            </w:tcBorders>
          </w:tcPr>
          <w:p w14:paraId="5B31A348" w14:textId="555958DB" w:rsidR="006A6437" w:rsidRPr="00477B36" w:rsidRDefault="006A6437" w:rsidP="006A6437">
            <w:pPr>
              <w:spacing w:line="240" w:lineRule="auto"/>
              <w:jc w:val="center"/>
              <w:rPr>
                <w:sz w:val="18"/>
                <w:szCs w:val="18"/>
                <w:lang w:val="fr-FR" w:eastAsia="zh-CN"/>
              </w:rPr>
            </w:pPr>
            <w:r w:rsidRPr="00477B36">
              <w:rPr>
                <w:sz w:val="18"/>
                <w:szCs w:val="18"/>
                <w:lang w:val="fr-FR"/>
              </w:rPr>
              <w:t>8</w:t>
            </w:r>
          </w:p>
        </w:tc>
        <w:tc>
          <w:tcPr>
            <w:tcW w:w="0" w:type="auto"/>
            <w:tcBorders>
              <w:top w:val="single" w:sz="4" w:space="0" w:color="auto"/>
              <w:left w:val="single" w:sz="4" w:space="0" w:color="auto"/>
              <w:bottom w:val="single" w:sz="4" w:space="0" w:color="auto"/>
              <w:right w:val="single" w:sz="4" w:space="0" w:color="auto"/>
            </w:tcBorders>
          </w:tcPr>
          <w:p w14:paraId="1A51ED6E" w14:textId="5FB2ACE9" w:rsidR="006A6437" w:rsidRPr="00477B36" w:rsidRDefault="006A6437" w:rsidP="006A6437">
            <w:pPr>
              <w:spacing w:line="240" w:lineRule="auto"/>
              <w:jc w:val="center"/>
              <w:rPr>
                <w:sz w:val="18"/>
                <w:szCs w:val="18"/>
                <w:lang w:val="fr-FR" w:eastAsia="zh-CN"/>
              </w:rPr>
            </w:pPr>
            <w:r w:rsidRPr="00477B36">
              <w:rPr>
                <w:bCs/>
                <w:sz w:val="18"/>
                <w:szCs w:val="18"/>
                <w:lang w:val="fr-FR"/>
              </w:rPr>
              <w:t>C11</w:t>
            </w:r>
          </w:p>
        </w:tc>
        <w:tc>
          <w:tcPr>
            <w:tcW w:w="0" w:type="auto"/>
            <w:tcBorders>
              <w:top w:val="single" w:sz="4" w:space="0" w:color="auto"/>
              <w:left w:val="single" w:sz="4" w:space="0" w:color="auto"/>
              <w:bottom w:val="single" w:sz="4" w:space="0" w:color="auto"/>
              <w:right w:val="single" w:sz="4" w:space="0" w:color="auto"/>
            </w:tcBorders>
          </w:tcPr>
          <w:p w14:paraId="540E5A7E"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05EB691" w14:textId="77777777" w:rsidR="007D7488" w:rsidRPr="00477B36" w:rsidRDefault="007D7488" w:rsidP="007D7488">
            <w:pPr>
              <w:suppressAutoHyphens w:val="0"/>
              <w:spacing w:line="220" w:lineRule="exact"/>
              <w:jc w:val="center"/>
              <w:rPr>
                <w:sz w:val="18"/>
                <w:szCs w:val="18"/>
                <w:lang w:val="fr-FR"/>
              </w:rPr>
            </w:pPr>
            <w:r w:rsidRPr="00477B36">
              <w:rPr>
                <w:bCs/>
                <w:sz w:val="18"/>
                <w:szCs w:val="18"/>
                <w:lang w:val="fr-FR"/>
              </w:rPr>
              <w:t>Voir</w:t>
            </w:r>
          </w:p>
          <w:p w14:paraId="45B28331" w14:textId="77C1AE12"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6C5FCC75" w14:textId="11BFE9E2"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3233A6A8" w14:textId="05CE336D"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028D4224" w14:textId="52979AB6"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002F2105" w14:textId="1D172836"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2B126A4D"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C84E04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09C412F"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57D6FA1"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48305F3C"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2C26248"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764123B1"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C033EB4" w14:textId="3E42278A"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63896478"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8E02AB5"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A20099C"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0A1D6750"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3AD336CC" w14:textId="0AF3A470"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3EA102B" w14:textId="3FF82538"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557B1637" w14:textId="77777777" w:rsidR="006A6437" w:rsidRPr="00477B36" w:rsidRDefault="006A6437" w:rsidP="006A6437">
            <w:pPr>
              <w:spacing w:line="240" w:lineRule="auto"/>
              <w:jc w:val="center"/>
              <w:rPr>
                <w:sz w:val="18"/>
                <w:szCs w:val="18"/>
                <w:lang w:val="fr-FR" w:eastAsia="zh-CN"/>
              </w:rPr>
            </w:pPr>
          </w:p>
        </w:tc>
      </w:tr>
      <w:tr w:rsidR="001E52BC" w:rsidRPr="00477B36" w14:paraId="5FD759BF" w14:textId="75DCB5C8"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F0F9F2"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3548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A2DE" w14:textId="77777777" w:rsidR="006A6437" w:rsidRPr="00477B36" w:rsidRDefault="006A6437" w:rsidP="006A6437">
            <w:pPr>
              <w:spacing w:line="240" w:lineRule="auto"/>
              <w:rPr>
                <w:sz w:val="18"/>
                <w:szCs w:val="18"/>
                <w:lang w:val="fr-FR" w:eastAsia="zh-CN"/>
              </w:rPr>
            </w:pPr>
            <w:r w:rsidRPr="00477B36">
              <w:rPr>
                <w:sz w:val="18"/>
                <w:szCs w:val="18"/>
                <w:lang w:val="fr-FR" w:eastAsia="zh-CN"/>
              </w:rPr>
              <w:t>OBJETS CONTENANT DES MARCHANDISES DANGEREUSES DIVERSES, N.S.A.</w:t>
            </w:r>
          </w:p>
        </w:tc>
        <w:tc>
          <w:tcPr>
            <w:tcW w:w="0" w:type="auto"/>
            <w:tcBorders>
              <w:top w:val="single" w:sz="4" w:space="0" w:color="auto"/>
              <w:left w:val="single" w:sz="4" w:space="0" w:color="auto"/>
              <w:bottom w:val="single" w:sz="4" w:space="0" w:color="auto"/>
              <w:right w:val="single" w:sz="4" w:space="0" w:color="auto"/>
            </w:tcBorders>
          </w:tcPr>
          <w:p w14:paraId="7A8C462C" w14:textId="782F7A25" w:rsidR="006A6437" w:rsidRPr="00477B36" w:rsidRDefault="006A6437" w:rsidP="006A6437">
            <w:pPr>
              <w:spacing w:line="240" w:lineRule="auto"/>
              <w:jc w:val="center"/>
              <w:rPr>
                <w:sz w:val="18"/>
                <w:szCs w:val="18"/>
                <w:lang w:val="fr-FR" w:eastAsia="zh-CN"/>
              </w:rPr>
            </w:pPr>
            <w:r w:rsidRPr="00477B36">
              <w:rPr>
                <w:sz w:val="18"/>
                <w:szCs w:val="18"/>
                <w:lang w:val="fr-FR"/>
              </w:rPr>
              <w:t>9</w:t>
            </w:r>
          </w:p>
        </w:tc>
        <w:tc>
          <w:tcPr>
            <w:tcW w:w="0" w:type="auto"/>
            <w:tcBorders>
              <w:top w:val="single" w:sz="4" w:space="0" w:color="auto"/>
              <w:left w:val="single" w:sz="4" w:space="0" w:color="auto"/>
              <w:bottom w:val="single" w:sz="4" w:space="0" w:color="auto"/>
              <w:right w:val="single" w:sz="4" w:space="0" w:color="auto"/>
            </w:tcBorders>
          </w:tcPr>
          <w:p w14:paraId="726D06C9" w14:textId="506DE224" w:rsidR="006A6437" w:rsidRPr="00477B36" w:rsidRDefault="006A6437" w:rsidP="006A6437">
            <w:pPr>
              <w:spacing w:line="240" w:lineRule="auto"/>
              <w:jc w:val="center"/>
              <w:rPr>
                <w:sz w:val="18"/>
                <w:szCs w:val="18"/>
                <w:lang w:val="fr-FR" w:eastAsia="zh-CN"/>
              </w:rPr>
            </w:pPr>
            <w:r w:rsidRPr="00477B36">
              <w:rPr>
                <w:bCs/>
                <w:sz w:val="18"/>
                <w:szCs w:val="18"/>
                <w:lang w:val="fr-FR"/>
              </w:rPr>
              <w:t>M11</w:t>
            </w:r>
          </w:p>
        </w:tc>
        <w:tc>
          <w:tcPr>
            <w:tcW w:w="0" w:type="auto"/>
            <w:tcBorders>
              <w:top w:val="single" w:sz="4" w:space="0" w:color="auto"/>
              <w:left w:val="single" w:sz="4" w:space="0" w:color="auto"/>
              <w:bottom w:val="single" w:sz="4" w:space="0" w:color="auto"/>
              <w:right w:val="single" w:sz="4" w:space="0" w:color="auto"/>
            </w:tcBorders>
          </w:tcPr>
          <w:p w14:paraId="5BAA3026"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2894CEE" w14:textId="207A913B" w:rsidR="006A6437" w:rsidRPr="00477B36" w:rsidRDefault="007D7488" w:rsidP="006A6437">
            <w:pPr>
              <w:suppressAutoHyphens w:val="0"/>
              <w:spacing w:line="220" w:lineRule="exact"/>
              <w:jc w:val="center"/>
              <w:rPr>
                <w:sz w:val="18"/>
                <w:szCs w:val="18"/>
                <w:lang w:val="fr-FR"/>
              </w:rPr>
            </w:pPr>
            <w:r w:rsidRPr="00477B36">
              <w:rPr>
                <w:bCs/>
                <w:sz w:val="18"/>
                <w:szCs w:val="18"/>
                <w:lang w:val="fr-FR"/>
              </w:rPr>
              <w:t>Voir</w:t>
            </w:r>
          </w:p>
          <w:p w14:paraId="2B0607A2" w14:textId="085915BD" w:rsidR="006A6437" w:rsidRPr="00477B36" w:rsidRDefault="006A6437" w:rsidP="006A6437">
            <w:pPr>
              <w:spacing w:line="240" w:lineRule="auto"/>
              <w:jc w:val="center"/>
              <w:rPr>
                <w:sz w:val="18"/>
                <w:szCs w:val="18"/>
                <w:lang w:val="fr-FR" w:eastAsia="zh-CN"/>
              </w:rPr>
            </w:pPr>
            <w:r w:rsidRPr="00477B36">
              <w:rPr>
                <w:sz w:val="18"/>
                <w:szCs w:val="18"/>
                <w:lang w:val="fr-FR"/>
              </w:rPr>
              <w:t>5.2.2.1.12</w:t>
            </w:r>
          </w:p>
        </w:tc>
        <w:tc>
          <w:tcPr>
            <w:tcW w:w="0" w:type="auto"/>
            <w:tcBorders>
              <w:top w:val="single" w:sz="4" w:space="0" w:color="auto"/>
              <w:left w:val="single" w:sz="4" w:space="0" w:color="auto"/>
              <w:bottom w:val="single" w:sz="4" w:space="0" w:color="auto"/>
              <w:right w:val="single" w:sz="4" w:space="0" w:color="auto"/>
            </w:tcBorders>
          </w:tcPr>
          <w:p w14:paraId="215FA5EC" w14:textId="20287B21" w:rsidR="006A6437" w:rsidRPr="00477B36" w:rsidRDefault="006A6437" w:rsidP="006217AF">
            <w:pPr>
              <w:suppressAutoHyphens w:val="0"/>
              <w:spacing w:line="220" w:lineRule="exact"/>
              <w:jc w:val="center"/>
              <w:rPr>
                <w:sz w:val="18"/>
                <w:szCs w:val="18"/>
                <w:lang w:val="fr-FR" w:eastAsia="zh-CN"/>
              </w:rPr>
            </w:pPr>
            <w:r w:rsidRPr="00477B36">
              <w:rPr>
                <w:sz w:val="18"/>
                <w:szCs w:val="18"/>
                <w:lang w:val="fr-FR"/>
              </w:rPr>
              <w:t>274</w:t>
            </w:r>
            <w:r w:rsidRPr="00477B36">
              <w:rPr>
                <w:sz w:val="18"/>
                <w:szCs w:val="18"/>
                <w:lang w:val="fr-FR"/>
              </w:rPr>
              <w:br/>
              <w:t>667</w:t>
            </w:r>
            <w:r w:rsidRPr="00477B36">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14:paraId="6D6D20EE" w14:textId="0B95D884" w:rsidR="006A6437" w:rsidRPr="00477B36" w:rsidRDefault="006A6437" w:rsidP="006A6437">
            <w:pPr>
              <w:spacing w:line="240" w:lineRule="auto"/>
              <w:jc w:val="center"/>
              <w:rPr>
                <w:sz w:val="18"/>
                <w:szCs w:val="18"/>
                <w:lang w:val="fr-FR" w:eastAsia="zh-CN"/>
              </w:rPr>
            </w:pPr>
            <w:r w:rsidRPr="00477B36">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14:paraId="0E952E45" w14:textId="0EA00989" w:rsidR="006A6437" w:rsidRPr="00477B36" w:rsidRDefault="006A6437" w:rsidP="006A6437">
            <w:pPr>
              <w:spacing w:line="240" w:lineRule="auto"/>
              <w:jc w:val="center"/>
              <w:rPr>
                <w:sz w:val="18"/>
                <w:szCs w:val="18"/>
                <w:lang w:val="fr-FR" w:eastAsia="zh-CN"/>
              </w:rPr>
            </w:pPr>
            <w:r w:rsidRPr="00477B36">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14:paraId="0C1CBE73" w14:textId="2C9A8E7C" w:rsidR="006A6437" w:rsidRPr="00477B36" w:rsidRDefault="006A6437" w:rsidP="006A6437">
            <w:pPr>
              <w:spacing w:line="240" w:lineRule="auto"/>
              <w:jc w:val="center"/>
              <w:rPr>
                <w:sz w:val="18"/>
                <w:szCs w:val="18"/>
                <w:lang w:val="fr-FR" w:eastAsia="zh-CN"/>
              </w:rPr>
            </w:pPr>
            <w:r w:rsidRPr="00477B36">
              <w:rPr>
                <w:sz w:val="18"/>
                <w:szCs w:val="18"/>
                <w:lang w:val="fr-FR"/>
              </w:rPr>
              <w:t>P006</w:t>
            </w:r>
            <w:r w:rsidRPr="00477B36">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14:paraId="45C2E9C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18FC41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361D0A3"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3A8DDED9"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FAAF84E"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D04C180"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A7FF40A"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69C1E15F" w14:textId="60AD3498" w:rsidR="006A6437" w:rsidRPr="00477B36" w:rsidRDefault="006A6437" w:rsidP="001E52BC">
            <w:pPr>
              <w:suppressAutoHyphens w:val="0"/>
              <w:spacing w:line="200" w:lineRule="exact"/>
              <w:jc w:val="center"/>
              <w:rPr>
                <w:sz w:val="18"/>
                <w:szCs w:val="18"/>
                <w:lang w:val="fr-FR" w:eastAsia="zh-CN"/>
              </w:rPr>
            </w:pPr>
            <w:r w:rsidRPr="00477B36">
              <w:rPr>
                <w:sz w:val="18"/>
                <w:szCs w:val="18"/>
                <w:lang w:val="fr-FR" w:eastAsia="en-GB"/>
              </w:rPr>
              <w:t>4</w:t>
            </w:r>
            <w:r w:rsidRPr="00477B36">
              <w:rPr>
                <w:sz w:val="18"/>
                <w:szCs w:val="18"/>
                <w:lang w:val="fr-FR" w:eastAsia="en-GB"/>
              </w:rPr>
              <w:br/>
              <w:t>(E)</w:t>
            </w:r>
          </w:p>
        </w:tc>
        <w:tc>
          <w:tcPr>
            <w:tcW w:w="0" w:type="auto"/>
            <w:tcBorders>
              <w:top w:val="single" w:sz="4" w:space="0" w:color="auto"/>
              <w:left w:val="single" w:sz="4" w:space="0" w:color="auto"/>
              <w:bottom w:val="single" w:sz="4" w:space="0" w:color="auto"/>
              <w:right w:val="single" w:sz="4" w:space="0" w:color="auto"/>
            </w:tcBorders>
          </w:tcPr>
          <w:p w14:paraId="4DEFED20"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868C8E2" w14:textId="77777777"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03F37B5C"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CV13</w:t>
            </w:r>
          </w:p>
          <w:p w14:paraId="2ED0333E" w14:textId="77777777" w:rsidR="006A6437" w:rsidRPr="00477B36" w:rsidRDefault="006A6437" w:rsidP="006A6437">
            <w:pPr>
              <w:suppressAutoHyphens w:val="0"/>
              <w:spacing w:line="200" w:lineRule="exact"/>
              <w:jc w:val="center"/>
              <w:rPr>
                <w:sz w:val="18"/>
                <w:szCs w:val="18"/>
                <w:lang w:val="fr-FR"/>
              </w:rPr>
            </w:pPr>
            <w:r w:rsidRPr="00477B36">
              <w:rPr>
                <w:sz w:val="18"/>
                <w:szCs w:val="18"/>
                <w:lang w:val="fr-FR"/>
              </w:rPr>
              <w:t>CV28</w:t>
            </w:r>
          </w:p>
          <w:p w14:paraId="36EF3AED" w14:textId="6FC7A7D2"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12B4721D" w14:textId="597E261D" w:rsidR="006A6437" w:rsidRPr="00477B36" w:rsidRDefault="006A6437" w:rsidP="006A6437">
            <w:pPr>
              <w:spacing w:line="240" w:lineRule="auto"/>
              <w:jc w:val="center"/>
              <w:rPr>
                <w:sz w:val="18"/>
                <w:szCs w:val="18"/>
                <w:lang w:val="fr-FR" w:eastAsia="zh-CN"/>
              </w:rPr>
            </w:pPr>
          </w:p>
        </w:tc>
        <w:tc>
          <w:tcPr>
            <w:tcW w:w="0" w:type="auto"/>
            <w:tcBorders>
              <w:top w:val="single" w:sz="4" w:space="0" w:color="auto"/>
              <w:left w:val="single" w:sz="4" w:space="0" w:color="auto"/>
              <w:bottom w:val="single" w:sz="4" w:space="0" w:color="auto"/>
              <w:right w:val="single" w:sz="4" w:space="0" w:color="auto"/>
            </w:tcBorders>
          </w:tcPr>
          <w:p w14:paraId="2F8A781C" w14:textId="77777777" w:rsidR="006A6437" w:rsidRPr="00477B36" w:rsidRDefault="006A6437" w:rsidP="006A6437">
            <w:pPr>
              <w:spacing w:line="240" w:lineRule="auto"/>
              <w:jc w:val="center"/>
              <w:rPr>
                <w:sz w:val="18"/>
                <w:szCs w:val="18"/>
                <w:lang w:val="fr-FR" w:eastAsia="zh-CN"/>
              </w:rPr>
            </w:pPr>
          </w:p>
        </w:tc>
      </w:tr>
    </w:tbl>
    <w:p w14:paraId="6A492CE5" w14:textId="77777777" w:rsidR="001662B3" w:rsidRPr="00477B36" w:rsidRDefault="001662B3" w:rsidP="00196C06">
      <w:pPr>
        <w:pStyle w:val="H1G"/>
        <w:rPr>
          <w:lang w:val="fr-FR"/>
        </w:rPr>
        <w:sectPr w:rsidR="001662B3" w:rsidRPr="00477B36" w:rsidSect="001662B3">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pPr>
    </w:p>
    <w:p w14:paraId="320BADAF" w14:textId="57869942" w:rsidR="00196C06" w:rsidRPr="00927FA1" w:rsidRDefault="00196C06" w:rsidP="00196C06">
      <w:pPr>
        <w:pStyle w:val="H1G"/>
        <w:rPr>
          <w:lang w:val="fr-FR"/>
        </w:rPr>
      </w:pPr>
      <w:r w:rsidRPr="00927FA1">
        <w:rPr>
          <w:lang w:val="fr-FR"/>
        </w:rPr>
        <w:lastRenderedPageBreak/>
        <w:tab/>
      </w:r>
      <w:r w:rsidRPr="00927FA1">
        <w:rPr>
          <w:lang w:val="fr-FR"/>
        </w:rPr>
        <w:tab/>
        <w:t>Chapitre 3.3</w:t>
      </w:r>
    </w:p>
    <w:p w14:paraId="61BC31EA" w14:textId="45647968" w:rsidR="00972698" w:rsidRPr="00927FA1" w:rsidRDefault="00972698" w:rsidP="00972698">
      <w:pPr>
        <w:pStyle w:val="SingleTxtG"/>
        <w:rPr>
          <w:lang w:val="fr-FR"/>
        </w:rPr>
      </w:pPr>
      <w:r w:rsidRPr="00927FA1">
        <w:rPr>
          <w:lang w:val="fr-FR"/>
        </w:rPr>
        <w:t>3.3.1</w:t>
      </w:r>
      <w:r w:rsidRPr="00927FA1">
        <w:rPr>
          <w:lang w:val="fr-FR"/>
        </w:rPr>
        <w:tab/>
        <w:t>Dans la troisième phrase, remplacer «</w:t>
      </w:r>
      <w:r w:rsidR="007D7488" w:rsidRPr="00927FA1">
        <w:rPr>
          <w:lang w:val="fr-FR"/>
        </w:rPr>
        <w:t> </w:t>
      </w:r>
      <w:r w:rsidRPr="00927FA1">
        <w:rPr>
          <w:lang w:val="fr-FR"/>
        </w:rPr>
        <w:t xml:space="preserve">comme </w:t>
      </w:r>
      <w:r w:rsidR="007D7488" w:rsidRPr="00927FA1">
        <w:rPr>
          <w:lang w:val="fr-FR"/>
        </w:rPr>
        <w:t>"</w:t>
      </w:r>
      <w:r w:rsidRPr="00927FA1">
        <w:rPr>
          <w:lang w:val="fr-FR"/>
        </w:rPr>
        <w:t>Piles au lithium endommagées</w:t>
      </w:r>
      <w:r w:rsidR="007D7488" w:rsidRPr="00927FA1">
        <w:rPr>
          <w:lang w:val="fr-FR"/>
        </w:rPr>
        <w:t>"</w:t>
      </w:r>
      <w:r w:rsidR="00867522" w:rsidRPr="00927FA1">
        <w:rPr>
          <w:lang w:val="fr-FR"/>
        </w:rPr>
        <w:t> </w:t>
      </w:r>
      <w:r w:rsidRPr="00927FA1">
        <w:rPr>
          <w:lang w:val="fr-FR"/>
        </w:rPr>
        <w:t>» par «</w:t>
      </w:r>
      <w:r w:rsidR="007D7488" w:rsidRPr="00927FA1">
        <w:rPr>
          <w:lang w:val="fr-FR"/>
        </w:rPr>
        <w:t> </w:t>
      </w:r>
      <w:r w:rsidRPr="00927FA1">
        <w:rPr>
          <w:lang w:val="fr-FR"/>
        </w:rPr>
        <w:t xml:space="preserve">comme </w:t>
      </w:r>
      <w:r w:rsidR="007D7488" w:rsidRPr="00927FA1">
        <w:rPr>
          <w:lang w:val="fr-FR"/>
        </w:rPr>
        <w:t>"</w:t>
      </w:r>
      <w:r w:rsidRPr="00927FA1">
        <w:rPr>
          <w:lang w:val="fr-FR"/>
        </w:rPr>
        <w:t>PILES AU LITHIUM POUR ÉLIMINATION</w:t>
      </w:r>
      <w:r w:rsidR="007D7488" w:rsidRPr="00927FA1">
        <w:rPr>
          <w:lang w:val="fr-FR"/>
        </w:rPr>
        <w:t>"</w:t>
      </w:r>
      <w:r w:rsidR="00867522" w:rsidRPr="00927FA1">
        <w:rPr>
          <w:lang w:val="fr-FR"/>
        </w:rPr>
        <w:t> </w:t>
      </w:r>
      <w:r w:rsidRPr="00927FA1">
        <w:rPr>
          <w:lang w:val="fr-FR"/>
        </w:rPr>
        <w:t>».</w:t>
      </w:r>
    </w:p>
    <w:p w14:paraId="0512E287" w14:textId="6D545C64" w:rsidR="00196C06" w:rsidRPr="00927FA1" w:rsidRDefault="00196C06" w:rsidP="00196C06">
      <w:pPr>
        <w:pStyle w:val="SingleTxtG"/>
        <w:rPr>
          <w:lang w:val="fr-FR"/>
        </w:rPr>
      </w:pPr>
      <w:r w:rsidRPr="00927FA1">
        <w:rPr>
          <w:lang w:val="fr-FR" w:eastAsia="en-GB"/>
        </w:rPr>
        <w:t>Disposition spéciale 23</w:t>
      </w:r>
      <w:r w:rsidRPr="00927FA1">
        <w:rPr>
          <w:lang w:val="fr-FR" w:eastAsia="en-GB"/>
        </w:rPr>
        <w:tab/>
      </w:r>
      <w:r w:rsidRPr="00927FA1">
        <w:rPr>
          <w:lang w:val="fr-FR"/>
        </w:rPr>
        <w:t>Remplacer «</w:t>
      </w:r>
      <w:r w:rsidR="007D7488" w:rsidRPr="00927FA1">
        <w:rPr>
          <w:lang w:val="fr-FR"/>
        </w:rPr>
        <w:t> </w:t>
      </w:r>
      <w:r w:rsidRPr="00927FA1">
        <w:rPr>
          <w:lang w:val="fr-FR"/>
        </w:rPr>
        <w:t>risque d’inflammabilité</w:t>
      </w:r>
      <w:r w:rsidR="007D7488" w:rsidRPr="00927FA1">
        <w:rPr>
          <w:lang w:val="fr-FR"/>
        </w:rPr>
        <w:t> </w:t>
      </w:r>
      <w:r w:rsidRPr="00927FA1">
        <w:rPr>
          <w:lang w:val="fr-FR"/>
        </w:rPr>
        <w:t>» par «</w:t>
      </w:r>
      <w:r w:rsidR="007D7488" w:rsidRPr="00927FA1">
        <w:rPr>
          <w:lang w:val="fr-FR"/>
        </w:rPr>
        <w:t> </w:t>
      </w:r>
      <w:r w:rsidRPr="00927FA1">
        <w:rPr>
          <w:lang w:val="fr-FR"/>
        </w:rPr>
        <w:t>danger d’inflammabilité</w:t>
      </w:r>
      <w:r w:rsidR="007D7488" w:rsidRPr="00927FA1">
        <w:rPr>
          <w:lang w:val="fr-FR"/>
        </w:rPr>
        <w:t> </w:t>
      </w:r>
      <w:r w:rsidRPr="00927FA1">
        <w:rPr>
          <w:lang w:val="fr-FR"/>
        </w:rPr>
        <w:t>».</w:t>
      </w:r>
    </w:p>
    <w:p w14:paraId="6301D488" w14:textId="179DD4DB" w:rsidR="00196C06" w:rsidRPr="00927FA1" w:rsidRDefault="00196C06" w:rsidP="00196C06">
      <w:pPr>
        <w:spacing w:before="120" w:after="120" w:line="240" w:lineRule="auto"/>
        <w:ind w:left="1134" w:right="1134"/>
        <w:jc w:val="both"/>
        <w:rPr>
          <w:lang w:val="fr-FR" w:eastAsia="en-GB"/>
        </w:rPr>
      </w:pPr>
      <w:r w:rsidRPr="00927FA1">
        <w:rPr>
          <w:lang w:val="fr-FR"/>
        </w:rPr>
        <w:t>Disposition spéciale 61</w:t>
      </w:r>
      <w:r w:rsidRPr="00927FA1">
        <w:rPr>
          <w:lang w:val="fr-FR"/>
        </w:rPr>
        <w:tab/>
        <w:t>Remplacer «</w:t>
      </w:r>
      <w:r w:rsidR="007D7488" w:rsidRPr="00927FA1">
        <w:rPr>
          <w:lang w:val="fr-FR"/>
        </w:rPr>
        <w:t> </w:t>
      </w:r>
      <w:r w:rsidRPr="00927FA1">
        <w:rPr>
          <w:lang w:val="fr-FR"/>
        </w:rPr>
        <w:t>risque</w:t>
      </w:r>
      <w:r w:rsidR="007D7488" w:rsidRPr="00927FA1">
        <w:rPr>
          <w:lang w:val="fr-FR"/>
        </w:rPr>
        <w:t> </w:t>
      </w:r>
      <w:r w:rsidRPr="00927FA1">
        <w:rPr>
          <w:lang w:val="fr-FR"/>
        </w:rPr>
        <w:t>» par «</w:t>
      </w:r>
      <w:r w:rsidR="007D7488" w:rsidRPr="00927FA1">
        <w:rPr>
          <w:lang w:val="fr-FR"/>
        </w:rPr>
        <w:t> </w:t>
      </w:r>
      <w:r w:rsidRPr="00927FA1">
        <w:rPr>
          <w:lang w:val="fr-FR"/>
        </w:rPr>
        <w:t>danger</w:t>
      </w:r>
      <w:r w:rsidR="007D7488" w:rsidRPr="00927FA1">
        <w:rPr>
          <w:lang w:val="fr-FR"/>
        </w:rPr>
        <w:t> </w:t>
      </w:r>
      <w:r w:rsidRPr="00927FA1">
        <w:rPr>
          <w:lang w:val="fr-FR"/>
        </w:rPr>
        <w:t>» et ajouter «</w:t>
      </w:r>
      <w:r w:rsidR="00927FA1" w:rsidRPr="00927FA1">
        <w:rPr>
          <w:lang w:val="fr-FR"/>
        </w:rPr>
        <w:t> </w:t>
      </w:r>
      <w:r w:rsidRPr="00927FA1">
        <w:rPr>
          <w:lang w:val="fr-FR"/>
        </w:rPr>
        <w:t>(The WHO recommended classification of pesticides by hazard and guidelines to classification)</w:t>
      </w:r>
      <w:r w:rsidR="00927FA1" w:rsidRPr="00927FA1">
        <w:rPr>
          <w:lang w:val="fr-FR"/>
        </w:rPr>
        <w:t> </w:t>
      </w:r>
      <w:r w:rsidRPr="00927FA1">
        <w:rPr>
          <w:lang w:val="fr-FR"/>
        </w:rPr>
        <w:t>» avant «</w:t>
      </w:r>
      <w:r w:rsidR="007D7488" w:rsidRPr="00927FA1">
        <w:rPr>
          <w:lang w:val="fr-FR"/>
        </w:rPr>
        <w:t> </w:t>
      </w:r>
      <w:r w:rsidRPr="00927FA1">
        <w:rPr>
          <w:lang w:val="fr-FR"/>
        </w:rPr>
        <w:t>ou le nom de la matière</w:t>
      </w:r>
      <w:r w:rsidR="007D7488" w:rsidRPr="00927FA1">
        <w:rPr>
          <w:lang w:val="fr-FR"/>
        </w:rPr>
        <w:t> </w:t>
      </w:r>
      <w:r w:rsidRPr="00927FA1">
        <w:rPr>
          <w:lang w:val="fr-FR"/>
        </w:rPr>
        <w:t>».</w:t>
      </w:r>
    </w:p>
    <w:p w14:paraId="5F212A35" w14:textId="6A9699E8" w:rsidR="00196C06" w:rsidRPr="00927FA1" w:rsidRDefault="00196C06" w:rsidP="00196C06">
      <w:pPr>
        <w:spacing w:before="120" w:after="120" w:line="240" w:lineRule="auto"/>
        <w:ind w:left="1134" w:right="1134"/>
        <w:jc w:val="both"/>
        <w:rPr>
          <w:lang w:val="fr-FR" w:eastAsia="en-GB"/>
        </w:rPr>
      </w:pPr>
      <w:r w:rsidRPr="00927FA1">
        <w:rPr>
          <w:lang w:val="fr-FR" w:eastAsia="en-GB"/>
        </w:rPr>
        <w:t>Disposition spéciale 122</w:t>
      </w:r>
      <w:r w:rsidRPr="00927FA1">
        <w:rPr>
          <w:lang w:val="fr-FR" w:eastAsia="en-GB"/>
        </w:rPr>
        <w:tab/>
        <w:t>Remplacer «</w:t>
      </w:r>
      <w:r w:rsidR="007D7488" w:rsidRPr="00927FA1">
        <w:rPr>
          <w:lang w:val="fr-FR"/>
        </w:rPr>
        <w:t> </w:t>
      </w:r>
      <w:r w:rsidRPr="00927FA1">
        <w:rPr>
          <w:lang w:val="fr-FR" w:eastAsia="en-GB"/>
        </w:rPr>
        <w:t>risques</w:t>
      </w:r>
      <w:r w:rsidR="007D7488" w:rsidRPr="00927FA1">
        <w:rPr>
          <w:lang w:val="fr-FR"/>
        </w:rPr>
        <w:t> </w:t>
      </w:r>
      <w:r w:rsidRPr="00927FA1">
        <w:rPr>
          <w:lang w:val="fr-FR" w:eastAsia="en-GB"/>
        </w:rPr>
        <w:t>» par «</w:t>
      </w:r>
      <w:r w:rsidR="007D7488" w:rsidRPr="00927FA1">
        <w:rPr>
          <w:lang w:val="fr-FR"/>
        </w:rPr>
        <w:t> </w:t>
      </w:r>
      <w:r w:rsidRPr="00927FA1">
        <w:rPr>
          <w:lang w:val="fr-FR" w:eastAsia="en-GB"/>
        </w:rPr>
        <w:t>dangers</w:t>
      </w:r>
      <w:r w:rsidR="007D7488" w:rsidRPr="00927FA1">
        <w:rPr>
          <w:lang w:val="fr-FR"/>
        </w:rPr>
        <w:t> </w:t>
      </w:r>
      <w:r w:rsidRPr="00927FA1">
        <w:rPr>
          <w:lang w:val="fr-FR" w:eastAsia="en-GB"/>
        </w:rPr>
        <w:t>».</w:t>
      </w:r>
    </w:p>
    <w:p w14:paraId="5644FB80" w14:textId="4A74C84D" w:rsidR="00196C06" w:rsidRPr="00927FA1" w:rsidRDefault="00196C06" w:rsidP="00196C06">
      <w:pPr>
        <w:tabs>
          <w:tab w:val="left" w:pos="3402"/>
        </w:tabs>
        <w:spacing w:before="120" w:after="120" w:line="240" w:lineRule="auto"/>
        <w:ind w:left="1134" w:right="1134"/>
        <w:jc w:val="both"/>
        <w:rPr>
          <w:lang w:val="fr-FR" w:eastAsia="en-GB"/>
        </w:rPr>
      </w:pPr>
      <w:r w:rsidRPr="00927FA1">
        <w:rPr>
          <w:lang w:val="fr-FR" w:eastAsia="en-GB"/>
        </w:rPr>
        <w:t>Disposition spéciale 172</w:t>
      </w:r>
      <w:r w:rsidRPr="00927FA1">
        <w:rPr>
          <w:lang w:val="fr-FR" w:eastAsia="en-GB"/>
        </w:rPr>
        <w:tab/>
      </w:r>
      <w:r w:rsidR="001928AE" w:rsidRPr="00927FA1">
        <w:rPr>
          <w:lang w:val="fr-FR" w:eastAsia="en-GB"/>
        </w:rPr>
        <w:t xml:space="preserve">Dans la phrase d’introduction, et aux alinéas a), b) (deux fois) et d) </w:t>
      </w:r>
      <w:r w:rsidRPr="00927FA1">
        <w:rPr>
          <w:lang w:val="fr-FR" w:eastAsia="en-GB"/>
        </w:rPr>
        <w:t>Remplacer «</w:t>
      </w:r>
      <w:r w:rsidR="007D7488" w:rsidRPr="00927FA1">
        <w:rPr>
          <w:lang w:val="fr-FR"/>
        </w:rPr>
        <w:t> </w:t>
      </w:r>
      <w:r w:rsidRPr="00927FA1">
        <w:rPr>
          <w:lang w:val="fr-FR" w:eastAsia="en-GB"/>
        </w:rPr>
        <w:t>risque</w:t>
      </w:r>
      <w:r w:rsidR="007D7488" w:rsidRPr="00927FA1">
        <w:rPr>
          <w:lang w:val="fr-FR"/>
        </w:rPr>
        <w:t> </w:t>
      </w:r>
      <w:r w:rsidRPr="00927FA1">
        <w:rPr>
          <w:lang w:val="fr-FR" w:eastAsia="en-GB"/>
        </w:rPr>
        <w:t>» par «</w:t>
      </w:r>
      <w:r w:rsidR="007D7488" w:rsidRPr="00927FA1">
        <w:rPr>
          <w:lang w:val="fr-FR"/>
        </w:rPr>
        <w:t> </w:t>
      </w:r>
      <w:r w:rsidRPr="00927FA1">
        <w:rPr>
          <w:lang w:val="fr-FR" w:eastAsia="en-GB"/>
        </w:rPr>
        <w:t>danger</w:t>
      </w:r>
      <w:r w:rsidR="007D7488" w:rsidRPr="00927FA1">
        <w:rPr>
          <w:lang w:val="fr-FR"/>
        </w:rPr>
        <w:t> </w:t>
      </w:r>
      <w:r w:rsidRPr="00927FA1">
        <w:rPr>
          <w:lang w:val="fr-FR" w:eastAsia="en-GB"/>
        </w:rPr>
        <w:t>»</w:t>
      </w:r>
      <w:r w:rsidR="001928AE" w:rsidRPr="00927FA1">
        <w:rPr>
          <w:lang w:val="fr-FR" w:eastAsia="en-GB"/>
        </w:rPr>
        <w:t>.</w:t>
      </w:r>
      <w:r w:rsidR="007D7488" w:rsidRPr="00927FA1">
        <w:rPr>
          <w:lang w:val="fr-FR" w:eastAsia="en-GB"/>
        </w:rPr>
        <w:t xml:space="preserve"> </w:t>
      </w:r>
      <w:r w:rsidR="001928AE" w:rsidRPr="00927FA1">
        <w:rPr>
          <w:lang w:val="fr-FR" w:eastAsia="en-GB"/>
        </w:rPr>
        <w:t xml:space="preserve">À l’alinéa </w:t>
      </w:r>
      <w:r w:rsidRPr="00927FA1">
        <w:rPr>
          <w:lang w:val="fr-FR" w:eastAsia="en-GB"/>
        </w:rPr>
        <w:t>c), remplacer «</w:t>
      </w:r>
      <w:r w:rsidR="007D7488" w:rsidRPr="00927FA1">
        <w:rPr>
          <w:lang w:val="fr-FR"/>
        </w:rPr>
        <w:t> </w:t>
      </w:r>
      <w:r w:rsidRPr="00927FA1">
        <w:rPr>
          <w:lang w:val="fr-FR" w:eastAsia="en-GB"/>
        </w:rPr>
        <w:t>risque(s)</w:t>
      </w:r>
      <w:r w:rsidR="007D7488" w:rsidRPr="00927FA1">
        <w:rPr>
          <w:lang w:val="fr-FR"/>
        </w:rPr>
        <w:t> </w:t>
      </w:r>
      <w:r w:rsidRPr="00927FA1">
        <w:rPr>
          <w:lang w:val="fr-FR" w:eastAsia="en-GB"/>
        </w:rPr>
        <w:t>» par «</w:t>
      </w:r>
      <w:r w:rsidR="007D7488" w:rsidRPr="00927FA1">
        <w:rPr>
          <w:lang w:val="fr-FR"/>
        </w:rPr>
        <w:t> </w:t>
      </w:r>
      <w:r w:rsidRPr="00927FA1">
        <w:rPr>
          <w:lang w:val="fr-FR" w:eastAsia="en-GB"/>
        </w:rPr>
        <w:t>danger(s)</w:t>
      </w:r>
      <w:r w:rsidR="007D7488" w:rsidRPr="00927FA1">
        <w:rPr>
          <w:lang w:val="fr-FR"/>
        </w:rPr>
        <w:t> </w:t>
      </w:r>
      <w:r w:rsidRPr="00927FA1">
        <w:rPr>
          <w:lang w:val="fr-FR" w:eastAsia="en-GB"/>
        </w:rPr>
        <w:t>».</w:t>
      </w:r>
    </w:p>
    <w:p w14:paraId="450302C6" w14:textId="696A9F77" w:rsidR="00754218" w:rsidRPr="00927FA1" w:rsidRDefault="00754218" w:rsidP="00754218">
      <w:pPr>
        <w:pStyle w:val="SingleTxtG"/>
        <w:rPr>
          <w:lang w:val="fr-FR"/>
        </w:rPr>
      </w:pPr>
      <w:r w:rsidRPr="00927FA1">
        <w:rPr>
          <w:lang w:val="fr-FR"/>
        </w:rPr>
        <w:t>Supprimer la disposition spéciale 186 et ajouter: «</w:t>
      </w:r>
      <w:r w:rsidR="007D7488" w:rsidRPr="00927FA1">
        <w:rPr>
          <w:lang w:val="fr-FR"/>
        </w:rPr>
        <w:t> </w:t>
      </w:r>
      <w:r w:rsidRPr="00927FA1">
        <w:rPr>
          <w:lang w:val="fr-FR"/>
        </w:rPr>
        <w:t>186</w:t>
      </w:r>
      <w:r w:rsidRPr="00927FA1">
        <w:rPr>
          <w:lang w:val="fr-FR"/>
        </w:rPr>
        <w:tab/>
      </w:r>
      <w:r w:rsidRPr="00927FA1">
        <w:rPr>
          <w:i/>
          <w:lang w:val="fr-FR"/>
        </w:rPr>
        <w:t>(Supprimé)</w:t>
      </w:r>
      <w:r w:rsidR="007D7488" w:rsidRPr="00927FA1">
        <w:rPr>
          <w:lang w:val="fr-FR"/>
        </w:rPr>
        <w:t> </w:t>
      </w:r>
      <w:r w:rsidRPr="00927FA1">
        <w:rPr>
          <w:lang w:val="fr-FR"/>
        </w:rPr>
        <w:t>».</w:t>
      </w:r>
    </w:p>
    <w:p w14:paraId="18B1829A" w14:textId="43DBFBDE" w:rsidR="0063441B" w:rsidRPr="00927FA1" w:rsidRDefault="0063441B" w:rsidP="00196C06">
      <w:pPr>
        <w:spacing w:before="120" w:after="120" w:line="240" w:lineRule="auto"/>
        <w:ind w:left="1134" w:right="1134"/>
        <w:jc w:val="both"/>
        <w:rPr>
          <w:lang w:val="fr-FR"/>
        </w:rPr>
      </w:pPr>
      <w:r w:rsidRPr="00927FA1">
        <w:rPr>
          <w:lang w:val="fr-FR"/>
        </w:rPr>
        <w:t>Disposition spéciale 188 a) et b)</w:t>
      </w:r>
      <w:r w:rsidRPr="00927FA1">
        <w:rPr>
          <w:lang w:val="fr-FR"/>
        </w:rPr>
        <w:tab/>
        <w:t>Ajouter le nouveau Nota suivant :</w:t>
      </w:r>
    </w:p>
    <w:p w14:paraId="695A52BB" w14:textId="4A3D8A0C" w:rsidR="0063441B" w:rsidRPr="00927FA1" w:rsidRDefault="0063441B" w:rsidP="00196C06">
      <w:pPr>
        <w:spacing w:before="120" w:after="120" w:line="240" w:lineRule="auto"/>
        <w:ind w:left="1134" w:right="1134"/>
        <w:jc w:val="both"/>
        <w:rPr>
          <w:lang w:val="fr-FR"/>
        </w:rPr>
      </w:pPr>
      <w:r w:rsidRPr="00927FA1">
        <w:rPr>
          <w:lang w:val="fr-FR"/>
        </w:rPr>
        <w:t>« </w:t>
      </w:r>
      <w:r w:rsidRPr="00927FA1">
        <w:rPr>
          <w:b/>
          <w:i/>
          <w:lang w:val="fr-FR"/>
        </w:rPr>
        <w:t>NOTA:</w:t>
      </w:r>
      <w:r w:rsidRPr="00927FA1">
        <w:rPr>
          <w:i/>
          <w:lang w:val="fr-FR"/>
        </w:rPr>
        <w:t xml:space="preserve"> Lorsque les batteries au lithium </w:t>
      </w:r>
      <w:r w:rsidR="003C18BF">
        <w:rPr>
          <w:i/>
          <w:lang w:val="fr-FR"/>
        </w:rPr>
        <w:t xml:space="preserve">conformes </w:t>
      </w:r>
      <w:r w:rsidRPr="00927FA1">
        <w:rPr>
          <w:i/>
          <w:lang w:val="fr-FR"/>
        </w:rPr>
        <w:t>au 2.2.9.1.7</w:t>
      </w:r>
      <w:r w:rsidR="003C18BF" w:rsidRPr="003C18BF">
        <w:rPr>
          <w:i/>
          <w:lang w:val="fr-FR"/>
        </w:rPr>
        <w:t xml:space="preserve"> </w:t>
      </w:r>
      <w:r w:rsidR="003C18BF">
        <w:rPr>
          <w:i/>
          <w:lang w:val="fr-FR"/>
        </w:rPr>
        <w:t xml:space="preserve">f) </w:t>
      </w:r>
      <w:r w:rsidR="003C18BF" w:rsidRPr="00927FA1">
        <w:rPr>
          <w:i/>
          <w:lang w:val="fr-FR"/>
        </w:rPr>
        <w:t>sont transportées</w:t>
      </w:r>
      <w:r w:rsidR="003C18BF">
        <w:rPr>
          <w:i/>
          <w:lang w:val="fr-FR"/>
        </w:rPr>
        <w:t xml:space="preserve"> conformément à la présente disposition spéciale</w:t>
      </w:r>
      <w:r w:rsidRPr="00927FA1">
        <w:rPr>
          <w:i/>
          <w:lang w:val="fr-FR"/>
        </w:rPr>
        <w:t>, la teneur totale en lithium de toutes les piles au lithium métal contenues dans la batterie ne doit pas dépasser 1,5 g et la capacité totale de toutes les piles au lithium ionique contenues dans la batterie ne doit pas dépasser 10 Wh (voir disposition spéciale 387).</w:t>
      </w:r>
      <w:r w:rsidRPr="00927FA1">
        <w:rPr>
          <w:lang w:val="fr-FR"/>
        </w:rPr>
        <w:t> ».</w:t>
      </w:r>
    </w:p>
    <w:p w14:paraId="0C119386" w14:textId="24AE72A8" w:rsidR="0063441B" w:rsidRPr="00CA4E32" w:rsidRDefault="0063441B" w:rsidP="00965D2A">
      <w:pPr>
        <w:pStyle w:val="SingleTxtG"/>
        <w:rPr>
          <w:lang w:val="fr-FR"/>
        </w:rPr>
      </w:pPr>
      <w:r w:rsidRPr="00CA4E32">
        <w:rPr>
          <w:lang w:val="fr-FR"/>
        </w:rPr>
        <w:t>Disposition spéciale 18</w:t>
      </w:r>
      <w:r w:rsidR="00444D01">
        <w:rPr>
          <w:lang w:val="fr-FR"/>
        </w:rPr>
        <w:t>8 c)</w:t>
      </w:r>
      <w:r w:rsidR="007D7488" w:rsidRPr="00CA4E32">
        <w:rPr>
          <w:lang w:val="fr-FR"/>
        </w:rPr>
        <w:tab/>
      </w:r>
      <w:r w:rsidR="00E65F32" w:rsidRPr="00CA4E32">
        <w:rPr>
          <w:lang w:val="fr-FR"/>
        </w:rPr>
        <w:t>Remplacer « 2.2.9.1.7 a) et e) » par « 2.2.9.1.7 a), e), f) le cas échéant et g) ».</w:t>
      </w:r>
    </w:p>
    <w:p w14:paraId="72EEA7F7" w14:textId="5FC70EA9" w:rsidR="00196C06" w:rsidRPr="00927FA1" w:rsidRDefault="00444D01" w:rsidP="00196C06">
      <w:pPr>
        <w:spacing w:before="120" w:after="120" w:line="240" w:lineRule="auto"/>
        <w:ind w:left="1134" w:right="1134"/>
        <w:jc w:val="both"/>
        <w:rPr>
          <w:lang w:val="fr-FR"/>
        </w:rPr>
      </w:pPr>
      <w:r>
        <w:rPr>
          <w:lang w:val="fr-FR"/>
        </w:rPr>
        <w:t>Disposition spéciale 188 d)</w:t>
      </w:r>
      <w:r w:rsidR="00196C06" w:rsidRPr="00927FA1">
        <w:rPr>
          <w:lang w:val="fr-FR"/>
        </w:rPr>
        <w:tab/>
        <w:t>Remplacer «</w:t>
      </w:r>
      <w:r w:rsidR="007D7488" w:rsidRPr="00927FA1">
        <w:rPr>
          <w:lang w:val="fr-FR"/>
        </w:rPr>
        <w:t> </w:t>
      </w:r>
      <w:r w:rsidR="00196C06" w:rsidRPr="00927FA1">
        <w:rPr>
          <w:lang w:val="fr-FR"/>
        </w:rPr>
        <w:t>protection contre les contacts avec des matériaux conducteurs</w:t>
      </w:r>
      <w:r w:rsidR="007D7488" w:rsidRPr="00927FA1">
        <w:rPr>
          <w:lang w:val="fr-FR"/>
        </w:rPr>
        <w:t> </w:t>
      </w:r>
      <w:r w:rsidR="00196C06" w:rsidRPr="00927FA1">
        <w:rPr>
          <w:lang w:val="fr-FR"/>
        </w:rPr>
        <w:t>» par «</w:t>
      </w:r>
      <w:r w:rsidR="007D7488" w:rsidRPr="00927FA1">
        <w:rPr>
          <w:lang w:val="fr-FR"/>
        </w:rPr>
        <w:t> </w:t>
      </w:r>
      <w:r w:rsidR="00196C06" w:rsidRPr="00927FA1">
        <w:rPr>
          <w:lang w:val="fr-FR"/>
        </w:rPr>
        <w:t>protection contre les contacts avec des matériaux conducteurs d’électricité</w:t>
      </w:r>
      <w:r w:rsidR="007D7488" w:rsidRPr="00927FA1">
        <w:rPr>
          <w:lang w:val="fr-FR"/>
        </w:rPr>
        <w:t> </w:t>
      </w:r>
      <w:r w:rsidR="00196C06" w:rsidRPr="00927FA1">
        <w:rPr>
          <w:lang w:val="fr-FR"/>
        </w:rPr>
        <w:t>».</w:t>
      </w:r>
    </w:p>
    <w:p w14:paraId="330E83E5" w14:textId="5714F46D" w:rsidR="00196C06" w:rsidRPr="00927FA1" w:rsidRDefault="00444D01" w:rsidP="00D57A45">
      <w:pPr>
        <w:pStyle w:val="SingleTxtG"/>
        <w:spacing w:before="120"/>
        <w:rPr>
          <w:iCs/>
          <w:lang w:val="fr-FR"/>
        </w:rPr>
      </w:pPr>
      <w:r>
        <w:rPr>
          <w:lang w:val="fr-FR"/>
        </w:rPr>
        <w:t>Disposition spéciale 188 f)</w:t>
      </w:r>
      <w:r w:rsidR="00196C06" w:rsidRPr="00927FA1">
        <w:rPr>
          <w:lang w:val="fr-FR"/>
        </w:rPr>
        <w:tab/>
        <w:t xml:space="preserve">Ajouter les deux nouvelles phrases suivantes </w:t>
      </w:r>
      <w:r w:rsidR="00196C06" w:rsidRPr="00927FA1">
        <w:rPr>
          <w:lang w:val="fr-FR" w:eastAsia="en-GB" w:bidi="en-GB"/>
        </w:rPr>
        <w:t>à la fin</w:t>
      </w:r>
      <w:r w:rsidR="007D7488" w:rsidRPr="00927FA1">
        <w:rPr>
          <w:lang w:val="fr-FR"/>
        </w:rPr>
        <w:t> </w:t>
      </w:r>
      <w:r w:rsidR="00196C06" w:rsidRPr="00927FA1">
        <w:rPr>
          <w:lang w:val="fr-FR" w:eastAsia="en-GB" w:bidi="en-GB"/>
        </w:rPr>
        <w:t>: «</w:t>
      </w:r>
      <w:r w:rsidR="007D7488" w:rsidRPr="00927FA1">
        <w:rPr>
          <w:lang w:val="fr-FR"/>
        </w:rPr>
        <w:t> </w:t>
      </w:r>
      <w:r w:rsidR="00196C06" w:rsidRPr="00927FA1">
        <w:rPr>
          <w:lang w:val="fr-FR" w:eastAsia="en-GB" w:bidi="en-GB"/>
        </w:rPr>
        <w:t xml:space="preserve">Lorsque les colis sont </w:t>
      </w:r>
      <w:r w:rsidR="00B66988" w:rsidRPr="00927FA1">
        <w:rPr>
          <w:lang w:val="fr-FR" w:eastAsia="en-GB" w:bidi="en-GB"/>
        </w:rPr>
        <w:t>placés dans un suremballage, la marque</w:t>
      </w:r>
      <w:r w:rsidR="00196C06" w:rsidRPr="00927FA1">
        <w:rPr>
          <w:lang w:val="fr-FR" w:eastAsia="en-GB" w:bidi="en-GB"/>
        </w:rPr>
        <w:t xml:space="preserve"> de pile au lithium </w:t>
      </w:r>
      <w:r w:rsidR="00B66988" w:rsidRPr="00927FA1">
        <w:rPr>
          <w:lang w:val="fr-FR" w:eastAsia="en-GB" w:bidi="en-GB"/>
        </w:rPr>
        <w:t>doit être soit directement visible, soit reproduite</w:t>
      </w:r>
      <w:r w:rsidR="00196C06" w:rsidRPr="00927FA1">
        <w:rPr>
          <w:lang w:val="fr-FR" w:eastAsia="en-GB" w:bidi="en-GB"/>
        </w:rPr>
        <w:t xml:space="preserve"> à l’extérieur du suremballage et celui-ci doit porter la marque </w:t>
      </w:r>
      <w:r w:rsidR="007D7488" w:rsidRPr="00927FA1">
        <w:rPr>
          <w:lang w:val="fr-FR" w:eastAsia="en-GB" w:bidi="en-GB"/>
        </w:rPr>
        <w:t>"</w:t>
      </w:r>
      <w:r w:rsidR="00196C06" w:rsidRPr="00927FA1">
        <w:rPr>
          <w:lang w:val="fr-FR" w:eastAsia="en-GB" w:bidi="en-GB"/>
        </w:rPr>
        <w:t>SUREMBALLAGE</w:t>
      </w:r>
      <w:r w:rsidR="007D7488" w:rsidRPr="00927FA1">
        <w:rPr>
          <w:lang w:val="fr-FR" w:eastAsia="en-GB" w:bidi="en-GB"/>
        </w:rPr>
        <w:t>"</w:t>
      </w:r>
      <w:r w:rsidR="00196C06" w:rsidRPr="00927FA1">
        <w:rPr>
          <w:lang w:val="fr-FR" w:eastAsia="en-GB" w:bidi="en-GB"/>
        </w:rPr>
        <w:t xml:space="preserve">. Les lettres de la marque </w:t>
      </w:r>
      <w:r w:rsidR="007D7488" w:rsidRPr="00927FA1">
        <w:rPr>
          <w:lang w:val="fr-FR" w:eastAsia="en-GB" w:bidi="en-GB"/>
        </w:rPr>
        <w:t>"</w:t>
      </w:r>
      <w:r w:rsidR="00196C06" w:rsidRPr="00927FA1">
        <w:rPr>
          <w:lang w:val="fr-FR" w:eastAsia="en-GB" w:bidi="en-GB"/>
        </w:rPr>
        <w:t>SUREMBALLAGE</w:t>
      </w:r>
      <w:r w:rsidR="007D7488" w:rsidRPr="00927FA1">
        <w:rPr>
          <w:lang w:val="fr-FR" w:eastAsia="en-GB" w:bidi="en-GB"/>
        </w:rPr>
        <w:t>"</w:t>
      </w:r>
      <w:r w:rsidR="00196C06" w:rsidRPr="00927FA1">
        <w:rPr>
          <w:lang w:val="fr-FR" w:eastAsia="en-GB" w:bidi="en-GB"/>
        </w:rPr>
        <w:t xml:space="preserve"> doivent mesurer au moins 12 mm de hauteur.</w:t>
      </w:r>
      <w:r w:rsidR="007D7488" w:rsidRPr="00927FA1">
        <w:rPr>
          <w:lang w:val="fr-FR"/>
        </w:rPr>
        <w:t> </w:t>
      </w:r>
      <w:r w:rsidR="00196C06" w:rsidRPr="00927FA1">
        <w:rPr>
          <w:lang w:val="fr-FR" w:eastAsia="en-GB" w:bidi="en-GB"/>
        </w:rPr>
        <w:t>».</w:t>
      </w:r>
      <w:r w:rsidR="00D57A45">
        <w:rPr>
          <w:lang w:val="fr-FR" w:eastAsia="en-GB" w:bidi="en-GB"/>
        </w:rPr>
        <w:t xml:space="preserve"> </w:t>
      </w:r>
      <w:r w:rsidR="00196C06" w:rsidRPr="00927FA1">
        <w:rPr>
          <w:iCs/>
          <w:lang w:val="fr-FR"/>
        </w:rPr>
        <w:t>Ajouter le nouveau Nota suivant</w:t>
      </w:r>
      <w:r w:rsidR="007D7488" w:rsidRPr="00927FA1">
        <w:rPr>
          <w:lang w:val="fr-FR"/>
        </w:rPr>
        <w:t> </w:t>
      </w:r>
      <w:r w:rsidR="00196C06" w:rsidRPr="00927FA1">
        <w:rPr>
          <w:iCs/>
          <w:lang w:val="fr-FR"/>
        </w:rPr>
        <w:t>:</w:t>
      </w:r>
    </w:p>
    <w:p w14:paraId="4EE6B4D8" w14:textId="1C820298" w:rsidR="00196C06" w:rsidRPr="00927FA1" w:rsidRDefault="00196C06" w:rsidP="00196C06">
      <w:pPr>
        <w:pStyle w:val="SingleTxtG"/>
        <w:rPr>
          <w:iCs/>
          <w:lang w:val="fr-FR"/>
        </w:rPr>
      </w:pPr>
      <w:r w:rsidRPr="00927FA1">
        <w:rPr>
          <w:iCs/>
          <w:lang w:val="fr-FR"/>
        </w:rPr>
        <w:t>«</w:t>
      </w:r>
      <w:r w:rsidR="007D7488" w:rsidRPr="00927FA1">
        <w:rPr>
          <w:lang w:val="fr-FR"/>
        </w:rPr>
        <w:t> </w:t>
      </w:r>
      <w:r w:rsidRPr="00927FA1">
        <w:rPr>
          <w:b/>
          <w:i/>
          <w:iCs/>
          <w:lang w:val="fr-FR"/>
        </w:rPr>
        <w:t>NOTA:</w:t>
      </w:r>
      <w:r w:rsidRPr="00927FA1">
        <w:rPr>
          <w:i/>
          <w:iCs/>
          <w:lang w:val="fr-FR"/>
        </w:rPr>
        <w:t xml:space="preserve"> </w:t>
      </w:r>
      <w:r w:rsidR="00AF7202" w:rsidRPr="00927FA1">
        <w:rPr>
          <w:i/>
          <w:iCs/>
          <w:lang w:val="fr-FR"/>
        </w:rPr>
        <w:tab/>
      </w:r>
      <w:r w:rsidRPr="00927FA1">
        <w:rPr>
          <w:i/>
          <w:iCs/>
          <w:lang w:val="fr-FR"/>
        </w:rPr>
        <w:t>Les colis contenant des piles au lithium emballées conformément aux dispositions de la section IB des instructions d’emballage 965 ou 968 du chapitre 11 de la partie 4 des Instructions techniques de l’OACI qui portent la marque représentée au paragraphe 5.2.1.9 (marque pour les piles au lithium) et l’étiquette représentée au paragraphe 5.2.2.2.2, modèle No 9A sont réputés satisfaire aux dispositions de la présente disposition spéciale.</w:t>
      </w:r>
      <w:r w:rsidR="007D7488" w:rsidRPr="00927FA1">
        <w:rPr>
          <w:lang w:val="fr-FR"/>
        </w:rPr>
        <w:t> </w:t>
      </w:r>
      <w:r w:rsidRPr="00927FA1">
        <w:rPr>
          <w:iCs/>
          <w:lang w:val="fr-FR"/>
        </w:rPr>
        <w:t>».</w:t>
      </w:r>
    </w:p>
    <w:p w14:paraId="41D20066" w14:textId="4EC35BA8" w:rsidR="00196C06" w:rsidRPr="00927FA1" w:rsidRDefault="00196C06" w:rsidP="00196C06">
      <w:pPr>
        <w:pStyle w:val="SingleTxtG"/>
        <w:rPr>
          <w:i/>
          <w:iCs/>
          <w:lang w:val="fr-FR"/>
        </w:rPr>
      </w:pPr>
      <w:r w:rsidRPr="00927FA1">
        <w:rPr>
          <w:lang w:val="fr-FR"/>
        </w:rPr>
        <w:t>Disposition spéciale 188</w:t>
      </w:r>
      <w:r w:rsidR="00C00F54" w:rsidRPr="00927FA1">
        <w:rPr>
          <w:lang w:val="fr-FR"/>
        </w:rPr>
        <w:t>, dans le premier paragraphe après</w:t>
      </w:r>
      <w:r w:rsidRPr="00927FA1">
        <w:rPr>
          <w:lang w:val="fr-FR"/>
        </w:rPr>
        <w:t xml:space="preserve"> </w:t>
      </w:r>
      <w:r w:rsidR="00C00F54" w:rsidRPr="00927FA1">
        <w:rPr>
          <w:lang w:val="fr-FR"/>
        </w:rPr>
        <w:t>h</w:t>
      </w:r>
      <w:r w:rsidRPr="00927FA1">
        <w:rPr>
          <w:lang w:val="fr-FR"/>
        </w:rPr>
        <w:t>)</w:t>
      </w:r>
      <w:r w:rsidRPr="00927FA1">
        <w:rPr>
          <w:lang w:val="fr-FR"/>
        </w:rPr>
        <w:tab/>
        <w:t>Ajouter la nouvelle phrase suivante à la fin</w:t>
      </w:r>
      <w:r w:rsidR="003E36B5" w:rsidRPr="00927FA1">
        <w:rPr>
          <w:lang w:val="fr-FR"/>
        </w:rPr>
        <w:t> </w:t>
      </w:r>
      <w:r w:rsidRPr="00927FA1">
        <w:rPr>
          <w:lang w:val="fr-FR"/>
        </w:rPr>
        <w:t>: «</w:t>
      </w:r>
      <w:r w:rsidR="003E36B5" w:rsidRPr="00927FA1">
        <w:rPr>
          <w:lang w:val="fr-FR"/>
        </w:rPr>
        <w:t> </w:t>
      </w:r>
      <w:r w:rsidRPr="00927FA1">
        <w:rPr>
          <w:lang w:val="fr-FR"/>
        </w:rPr>
        <w:t xml:space="preserve">Dans la présente disposition spéciale, on entend par </w:t>
      </w:r>
      <w:r w:rsidR="003E36B5" w:rsidRPr="00927FA1">
        <w:rPr>
          <w:lang w:val="fr-FR"/>
        </w:rPr>
        <w:t>"</w:t>
      </w:r>
      <w:r w:rsidRPr="00927FA1">
        <w:rPr>
          <w:lang w:val="fr-FR"/>
        </w:rPr>
        <w:t>équipement</w:t>
      </w:r>
      <w:r w:rsidR="003E36B5" w:rsidRPr="00927FA1">
        <w:rPr>
          <w:lang w:val="fr-FR"/>
        </w:rPr>
        <w:t>"</w:t>
      </w:r>
      <w:r w:rsidRPr="00927FA1">
        <w:rPr>
          <w:lang w:val="fr-FR"/>
        </w:rPr>
        <w:t xml:space="preserve"> un appareil alimenté par des piles ou batteries au lithium.</w:t>
      </w:r>
      <w:r w:rsidR="003E36B5" w:rsidRPr="00927FA1">
        <w:rPr>
          <w:lang w:val="fr-FR"/>
        </w:rPr>
        <w:t> </w:t>
      </w:r>
      <w:r w:rsidRPr="00927FA1">
        <w:rPr>
          <w:lang w:val="fr-FR"/>
        </w:rPr>
        <w:t>».</w:t>
      </w:r>
    </w:p>
    <w:p w14:paraId="38B09714" w14:textId="7FDF83F8" w:rsidR="00196C06" w:rsidRPr="00927FA1" w:rsidRDefault="00196C06" w:rsidP="00196C06">
      <w:pPr>
        <w:pStyle w:val="SingleTxtG"/>
        <w:rPr>
          <w:lang w:val="fr-FR"/>
        </w:rPr>
      </w:pPr>
      <w:r w:rsidRPr="00927FA1">
        <w:rPr>
          <w:lang w:val="fr-FR"/>
        </w:rPr>
        <w:t xml:space="preserve">Supprimer </w:t>
      </w:r>
      <w:r w:rsidR="00AF7202" w:rsidRPr="00927FA1">
        <w:rPr>
          <w:lang w:val="fr-FR"/>
        </w:rPr>
        <w:t xml:space="preserve">la disposition spéciale 240 </w:t>
      </w:r>
      <w:r w:rsidRPr="00927FA1">
        <w:rPr>
          <w:lang w:val="fr-FR"/>
        </w:rPr>
        <w:t>et ajouter</w:t>
      </w:r>
      <w:r w:rsidR="003E36B5" w:rsidRPr="00927FA1">
        <w:rPr>
          <w:lang w:val="fr-FR"/>
        </w:rPr>
        <w:t> </w:t>
      </w:r>
      <w:r w:rsidRPr="00927FA1">
        <w:rPr>
          <w:lang w:val="fr-FR"/>
        </w:rPr>
        <w:t>: «</w:t>
      </w:r>
      <w:r w:rsidR="003E36B5" w:rsidRPr="00927FA1">
        <w:rPr>
          <w:lang w:val="fr-FR"/>
        </w:rPr>
        <w:t> </w:t>
      </w:r>
      <w:r w:rsidRPr="00927FA1">
        <w:rPr>
          <w:lang w:val="fr-FR"/>
        </w:rPr>
        <w:t>240</w:t>
      </w:r>
      <w:r w:rsidRPr="00927FA1">
        <w:rPr>
          <w:lang w:val="fr-FR"/>
        </w:rPr>
        <w:tab/>
      </w:r>
      <w:r w:rsidRPr="00927FA1">
        <w:rPr>
          <w:i/>
          <w:lang w:val="fr-FR"/>
        </w:rPr>
        <w:t>(Supprimé)</w:t>
      </w:r>
      <w:r w:rsidR="003E36B5" w:rsidRPr="00927FA1">
        <w:rPr>
          <w:lang w:val="fr-FR"/>
        </w:rPr>
        <w:t> </w:t>
      </w:r>
      <w:r w:rsidRPr="00927FA1">
        <w:rPr>
          <w:lang w:val="fr-FR"/>
        </w:rPr>
        <w:t>».</w:t>
      </w:r>
    </w:p>
    <w:p w14:paraId="116355D7" w14:textId="77777777" w:rsidR="00361EEE" w:rsidRPr="00B84A16" w:rsidRDefault="00361EEE" w:rsidP="00361EEE">
      <w:pPr>
        <w:pStyle w:val="SingleTxtG"/>
        <w:rPr>
          <w:lang w:val="fr-FR"/>
        </w:rPr>
      </w:pPr>
      <w:r w:rsidRPr="00B84A16">
        <w:rPr>
          <w:lang w:val="fr-FR"/>
        </w:rPr>
        <w:t>Disposition spéciale 250</w:t>
      </w:r>
      <w:r w:rsidRPr="00B84A16">
        <w:rPr>
          <w:lang w:val="fr-FR"/>
        </w:rPr>
        <w:tab/>
        <w:t>À l’alinéa a), supprimer : « (voir Tableau S-3-8 du supplément) ».</w:t>
      </w:r>
    </w:p>
    <w:p w14:paraId="6F9EB997" w14:textId="77777777" w:rsidR="00D57A45" w:rsidRDefault="00196C06" w:rsidP="00196C06">
      <w:pPr>
        <w:pStyle w:val="SingleTxtG"/>
        <w:rPr>
          <w:iCs/>
          <w:lang w:val="fr-FR"/>
        </w:rPr>
      </w:pPr>
      <w:r w:rsidRPr="00927FA1">
        <w:rPr>
          <w:iCs/>
          <w:lang w:val="fr-FR"/>
        </w:rPr>
        <w:t>Disposition spéciale 251</w:t>
      </w:r>
      <w:r w:rsidRPr="00927FA1">
        <w:rPr>
          <w:iCs/>
          <w:lang w:val="fr-FR"/>
        </w:rPr>
        <w:tab/>
      </w:r>
      <w:r w:rsidR="00D57A45">
        <w:rPr>
          <w:iCs/>
          <w:lang w:val="fr-FR"/>
        </w:rPr>
        <w:t>Faire les modifications suivantes :</w:t>
      </w:r>
    </w:p>
    <w:p w14:paraId="56830CDC" w14:textId="019FEEF4" w:rsidR="00C64110" w:rsidRPr="00927FA1" w:rsidRDefault="00196C06" w:rsidP="00D57A45">
      <w:pPr>
        <w:pStyle w:val="SingleTxtG"/>
        <w:ind w:left="1701"/>
        <w:rPr>
          <w:iCs/>
          <w:lang w:val="fr-FR"/>
        </w:rPr>
      </w:pPr>
      <w:r w:rsidRPr="00927FA1">
        <w:rPr>
          <w:iCs/>
          <w:lang w:val="fr-FR"/>
        </w:rPr>
        <w:t xml:space="preserve">Dans le premier paragraphe, </w:t>
      </w:r>
      <w:r w:rsidR="00145488" w:rsidRPr="00927FA1">
        <w:rPr>
          <w:iCs/>
          <w:lang w:val="fr-FR"/>
        </w:rPr>
        <w:t>remplacer</w:t>
      </w:r>
      <w:r w:rsidRPr="00927FA1">
        <w:rPr>
          <w:iCs/>
          <w:lang w:val="fr-FR"/>
        </w:rPr>
        <w:t xml:space="preserve"> la deuxième phrase </w:t>
      </w:r>
      <w:r w:rsidR="00145488" w:rsidRPr="00927FA1">
        <w:rPr>
          <w:iCs/>
          <w:lang w:val="fr-FR"/>
        </w:rPr>
        <w:t>par</w:t>
      </w:r>
      <w:r w:rsidR="003E36B5" w:rsidRPr="00927FA1">
        <w:rPr>
          <w:lang w:val="fr-FR"/>
        </w:rPr>
        <w:t> </w:t>
      </w:r>
      <w:r w:rsidRPr="00927FA1">
        <w:rPr>
          <w:iCs/>
          <w:lang w:val="fr-FR"/>
        </w:rPr>
        <w:t>:</w:t>
      </w:r>
      <w:r w:rsidR="00C64110" w:rsidRPr="00927FA1">
        <w:rPr>
          <w:iCs/>
          <w:lang w:val="fr-FR"/>
        </w:rPr>
        <w:t xml:space="preserve"> </w:t>
      </w:r>
    </w:p>
    <w:p w14:paraId="0D99863D" w14:textId="7D5D2B0F" w:rsidR="00196C06" w:rsidRPr="00927FA1" w:rsidRDefault="00196C06" w:rsidP="00D57A45">
      <w:pPr>
        <w:pStyle w:val="SingleTxtG"/>
        <w:ind w:left="1701"/>
        <w:rPr>
          <w:iCs/>
          <w:lang w:val="fr-FR"/>
        </w:rPr>
      </w:pPr>
      <w:r w:rsidRPr="00927FA1">
        <w:rPr>
          <w:iCs/>
          <w:lang w:val="fr-FR"/>
        </w:rPr>
        <w:lastRenderedPageBreak/>
        <w:t>«</w:t>
      </w:r>
      <w:r w:rsidR="003E36B5" w:rsidRPr="00927FA1">
        <w:rPr>
          <w:lang w:val="fr-FR"/>
        </w:rPr>
        <w:t> </w:t>
      </w:r>
      <w:r w:rsidRPr="00927FA1">
        <w:rPr>
          <w:iCs/>
          <w:lang w:val="fr-FR"/>
        </w:rPr>
        <w:t>Ces trousses doivent contenir uniquement des marchandises dangereuses autorisées en tant que</w:t>
      </w:r>
      <w:r w:rsidR="003E36B5" w:rsidRPr="00927FA1">
        <w:rPr>
          <w:lang w:val="fr-FR"/>
        </w:rPr>
        <w:t> </w:t>
      </w:r>
      <w:r w:rsidRPr="00927FA1">
        <w:rPr>
          <w:iCs/>
          <w:lang w:val="fr-FR"/>
        </w:rPr>
        <w:t>:</w:t>
      </w:r>
    </w:p>
    <w:p w14:paraId="55BF814A" w14:textId="08909960" w:rsidR="00196C06" w:rsidRPr="00927FA1" w:rsidRDefault="00196C06" w:rsidP="00D57A45">
      <w:pPr>
        <w:pStyle w:val="SingleTxtG"/>
        <w:ind w:left="1701"/>
        <w:rPr>
          <w:iCs/>
          <w:lang w:val="fr-FR"/>
        </w:rPr>
      </w:pPr>
      <w:r w:rsidRPr="00927FA1">
        <w:rPr>
          <w:iCs/>
          <w:lang w:val="fr-FR"/>
        </w:rPr>
        <w:t>a)</w:t>
      </w:r>
      <w:r w:rsidRPr="00927FA1">
        <w:rPr>
          <w:iCs/>
          <w:lang w:val="fr-FR"/>
        </w:rPr>
        <w:tab/>
        <w:t xml:space="preserve">Quantités exceptées en dessous des quantités indiquées par le code figurant en colonne </w:t>
      </w:r>
      <w:r w:rsidR="00C05731" w:rsidRPr="00927FA1">
        <w:rPr>
          <w:iCs/>
          <w:lang w:val="fr-FR"/>
        </w:rPr>
        <w:t>(</w:t>
      </w:r>
      <w:r w:rsidRPr="00927FA1">
        <w:rPr>
          <w:iCs/>
          <w:lang w:val="fr-FR"/>
        </w:rPr>
        <w:t>7b</w:t>
      </w:r>
      <w:r w:rsidR="00C05731" w:rsidRPr="00927FA1">
        <w:rPr>
          <w:iCs/>
          <w:lang w:val="fr-FR"/>
        </w:rPr>
        <w:t>)</w:t>
      </w:r>
      <w:r w:rsidRPr="00927FA1">
        <w:rPr>
          <w:iCs/>
          <w:lang w:val="fr-FR"/>
        </w:rPr>
        <w:t xml:space="preserve"> </w:t>
      </w:r>
      <w:r w:rsidR="00C05731" w:rsidRPr="00927FA1">
        <w:rPr>
          <w:iCs/>
          <w:lang w:val="fr-FR"/>
        </w:rPr>
        <w:t>du tableau A</w:t>
      </w:r>
      <w:r w:rsidRPr="00927FA1">
        <w:rPr>
          <w:iCs/>
          <w:lang w:val="fr-FR"/>
        </w:rPr>
        <w:t xml:space="preserve"> du chapitre 3.2, à condition que la quantité nette par emballage intérieur et la quantité nette par colis soient telles que prescrites aux 3.5.1.2 et 3.5.1.3</w:t>
      </w:r>
      <w:r w:rsidR="00845C20" w:rsidRPr="00927FA1">
        <w:rPr>
          <w:lang w:val="fr-FR"/>
        </w:rPr>
        <w:t> </w:t>
      </w:r>
      <w:r w:rsidRPr="00927FA1">
        <w:rPr>
          <w:iCs/>
          <w:lang w:val="fr-FR"/>
        </w:rPr>
        <w:t>;</w:t>
      </w:r>
    </w:p>
    <w:p w14:paraId="2ECFD764" w14:textId="6BFD8147" w:rsidR="00196C06" w:rsidRPr="00927FA1" w:rsidRDefault="00196C06" w:rsidP="00D57A45">
      <w:pPr>
        <w:pStyle w:val="SingleTxtG"/>
        <w:ind w:left="1701"/>
        <w:rPr>
          <w:iCs/>
          <w:lang w:val="fr-FR"/>
        </w:rPr>
      </w:pPr>
      <w:r w:rsidRPr="00927FA1">
        <w:rPr>
          <w:iCs/>
          <w:lang w:val="fr-FR"/>
        </w:rPr>
        <w:t>b)</w:t>
      </w:r>
      <w:r w:rsidRPr="00927FA1">
        <w:rPr>
          <w:iCs/>
          <w:lang w:val="fr-FR"/>
        </w:rPr>
        <w:tab/>
        <w:t xml:space="preserve">Quantités limitées comme indiqué en colonne </w:t>
      </w:r>
      <w:r w:rsidR="00C05731" w:rsidRPr="00927FA1">
        <w:rPr>
          <w:iCs/>
          <w:lang w:val="fr-FR"/>
        </w:rPr>
        <w:t>(</w:t>
      </w:r>
      <w:r w:rsidRPr="00927FA1">
        <w:rPr>
          <w:iCs/>
          <w:lang w:val="fr-FR"/>
        </w:rPr>
        <w:t>7a</w:t>
      </w:r>
      <w:r w:rsidR="00C05731" w:rsidRPr="00927FA1">
        <w:rPr>
          <w:iCs/>
          <w:lang w:val="fr-FR"/>
        </w:rPr>
        <w:t>)</w:t>
      </w:r>
      <w:r w:rsidRPr="00927FA1">
        <w:rPr>
          <w:iCs/>
          <w:lang w:val="fr-FR"/>
        </w:rPr>
        <w:t xml:space="preserve"> </w:t>
      </w:r>
      <w:r w:rsidR="00C05731" w:rsidRPr="00927FA1">
        <w:rPr>
          <w:iCs/>
          <w:lang w:val="fr-FR"/>
        </w:rPr>
        <w:t>du tableau A</w:t>
      </w:r>
      <w:r w:rsidRPr="00927FA1">
        <w:rPr>
          <w:iCs/>
          <w:lang w:val="fr-FR"/>
        </w:rPr>
        <w:t xml:space="preserve"> du chapitre 3.2, à condition que la quantité nette par emballage intérieur ne dépasse pas 250 ml ou 250 g.</w:t>
      </w:r>
      <w:r w:rsidR="00845C20" w:rsidRPr="00927FA1">
        <w:rPr>
          <w:lang w:val="fr-FR"/>
        </w:rPr>
        <w:t> </w:t>
      </w:r>
      <w:r w:rsidRPr="00927FA1">
        <w:rPr>
          <w:iCs/>
          <w:lang w:val="fr-FR"/>
        </w:rPr>
        <w:t>».</w:t>
      </w:r>
    </w:p>
    <w:p w14:paraId="7686D331" w14:textId="43A20B0D" w:rsidR="00196C06" w:rsidRPr="00927FA1" w:rsidRDefault="00196C06" w:rsidP="00D57A45">
      <w:pPr>
        <w:pStyle w:val="SingleTxtG"/>
        <w:ind w:left="1701"/>
        <w:rPr>
          <w:iCs/>
          <w:lang w:val="fr-FR"/>
        </w:rPr>
      </w:pPr>
      <w:r w:rsidRPr="00927FA1">
        <w:rPr>
          <w:iCs/>
          <w:lang w:val="fr-FR"/>
        </w:rPr>
        <w:t xml:space="preserve">Dans le deuxième paragraphe, supprimer la </w:t>
      </w:r>
      <w:r w:rsidR="002E538F" w:rsidRPr="00927FA1">
        <w:rPr>
          <w:iCs/>
          <w:lang w:val="fr-FR"/>
        </w:rPr>
        <w:t xml:space="preserve">dernière </w:t>
      </w:r>
      <w:r w:rsidRPr="00927FA1">
        <w:rPr>
          <w:iCs/>
          <w:lang w:val="fr-FR"/>
        </w:rPr>
        <w:t xml:space="preserve">phrase. </w:t>
      </w:r>
    </w:p>
    <w:p w14:paraId="2D610406" w14:textId="6723046A" w:rsidR="00196C06" w:rsidRPr="00927FA1" w:rsidRDefault="00196C06" w:rsidP="00D57A45">
      <w:pPr>
        <w:pStyle w:val="SingleTxtG"/>
        <w:ind w:left="1701"/>
        <w:rPr>
          <w:iCs/>
          <w:lang w:val="fr-FR"/>
        </w:rPr>
      </w:pPr>
      <w:r w:rsidRPr="00927FA1">
        <w:rPr>
          <w:iCs/>
          <w:lang w:val="fr-FR"/>
        </w:rPr>
        <w:t xml:space="preserve">Au début du troisième paragraphe, ajouter la nouvelle </w:t>
      </w:r>
      <w:r w:rsidR="00145488" w:rsidRPr="00927FA1">
        <w:rPr>
          <w:iCs/>
          <w:lang w:val="fr-FR"/>
        </w:rPr>
        <w:t xml:space="preserve">première </w:t>
      </w:r>
      <w:r w:rsidRPr="00927FA1">
        <w:rPr>
          <w:iCs/>
          <w:lang w:val="fr-FR"/>
        </w:rPr>
        <w:t>phrase suivante</w:t>
      </w:r>
      <w:r w:rsidR="00845C20" w:rsidRPr="00927FA1">
        <w:rPr>
          <w:lang w:val="fr-FR"/>
        </w:rPr>
        <w:t> </w:t>
      </w:r>
      <w:r w:rsidRPr="00927FA1">
        <w:rPr>
          <w:iCs/>
          <w:lang w:val="fr-FR"/>
        </w:rPr>
        <w:t>: «</w:t>
      </w:r>
      <w:r w:rsidR="00845C20" w:rsidRPr="00927FA1">
        <w:rPr>
          <w:lang w:val="fr-FR"/>
        </w:rPr>
        <w:t> </w:t>
      </w:r>
      <w:r w:rsidRPr="00927FA1">
        <w:rPr>
          <w:iCs/>
          <w:lang w:val="fr-FR"/>
        </w:rPr>
        <w:t xml:space="preserve">Aux fins de la description des marchandises dangereuses dans le document de transport suivant le </w:t>
      </w:r>
      <w:r w:rsidR="00C05731" w:rsidRPr="00927FA1">
        <w:rPr>
          <w:iCs/>
          <w:lang w:val="fr-FR"/>
        </w:rPr>
        <w:t>5.4.1.1.1</w:t>
      </w:r>
      <w:r w:rsidRPr="00927FA1">
        <w:rPr>
          <w:iCs/>
          <w:lang w:val="fr-FR"/>
        </w:rPr>
        <w:t>, le groupe d'emballage figurant sur le document doit être le groupe d'emballage le plus sévère attribué aux matières présentes dans la trousse.</w:t>
      </w:r>
      <w:r w:rsidR="00845C20" w:rsidRPr="00927FA1">
        <w:rPr>
          <w:lang w:val="fr-FR"/>
        </w:rPr>
        <w:t> </w:t>
      </w:r>
      <w:r w:rsidRPr="00927FA1">
        <w:rPr>
          <w:iCs/>
          <w:lang w:val="fr-FR"/>
        </w:rPr>
        <w:t>».</w:t>
      </w:r>
    </w:p>
    <w:p w14:paraId="6E74A362" w14:textId="07CA090C" w:rsidR="00196C06" w:rsidRPr="005B68A6" w:rsidRDefault="00196C06" w:rsidP="00196C06">
      <w:pPr>
        <w:spacing w:before="120" w:after="120" w:line="240" w:lineRule="auto"/>
        <w:ind w:left="1134" w:right="1134"/>
        <w:jc w:val="both"/>
        <w:rPr>
          <w:lang w:val="fr-FR" w:eastAsia="en-GB"/>
        </w:rPr>
      </w:pPr>
      <w:r w:rsidRPr="005B68A6">
        <w:rPr>
          <w:lang w:val="fr-FR"/>
        </w:rPr>
        <w:t>Disposition spéciale 280</w:t>
      </w:r>
      <w:r w:rsidRPr="005B68A6">
        <w:rPr>
          <w:lang w:val="fr-FR"/>
        </w:rPr>
        <w:tab/>
        <w:t>Remplacer «</w:t>
      </w:r>
      <w:r w:rsidR="00900319" w:rsidRPr="005B68A6">
        <w:rPr>
          <w:lang w:val="fr-FR"/>
        </w:rPr>
        <w:t> </w:t>
      </w:r>
      <w:r w:rsidRPr="005B68A6">
        <w:rPr>
          <w:lang w:val="fr-FR"/>
        </w:rPr>
        <w:t>risque de projection</w:t>
      </w:r>
      <w:r w:rsidR="00900319" w:rsidRPr="005B68A6">
        <w:rPr>
          <w:lang w:val="fr-FR"/>
        </w:rPr>
        <w:t> </w:t>
      </w:r>
      <w:r w:rsidRPr="005B68A6">
        <w:rPr>
          <w:lang w:val="fr-FR"/>
        </w:rPr>
        <w:t>» par «</w:t>
      </w:r>
      <w:r w:rsidR="00900319" w:rsidRPr="005B68A6">
        <w:rPr>
          <w:lang w:val="fr-FR"/>
        </w:rPr>
        <w:t> </w:t>
      </w:r>
      <w:r w:rsidRPr="005B68A6">
        <w:rPr>
          <w:lang w:val="fr-FR"/>
        </w:rPr>
        <w:t>danger de projection</w:t>
      </w:r>
      <w:r w:rsidR="00900319" w:rsidRPr="005B68A6">
        <w:rPr>
          <w:lang w:val="fr-FR"/>
        </w:rPr>
        <w:t> </w:t>
      </w:r>
      <w:r w:rsidRPr="005B68A6">
        <w:rPr>
          <w:lang w:val="fr-FR"/>
        </w:rPr>
        <w:t>».</w:t>
      </w:r>
    </w:p>
    <w:p w14:paraId="7EDAEFB9" w14:textId="50AB2C69" w:rsidR="00196C06" w:rsidRPr="005B68A6" w:rsidRDefault="00196C06" w:rsidP="00196C06">
      <w:pPr>
        <w:spacing w:before="120" w:after="120" w:line="240" w:lineRule="auto"/>
        <w:ind w:left="1134" w:right="1134"/>
        <w:jc w:val="both"/>
        <w:rPr>
          <w:lang w:val="fr-FR" w:eastAsia="en-GB"/>
        </w:rPr>
      </w:pPr>
      <w:r w:rsidRPr="005B68A6">
        <w:rPr>
          <w:lang w:val="fr-FR" w:eastAsia="en-GB"/>
        </w:rPr>
        <w:t>Disposition spéciale 290 b)</w:t>
      </w:r>
      <w:r w:rsidRPr="005B68A6">
        <w:rPr>
          <w:lang w:val="fr-FR" w:eastAsia="en-GB"/>
        </w:rPr>
        <w:tab/>
      </w:r>
      <w:r w:rsidR="00C05731" w:rsidRPr="005B68A6">
        <w:rPr>
          <w:lang w:val="fr-FR" w:eastAsia="en-GB"/>
        </w:rPr>
        <w:t>Dans la première phrase, r</w:t>
      </w:r>
      <w:r w:rsidRPr="005B68A6">
        <w:rPr>
          <w:lang w:val="fr-FR" w:eastAsia="en-GB"/>
        </w:rPr>
        <w:t>emplacer «</w:t>
      </w:r>
      <w:r w:rsidR="00900319" w:rsidRPr="005B68A6">
        <w:rPr>
          <w:lang w:val="fr-FR"/>
        </w:rPr>
        <w:t> </w:t>
      </w:r>
      <w:r w:rsidRPr="005B68A6">
        <w:rPr>
          <w:lang w:val="fr-FR" w:eastAsia="en-GB"/>
        </w:rPr>
        <w:t>risque</w:t>
      </w:r>
      <w:r w:rsidR="00900319" w:rsidRPr="005B68A6">
        <w:rPr>
          <w:lang w:val="fr-FR"/>
        </w:rPr>
        <w:t> </w:t>
      </w:r>
      <w:r w:rsidRPr="005B68A6">
        <w:rPr>
          <w:lang w:val="fr-FR" w:eastAsia="en-GB"/>
        </w:rPr>
        <w:t>» par «</w:t>
      </w:r>
      <w:r w:rsidR="00900319" w:rsidRPr="005B68A6">
        <w:rPr>
          <w:lang w:val="fr-FR"/>
        </w:rPr>
        <w:t> </w:t>
      </w:r>
      <w:r w:rsidRPr="005B68A6">
        <w:rPr>
          <w:lang w:val="fr-FR" w:eastAsia="en-GB"/>
        </w:rPr>
        <w:t>danger</w:t>
      </w:r>
      <w:r w:rsidR="00900319" w:rsidRPr="005B68A6">
        <w:rPr>
          <w:lang w:val="fr-FR"/>
        </w:rPr>
        <w:t> </w:t>
      </w:r>
      <w:r w:rsidRPr="005B68A6">
        <w:rPr>
          <w:lang w:val="fr-FR" w:eastAsia="en-GB"/>
        </w:rPr>
        <w:t>».</w:t>
      </w:r>
    </w:p>
    <w:p w14:paraId="11A80A9E" w14:textId="25AC1562" w:rsidR="00196C06" w:rsidRPr="005B68A6" w:rsidRDefault="00196C06" w:rsidP="00196C06">
      <w:pPr>
        <w:pStyle w:val="SingleTxtG"/>
        <w:rPr>
          <w:lang w:val="fr-FR"/>
        </w:rPr>
      </w:pPr>
      <w:r w:rsidRPr="005B68A6">
        <w:rPr>
          <w:lang w:val="fr-FR"/>
        </w:rPr>
        <w:t>Disposition spéciale 293 b)</w:t>
      </w:r>
      <w:r w:rsidRPr="005B68A6">
        <w:rPr>
          <w:lang w:val="fr-FR"/>
        </w:rPr>
        <w:tab/>
        <w:t>La modification ne s’applique pas au texte français.</w:t>
      </w:r>
    </w:p>
    <w:p w14:paraId="7B314D9C" w14:textId="66CA57ED" w:rsidR="00D6244B" w:rsidRPr="005B68A6" w:rsidRDefault="00D6244B" w:rsidP="00D6244B">
      <w:pPr>
        <w:pStyle w:val="SingleTxtG"/>
        <w:rPr>
          <w:lang w:val="fr-FR"/>
        </w:rPr>
      </w:pPr>
      <w:r w:rsidRPr="005B68A6">
        <w:rPr>
          <w:lang w:val="fr-FR"/>
        </w:rPr>
        <w:t>Disposition spéciale 307</w:t>
      </w:r>
      <w:r w:rsidRPr="005B68A6">
        <w:rPr>
          <w:lang w:val="fr-FR"/>
        </w:rPr>
        <w:tab/>
        <w:t>Modifier pour lire comme suit</w:t>
      </w:r>
      <w:r w:rsidR="00900319" w:rsidRPr="005B68A6">
        <w:rPr>
          <w:lang w:val="fr-FR"/>
        </w:rPr>
        <w:t> </w:t>
      </w:r>
      <w:r w:rsidRPr="005B68A6">
        <w:rPr>
          <w:lang w:val="fr-FR"/>
        </w:rPr>
        <w:t>:</w:t>
      </w:r>
    </w:p>
    <w:p w14:paraId="50677041" w14:textId="6702858F" w:rsidR="00D6244B" w:rsidRPr="005B68A6" w:rsidRDefault="00D6244B" w:rsidP="00D6244B">
      <w:pPr>
        <w:pStyle w:val="SingleTxtG"/>
        <w:rPr>
          <w:lang w:val="fr-FR"/>
        </w:rPr>
      </w:pPr>
      <w:r w:rsidRPr="005B68A6">
        <w:rPr>
          <w:lang w:val="fr-FR"/>
        </w:rPr>
        <w:t>«</w:t>
      </w:r>
      <w:r w:rsidR="00900319" w:rsidRPr="005B68A6">
        <w:rPr>
          <w:lang w:val="fr-FR"/>
        </w:rPr>
        <w:t> </w:t>
      </w:r>
      <w:r w:rsidR="00145488" w:rsidRPr="005B68A6">
        <w:rPr>
          <w:lang w:val="fr-FR"/>
        </w:rPr>
        <w:t>307</w:t>
      </w:r>
      <w:r w:rsidR="00145488" w:rsidRPr="005B68A6">
        <w:rPr>
          <w:lang w:val="fr-FR"/>
        </w:rPr>
        <w:tab/>
      </w:r>
      <w:r w:rsidRPr="005B68A6">
        <w:rPr>
          <w:lang w:val="fr-FR"/>
        </w:rPr>
        <w:t>Cette rubrique ne doit être utilisée que pour les engrais au nitrate d’ammonium. Ils doivent être classés conformément à la procédure définie dans le Manuel d’épreuves et de critères, troisième partie, section 39</w:t>
      </w:r>
      <w:r w:rsidR="008A2FA2" w:rsidRPr="008A2FA2">
        <w:rPr>
          <w:lang w:val="fr-FR"/>
        </w:rPr>
        <w:t xml:space="preserve"> </w:t>
      </w:r>
      <w:r w:rsidR="008A2FA2" w:rsidRPr="005B68A6">
        <w:rPr>
          <w:lang w:val="fr-FR"/>
        </w:rPr>
        <w:t>sous réserve des restrictions du 2.2.51.2.2, treizième tiret</w:t>
      </w:r>
      <w:r w:rsidRPr="005B68A6">
        <w:rPr>
          <w:lang w:val="fr-FR"/>
        </w:rPr>
        <w:t>.</w:t>
      </w:r>
      <w:r w:rsidR="001B16A3" w:rsidRPr="005B68A6">
        <w:rPr>
          <w:lang w:val="fr-FR"/>
        </w:rPr>
        <w:t xml:space="preserve"> Utilisée dans ladite section 39, l'expression "autorité compétente" désigne l'autorité compétente du pays d'origine. Si le pays d'origine n'est pas une Partie contractante à l’ADR, la classification et les conditions de transport doivent être reconnues par l'autorité compétente du premier pays Partie contractante à l’ADR touché par l’envoi.</w:t>
      </w:r>
      <w:r w:rsidR="00900319" w:rsidRPr="005B68A6">
        <w:rPr>
          <w:lang w:val="fr-FR"/>
        </w:rPr>
        <w:t> </w:t>
      </w:r>
      <w:r w:rsidRPr="005B68A6">
        <w:rPr>
          <w:lang w:val="fr-FR"/>
        </w:rPr>
        <w:t>».</w:t>
      </w:r>
    </w:p>
    <w:p w14:paraId="101ADBE7" w14:textId="1071C9D8" w:rsidR="004215B9" w:rsidRPr="005B68A6" w:rsidRDefault="006201FD" w:rsidP="004215B9">
      <w:pPr>
        <w:pStyle w:val="SingleTxtG"/>
        <w:rPr>
          <w:lang w:val="fr-FR"/>
        </w:rPr>
      </w:pPr>
      <w:r w:rsidRPr="005B68A6">
        <w:rPr>
          <w:lang w:val="fr-FR"/>
        </w:rPr>
        <w:t>Disposition spéciale 310</w:t>
      </w:r>
      <w:r w:rsidR="004215B9" w:rsidRPr="005B68A6">
        <w:rPr>
          <w:lang w:val="fr-FR"/>
        </w:rPr>
        <w:tab/>
      </w:r>
      <w:r w:rsidR="006A1BE3" w:rsidRPr="005B68A6">
        <w:rPr>
          <w:lang w:val="fr-FR"/>
        </w:rPr>
        <w:t>Dans le premier paragraphe, remplacer «</w:t>
      </w:r>
      <w:r w:rsidR="00900319" w:rsidRPr="005B68A6">
        <w:rPr>
          <w:lang w:val="fr-FR"/>
        </w:rPr>
        <w:t> </w:t>
      </w:r>
      <w:r w:rsidR="006A1BE3" w:rsidRPr="005B68A6">
        <w:rPr>
          <w:lang w:val="fr-FR"/>
        </w:rPr>
        <w:t>piles et batteries</w:t>
      </w:r>
      <w:r w:rsidR="00900319" w:rsidRPr="005B68A6">
        <w:rPr>
          <w:lang w:val="fr-FR"/>
        </w:rPr>
        <w:t> </w:t>
      </w:r>
      <w:r w:rsidR="006A1BE3" w:rsidRPr="005B68A6">
        <w:rPr>
          <w:lang w:val="fr-FR"/>
        </w:rPr>
        <w:t>» par «</w:t>
      </w:r>
      <w:r w:rsidR="00900319" w:rsidRPr="005B68A6">
        <w:rPr>
          <w:lang w:val="fr-FR"/>
        </w:rPr>
        <w:t> </w:t>
      </w:r>
      <w:r w:rsidR="006A1BE3" w:rsidRPr="005B68A6">
        <w:rPr>
          <w:lang w:val="fr-FR"/>
        </w:rPr>
        <w:t>piles ou batteries</w:t>
      </w:r>
      <w:r w:rsidR="00900319" w:rsidRPr="005B68A6">
        <w:rPr>
          <w:lang w:val="fr-FR"/>
        </w:rPr>
        <w:t> </w:t>
      </w:r>
      <w:r w:rsidR="006A1BE3" w:rsidRPr="005B68A6">
        <w:rPr>
          <w:lang w:val="fr-FR"/>
        </w:rPr>
        <w:t>» (deux fois) et</w:t>
      </w:r>
      <w:r w:rsidR="004215B9" w:rsidRPr="005B68A6">
        <w:rPr>
          <w:lang w:val="fr-FR"/>
        </w:rPr>
        <w:t>, à la fin, ajouter «</w:t>
      </w:r>
      <w:r w:rsidR="00900319" w:rsidRPr="005B68A6">
        <w:rPr>
          <w:lang w:val="fr-FR"/>
        </w:rPr>
        <w:t> </w:t>
      </w:r>
      <w:r w:rsidR="004215B9" w:rsidRPr="005B68A6">
        <w:rPr>
          <w:lang w:val="fr-FR"/>
        </w:rPr>
        <w:t>ou LP905 du 4.1.4.3, selon les cas</w:t>
      </w:r>
      <w:r w:rsidR="00900319" w:rsidRPr="005B68A6">
        <w:rPr>
          <w:lang w:val="fr-FR"/>
        </w:rPr>
        <w:t> </w:t>
      </w:r>
      <w:r w:rsidR="004215B9" w:rsidRPr="005B68A6">
        <w:rPr>
          <w:lang w:val="fr-FR"/>
        </w:rPr>
        <w:t>».</w:t>
      </w:r>
    </w:p>
    <w:p w14:paraId="4CBD8277" w14:textId="3B769C99" w:rsidR="00AF7202" w:rsidRPr="005B68A6" w:rsidRDefault="00AF7202" w:rsidP="00AF7202">
      <w:pPr>
        <w:pStyle w:val="SingleTxtG"/>
        <w:rPr>
          <w:lang w:val="fr-FR"/>
        </w:rPr>
      </w:pPr>
      <w:r w:rsidRPr="005B68A6">
        <w:rPr>
          <w:lang w:val="fr-FR"/>
        </w:rPr>
        <w:t>Supprimer la disposition spéciale 312 et ajouter</w:t>
      </w:r>
      <w:r w:rsidR="00900319" w:rsidRPr="005B68A6">
        <w:rPr>
          <w:lang w:val="fr-FR"/>
        </w:rPr>
        <w:t> </w:t>
      </w:r>
      <w:r w:rsidRPr="005B68A6">
        <w:rPr>
          <w:lang w:val="fr-FR"/>
        </w:rPr>
        <w:t>: «</w:t>
      </w:r>
      <w:r w:rsidR="00900319" w:rsidRPr="005B68A6">
        <w:rPr>
          <w:lang w:val="fr-FR"/>
        </w:rPr>
        <w:t> </w:t>
      </w:r>
      <w:r w:rsidRPr="005B68A6">
        <w:rPr>
          <w:lang w:val="fr-FR"/>
        </w:rPr>
        <w:t>312</w:t>
      </w:r>
      <w:r w:rsidRPr="005B68A6">
        <w:rPr>
          <w:lang w:val="fr-FR"/>
        </w:rPr>
        <w:tab/>
      </w:r>
      <w:r w:rsidRPr="005B68A6">
        <w:rPr>
          <w:i/>
          <w:lang w:val="fr-FR"/>
        </w:rPr>
        <w:t>(Supprimé)</w:t>
      </w:r>
      <w:r w:rsidR="00900319" w:rsidRPr="005B68A6">
        <w:rPr>
          <w:lang w:val="fr-FR"/>
        </w:rPr>
        <w:t> </w:t>
      </w:r>
      <w:r w:rsidRPr="005B68A6">
        <w:rPr>
          <w:lang w:val="fr-FR"/>
        </w:rPr>
        <w:t>».</w:t>
      </w:r>
    </w:p>
    <w:p w14:paraId="0360766D" w14:textId="7D726A03" w:rsidR="00196C06" w:rsidRPr="005B68A6" w:rsidRDefault="00196C06" w:rsidP="00196C06">
      <w:pPr>
        <w:spacing w:before="120" w:after="120" w:line="240" w:lineRule="auto"/>
        <w:ind w:left="1134" w:right="1134"/>
        <w:jc w:val="both"/>
        <w:rPr>
          <w:lang w:val="fr-FR"/>
        </w:rPr>
      </w:pPr>
      <w:r w:rsidRPr="005B68A6">
        <w:rPr>
          <w:lang w:val="fr-FR"/>
        </w:rPr>
        <w:t>Disposition spéciale 339 b)</w:t>
      </w:r>
      <w:r w:rsidRPr="005B68A6">
        <w:rPr>
          <w:lang w:val="fr-FR"/>
        </w:rPr>
        <w:tab/>
        <w:t>Remplacer «</w:t>
      </w:r>
      <w:r w:rsidR="00900319" w:rsidRPr="005B68A6">
        <w:rPr>
          <w:lang w:val="fr-FR"/>
        </w:rPr>
        <w:t> </w:t>
      </w:r>
      <w:r w:rsidRPr="005B68A6">
        <w:rPr>
          <w:lang w:val="fr-FR"/>
        </w:rPr>
        <w:t>risques potentiels</w:t>
      </w:r>
      <w:r w:rsidR="00900319" w:rsidRPr="005B68A6">
        <w:rPr>
          <w:lang w:val="fr-FR"/>
        </w:rPr>
        <w:t> </w:t>
      </w:r>
      <w:r w:rsidRPr="005B68A6">
        <w:rPr>
          <w:lang w:val="fr-FR"/>
        </w:rPr>
        <w:t>» par «</w:t>
      </w:r>
      <w:r w:rsidR="00900319" w:rsidRPr="005B68A6">
        <w:rPr>
          <w:lang w:val="fr-FR"/>
        </w:rPr>
        <w:t> </w:t>
      </w:r>
      <w:r w:rsidRPr="005B68A6">
        <w:rPr>
          <w:lang w:val="fr-FR"/>
        </w:rPr>
        <w:t>dangers potentiels</w:t>
      </w:r>
      <w:r w:rsidR="00900319" w:rsidRPr="005B68A6">
        <w:rPr>
          <w:lang w:val="fr-FR"/>
        </w:rPr>
        <w:t> </w:t>
      </w:r>
      <w:r w:rsidRPr="005B68A6">
        <w:rPr>
          <w:lang w:val="fr-FR"/>
        </w:rPr>
        <w:t>».</w:t>
      </w:r>
    </w:p>
    <w:p w14:paraId="29543207" w14:textId="60C4E28B" w:rsidR="00196C06" w:rsidRPr="005B68A6" w:rsidRDefault="00196C06" w:rsidP="00196C06">
      <w:pPr>
        <w:spacing w:before="120" w:after="120" w:line="240" w:lineRule="auto"/>
        <w:ind w:left="1134" w:right="1134"/>
        <w:jc w:val="both"/>
        <w:rPr>
          <w:lang w:val="fr-FR"/>
        </w:rPr>
      </w:pPr>
      <w:r w:rsidRPr="005B68A6">
        <w:rPr>
          <w:lang w:val="fr-FR"/>
        </w:rPr>
        <w:t>Disposition spéciale 361 b)</w:t>
      </w:r>
      <w:r w:rsidRPr="005B68A6">
        <w:rPr>
          <w:lang w:val="fr-FR"/>
        </w:rPr>
        <w:tab/>
        <w:t>Remplacer «</w:t>
      </w:r>
      <w:r w:rsidR="00900319" w:rsidRPr="005B68A6">
        <w:rPr>
          <w:lang w:val="fr-FR"/>
        </w:rPr>
        <w:t> </w:t>
      </w:r>
      <w:r w:rsidRPr="005B68A6">
        <w:rPr>
          <w:lang w:val="fr-FR"/>
        </w:rPr>
        <w:t>risque potentiel</w:t>
      </w:r>
      <w:r w:rsidR="00900319" w:rsidRPr="005B68A6">
        <w:rPr>
          <w:lang w:val="fr-FR"/>
        </w:rPr>
        <w:t> </w:t>
      </w:r>
      <w:r w:rsidRPr="005B68A6">
        <w:rPr>
          <w:lang w:val="fr-FR"/>
        </w:rPr>
        <w:t>» par «</w:t>
      </w:r>
      <w:r w:rsidR="00900319" w:rsidRPr="005B68A6">
        <w:rPr>
          <w:lang w:val="fr-FR"/>
        </w:rPr>
        <w:t> </w:t>
      </w:r>
      <w:r w:rsidRPr="005B68A6">
        <w:rPr>
          <w:lang w:val="fr-FR"/>
        </w:rPr>
        <w:t>danger potentiel</w:t>
      </w:r>
      <w:r w:rsidR="00900319" w:rsidRPr="005B68A6">
        <w:rPr>
          <w:lang w:val="fr-FR"/>
        </w:rPr>
        <w:t> </w:t>
      </w:r>
      <w:r w:rsidRPr="005B68A6">
        <w:rPr>
          <w:lang w:val="fr-FR"/>
        </w:rPr>
        <w:t>».</w:t>
      </w:r>
    </w:p>
    <w:p w14:paraId="256063E2" w14:textId="22E2BF9E" w:rsidR="00196C06" w:rsidRPr="00F20867" w:rsidRDefault="00196C06" w:rsidP="00196C06">
      <w:pPr>
        <w:pStyle w:val="SingleTxtG"/>
        <w:rPr>
          <w:lang w:val="fr-FR"/>
        </w:rPr>
      </w:pPr>
      <w:r w:rsidRPr="00F20867">
        <w:rPr>
          <w:lang w:val="fr-FR"/>
        </w:rPr>
        <w:t>Disposition spéciale 363</w:t>
      </w:r>
      <w:r w:rsidRPr="00F20867">
        <w:rPr>
          <w:lang w:val="fr-FR"/>
        </w:rPr>
        <w:tab/>
        <w:t>Ajouter la nouvelle phrase introductive au début</w:t>
      </w:r>
      <w:r w:rsidR="00900319" w:rsidRPr="00F20867">
        <w:rPr>
          <w:lang w:val="fr-FR"/>
        </w:rPr>
        <w:t> </w:t>
      </w:r>
      <w:r w:rsidRPr="00F20867">
        <w:rPr>
          <w:lang w:val="fr-FR"/>
        </w:rPr>
        <w:t>: «</w:t>
      </w:r>
      <w:r w:rsidR="00900319" w:rsidRPr="00F20867">
        <w:rPr>
          <w:lang w:val="fr-FR"/>
        </w:rPr>
        <w:t> </w:t>
      </w:r>
      <w:r w:rsidRPr="00F20867">
        <w:rPr>
          <w:lang w:val="fr-FR"/>
        </w:rPr>
        <w:t xml:space="preserve">Cette rubrique peut être utilisée uniquement lorsque les conditions de la présente disposition spéciale sont remplies. Aucune autre prescription </w:t>
      </w:r>
      <w:r w:rsidR="00F20867" w:rsidRPr="00F20867">
        <w:rPr>
          <w:lang w:val="fr-FR"/>
        </w:rPr>
        <w:t xml:space="preserve">de l’ADR </w:t>
      </w:r>
      <w:r w:rsidRPr="00F20867">
        <w:rPr>
          <w:lang w:val="fr-FR"/>
        </w:rPr>
        <w:t>ne s’applique.</w:t>
      </w:r>
      <w:r w:rsidR="00900319" w:rsidRPr="00F20867">
        <w:rPr>
          <w:lang w:val="fr-FR"/>
        </w:rPr>
        <w:t> ».</w:t>
      </w:r>
    </w:p>
    <w:p w14:paraId="7DA39D6D" w14:textId="7A1AA93D" w:rsidR="00196C06" w:rsidRPr="00F20867" w:rsidRDefault="004D5732" w:rsidP="00516F19">
      <w:pPr>
        <w:pStyle w:val="SingleTxtG"/>
        <w:rPr>
          <w:iCs/>
          <w:lang w:val="fr-FR"/>
        </w:rPr>
      </w:pPr>
      <w:r>
        <w:rPr>
          <w:lang w:val="fr-FR"/>
        </w:rPr>
        <w:t>Disposition spéciale 363 f)</w:t>
      </w:r>
      <w:r w:rsidR="00196C06" w:rsidRPr="00F20867">
        <w:rPr>
          <w:lang w:val="fr-FR"/>
        </w:rPr>
        <w:tab/>
        <w:t xml:space="preserve">Remplacer </w:t>
      </w:r>
      <w:r w:rsidR="00516F19" w:rsidRPr="00F20867">
        <w:rPr>
          <w:lang w:val="fr-FR"/>
        </w:rPr>
        <w:t>« </w:t>
      </w:r>
      <w:r w:rsidR="00196C06" w:rsidRPr="00F20867">
        <w:rPr>
          <w:iCs/>
          <w:lang w:val="fr-FR"/>
        </w:rPr>
        <w:t xml:space="preserve">aux prescriptions du </w:t>
      </w:r>
      <w:r w:rsidR="00516F19" w:rsidRPr="00F20867">
        <w:rPr>
          <w:iCs/>
          <w:lang w:val="fr-FR"/>
        </w:rPr>
        <w:t xml:space="preserve">2.2.9.1.7 » par « aux dispositions du 2.2.9.1.7 ». </w:t>
      </w:r>
    </w:p>
    <w:p w14:paraId="7D1D09E7" w14:textId="74342169" w:rsidR="00C00456" w:rsidRPr="00B84A16" w:rsidRDefault="00196C06" w:rsidP="00C00456">
      <w:pPr>
        <w:pStyle w:val="SingleTxtG"/>
        <w:rPr>
          <w:lang w:val="fr-FR"/>
        </w:rPr>
      </w:pPr>
      <w:r w:rsidRPr="00F20867">
        <w:rPr>
          <w:lang w:val="fr-FR"/>
        </w:rPr>
        <w:t>Disposition spéciale 363</w:t>
      </w:r>
      <w:r w:rsidRPr="00F20867">
        <w:rPr>
          <w:lang w:val="fr-FR"/>
        </w:rPr>
        <w:tab/>
        <w:t xml:space="preserve">Supprimer le texte introductif de l’alinéa g). Les alinéas i) à vi) sont renommés alinéas g) à </w:t>
      </w:r>
      <w:r w:rsidRPr="00F20867">
        <w:rPr>
          <w:i/>
          <w:lang w:val="fr-FR"/>
        </w:rPr>
        <w:t>l</w:t>
      </w:r>
      <w:r w:rsidRPr="00F20867">
        <w:rPr>
          <w:lang w:val="fr-FR"/>
        </w:rPr>
        <w:t xml:space="preserve">). </w:t>
      </w:r>
      <w:r w:rsidR="00C00456" w:rsidRPr="00B84A16">
        <w:rPr>
          <w:lang w:val="fr-FR"/>
        </w:rPr>
        <w:t xml:space="preserve">Modifier l’alinéa </w:t>
      </w:r>
      <w:r w:rsidR="00C00456" w:rsidRPr="00B84A16">
        <w:rPr>
          <w:i/>
          <w:lang w:val="fr-FR"/>
        </w:rPr>
        <w:t>l</w:t>
      </w:r>
      <w:r w:rsidR="00C00456" w:rsidRPr="00B84A16">
        <w:rPr>
          <w:lang w:val="fr-FR"/>
        </w:rPr>
        <w:t>) pour lire comme suit :</w:t>
      </w:r>
    </w:p>
    <w:p w14:paraId="5E11EAD6" w14:textId="77777777" w:rsidR="00C00456" w:rsidRPr="00B84A16" w:rsidRDefault="00C00456" w:rsidP="00C00456">
      <w:pPr>
        <w:pStyle w:val="SingleTxtG"/>
        <w:rPr>
          <w:lang w:val="fr-FR"/>
        </w:rPr>
      </w:pPr>
      <w:r w:rsidRPr="00B84A16">
        <w:rPr>
          <w:lang w:val="fr-FR"/>
        </w:rPr>
        <w:t>« </w:t>
      </w:r>
      <w:r w:rsidRPr="00B84A16">
        <w:rPr>
          <w:i/>
          <w:lang w:val="fr-FR"/>
        </w:rPr>
        <w:t>l</w:t>
      </w:r>
      <w:r w:rsidRPr="00B84A16">
        <w:rPr>
          <w:lang w:val="fr-FR"/>
        </w:rPr>
        <w:t>)</w:t>
      </w:r>
      <w:r w:rsidRPr="00B84A16">
        <w:rPr>
          <w:lang w:val="fr-FR"/>
        </w:rPr>
        <w:tab/>
        <w:t xml:space="preserve">Lorsque le moteur ou la machine contient une quantité de combustible liquide supérieure à 1000 </w:t>
      </w:r>
      <w:r w:rsidRPr="00B84A16">
        <w:rPr>
          <w:i/>
          <w:iCs/>
          <w:lang w:val="fr-FR"/>
        </w:rPr>
        <w:t>l</w:t>
      </w:r>
      <w:r w:rsidRPr="00B84A16">
        <w:rPr>
          <w:lang w:val="fr-FR"/>
        </w:rPr>
        <w:t xml:space="preserve"> pour les Nos ONU 3528 et 3530, ou a une contenance en eau supérieure à 1000 </w:t>
      </w:r>
      <w:r w:rsidRPr="00B84A16">
        <w:rPr>
          <w:i/>
          <w:lang w:val="fr-FR"/>
        </w:rPr>
        <w:t>l</w:t>
      </w:r>
      <w:r w:rsidRPr="00B84A16">
        <w:rPr>
          <w:lang w:val="fr-FR"/>
        </w:rPr>
        <w:t xml:space="preserve"> pour le No ONU 3529:</w:t>
      </w:r>
    </w:p>
    <w:p w14:paraId="706B00C3" w14:textId="77777777" w:rsidR="00C00456" w:rsidRPr="00B84A16" w:rsidRDefault="00C00456" w:rsidP="00C00456">
      <w:pPr>
        <w:pStyle w:val="SingleTxtG"/>
        <w:numPr>
          <w:ilvl w:val="0"/>
          <w:numId w:val="9"/>
        </w:numPr>
        <w:rPr>
          <w:lang w:val="fr-FR"/>
        </w:rPr>
      </w:pPr>
      <w:r w:rsidRPr="00B84A16">
        <w:rPr>
          <w:lang w:val="fr-FR"/>
        </w:rPr>
        <w:t>Un document de transport conformément au 5.4.1 est requis. Ce document de transport doit contenir la mention suivante: "Transport selon la disposition spéciale 363";</w:t>
      </w:r>
    </w:p>
    <w:p w14:paraId="54091DB1" w14:textId="1A554DA3" w:rsidR="00C00456" w:rsidRPr="00B84A16" w:rsidRDefault="00C00456" w:rsidP="00C00456">
      <w:pPr>
        <w:pStyle w:val="SingleTxtG"/>
        <w:numPr>
          <w:ilvl w:val="0"/>
          <w:numId w:val="9"/>
        </w:numPr>
        <w:rPr>
          <w:lang w:val="fr-FR"/>
        </w:rPr>
      </w:pPr>
      <w:r w:rsidRPr="00B84A16">
        <w:rPr>
          <w:lang w:val="fr-FR"/>
        </w:rPr>
        <w:t xml:space="preserve">Lorsqu’il est connu par avance que le transport empruntera un tunnel auquel s’appliquent des restrictions au passage de véhicules transportant des marchandises dangereuses, </w:t>
      </w:r>
      <w:r w:rsidRPr="00B84A16">
        <w:rPr>
          <w:lang w:val="fr-FR"/>
        </w:rPr>
        <w:lastRenderedPageBreak/>
        <w:t>l’unité de transport doit porter des panneaux de couleur orange conformément au 5.3.2 et les restrictions de passage dans les tunnels du 8.6.4 s’appliquent</w:t>
      </w:r>
      <w:r w:rsidR="004952EB" w:rsidRPr="00B84A16">
        <w:rPr>
          <w:lang w:val="fr-FR"/>
        </w:rPr>
        <w:t>; </w:t>
      </w:r>
      <w:r w:rsidRPr="00B84A16">
        <w:rPr>
          <w:lang w:val="fr-FR"/>
        </w:rPr>
        <w:t xml:space="preserve">». </w:t>
      </w:r>
    </w:p>
    <w:p w14:paraId="1ED8981D" w14:textId="64FD8C49" w:rsidR="00196C06" w:rsidRPr="00F20867" w:rsidRDefault="00E62A78" w:rsidP="00196C06">
      <w:pPr>
        <w:pStyle w:val="SingleTxtG"/>
        <w:rPr>
          <w:lang w:val="fr-FR"/>
        </w:rPr>
      </w:pPr>
      <w:r w:rsidRPr="00F20867">
        <w:rPr>
          <w:lang w:val="fr-FR"/>
        </w:rPr>
        <w:t>Disposition spéciale 363</w:t>
      </w:r>
      <w:r w:rsidRPr="00F20867">
        <w:rPr>
          <w:lang w:val="fr-FR"/>
        </w:rPr>
        <w:tab/>
      </w:r>
      <w:r w:rsidR="00196C06" w:rsidRPr="00F20867">
        <w:rPr>
          <w:lang w:val="fr-FR"/>
        </w:rPr>
        <w:t xml:space="preserve">Ajouter un nouvel </w:t>
      </w:r>
      <w:r w:rsidR="00900319" w:rsidRPr="00F20867">
        <w:rPr>
          <w:lang w:val="fr-FR"/>
        </w:rPr>
        <w:t>alinéa m) pour lire comme suit :</w:t>
      </w:r>
    </w:p>
    <w:p w14:paraId="76505970" w14:textId="11E61FE3" w:rsidR="00196C06" w:rsidRPr="00F20867" w:rsidRDefault="00116131" w:rsidP="00196C06">
      <w:pPr>
        <w:pStyle w:val="SingleTxtG"/>
        <w:rPr>
          <w:lang w:val="fr-FR"/>
        </w:rPr>
      </w:pPr>
      <w:r w:rsidRPr="00F20867">
        <w:rPr>
          <w:lang w:val="fr-FR"/>
        </w:rPr>
        <w:t>«</w:t>
      </w:r>
      <w:r w:rsidR="00900319" w:rsidRPr="00F20867">
        <w:rPr>
          <w:lang w:val="fr-FR"/>
        </w:rPr>
        <w:t> </w:t>
      </w:r>
      <w:r w:rsidR="00196C06" w:rsidRPr="00F20867">
        <w:rPr>
          <w:lang w:val="fr-FR"/>
        </w:rPr>
        <w:t>m)</w:t>
      </w:r>
      <w:r w:rsidR="00196C06" w:rsidRPr="00F20867">
        <w:rPr>
          <w:lang w:val="fr-FR"/>
        </w:rPr>
        <w:tab/>
        <w:t>Les prescriptions de l’instruction d’emballage P005 du 4</w:t>
      </w:r>
      <w:r w:rsidRPr="00F20867">
        <w:rPr>
          <w:lang w:val="fr-FR"/>
        </w:rPr>
        <w:t>.1.4.1 doivent être appliquées.</w:t>
      </w:r>
      <w:r w:rsidR="00900319" w:rsidRPr="00F20867">
        <w:rPr>
          <w:lang w:val="fr-FR"/>
        </w:rPr>
        <w:t> </w:t>
      </w:r>
      <w:r w:rsidRPr="00F20867">
        <w:rPr>
          <w:lang w:val="fr-FR"/>
        </w:rPr>
        <w:t>»</w:t>
      </w:r>
      <w:r w:rsidR="00196C06" w:rsidRPr="00F20867">
        <w:rPr>
          <w:lang w:val="fr-FR"/>
        </w:rPr>
        <w:t>.</w:t>
      </w:r>
    </w:p>
    <w:p w14:paraId="7CF776F5" w14:textId="374656DF" w:rsidR="00196C06" w:rsidRPr="00F20867" w:rsidRDefault="00196C06" w:rsidP="00196C06">
      <w:pPr>
        <w:spacing w:before="120" w:after="120" w:line="240" w:lineRule="auto"/>
        <w:ind w:left="1134" w:right="1134"/>
        <w:jc w:val="both"/>
        <w:rPr>
          <w:lang w:val="fr-FR" w:eastAsia="en-GB"/>
        </w:rPr>
      </w:pPr>
      <w:r w:rsidRPr="00F20867">
        <w:rPr>
          <w:lang w:val="fr-FR" w:eastAsia="en-GB"/>
        </w:rPr>
        <w:t>Disposition spéciale 369</w:t>
      </w:r>
      <w:r w:rsidRPr="00F20867">
        <w:rPr>
          <w:lang w:val="fr-FR" w:eastAsia="en-GB"/>
        </w:rPr>
        <w:tab/>
        <w:t>Remplacer «</w:t>
      </w:r>
      <w:r w:rsidR="00900319" w:rsidRPr="00F20867">
        <w:rPr>
          <w:lang w:val="fr-FR"/>
        </w:rPr>
        <w:t> </w:t>
      </w:r>
      <w:r w:rsidRPr="00F20867">
        <w:rPr>
          <w:lang w:val="fr-FR" w:eastAsia="en-GB"/>
        </w:rPr>
        <w:t>risques</w:t>
      </w:r>
      <w:r w:rsidR="00900319" w:rsidRPr="00F20867">
        <w:rPr>
          <w:lang w:val="fr-FR"/>
        </w:rPr>
        <w:t> </w:t>
      </w:r>
      <w:r w:rsidRPr="00F20867">
        <w:rPr>
          <w:lang w:val="fr-FR" w:eastAsia="en-GB"/>
        </w:rPr>
        <w:t>» par «</w:t>
      </w:r>
      <w:r w:rsidR="00900319" w:rsidRPr="00F20867">
        <w:rPr>
          <w:lang w:val="fr-FR"/>
        </w:rPr>
        <w:t> </w:t>
      </w:r>
      <w:r w:rsidRPr="00F20867">
        <w:rPr>
          <w:lang w:val="fr-FR" w:eastAsia="en-GB"/>
        </w:rPr>
        <w:t>dangers</w:t>
      </w:r>
      <w:r w:rsidR="00900319" w:rsidRPr="00F20867">
        <w:rPr>
          <w:lang w:val="fr-FR"/>
        </w:rPr>
        <w:t> </w:t>
      </w:r>
      <w:r w:rsidRPr="00F20867">
        <w:rPr>
          <w:lang w:val="fr-FR" w:eastAsia="en-GB"/>
        </w:rPr>
        <w:t>» dans le premier paragraphe et remplacer «</w:t>
      </w:r>
      <w:r w:rsidR="00900319" w:rsidRPr="00F20867">
        <w:rPr>
          <w:lang w:val="fr-FR"/>
        </w:rPr>
        <w:t> </w:t>
      </w:r>
      <w:r w:rsidRPr="00F20867">
        <w:rPr>
          <w:lang w:val="fr-FR" w:eastAsia="en-GB"/>
        </w:rPr>
        <w:t>risque</w:t>
      </w:r>
      <w:r w:rsidR="00900319" w:rsidRPr="00F20867">
        <w:rPr>
          <w:lang w:val="fr-FR"/>
        </w:rPr>
        <w:t> </w:t>
      </w:r>
      <w:r w:rsidRPr="00F20867">
        <w:rPr>
          <w:lang w:val="fr-FR" w:eastAsia="en-GB"/>
        </w:rPr>
        <w:t>» par «</w:t>
      </w:r>
      <w:r w:rsidR="00900319" w:rsidRPr="00F20867">
        <w:rPr>
          <w:lang w:val="fr-FR"/>
        </w:rPr>
        <w:t> </w:t>
      </w:r>
      <w:r w:rsidRPr="00F20867">
        <w:rPr>
          <w:lang w:val="fr-FR" w:eastAsia="en-GB"/>
        </w:rPr>
        <w:t>danger</w:t>
      </w:r>
      <w:r w:rsidR="00900319" w:rsidRPr="00F20867">
        <w:rPr>
          <w:lang w:val="fr-FR"/>
        </w:rPr>
        <w:t> </w:t>
      </w:r>
      <w:r w:rsidRPr="00F20867">
        <w:rPr>
          <w:lang w:val="fr-FR" w:eastAsia="en-GB"/>
        </w:rPr>
        <w:t>» dans le troisième paragraphe.</w:t>
      </w:r>
    </w:p>
    <w:p w14:paraId="34C9A5D5" w14:textId="4A9AD60B" w:rsidR="00E93B06" w:rsidRPr="00F20867" w:rsidRDefault="00E93B06" w:rsidP="00E93B06">
      <w:pPr>
        <w:pStyle w:val="SingleTxtG"/>
        <w:rPr>
          <w:lang w:val="fr-FR"/>
        </w:rPr>
      </w:pPr>
      <w:r w:rsidRPr="00F20867">
        <w:rPr>
          <w:lang w:val="fr-FR"/>
        </w:rPr>
        <w:t xml:space="preserve">Disposition spéciale 376 </w:t>
      </w:r>
      <w:r w:rsidRPr="00F20867">
        <w:rPr>
          <w:lang w:val="fr-FR"/>
        </w:rPr>
        <w:tab/>
        <w:t>Modifier le texte après les 3 premiers paragraphes pour lire comme suit</w:t>
      </w:r>
      <w:r w:rsidR="00900319" w:rsidRPr="00F20867">
        <w:rPr>
          <w:lang w:val="fr-FR"/>
        </w:rPr>
        <w:t> </w:t>
      </w:r>
      <w:r w:rsidRPr="00F20867">
        <w:rPr>
          <w:lang w:val="fr-FR"/>
        </w:rPr>
        <w:t xml:space="preserve">: </w:t>
      </w:r>
    </w:p>
    <w:p w14:paraId="36EB9EC4" w14:textId="3898B1E7" w:rsidR="00E93B06" w:rsidRPr="00F20867" w:rsidRDefault="00E93B06" w:rsidP="00E93B06">
      <w:pPr>
        <w:pStyle w:val="SingleTxtG"/>
        <w:rPr>
          <w:lang w:val="fr-FR"/>
        </w:rPr>
      </w:pPr>
      <w:r w:rsidRPr="00F20867">
        <w:rPr>
          <w:lang w:val="fr-FR"/>
        </w:rPr>
        <w:t>«</w:t>
      </w:r>
      <w:r w:rsidR="00900319" w:rsidRPr="00F20867">
        <w:rPr>
          <w:lang w:val="fr-FR"/>
        </w:rPr>
        <w:t> </w:t>
      </w:r>
      <w:r w:rsidRPr="00F20867">
        <w:rPr>
          <w:lang w:val="fr-FR"/>
        </w:rPr>
        <w:t>Les piles et batteries doivent être emballées conformément aux instructions d’emballage P908 du 4.1.4.1 ou LP904 du 4.1.4.3, selon les cas.</w:t>
      </w:r>
    </w:p>
    <w:p w14:paraId="08369C80" w14:textId="591006FB" w:rsidR="00E93B06" w:rsidRPr="006774AA" w:rsidRDefault="005B68A6" w:rsidP="00E93B06">
      <w:pPr>
        <w:pStyle w:val="SingleTxtG"/>
        <w:rPr>
          <w:highlight w:val="yellow"/>
          <w:lang w:val="fr-FR"/>
        </w:rPr>
      </w:pPr>
      <w:r w:rsidRPr="00154472">
        <w:rPr>
          <w:lang w:val="fr-FR"/>
        </w:rPr>
        <w:tab/>
        <w:t xml:space="preserve">Les piles et batteries </w:t>
      </w:r>
      <w:r w:rsidRPr="00154472">
        <w:rPr>
          <w:szCs w:val="22"/>
          <w:lang w:val="fr-FR"/>
        </w:rPr>
        <w:t>identifiées comme endommagées ou défectueuses</w:t>
      </w:r>
      <w:r w:rsidRPr="00154472">
        <w:rPr>
          <w:lang w:val="fr-FR"/>
        </w:rPr>
        <w:t xml:space="preserve"> et susceptibles de se démonter rapidement, de réagir dangereusement, de produire une flamme ou un dangereux dégagement de chaleur ou une émission de gaz ou de vapeur toxiques, corrosifs ou inflammables, dans les conditions normales de transport doivent être emballées et transportées conformément aux instructions d’emballage P911 du 4.1.4.1 ou LP906 du 4.1.4.3, selon les cas. L’autorité compétente de toute Partie contractante à l’ADR peut autoriser des conditions d’emballage ou de transport alternatives et peut également reconnaître l’approbation par l’autorité compétente d’un pays qui ne serait pas Partie contractante à l’ADR à condition que cette approbation ait été accordée conformément aux procédures applicables selon le RID, l’ADR, l’ADN, le Code IMDG ou les prescriptions techniques de l’OACI.</w:t>
      </w:r>
      <w:r>
        <w:rPr>
          <w:lang w:val="fr-FR"/>
        </w:rPr>
        <w:t xml:space="preserve"> </w:t>
      </w:r>
      <w:r w:rsidRPr="00AB2005">
        <w:rPr>
          <w:lang w:val="fr-FR"/>
        </w:rPr>
        <w:t xml:space="preserve">Dans </w:t>
      </w:r>
      <w:r>
        <w:rPr>
          <w:lang w:val="fr-FR"/>
        </w:rPr>
        <w:t>les deux</w:t>
      </w:r>
      <w:r w:rsidRPr="00AB2005">
        <w:rPr>
          <w:lang w:val="fr-FR"/>
        </w:rPr>
        <w:t xml:space="preserve"> cas, les piles et</w:t>
      </w:r>
      <w:r>
        <w:rPr>
          <w:lang w:val="fr-FR"/>
        </w:rPr>
        <w:t xml:space="preserve"> </w:t>
      </w:r>
      <w:r w:rsidRPr="00AB2005">
        <w:rPr>
          <w:lang w:val="fr-FR"/>
        </w:rPr>
        <w:t>batteries sont affectées à la catégorie de transport 0.</w:t>
      </w:r>
    </w:p>
    <w:p w14:paraId="321E7F11" w14:textId="5DF63927" w:rsidR="00E93B06" w:rsidRPr="00F20867" w:rsidRDefault="00E93B06" w:rsidP="00E93B06">
      <w:pPr>
        <w:pStyle w:val="SingleTxtG"/>
        <w:rPr>
          <w:lang w:val="fr-FR"/>
        </w:rPr>
      </w:pPr>
      <w:r w:rsidRPr="00F20867">
        <w:rPr>
          <w:lang w:val="fr-FR"/>
        </w:rPr>
        <w:tab/>
        <w:t xml:space="preserve">Les colis doivent porter l’indication </w:t>
      </w:r>
      <w:r w:rsidR="00900319" w:rsidRPr="00F20867">
        <w:rPr>
          <w:lang w:val="fr-FR"/>
        </w:rPr>
        <w:t>"</w:t>
      </w:r>
      <w:r w:rsidR="00516F19" w:rsidRPr="00F20867">
        <w:rPr>
          <w:lang w:val="fr-FR"/>
        </w:rPr>
        <w:t xml:space="preserve">PILES AU LITHIUM IONIQUE </w:t>
      </w:r>
      <w:r w:rsidRPr="00F20867">
        <w:rPr>
          <w:lang w:val="fr-FR"/>
        </w:rPr>
        <w:t>ENDOMMAGÉES/DÉFECTUEUSES</w:t>
      </w:r>
      <w:r w:rsidR="00900319" w:rsidRPr="00F20867">
        <w:rPr>
          <w:lang w:val="fr-FR"/>
        </w:rPr>
        <w:t>"</w:t>
      </w:r>
      <w:r w:rsidRPr="00F20867">
        <w:rPr>
          <w:lang w:val="fr-FR"/>
        </w:rPr>
        <w:t xml:space="preserve"> </w:t>
      </w:r>
      <w:r w:rsidR="00516F19" w:rsidRPr="00F20867">
        <w:rPr>
          <w:lang w:val="fr-FR"/>
        </w:rPr>
        <w:t xml:space="preserve">ou </w:t>
      </w:r>
      <w:r w:rsidR="00900319" w:rsidRPr="00F20867">
        <w:rPr>
          <w:lang w:val="fr-FR"/>
        </w:rPr>
        <w:t>"</w:t>
      </w:r>
      <w:r w:rsidR="00516F19" w:rsidRPr="00F20867">
        <w:rPr>
          <w:lang w:val="fr-FR"/>
        </w:rPr>
        <w:t>PILES AU LITHIUM METAL ENDOMMAGÉES/DÉFECTUEUSES</w:t>
      </w:r>
      <w:r w:rsidR="00900319" w:rsidRPr="00F20867">
        <w:rPr>
          <w:lang w:val="fr-FR"/>
        </w:rPr>
        <w:t>"</w:t>
      </w:r>
      <w:r w:rsidR="00516F19" w:rsidRPr="00F20867">
        <w:rPr>
          <w:lang w:val="fr-FR"/>
        </w:rPr>
        <w:t xml:space="preserve"> comme approprié.</w:t>
      </w:r>
    </w:p>
    <w:p w14:paraId="56FD7B3A" w14:textId="7826BC76" w:rsidR="00E93B06" w:rsidRPr="00F20867" w:rsidRDefault="00E93B06" w:rsidP="00E93B06">
      <w:pPr>
        <w:pStyle w:val="SingleTxtG"/>
        <w:rPr>
          <w:szCs w:val="22"/>
          <w:lang w:val="fr-FR"/>
        </w:rPr>
      </w:pPr>
      <w:r w:rsidRPr="00F20867">
        <w:rPr>
          <w:szCs w:val="22"/>
          <w:lang w:val="fr-FR"/>
        </w:rPr>
        <w:t xml:space="preserve">Le document de transport doit contenir la mention suivante: </w:t>
      </w:r>
      <w:r w:rsidR="00900319" w:rsidRPr="00F20867">
        <w:rPr>
          <w:szCs w:val="22"/>
          <w:lang w:val="fr-FR"/>
        </w:rPr>
        <w:t>"</w:t>
      </w:r>
      <w:r w:rsidRPr="00F20867">
        <w:rPr>
          <w:szCs w:val="22"/>
          <w:lang w:val="fr-FR"/>
        </w:rPr>
        <w:t>Transport selon la disposition spéciale 376</w:t>
      </w:r>
      <w:r w:rsidR="00900319" w:rsidRPr="00F20867">
        <w:rPr>
          <w:szCs w:val="22"/>
          <w:lang w:val="fr-FR"/>
        </w:rPr>
        <w:t>"</w:t>
      </w:r>
      <w:r w:rsidRPr="00F20867">
        <w:rPr>
          <w:szCs w:val="22"/>
          <w:lang w:val="fr-FR"/>
        </w:rPr>
        <w:t>.</w:t>
      </w:r>
    </w:p>
    <w:p w14:paraId="556D47EC" w14:textId="1C361C97" w:rsidR="00E93B06" w:rsidRPr="00F20867" w:rsidRDefault="00E93B06" w:rsidP="00E93B06">
      <w:pPr>
        <w:pStyle w:val="SingleTxtG"/>
        <w:rPr>
          <w:szCs w:val="22"/>
          <w:lang w:val="fr-FR"/>
        </w:rPr>
      </w:pPr>
      <w:r w:rsidRPr="00F20867">
        <w:rPr>
          <w:szCs w:val="22"/>
          <w:lang w:val="fr-FR"/>
        </w:rPr>
        <w:t xml:space="preserve">Le cas échéant, le transport doit être accompagné d’une </w:t>
      </w:r>
      <w:r w:rsidR="00F20867" w:rsidRPr="00F20867">
        <w:rPr>
          <w:szCs w:val="22"/>
          <w:lang w:val="fr-FR"/>
        </w:rPr>
        <w:t xml:space="preserve">copie de l’approbation de </w:t>
      </w:r>
      <w:r w:rsidRPr="00F20867">
        <w:rPr>
          <w:szCs w:val="22"/>
          <w:lang w:val="fr-FR"/>
        </w:rPr>
        <w:t>l’autorité compétente.</w:t>
      </w:r>
      <w:r w:rsidR="00736366" w:rsidRPr="00F20867">
        <w:rPr>
          <w:lang w:val="fr-FR"/>
        </w:rPr>
        <w:t> </w:t>
      </w:r>
      <w:r w:rsidRPr="00F20867">
        <w:rPr>
          <w:szCs w:val="22"/>
          <w:lang w:val="fr-FR"/>
        </w:rPr>
        <w:t>».</w:t>
      </w:r>
    </w:p>
    <w:p w14:paraId="10F12CAB" w14:textId="535C2FDB" w:rsidR="00464701" w:rsidRPr="00F20867" w:rsidRDefault="00464701" w:rsidP="00AF7202">
      <w:pPr>
        <w:pStyle w:val="SingleTxtG"/>
        <w:rPr>
          <w:lang w:val="fr-FR"/>
        </w:rPr>
      </w:pPr>
      <w:r w:rsidRPr="00F20867">
        <w:rPr>
          <w:lang w:val="fr-FR"/>
        </w:rPr>
        <w:t>Disposition spéciale 377</w:t>
      </w:r>
      <w:r w:rsidRPr="00F20867">
        <w:rPr>
          <w:lang w:val="fr-FR"/>
        </w:rPr>
        <w:tab/>
        <w:t>Dans le deuxième paragraphe, remplacer « aux prescriptions des 2.2.9.1.7 a) à e) » par « aux dispositions des 2.2.9.1.7 a) à g) ».</w:t>
      </w:r>
    </w:p>
    <w:p w14:paraId="47C5C7F8" w14:textId="6BE6CF50" w:rsidR="00AF7202" w:rsidRPr="00F20867" w:rsidRDefault="00AF7202" w:rsidP="00AF7202">
      <w:pPr>
        <w:pStyle w:val="SingleTxtG"/>
        <w:rPr>
          <w:lang w:val="fr-FR"/>
        </w:rPr>
      </w:pPr>
      <w:r w:rsidRPr="00F20867">
        <w:rPr>
          <w:lang w:val="fr-FR"/>
        </w:rPr>
        <w:t xml:space="preserve">Supprimer </w:t>
      </w:r>
      <w:r w:rsidR="00464701" w:rsidRPr="00F20867">
        <w:rPr>
          <w:lang w:val="fr-FR"/>
        </w:rPr>
        <w:t xml:space="preserve">la </w:t>
      </w:r>
      <w:r w:rsidRPr="00F20867">
        <w:rPr>
          <w:lang w:val="fr-FR"/>
        </w:rPr>
        <w:t>disposition spéciale 385 et ajouter</w:t>
      </w:r>
      <w:r w:rsidR="00736366" w:rsidRPr="00F20867">
        <w:rPr>
          <w:lang w:val="fr-FR"/>
        </w:rPr>
        <w:t> :</w:t>
      </w:r>
    </w:p>
    <w:p w14:paraId="0D51D32A" w14:textId="1A98BD8F" w:rsidR="00AF7202" w:rsidRPr="00F20867" w:rsidRDefault="00AF7202" w:rsidP="00AF7202">
      <w:pPr>
        <w:pStyle w:val="SingleTxtG"/>
        <w:rPr>
          <w:lang w:val="fr-FR"/>
        </w:rPr>
      </w:pPr>
      <w:r w:rsidRPr="00F20867">
        <w:rPr>
          <w:lang w:val="fr-FR"/>
        </w:rPr>
        <w:t>«</w:t>
      </w:r>
      <w:r w:rsidR="00736366" w:rsidRPr="00F20867">
        <w:rPr>
          <w:lang w:val="fr-FR"/>
        </w:rPr>
        <w:t> </w:t>
      </w:r>
      <w:r w:rsidRPr="00F20867">
        <w:rPr>
          <w:lang w:val="fr-FR"/>
        </w:rPr>
        <w:t>385</w:t>
      </w:r>
      <w:r w:rsidRPr="00F20867">
        <w:rPr>
          <w:lang w:val="fr-FR"/>
        </w:rPr>
        <w:tab/>
      </w:r>
      <w:r w:rsidRPr="00F20867">
        <w:rPr>
          <w:i/>
          <w:lang w:val="fr-FR"/>
        </w:rPr>
        <w:t>(Supprimé)</w:t>
      </w:r>
      <w:r w:rsidR="00736366" w:rsidRPr="00F20867">
        <w:rPr>
          <w:lang w:val="fr-FR"/>
        </w:rPr>
        <w:t> </w:t>
      </w:r>
      <w:r w:rsidRPr="00F20867">
        <w:rPr>
          <w:lang w:val="fr-FR"/>
        </w:rPr>
        <w:t>».</w:t>
      </w:r>
    </w:p>
    <w:p w14:paraId="0FF6E442" w14:textId="768418BC" w:rsidR="00464701" w:rsidRPr="00F20867" w:rsidRDefault="008D7987" w:rsidP="00F477B6">
      <w:pPr>
        <w:pStyle w:val="SingleTxtG"/>
        <w:rPr>
          <w:lang w:val="fr-FR"/>
        </w:rPr>
      </w:pPr>
      <w:r w:rsidRPr="00F20867">
        <w:rPr>
          <w:lang w:val="fr-FR"/>
        </w:rPr>
        <w:t xml:space="preserve">Disposition spéciale 386 </w:t>
      </w:r>
      <w:r w:rsidRPr="00F20867">
        <w:rPr>
          <w:lang w:val="fr-FR"/>
        </w:rPr>
        <w:tab/>
        <w:t xml:space="preserve">Dans la première phrase, </w:t>
      </w:r>
      <w:r w:rsidR="00464701" w:rsidRPr="00F20867">
        <w:rPr>
          <w:lang w:val="fr-FR"/>
        </w:rPr>
        <w:t>après « 2.2.41.1.17, » ajouter « 7.1.7, ».</w:t>
      </w:r>
    </w:p>
    <w:p w14:paraId="5C99D2D9" w14:textId="2C0A177B" w:rsidR="00C00456" w:rsidRPr="00B84A16" w:rsidRDefault="00B84A16" w:rsidP="00C00456">
      <w:pPr>
        <w:pStyle w:val="SingleTxtG"/>
        <w:rPr>
          <w:rFonts w:eastAsia="MS Mincho"/>
          <w:lang w:val="fr-FR" w:eastAsia="nl-NL"/>
        </w:rPr>
      </w:pPr>
      <w:r>
        <w:rPr>
          <w:rFonts w:eastAsia="MS Mincho"/>
          <w:lang w:val="fr-FR" w:eastAsia="nl-NL"/>
        </w:rPr>
        <w:t>D</w:t>
      </w:r>
      <w:r w:rsidRPr="00B84A16">
        <w:rPr>
          <w:rFonts w:eastAsia="MS Mincho"/>
          <w:lang w:val="fr-FR" w:eastAsia="nl-NL"/>
        </w:rPr>
        <w:t xml:space="preserve">isposition spéciale 636 </w:t>
      </w:r>
      <w:r>
        <w:rPr>
          <w:rFonts w:eastAsia="MS Mincho"/>
          <w:lang w:val="fr-FR" w:eastAsia="nl-NL"/>
        </w:rPr>
        <w:tab/>
      </w:r>
      <w:r w:rsidRPr="00B84A16">
        <w:rPr>
          <w:rFonts w:eastAsia="MS Mincho"/>
          <w:lang w:val="fr-FR" w:eastAsia="nl-NL"/>
        </w:rPr>
        <w:t xml:space="preserve">Modifier </w:t>
      </w:r>
      <w:r w:rsidR="00C00456" w:rsidRPr="00B84A16">
        <w:rPr>
          <w:rFonts w:eastAsia="MS Mincho"/>
          <w:lang w:val="fr-FR" w:eastAsia="nl-NL"/>
        </w:rPr>
        <w:t>pour lire comme suit :</w:t>
      </w:r>
    </w:p>
    <w:p w14:paraId="143AB496" w14:textId="30F33BA8" w:rsidR="00C00456" w:rsidRPr="00B84A16" w:rsidRDefault="00C00456" w:rsidP="00C00456">
      <w:pPr>
        <w:pStyle w:val="SingleTxtG"/>
        <w:rPr>
          <w:rFonts w:eastAsia="MS Mincho"/>
          <w:lang w:val="fr-FR" w:eastAsia="nl-NL"/>
        </w:rPr>
      </w:pPr>
      <w:r w:rsidRPr="00B84A16">
        <w:rPr>
          <w:rFonts w:eastAsia="MS Mincho"/>
          <w:lang w:val="fr-FR" w:eastAsia="nl-NL"/>
        </w:rPr>
        <w:t>« 636</w:t>
      </w:r>
      <w:r w:rsidRPr="00B84A16">
        <w:rPr>
          <w:rFonts w:eastAsia="MS Mincho"/>
          <w:lang w:val="fr-FR" w:eastAsia="nl-NL"/>
        </w:rPr>
        <w:tab/>
      </w:r>
      <w:r w:rsidRPr="00B84A16">
        <w:rPr>
          <w:lang w:val="fr-FR"/>
        </w:rPr>
        <w:t xml:space="preserve">Lorsqu’elles sont transportées jusqu’aux lieux de traitement intermédiaire, les piles et batteries au lithium dont la masse brute ne dépasse pas 500 g par unité,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qui sont collectées et présentées au transport en vue de leur tri, élimination ou recyclage, </w:t>
      </w:r>
      <w:r w:rsidRPr="00B84A16">
        <w:rPr>
          <w:bCs/>
          <w:lang w:val="fr-FR"/>
        </w:rPr>
        <w:t xml:space="preserve">en mélange ou non avec des piles ou batteries autres qu’au lithium, </w:t>
      </w:r>
      <w:r w:rsidRPr="00B84A16">
        <w:rPr>
          <w:lang w:val="fr-FR"/>
        </w:rPr>
        <w:t xml:space="preserve">ne sont pas soumises aux </w:t>
      </w:r>
      <w:r w:rsidRPr="00B84A16">
        <w:rPr>
          <w:lang w:val="fr-FR"/>
        </w:rPr>
        <w:lastRenderedPageBreak/>
        <w:t>autres dispositions de l’ADR, y compris la disposition spéciale 376 et le 2.2.9.1.7, s’il est satisfait aux conditions suivantes</w:t>
      </w:r>
      <w:r w:rsidRPr="00B84A16">
        <w:rPr>
          <w:rFonts w:eastAsia="MS Mincho"/>
          <w:lang w:val="fr-FR" w:eastAsia="nl-NL"/>
        </w:rPr>
        <w:t>:</w:t>
      </w:r>
    </w:p>
    <w:p w14:paraId="2B2EAB98" w14:textId="08B59AFE" w:rsidR="00C00456" w:rsidRPr="00B84A16" w:rsidRDefault="00C00456" w:rsidP="00C00456">
      <w:pPr>
        <w:pStyle w:val="SingleTxtG"/>
        <w:rPr>
          <w:rFonts w:eastAsia="MS Mincho"/>
          <w:lang w:val="fr-FR" w:eastAsia="nl-NL"/>
        </w:rPr>
      </w:pPr>
      <w:r w:rsidRPr="00B84A16">
        <w:rPr>
          <w:rFonts w:eastAsia="MS Mincho"/>
          <w:lang w:val="fr-FR" w:eastAsia="nl-NL"/>
        </w:rPr>
        <w:tab/>
        <w:t>a)</w:t>
      </w:r>
      <w:r w:rsidRPr="00B84A16">
        <w:rPr>
          <w:rFonts w:eastAsia="MS Mincho"/>
          <w:lang w:val="fr-FR" w:eastAsia="nl-NL"/>
        </w:rPr>
        <w:tab/>
        <w:t xml:space="preserve">Les piles et batteries sont emballées selon les </w:t>
      </w:r>
      <w:r w:rsidRPr="00B84A16">
        <w:rPr>
          <w:lang w:val="fr-FR"/>
        </w:rPr>
        <w:t>dispositions de l’instruction d’emballage P909 du 4.1.4.1, à l’exception des dispositions supplémentaires 1 et 2;</w:t>
      </w:r>
    </w:p>
    <w:p w14:paraId="3879BC89" w14:textId="73CDAD76" w:rsidR="00C00456" w:rsidRPr="00B84A16" w:rsidRDefault="00C00456" w:rsidP="00C00456">
      <w:pPr>
        <w:pStyle w:val="SingleTxtG"/>
        <w:rPr>
          <w:rFonts w:eastAsia="MS Mincho"/>
          <w:lang w:val="fr-FR" w:eastAsia="nl-NL"/>
        </w:rPr>
      </w:pPr>
      <w:r w:rsidRPr="00B84A16">
        <w:rPr>
          <w:rFonts w:eastAsia="MS Mincho"/>
          <w:lang w:val="fr-FR" w:eastAsia="nl-NL"/>
        </w:rPr>
        <w:tab/>
        <w:t>b)</w:t>
      </w:r>
      <w:r w:rsidRPr="00B84A16">
        <w:rPr>
          <w:rFonts w:eastAsia="MS Mincho"/>
          <w:lang w:val="fr-FR" w:eastAsia="nl-NL"/>
        </w:rPr>
        <w:tab/>
      </w:r>
      <w:r w:rsidRPr="00B84A16">
        <w:rPr>
          <w:lang w:val="fr-FR"/>
        </w:rPr>
        <w:t xml:space="preserve">Un système d’assurance de la qualité est mis en place garantissant que la quantité totale de piles et batteries au lithium dans chaque unité de transport ne dépasse pas 333 kg; </w:t>
      </w:r>
    </w:p>
    <w:p w14:paraId="3142B733" w14:textId="77777777" w:rsidR="00C00456" w:rsidRPr="00B84A16" w:rsidRDefault="00C00456" w:rsidP="00C00456">
      <w:pPr>
        <w:pStyle w:val="SingleTxtG"/>
        <w:ind w:left="2268"/>
        <w:rPr>
          <w:rFonts w:eastAsia="MS Mincho"/>
          <w:i/>
          <w:lang w:val="fr-FR" w:eastAsia="nl-NL"/>
        </w:rPr>
      </w:pPr>
      <w:r w:rsidRPr="00B84A16">
        <w:rPr>
          <w:b/>
          <w:i/>
          <w:lang w:val="fr-FR"/>
        </w:rPr>
        <w:t>NOTA:</w:t>
      </w:r>
      <w:r w:rsidRPr="00B84A16">
        <w:rPr>
          <w:i/>
          <w:lang w:val="fr-FR"/>
        </w:rPr>
        <w:tab/>
        <w:t>La quantité totale de piles et batteries au lithium dans le lot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14:paraId="677AFACA" w14:textId="388F320E" w:rsidR="00C00456" w:rsidRPr="00B84A16" w:rsidRDefault="00C00456" w:rsidP="00C00456">
      <w:pPr>
        <w:pStyle w:val="SingleTxtG"/>
        <w:rPr>
          <w:rFonts w:eastAsia="MS Mincho"/>
          <w:lang w:val="fr-FR" w:eastAsia="nl-NL"/>
        </w:rPr>
      </w:pPr>
      <w:r w:rsidRPr="00B84A16">
        <w:rPr>
          <w:rFonts w:eastAsia="MS Mincho"/>
          <w:lang w:val="fr-FR" w:eastAsia="nl-NL"/>
        </w:rPr>
        <w:tab/>
        <w:t>c)</w:t>
      </w:r>
      <w:r w:rsidRPr="00B84A16">
        <w:rPr>
          <w:rFonts w:eastAsia="MS Mincho"/>
          <w:lang w:val="fr-FR" w:eastAsia="nl-NL"/>
        </w:rPr>
        <w:tab/>
      </w:r>
      <w:r w:rsidRPr="00B84A16">
        <w:rPr>
          <w:lang w:val="fr-FR"/>
        </w:rPr>
        <w:t>Les colis portent la marque "PILES AU LITHIUM POUR ÉLIMINATION" ou "PILES AU LITHIUM POUR RECYCLAGE" comme approprié. ».</w:t>
      </w:r>
    </w:p>
    <w:p w14:paraId="630B8A7D" w14:textId="77777777" w:rsidR="00512CCD" w:rsidRPr="000C6EAA" w:rsidRDefault="00512CCD" w:rsidP="00512CCD">
      <w:pPr>
        <w:pStyle w:val="SingleTxtG"/>
        <w:rPr>
          <w:lang w:val="fr-FR"/>
        </w:rPr>
      </w:pPr>
      <w:r w:rsidRPr="000C6EAA">
        <w:rPr>
          <w:lang w:val="fr-FR"/>
        </w:rPr>
        <w:t>Disposition spéciale 660</w:t>
      </w:r>
      <w:r w:rsidRPr="000C6EAA">
        <w:rPr>
          <w:lang w:val="fr-FR"/>
        </w:rPr>
        <w:tab/>
        <w:t xml:space="preserve">Modifier pour lire comme suit : </w:t>
      </w:r>
    </w:p>
    <w:p w14:paraId="00083560" w14:textId="736A3739" w:rsidR="00512CCD" w:rsidRPr="000C6EAA" w:rsidRDefault="00512CCD" w:rsidP="00512CCD">
      <w:pPr>
        <w:pStyle w:val="SingleTxtG"/>
        <w:rPr>
          <w:lang w:val="fr-FR"/>
        </w:rPr>
      </w:pPr>
      <w:r w:rsidRPr="000C6EAA">
        <w:rPr>
          <w:lang w:val="fr-FR"/>
        </w:rPr>
        <w:t>« 660</w:t>
      </w:r>
      <w:r w:rsidRPr="000C6EAA">
        <w:rPr>
          <w:lang w:val="fr-FR"/>
        </w:rPr>
        <w:tab/>
        <w:t>Pour le transport des systèmes de confinement de gaz combustible qui sont conçus pour être installés sur des véhicules automobiles, qui sont approuvés à cette fin et qui contiennent ce gaz, il n’y a pas lieu d’appliquer les dispositions de la sous-section 4.1.4.1 et du chapitre 6.2 s’ils sont transportés en vue de leur élimination, de leur recyclage, de leur réparation, de leur inspection, ou de leur entretien, ou depuis leur lieu de fabrication vers un atelier de montage de véhicules, si les conditions décrites dans la disposition spéciale 392 sont satisfaites. Ceci s’applique également aux mélanges de gaz pour lesquels la disposition spéciale 392 est affectée avec des gaz du groupe A auxquels la présente disposition spéciale est affectée. ».</w:t>
      </w:r>
    </w:p>
    <w:p w14:paraId="1191304A" w14:textId="25728EB4" w:rsidR="00464701" w:rsidRPr="00F20867" w:rsidRDefault="00464701" w:rsidP="00464701">
      <w:pPr>
        <w:pStyle w:val="SingleTxtG"/>
        <w:rPr>
          <w:lang w:val="fr-FR"/>
        </w:rPr>
      </w:pPr>
      <w:r w:rsidRPr="00F20867">
        <w:rPr>
          <w:lang w:val="fr-FR"/>
        </w:rPr>
        <w:t>Disposition spéciale 663</w:t>
      </w:r>
      <w:r w:rsidRPr="00F20867">
        <w:rPr>
          <w:lang w:val="fr-FR"/>
        </w:rPr>
        <w:tab/>
        <w:t>Sous « Dispositions générales » remplacer « risque » par « danger ».</w:t>
      </w:r>
    </w:p>
    <w:p w14:paraId="2A5160AF" w14:textId="77777777" w:rsidR="00512CCD" w:rsidRPr="000C6EAA" w:rsidRDefault="00512CCD" w:rsidP="00512CCD">
      <w:pPr>
        <w:pStyle w:val="SingleTxtG"/>
      </w:pPr>
      <w:r w:rsidRPr="000C6EAA">
        <w:t>Disposition spéciale 666</w:t>
      </w:r>
      <w:r w:rsidRPr="000C6EAA">
        <w:tab/>
        <w:t>Modifier le premier paragraphe pour lire comme suit :</w:t>
      </w:r>
    </w:p>
    <w:p w14:paraId="0EF6E28F" w14:textId="56F62167" w:rsidR="00512CCD" w:rsidRPr="000C6EAA" w:rsidRDefault="00512CCD" w:rsidP="00512CCD">
      <w:pPr>
        <w:pStyle w:val="SingleTxtG"/>
      </w:pPr>
      <w:r w:rsidRPr="000C6EAA">
        <w:t>« Les équipements mus par des accumulateurs et les véhicules, visés par la disposition spéciale 388, transportés en tant que chargement, ainsi que les marchandises dangereuses qu'ils contiennent qui sont nécessaires à leur fonctionnement ou au fonctionnement de leur équipement, ne sont soumis à aucune autre disposition de l’ADR, à condition que les conditions suivantes soient remplies: ».</w:t>
      </w:r>
    </w:p>
    <w:p w14:paraId="77210DBC" w14:textId="69A46FAD" w:rsidR="00316738" w:rsidRPr="00F20867" w:rsidRDefault="00464701" w:rsidP="00464701">
      <w:pPr>
        <w:pStyle w:val="SingleTxtG"/>
        <w:rPr>
          <w:lang w:val="fr-FR"/>
        </w:rPr>
      </w:pPr>
      <w:r w:rsidRPr="00F20867">
        <w:rPr>
          <w:lang w:val="fr-FR"/>
        </w:rPr>
        <w:t>Disposition spéciale 667</w:t>
      </w:r>
      <w:r w:rsidRPr="00F20867">
        <w:rPr>
          <w:lang w:val="fr-FR"/>
        </w:rPr>
        <w:tab/>
      </w:r>
      <w:r w:rsidR="00316738" w:rsidRPr="00F20867">
        <w:rPr>
          <w:lang w:val="fr-FR"/>
        </w:rPr>
        <w:t xml:space="preserve">Aux alinéas a), b), b) </w:t>
      </w:r>
      <w:r w:rsidRPr="00F20867">
        <w:rPr>
          <w:lang w:val="fr-FR"/>
        </w:rPr>
        <w:t xml:space="preserve">i) </w:t>
      </w:r>
      <w:r w:rsidR="00316738" w:rsidRPr="00F20867">
        <w:rPr>
          <w:lang w:val="fr-FR"/>
        </w:rPr>
        <w:t xml:space="preserve">et </w:t>
      </w:r>
      <w:r w:rsidR="00CD142F" w:rsidRPr="00F20867">
        <w:rPr>
          <w:lang w:val="fr-FR"/>
        </w:rPr>
        <w:t>b) ii)</w:t>
      </w:r>
      <w:r w:rsidRPr="00F20867">
        <w:rPr>
          <w:lang w:val="fr-FR"/>
        </w:rPr>
        <w:t xml:space="preserve">, </w:t>
      </w:r>
      <w:r w:rsidR="00316738" w:rsidRPr="00F20867">
        <w:rPr>
          <w:lang w:val="fr-FR"/>
        </w:rPr>
        <w:t>remplacer « ou machines » par « , machines ou objets »</w:t>
      </w:r>
      <w:r w:rsidR="00D21B19" w:rsidRPr="00F20867">
        <w:rPr>
          <w:lang w:val="fr-FR"/>
        </w:rPr>
        <w:t>. Dans le dernier paragraphe de l’alinéa b), remplacer « ou la machine » par « , la machine ou l’objet ». A</w:t>
      </w:r>
      <w:r w:rsidR="00316738" w:rsidRPr="00F20867">
        <w:rPr>
          <w:lang w:val="fr-FR"/>
        </w:rPr>
        <w:t>jouter le nouvel alinéa c) suivant :</w:t>
      </w:r>
    </w:p>
    <w:p w14:paraId="6CFE212D" w14:textId="09D050C5" w:rsidR="00464701" w:rsidRPr="00F20867" w:rsidRDefault="00316738" w:rsidP="00464701">
      <w:pPr>
        <w:pStyle w:val="SingleTxtG"/>
        <w:rPr>
          <w:lang w:val="fr-FR"/>
        </w:rPr>
      </w:pPr>
      <w:r w:rsidRPr="00F20867">
        <w:rPr>
          <w:lang w:val="fr-FR"/>
        </w:rPr>
        <w:t>« </w:t>
      </w:r>
      <w:r w:rsidR="00464701" w:rsidRPr="00F20867">
        <w:rPr>
          <w:lang w:val="fr-FR"/>
        </w:rPr>
        <w:t>c)</w:t>
      </w:r>
      <w:r w:rsidR="00464701" w:rsidRPr="00F20867">
        <w:rPr>
          <w:lang w:val="fr-FR"/>
        </w:rPr>
        <w:tab/>
      </w:r>
      <w:r w:rsidRPr="00F20867">
        <w:rPr>
          <w:lang w:val="fr-FR"/>
        </w:rPr>
        <w:t xml:space="preserve">Les procédures décrites à l’alinéa b) s’appliquent aussi aux </w:t>
      </w:r>
      <w:r w:rsidR="00C05DE4" w:rsidRPr="00F20867">
        <w:rPr>
          <w:lang w:val="fr-FR"/>
        </w:rPr>
        <w:t>piles ou batteries au lithium</w:t>
      </w:r>
      <w:r w:rsidR="00464701" w:rsidRPr="00F20867">
        <w:rPr>
          <w:lang w:val="fr-FR"/>
        </w:rPr>
        <w:t xml:space="preserve"> </w:t>
      </w:r>
      <w:r w:rsidR="00C05DE4" w:rsidRPr="00F20867">
        <w:rPr>
          <w:lang w:val="fr-FR"/>
        </w:rPr>
        <w:t>endommagées contenues dans les véhicules, moteurs, machines ou objets. »</w:t>
      </w:r>
      <w:r w:rsidR="00464701" w:rsidRPr="00F20867">
        <w:rPr>
          <w:lang w:val="fr-FR"/>
        </w:rPr>
        <w:t>.</w:t>
      </w:r>
    </w:p>
    <w:p w14:paraId="6C4BA0A6" w14:textId="265AC0F5" w:rsidR="00464701" w:rsidRPr="00F20867" w:rsidRDefault="00464701" w:rsidP="00464701">
      <w:pPr>
        <w:pStyle w:val="SingleTxtG"/>
        <w:rPr>
          <w:lang w:val="fr-FR"/>
        </w:rPr>
      </w:pPr>
      <w:r w:rsidRPr="00F20867">
        <w:rPr>
          <w:lang w:val="fr-FR"/>
        </w:rPr>
        <w:t>Disposition spéciale 667</w:t>
      </w:r>
      <w:r w:rsidR="00C05DE4" w:rsidRPr="00F20867">
        <w:rPr>
          <w:lang w:val="fr-FR"/>
        </w:rPr>
        <w:t xml:space="preserve"> </w:t>
      </w:r>
      <w:r w:rsidRPr="00F20867">
        <w:rPr>
          <w:lang w:val="fr-FR"/>
        </w:rPr>
        <w:t xml:space="preserve">a) </w:t>
      </w:r>
      <w:r w:rsidR="00C05DE4" w:rsidRPr="00F20867">
        <w:rPr>
          <w:lang w:val="fr-FR"/>
        </w:rPr>
        <w:t>et</w:t>
      </w:r>
      <w:r w:rsidRPr="00F20867">
        <w:rPr>
          <w:lang w:val="fr-FR"/>
        </w:rPr>
        <w:t xml:space="preserve"> b)</w:t>
      </w:r>
      <w:r w:rsidRPr="00F20867">
        <w:rPr>
          <w:lang w:val="fr-FR"/>
        </w:rPr>
        <w:tab/>
      </w:r>
      <w:r w:rsidR="00C05DE4" w:rsidRPr="00F20867">
        <w:rPr>
          <w:lang w:val="fr-FR"/>
        </w:rPr>
        <w:t>Remplacer</w:t>
      </w:r>
      <w:r w:rsidRPr="00F20867">
        <w:rPr>
          <w:lang w:val="fr-FR"/>
        </w:rPr>
        <w:t xml:space="preserve"> </w:t>
      </w:r>
      <w:r w:rsidR="00C05DE4" w:rsidRPr="00F20867">
        <w:rPr>
          <w:lang w:val="fr-FR"/>
        </w:rPr>
        <w:t>« prescriptions du</w:t>
      </w:r>
      <w:r w:rsidRPr="00F20867">
        <w:rPr>
          <w:lang w:val="fr-FR"/>
        </w:rPr>
        <w:t xml:space="preserve"> 2.2.9.1.7</w:t>
      </w:r>
      <w:r w:rsidR="00C05DE4" w:rsidRPr="00F20867">
        <w:rPr>
          <w:lang w:val="fr-FR"/>
        </w:rPr>
        <w:t> »</w:t>
      </w:r>
      <w:r w:rsidRPr="00F20867">
        <w:rPr>
          <w:lang w:val="fr-FR"/>
        </w:rPr>
        <w:t xml:space="preserve"> </w:t>
      </w:r>
      <w:r w:rsidR="00C05DE4" w:rsidRPr="00F20867">
        <w:rPr>
          <w:lang w:val="fr-FR"/>
        </w:rPr>
        <w:t xml:space="preserve">par « les dispositions du </w:t>
      </w:r>
      <w:r w:rsidRPr="00F20867">
        <w:rPr>
          <w:lang w:val="fr-FR"/>
        </w:rPr>
        <w:t>2.2.9.1.7</w:t>
      </w:r>
      <w:r w:rsidR="00C05DE4" w:rsidRPr="00F20867">
        <w:rPr>
          <w:lang w:val="fr-FR"/>
        </w:rPr>
        <w:t> ».</w:t>
      </w:r>
    </w:p>
    <w:p w14:paraId="31EAA6ED" w14:textId="207D4CA9" w:rsidR="00196C06" w:rsidRPr="004C4B87" w:rsidRDefault="00E15E4D" w:rsidP="00E15E4D">
      <w:pPr>
        <w:pStyle w:val="SingleTxtG"/>
        <w:tabs>
          <w:tab w:val="left" w:pos="2268"/>
        </w:tabs>
        <w:rPr>
          <w:iCs/>
          <w:lang w:val="fr-FR"/>
        </w:rPr>
      </w:pPr>
      <w:r>
        <w:rPr>
          <w:iCs/>
          <w:lang w:val="fr-FR"/>
        </w:rPr>
        <w:t>3.3.1</w:t>
      </w:r>
      <w:r w:rsidR="009F4509" w:rsidRPr="004C4B87">
        <w:rPr>
          <w:iCs/>
          <w:lang w:val="fr-FR"/>
        </w:rPr>
        <w:tab/>
      </w:r>
      <w:r w:rsidR="00196C06" w:rsidRPr="004C4B87">
        <w:rPr>
          <w:iCs/>
          <w:lang w:val="fr-FR"/>
        </w:rPr>
        <w:t>Ajouter les nouvelles dispositions spéciales suivantes</w:t>
      </w:r>
      <w:r w:rsidR="009F4509" w:rsidRPr="004C4B87">
        <w:rPr>
          <w:lang w:val="fr-FR"/>
        </w:rPr>
        <w:t> </w:t>
      </w:r>
      <w:r w:rsidR="00196C06" w:rsidRPr="004C4B87">
        <w:rPr>
          <w:iCs/>
          <w:lang w:val="fr-FR"/>
        </w:rPr>
        <w:t>:</w:t>
      </w:r>
    </w:p>
    <w:p w14:paraId="2B49750A" w14:textId="6408F0F2" w:rsidR="00FC7059" w:rsidRPr="004C4B87" w:rsidRDefault="004C4B87" w:rsidP="00FC7059">
      <w:pPr>
        <w:pStyle w:val="SingleTxtG"/>
        <w:rPr>
          <w:lang w:val="fr-FR"/>
        </w:rPr>
      </w:pPr>
      <w:r w:rsidRPr="004C4B87">
        <w:rPr>
          <w:lang w:val="fr-FR"/>
        </w:rPr>
        <w:t>« 193</w:t>
      </w:r>
      <w:r w:rsidRPr="004C4B87">
        <w:rPr>
          <w:lang w:val="fr-FR"/>
        </w:rPr>
        <w:tab/>
        <w:t>Cette rubrique n’est applicable qu’aux engrais au nitrate d’ammonium composés. Ils doivent être classés conformément à la procédure définie dans le Manuel d’épreuves et de critères, troisième partie, section 39. Les engrais répondant aux critères de ce numéro ONU ne sont pas soumis aux prescriptions de l’ADR. ».</w:t>
      </w:r>
    </w:p>
    <w:p w14:paraId="2B98726F" w14:textId="1D36A44A" w:rsidR="006E5770" w:rsidRDefault="004C4B87" w:rsidP="004C4B87">
      <w:pPr>
        <w:pStyle w:val="SingleTxtG"/>
        <w:rPr>
          <w:rStyle w:val="FootnoteReference"/>
          <w:iCs/>
          <w:sz w:val="20"/>
          <w:vertAlign w:val="baseline"/>
          <w:lang w:val="fr-FR"/>
        </w:rPr>
      </w:pPr>
      <w:r w:rsidRPr="00154472">
        <w:rPr>
          <w:iCs/>
          <w:lang w:val="fr-FR"/>
        </w:rPr>
        <w:t>« 301</w:t>
      </w:r>
      <w:r w:rsidRPr="00154472">
        <w:rPr>
          <w:iCs/>
          <w:lang w:val="fr-FR"/>
        </w:rPr>
        <w:tab/>
        <w:t xml:space="preserve">Cette rubrique ne s’applique qu’aux machines ou appareils contenant des marchandises dangereuses en tant que résidus ou en tant qu’élément intégrant. Elle ne doit pas être utilisée pour des machines ou appareils qui font déjà l’objet d’une désignation </w:t>
      </w:r>
      <w:r w:rsidRPr="00154472">
        <w:rPr>
          <w:iCs/>
          <w:lang w:val="fr-FR"/>
        </w:rPr>
        <w:lastRenderedPageBreak/>
        <w:t>officielle de transport dans le tableau A du chapitre 3.2. Les machines et appareils transportés sous cette rubrique ne doivent contenir que des marchandises dangereuses dont le transport est autorisé en vertu des dispositions du chapitre 3.4. La quantité de marchandises dangereuses contenues dans les machines ou appareils ne doit pas dépasser celle qui est indiquée pour chacune d’elles dans la colonne (7a) du tableau A du chapitre 3.2. Si les machines ou appareils contiennent plus d’une marchandise dangereuse, les matières doivent être enfermées individuellement de manière à ne pas pouvoir réagir dangereusement entre elles durant le transport (voir 4.1.1.6). S’il est prescrit que les marchandises dangereuses liquides doivent garder une orientation déterminée, des flèches d’orientation doivent être apposées sur au moins deux faces verticales opposées, les pointes des flèches pointant vers le haut, conformément au 5.2.1.10.</w:t>
      </w:r>
    </w:p>
    <w:p w14:paraId="521DC060" w14:textId="33B70471" w:rsidR="00D41E38" w:rsidRPr="006774AA" w:rsidRDefault="006E5770" w:rsidP="004C4B87">
      <w:pPr>
        <w:pStyle w:val="SingleTxtG"/>
        <w:rPr>
          <w:iCs/>
          <w:highlight w:val="yellow"/>
          <w:lang w:val="fr-FR"/>
        </w:rPr>
      </w:pPr>
      <w:r w:rsidRPr="006E5770">
        <w:rPr>
          <w:b/>
          <w:i/>
          <w:iCs/>
          <w:lang w:val="fr-FR"/>
        </w:rPr>
        <w:t>NOTA:</w:t>
      </w:r>
      <w:r w:rsidRPr="006E5770">
        <w:rPr>
          <w:i/>
          <w:iCs/>
          <w:lang w:val="fr-FR"/>
        </w:rPr>
        <w:t xml:space="preserve"> </w:t>
      </w:r>
      <w:r>
        <w:rPr>
          <w:i/>
          <w:iCs/>
          <w:lang w:val="fr-FR"/>
        </w:rPr>
        <w:tab/>
      </w:r>
      <w:r w:rsidRPr="006E5770">
        <w:rPr>
          <w:i/>
          <w:iCs/>
          <w:lang w:val="fr-FR"/>
        </w:rPr>
        <w:t xml:space="preserve">Dans cette disposition spéciale, l’expression « qui font déjà l’objet d’une désignation officielle de transport » n’inclut pas les rubriques </w:t>
      </w:r>
      <w:r w:rsidR="00FF0D3F">
        <w:rPr>
          <w:i/>
          <w:iCs/>
          <w:lang w:val="fr-FR"/>
        </w:rPr>
        <w:t>spécifiques n.s.a. pour les Nos</w:t>
      </w:r>
      <w:r w:rsidRPr="006E5770">
        <w:rPr>
          <w:i/>
          <w:iCs/>
          <w:lang w:val="fr-FR"/>
        </w:rPr>
        <w:t xml:space="preserve"> ONU 3537 à 3548.</w:t>
      </w:r>
      <w:r w:rsidR="004C4B87" w:rsidRPr="00154472">
        <w:rPr>
          <w:iCs/>
          <w:lang w:val="fr-FR"/>
        </w:rPr>
        <w:t> ».</w:t>
      </w:r>
      <w:r w:rsidR="008A2FA2">
        <w:rPr>
          <w:iCs/>
          <w:lang w:val="fr-FR"/>
        </w:rPr>
        <w:t xml:space="preserve"> </w:t>
      </w:r>
    </w:p>
    <w:p w14:paraId="12128D38" w14:textId="2648727E" w:rsidR="00196C06" w:rsidRPr="00434CEB" w:rsidRDefault="00196C06" w:rsidP="00186EAB">
      <w:pPr>
        <w:pStyle w:val="SingleTxtG"/>
        <w:rPr>
          <w:i/>
          <w:lang w:val="fr-FR"/>
        </w:rPr>
      </w:pPr>
      <w:r w:rsidRPr="00434CEB">
        <w:rPr>
          <w:lang w:val="fr-FR"/>
        </w:rPr>
        <w:t>«</w:t>
      </w:r>
      <w:r w:rsidR="009F4509" w:rsidRPr="00434CEB">
        <w:rPr>
          <w:lang w:val="fr-FR"/>
        </w:rPr>
        <w:t> </w:t>
      </w:r>
      <w:r w:rsidRPr="00434CEB">
        <w:rPr>
          <w:lang w:val="fr-FR"/>
        </w:rPr>
        <w:t>387</w:t>
      </w:r>
      <w:r w:rsidRPr="00434CEB">
        <w:rPr>
          <w:lang w:val="fr-FR"/>
        </w:rPr>
        <w:tab/>
        <w:t xml:space="preserve">Les batteries au lithium conformes au </w:t>
      </w:r>
      <w:r w:rsidR="00434CEB" w:rsidRPr="00434CEB">
        <w:rPr>
          <w:lang w:val="fr-FR"/>
        </w:rPr>
        <w:t xml:space="preserve">2.2.9.1.7 </w:t>
      </w:r>
      <w:r w:rsidRPr="00434CEB">
        <w:rPr>
          <w:lang w:val="fr-FR"/>
        </w:rPr>
        <w:t>f), contenant à la fois des piles primaires au lithium métal et des piles au lithium ionique rechargeables, doivent être affectées aux Nos ONU 3090 ou 3091 selon le cas. Lorsque ces batteries sont transportées conformément à la disposition spéciale 188, la teneur totale en lithium de toutes les piles au lithium métal contenues dans la batterie ne doit pas dépasser 1,5 g et la capacité totale de toutes les piles au lithium ionique contenues dans la batterie ne doit pas dépasser 10 Wh.</w:t>
      </w:r>
      <w:r w:rsidR="009F4509" w:rsidRPr="00434CEB">
        <w:rPr>
          <w:lang w:val="fr-FR"/>
        </w:rPr>
        <w:t> </w:t>
      </w:r>
      <w:r w:rsidRPr="00434CEB">
        <w:rPr>
          <w:lang w:val="fr-FR"/>
        </w:rPr>
        <w:t>».</w:t>
      </w:r>
    </w:p>
    <w:p w14:paraId="2AB82524" w14:textId="3E5943FF" w:rsidR="00196C06" w:rsidRPr="00434CEB" w:rsidRDefault="00196C06" w:rsidP="00D53F01">
      <w:pPr>
        <w:spacing w:before="120" w:after="120" w:line="240" w:lineRule="auto"/>
        <w:ind w:left="1134" w:right="1134"/>
        <w:jc w:val="both"/>
        <w:rPr>
          <w:iCs/>
          <w:lang w:val="fr-FR"/>
        </w:rPr>
      </w:pPr>
      <w:r w:rsidRPr="00434CEB">
        <w:rPr>
          <w:iCs/>
          <w:lang w:val="fr-FR"/>
        </w:rPr>
        <w:t>«</w:t>
      </w:r>
      <w:r w:rsidR="009F4509" w:rsidRPr="00434CEB">
        <w:rPr>
          <w:lang w:val="fr-FR"/>
        </w:rPr>
        <w:t> </w:t>
      </w:r>
      <w:r w:rsidRPr="00434CEB">
        <w:rPr>
          <w:iCs/>
          <w:lang w:val="fr-FR"/>
        </w:rPr>
        <w:t>388</w:t>
      </w:r>
      <w:r w:rsidRPr="00434CEB">
        <w:rPr>
          <w:iCs/>
          <w:lang w:val="fr-FR"/>
        </w:rPr>
        <w:tab/>
      </w:r>
      <w:r w:rsidR="00434CEB" w:rsidRPr="00434CEB">
        <w:rPr>
          <w:iCs/>
          <w:lang w:val="fr-FR"/>
        </w:rPr>
        <w:t xml:space="preserve">Les rubriques </w:t>
      </w:r>
      <w:r w:rsidRPr="0080741D">
        <w:rPr>
          <w:iCs/>
          <w:lang w:val="fr-FR"/>
        </w:rPr>
        <w:t>ONU 3166 s’applique</w:t>
      </w:r>
      <w:r w:rsidR="008209D6" w:rsidRPr="0080741D">
        <w:rPr>
          <w:iCs/>
          <w:lang w:val="fr-FR"/>
        </w:rPr>
        <w:t>nt</w:t>
      </w:r>
      <w:r w:rsidRPr="00434CEB">
        <w:rPr>
          <w:iCs/>
          <w:lang w:val="fr-FR"/>
        </w:rPr>
        <w:t xml:space="preserve"> aux véhicules mus par un moteur à combustion interne ou une pile à combustible fonctionnant au moyen d’un liquide inflammable ou d’un gaz inflammable.</w:t>
      </w:r>
    </w:p>
    <w:p w14:paraId="7575A43A" w14:textId="0EC3C6D6" w:rsidR="00196C06" w:rsidRPr="00434CEB" w:rsidRDefault="00196C06" w:rsidP="00196C06">
      <w:pPr>
        <w:spacing w:before="120" w:after="120" w:line="240" w:lineRule="auto"/>
        <w:ind w:left="1134" w:right="1134"/>
        <w:jc w:val="both"/>
        <w:rPr>
          <w:iCs/>
          <w:lang w:val="fr-FR"/>
        </w:rPr>
      </w:pPr>
      <w:r w:rsidRPr="00434CEB">
        <w:rPr>
          <w:iCs/>
          <w:lang w:val="fr-FR"/>
        </w:rPr>
        <w:t xml:space="preserve">Les véhicules propulsés par un moteur pile à combustible doivent être </w:t>
      </w:r>
      <w:r w:rsidR="0051749E" w:rsidRPr="00434CEB">
        <w:rPr>
          <w:iCs/>
          <w:lang w:val="fr-FR"/>
        </w:rPr>
        <w:t>affectés aux</w:t>
      </w:r>
      <w:r w:rsidRPr="00434CEB">
        <w:rPr>
          <w:iCs/>
          <w:lang w:val="fr-FR"/>
        </w:rPr>
        <w:t xml:space="preserve">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14:paraId="3D2A3038" w14:textId="07AFB2B2" w:rsidR="00196C06" w:rsidRPr="00434CEB" w:rsidRDefault="00196C06" w:rsidP="00196C06">
      <w:pPr>
        <w:spacing w:before="120" w:after="120" w:line="240" w:lineRule="auto"/>
        <w:ind w:left="1134" w:right="1134"/>
        <w:jc w:val="both"/>
        <w:rPr>
          <w:iCs/>
          <w:lang w:val="fr-FR"/>
        </w:rPr>
      </w:pPr>
      <w:r w:rsidRPr="00434CEB">
        <w:rPr>
          <w:iCs/>
          <w:lang w:val="fr-FR"/>
        </w:rPr>
        <w:t xml:space="preserve">Les autres véhicules comportant un moteur à combustion interne doivent être </w:t>
      </w:r>
      <w:r w:rsidR="0051749E" w:rsidRPr="00434CEB">
        <w:rPr>
          <w:iCs/>
          <w:lang w:val="fr-FR"/>
        </w:rPr>
        <w:t>affectés aux</w:t>
      </w:r>
      <w:r w:rsidRPr="00434CEB">
        <w:rPr>
          <w:iCs/>
          <w:lang w:val="fr-FR"/>
        </w:rPr>
        <w:t xml:space="preserve">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14:paraId="1688A498" w14:textId="7A671DEB" w:rsidR="00196C06" w:rsidRPr="00434CEB" w:rsidRDefault="00196C06" w:rsidP="00196C06">
      <w:pPr>
        <w:spacing w:before="120" w:after="120" w:line="240" w:lineRule="auto"/>
        <w:ind w:left="1134" w:right="1134"/>
        <w:jc w:val="both"/>
        <w:rPr>
          <w:iCs/>
          <w:lang w:val="fr-FR"/>
        </w:rPr>
      </w:pPr>
      <w:r w:rsidRPr="00434CEB">
        <w:rPr>
          <w:iCs/>
          <w:lang w:val="fr-FR"/>
        </w:rPr>
        <w:t xml:space="preserve">Si un véhicule est à propulsion par liquide inflammable et par un moteur à combustion interne fonctionnant au gaz inflammable, il doit être </w:t>
      </w:r>
      <w:r w:rsidR="0051749E" w:rsidRPr="00434CEB">
        <w:rPr>
          <w:iCs/>
          <w:lang w:val="fr-FR"/>
        </w:rPr>
        <w:t>affecté à</w:t>
      </w:r>
      <w:r w:rsidRPr="00434CEB">
        <w:rPr>
          <w:iCs/>
          <w:lang w:val="fr-FR"/>
        </w:rPr>
        <w:t xml:space="preserve"> la rubrique ONU 3166 VÉHICULE À PROPULSION PAR LIQUIDE INFLAMMABLE.</w:t>
      </w:r>
    </w:p>
    <w:p w14:paraId="131F234E" w14:textId="703E2090" w:rsidR="00196C06" w:rsidRPr="00434CEB" w:rsidRDefault="00196C06" w:rsidP="00196C06">
      <w:pPr>
        <w:spacing w:before="120" w:after="120" w:line="240" w:lineRule="auto"/>
        <w:ind w:left="1134" w:right="1134"/>
        <w:jc w:val="both"/>
        <w:rPr>
          <w:iCs/>
          <w:lang w:val="fr-FR"/>
        </w:rPr>
      </w:pPr>
      <w:r w:rsidRPr="00434CEB">
        <w:rPr>
          <w:iCs/>
          <w:lang w:val="fr-FR"/>
        </w:rPr>
        <w:t>La rubrique ONU 3171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p>
    <w:p w14:paraId="2C9A10C6" w14:textId="77777777" w:rsidR="00196C06" w:rsidRPr="00434CEB" w:rsidRDefault="00196C06" w:rsidP="00196C06">
      <w:pPr>
        <w:spacing w:before="120" w:after="120" w:line="240" w:lineRule="auto"/>
        <w:ind w:left="1134" w:right="1134"/>
        <w:jc w:val="both"/>
        <w:rPr>
          <w:iCs/>
          <w:lang w:val="fr-FR"/>
        </w:rPr>
      </w:pPr>
      <w:r w:rsidRPr="00434CEB">
        <w:rPr>
          <w:iCs/>
          <w:lang w:val="fr-FR"/>
        </w:rPr>
        <w:t xml:space="preserve">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motorisés) et autre véhicules de ce type (par exemple véhicules auto-équilibrés ou véhicules non équipés de </w:t>
      </w:r>
      <w:r w:rsidRPr="00434CEB">
        <w:rPr>
          <w:iCs/>
          <w:lang w:val="fr-FR"/>
        </w:rPr>
        <w:lastRenderedPageBreak/>
        <w:t>position assise), fauteuils roulants, tondeuses à gazon autoportées, engins de chantier et agricoles autopropulsés, bateaux et aéronefs. Sont inclus les véhicules transportés dans un emballage. Dans ce cas, certaines parties du véhicule peuvent en être détachées pour tenir dans l’emballage.</w:t>
      </w:r>
    </w:p>
    <w:p w14:paraId="2D824091" w14:textId="60F3B69B" w:rsidR="00196C06" w:rsidRPr="00434CEB" w:rsidRDefault="00196C06" w:rsidP="00196C06">
      <w:pPr>
        <w:spacing w:before="120" w:after="120" w:line="240" w:lineRule="auto"/>
        <w:ind w:left="1134" w:right="1134"/>
        <w:jc w:val="both"/>
        <w:rPr>
          <w:iCs/>
          <w:lang w:val="fr-FR"/>
        </w:rPr>
      </w:pPr>
      <w:r w:rsidRPr="00434CEB">
        <w:rPr>
          <w:iCs/>
          <w:lang w:val="fr-FR"/>
        </w:rPr>
        <w:t xml:space="preserve">Au nombre des équipements on peut citer les tondeuses à gazon, les appareils de nettoyage ou modèles réduits d’embarcations ou modèles réduits d'aéronefs. Les équipements mus par des batteries au lithium métal ou au lithium ionique doivent être </w:t>
      </w:r>
      <w:r w:rsidR="0051749E" w:rsidRPr="00434CEB">
        <w:rPr>
          <w:iCs/>
          <w:lang w:val="fr-FR"/>
        </w:rPr>
        <w:t>affectés aux</w:t>
      </w:r>
      <w:r w:rsidRPr="00434CEB">
        <w:rPr>
          <w:iCs/>
          <w:lang w:val="fr-FR"/>
        </w:rPr>
        <w:t xml:space="preserve">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14:paraId="78F3BCD6" w14:textId="7F3C5C18" w:rsidR="00196C06" w:rsidRPr="00434CEB" w:rsidRDefault="00196C06" w:rsidP="002B2336">
      <w:pPr>
        <w:spacing w:before="120" w:after="120" w:line="240" w:lineRule="auto"/>
        <w:ind w:left="1134" w:right="1134"/>
        <w:jc w:val="both"/>
        <w:rPr>
          <w:iCs/>
          <w:lang w:val="fr-FR"/>
        </w:rPr>
      </w:pPr>
      <w:r w:rsidRPr="00434CEB">
        <w:rPr>
          <w:iCs/>
          <w:lang w:val="fr-FR"/>
        </w:rPr>
        <w:t xml:space="preserve">Les marchandises dangereuses telles que les piles ou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w:t>
      </w:r>
      <w:r w:rsidR="00434CEB" w:rsidRPr="00154472">
        <w:rPr>
          <w:iCs/>
          <w:lang w:val="fr-FR"/>
        </w:rPr>
        <w:t>à l’ADR</w:t>
      </w:r>
      <w:r w:rsidRPr="00434CEB">
        <w:rPr>
          <w:iCs/>
          <w:lang w:val="fr-FR"/>
        </w:rPr>
        <w:t>.</w:t>
      </w:r>
      <w:r w:rsidRPr="00434CEB">
        <w:rPr>
          <w:lang w:val="fr-FR"/>
        </w:rPr>
        <w:t xml:space="preserve"> </w:t>
      </w:r>
      <w:r w:rsidRPr="00434CEB">
        <w:rPr>
          <w:iCs/>
          <w:lang w:val="fr-FR"/>
        </w:rPr>
        <w:t xml:space="preserve">Cependant, </w:t>
      </w:r>
      <w:r w:rsidR="002B2336" w:rsidRPr="00434CEB">
        <w:rPr>
          <w:iCs/>
          <w:lang w:val="fr-FR"/>
        </w:rPr>
        <w:t xml:space="preserve">à moins qu’il n’en soit prévu autrement dans la disposition spéciale 667, </w:t>
      </w:r>
      <w:r w:rsidRPr="00434CEB">
        <w:rPr>
          <w:iCs/>
          <w:lang w:val="fr-FR"/>
        </w:rPr>
        <w:t xml:space="preserve">les piles ou batteries au lithium doivent satisfaire aux </w:t>
      </w:r>
      <w:r w:rsidR="002B2336" w:rsidRPr="00434CEB">
        <w:rPr>
          <w:iCs/>
          <w:lang w:val="fr-FR"/>
        </w:rPr>
        <w:t>dispositions du 2.2.9.1.7.</w:t>
      </w:r>
    </w:p>
    <w:p w14:paraId="39A0467E" w14:textId="6EB04092" w:rsidR="00196C06" w:rsidRPr="00434CEB" w:rsidRDefault="00196C06" w:rsidP="00196C06">
      <w:pPr>
        <w:spacing w:before="120" w:after="120" w:line="240" w:lineRule="auto"/>
        <w:ind w:left="1134" w:right="1134"/>
        <w:jc w:val="both"/>
        <w:rPr>
          <w:iCs/>
          <w:lang w:val="fr-FR"/>
        </w:rPr>
      </w:pPr>
      <w:r w:rsidRPr="00434CEB">
        <w:rPr>
          <w:iCs/>
          <w:lang w:val="fr-FR"/>
        </w:rPr>
        <w:t xml:space="preserve">Quand une pile ou batterie au lithium installée dans un véhicule ou équipement est endommagée ou défectueuse, le véhicule ou l’équipement doit être transporté </w:t>
      </w:r>
      <w:r w:rsidR="00CF3E49" w:rsidRPr="00434CEB">
        <w:rPr>
          <w:iCs/>
          <w:lang w:val="fr-FR"/>
        </w:rPr>
        <w:t>suivant les conditions définies dans la disposition spéciale 667 c)</w:t>
      </w:r>
      <w:r w:rsidRPr="00434CEB">
        <w:rPr>
          <w:iCs/>
          <w:lang w:val="fr-FR"/>
        </w:rPr>
        <w:t>.</w:t>
      </w:r>
      <w:r w:rsidR="009F4509" w:rsidRPr="00434CEB">
        <w:rPr>
          <w:lang w:val="fr-FR"/>
        </w:rPr>
        <w:t> ».</w:t>
      </w:r>
    </w:p>
    <w:p w14:paraId="779641D8" w14:textId="5DF0DFFD" w:rsidR="00196C06" w:rsidRPr="008209D6" w:rsidRDefault="00196C06" w:rsidP="00D53F01">
      <w:pPr>
        <w:spacing w:before="120" w:after="120" w:line="240" w:lineRule="auto"/>
        <w:ind w:left="1134" w:right="1134"/>
        <w:jc w:val="both"/>
        <w:rPr>
          <w:lang w:val="fr-FR"/>
        </w:rPr>
      </w:pPr>
      <w:r w:rsidRPr="008209D6">
        <w:rPr>
          <w:lang w:val="fr-FR"/>
        </w:rPr>
        <w:t>«</w:t>
      </w:r>
      <w:r w:rsidR="009F4509" w:rsidRPr="008209D6">
        <w:rPr>
          <w:lang w:val="fr-FR"/>
        </w:rPr>
        <w:t> </w:t>
      </w:r>
      <w:r w:rsidRPr="008209D6">
        <w:rPr>
          <w:lang w:val="fr-FR"/>
        </w:rPr>
        <w:t>389</w:t>
      </w:r>
      <w:r w:rsidRPr="008209D6">
        <w:rPr>
          <w:lang w:val="fr-FR"/>
        </w:rPr>
        <w:tab/>
      </w:r>
      <w:r w:rsidR="000200D8" w:rsidRPr="008209D6">
        <w:rPr>
          <w:lang w:val="fr-FR"/>
        </w:rPr>
        <w:t>Cette rubrique s’applique uniquement aux engins de transport dans lesquels sont installées des batteries au lithium ionique ou batteries au lithium métal qui sont conçus uniquement pour fournir de l’énergie hors de l’engin. Les batteries au lithium doivent répondre aux dispositions des 2.2.9.1.7 a) à g) et contenir les systèmes nécessaires pour prévenir la surcharge et la décharge excessive des batteries.</w:t>
      </w:r>
    </w:p>
    <w:p w14:paraId="61EFF4D9" w14:textId="79467BA5" w:rsidR="00BA3214" w:rsidRPr="00434CEB" w:rsidRDefault="00196C06" w:rsidP="00BA3214">
      <w:pPr>
        <w:pStyle w:val="SingleTxtG"/>
        <w:rPr>
          <w:lang w:val="fr-FR"/>
        </w:rPr>
      </w:pPr>
      <w:r w:rsidRPr="00434CEB">
        <w:rPr>
          <w:lang w:val="fr-FR"/>
        </w:rPr>
        <w:t>Les batteries doivent être solidement arrimées à la structure intérieure de l’engin de transport (par exemple sur des étagères ou dans des armoires) de manière à empêcher tout court</w:t>
      </w:r>
      <w:r w:rsidRPr="00434CEB">
        <w:rPr>
          <w:lang w:val="fr-FR"/>
        </w:rPr>
        <w:noBreakHyphen/>
        <w:t xml:space="preserve">circuit, tout fonctionnement accidentel ou tout mouvement significatif lorsque l’engin de transport subit des chocs, est manutentionné, ou est soumis à des vibrations inhérentes au transport. </w:t>
      </w:r>
      <w:r w:rsidR="00BA3214" w:rsidRPr="00434CEB">
        <w:rPr>
          <w:lang w:val="fr-FR"/>
        </w:rPr>
        <w:t xml:space="preserve">Les marchandises dangereuses nécessaires au bon fonctionnement de l’engin de transport et à sa sécurité (par exemple les systèmes d’extinction d’incendie et les systèmes de climatisation) doivent y être correctement assujetties ou installées et ne sont pas par ailleurs soumises aux dispositions </w:t>
      </w:r>
      <w:r w:rsidR="00434CEB" w:rsidRPr="00154472">
        <w:rPr>
          <w:lang w:val="fr-FR"/>
        </w:rPr>
        <w:t>de l’ADR</w:t>
      </w:r>
      <w:r w:rsidR="00BA3214" w:rsidRPr="00434CEB">
        <w:rPr>
          <w:lang w:val="fr-FR"/>
        </w:rPr>
        <w:t>. Des marchandises dangereuses qui ne sont pas nécessaires à son bon fonctionnement et à sa sécurité ne doivent pas être transportées à l’intérieur de l’engin de transport.</w:t>
      </w:r>
    </w:p>
    <w:p w14:paraId="053EAD42" w14:textId="1A7629CB" w:rsidR="00196C06" w:rsidRPr="00434CEB" w:rsidRDefault="00196C06" w:rsidP="00196C06">
      <w:pPr>
        <w:pStyle w:val="SingleTxtG"/>
        <w:rPr>
          <w:lang w:val="fr-FR"/>
        </w:rPr>
      </w:pPr>
      <w:r w:rsidRPr="00434CEB">
        <w:rPr>
          <w:lang w:val="fr-FR"/>
        </w:rPr>
        <w:t xml:space="preserve">Les batteries à l'intérieur de l’engin de transport ne sont pas soumises aux prescriptions relatives au marquage ou à l’étiquetage. L’engin de transport doit porter </w:t>
      </w:r>
      <w:r w:rsidR="0056104D" w:rsidRPr="00434CEB">
        <w:rPr>
          <w:lang w:val="fr-FR"/>
        </w:rPr>
        <w:t xml:space="preserve">des panneaux orange </w:t>
      </w:r>
      <w:r w:rsidRPr="00434CEB">
        <w:rPr>
          <w:lang w:val="fr-FR"/>
        </w:rPr>
        <w:t xml:space="preserve">conformément au </w:t>
      </w:r>
      <w:r w:rsidR="0056104D" w:rsidRPr="00434CEB">
        <w:rPr>
          <w:lang w:val="fr-FR"/>
        </w:rPr>
        <w:t>5.3.2.2</w:t>
      </w:r>
      <w:r w:rsidRPr="00434CEB">
        <w:rPr>
          <w:lang w:val="fr-FR"/>
        </w:rPr>
        <w:t xml:space="preserve"> et </w:t>
      </w:r>
      <w:r w:rsidR="0056104D" w:rsidRPr="00434CEB">
        <w:rPr>
          <w:lang w:val="fr-FR"/>
        </w:rPr>
        <w:t xml:space="preserve">des plaques-étiquettes </w:t>
      </w:r>
      <w:r w:rsidRPr="00434CEB">
        <w:rPr>
          <w:lang w:val="fr-FR"/>
        </w:rPr>
        <w:t>conformément au 5.3.1.1</w:t>
      </w:r>
      <w:r w:rsidR="0056104D" w:rsidRPr="00434CEB">
        <w:rPr>
          <w:lang w:val="fr-FR"/>
        </w:rPr>
        <w:t xml:space="preserve"> sur deux côtés opposés</w:t>
      </w:r>
      <w:r w:rsidRPr="00434CEB">
        <w:rPr>
          <w:lang w:val="fr-FR"/>
        </w:rPr>
        <w:t>.</w:t>
      </w:r>
      <w:r w:rsidR="009F4509" w:rsidRPr="00434CEB">
        <w:rPr>
          <w:lang w:val="fr-FR"/>
        </w:rPr>
        <w:t> </w:t>
      </w:r>
      <w:r w:rsidRPr="00434CEB">
        <w:rPr>
          <w:lang w:val="fr-FR"/>
        </w:rPr>
        <w:t>».</w:t>
      </w:r>
    </w:p>
    <w:p w14:paraId="7F60F3D6" w14:textId="6461DED9" w:rsidR="00BE6A49" w:rsidRPr="00113683" w:rsidRDefault="00BE6A49" w:rsidP="00D53F01">
      <w:pPr>
        <w:pStyle w:val="SingleTxtG"/>
        <w:rPr>
          <w:lang w:val="fr-FR"/>
        </w:rPr>
      </w:pPr>
      <w:r w:rsidRPr="00113683">
        <w:rPr>
          <w:lang w:val="fr-FR"/>
        </w:rPr>
        <w:t>«</w:t>
      </w:r>
      <w:r w:rsidR="009F4509" w:rsidRPr="00113683">
        <w:rPr>
          <w:lang w:val="fr-FR"/>
        </w:rPr>
        <w:t> </w:t>
      </w:r>
      <w:r w:rsidRPr="00113683">
        <w:rPr>
          <w:lang w:val="fr-FR"/>
        </w:rPr>
        <w:t>391</w:t>
      </w:r>
      <w:r w:rsidRPr="00113683">
        <w:rPr>
          <w:lang w:val="fr-FR"/>
        </w:rPr>
        <w:tab/>
      </w:r>
      <w:r w:rsidR="00BC0C23" w:rsidRPr="00113683">
        <w:rPr>
          <w:i/>
          <w:lang w:val="fr-FR"/>
        </w:rPr>
        <w:t>(Réservé)</w:t>
      </w:r>
      <w:r w:rsidR="009F4509" w:rsidRPr="00113683">
        <w:rPr>
          <w:lang w:val="fr-FR"/>
        </w:rPr>
        <w:t> </w:t>
      </w:r>
      <w:r w:rsidRPr="00113683">
        <w:rPr>
          <w:lang w:val="fr-FR"/>
        </w:rPr>
        <w:t>».</w:t>
      </w:r>
    </w:p>
    <w:p w14:paraId="3EB02A46" w14:textId="6E2F4888" w:rsidR="00113683" w:rsidRPr="00154472" w:rsidRDefault="00113683" w:rsidP="00113683">
      <w:pPr>
        <w:pStyle w:val="SingleTxtG"/>
        <w:rPr>
          <w:lang w:val="fr-FR"/>
        </w:rPr>
      </w:pPr>
      <w:r w:rsidRPr="00154472">
        <w:rPr>
          <w:lang w:val="fr-FR"/>
        </w:rPr>
        <w:t>« 392</w:t>
      </w:r>
      <w:r w:rsidRPr="00154472">
        <w:rPr>
          <w:lang w:val="fr-FR"/>
        </w:rPr>
        <w:tab/>
        <w:t>Pour le transport des systèmes de confinement de gaz combustible qui sont conçus pour être installés sur des véhicules automobiles</w:t>
      </w:r>
      <w:r>
        <w:rPr>
          <w:lang w:val="fr-FR"/>
        </w:rPr>
        <w:t>, qui sont approuvés à cette fin</w:t>
      </w:r>
      <w:r w:rsidRPr="00154472">
        <w:rPr>
          <w:lang w:val="fr-FR"/>
        </w:rPr>
        <w:t xml:space="preserve"> et qui contiennent ce gaz, il n’y a pas lieu d’appliquer les dispositions </w:t>
      </w:r>
      <w:r w:rsidR="007D5EBF">
        <w:rPr>
          <w:lang w:val="fr-FR"/>
        </w:rPr>
        <w:t>du</w:t>
      </w:r>
      <w:r w:rsidRPr="00154472">
        <w:rPr>
          <w:lang w:val="fr-FR"/>
        </w:rPr>
        <w:t xml:space="preserve"> 4.1.4.1 et du chapitre 6.2 </w:t>
      </w:r>
      <w:r>
        <w:rPr>
          <w:lang w:val="fr-FR"/>
        </w:rPr>
        <w:t>s’</w:t>
      </w:r>
      <w:r w:rsidRPr="00154472">
        <w:rPr>
          <w:lang w:val="fr-FR"/>
        </w:rPr>
        <w:t>ils sont transportés en vue de leur élimination, de leur recyclage, de leur réparation, de leur inspection, ou de leur entretien, ou depuis leur lieu de fabrication vers un atelier de montage de véhicules, si les conditions ci-après sont satisfaites:</w:t>
      </w:r>
    </w:p>
    <w:p w14:paraId="4A041BF5" w14:textId="4705A1B9" w:rsidR="00F12C72" w:rsidRPr="00113683" w:rsidRDefault="00F12C72" w:rsidP="00F12C72">
      <w:pPr>
        <w:pStyle w:val="SingleTxtG"/>
        <w:rPr>
          <w:lang w:val="fr-FR"/>
        </w:rPr>
      </w:pPr>
      <w:r w:rsidRPr="00113683">
        <w:rPr>
          <w:lang w:val="fr-FR"/>
        </w:rPr>
        <w:lastRenderedPageBreak/>
        <w:t>a)</w:t>
      </w:r>
      <w:r w:rsidRPr="00113683">
        <w:rPr>
          <w:lang w:val="fr-FR"/>
        </w:rPr>
        <w:tab/>
        <w:t>Les systèmes de confinement de gaz combustible satisfont aux prescriptions des normes ou règlements applicables aux réservoirs à carburant destinés aux véhicules automobiles, suivant le cas. Des exemples de normes et règlements applicables sont: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5238"/>
      </w:tblGrid>
      <w:tr w:rsidR="00A074FC" w:rsidRPr="00113683" w14:paraId="1FC84963" w14:textId="77777777" w:rsidTr="00FC7059">
        <w:trPr>
          <w:cantSplit/>
        </w:trPr>
        <w:tc>
          <w:tcPr>
            <w:tcW w:w="8504" w:type="dxa"/>
            <w:gridSpan w:val="2"/>
            <w:shd w:val="clear" w:color="auto" w:fill="auto"/>
          </w:tcPr>
          <w:p w14:paraId="1AB152F5" w14:textId="77777777" w:rsidR="00F12C72" w:rsidRPr="00113683" w:rsidRDefault="00F12C72" w:rsidP="008B7736">
            <w:pPr>
              <w:keepNext/>
              <w:spacing w:before="40" w:after="120"/>
              <w:ind w:left="113" w:right="113"/>
              <w:rPr>
                <w:lang w:val="fr-FR"/>
              </w:rPr>
            </w:pPr>
            <w:r w:rsidRPr="00113683">
              <w:rPr>
                <w:b/>
                <w:bCs/>
                <w:lang w:val="fr-FR" w:eastAsia="en-GB" w:bidi="en-GB"/>
              </w:rPr>
              <w:t>Réservoirs à GPL</w:t>
            </w:r>
          </w:p>
        </w:tc>
      </w:tr>
      <w:tr w:rsidR="00A074FC" w:rsidRPr="00113683" w14:paraId="7BA2C292" w14:textId="77777777" w:rsidTr="00FC7059">
        <w:trPr>
          <w:cantSplit/>
        </w:trPr>
        <w:tc>
          <w:tcPr>
            <w:tcW w:w="3266" w:type="dxa"/>
            <w:shd w:val="clear" w:color="auto" w:fill="auto"/>
          </w:tcPr>
          <w:p w14:paraId="61B42046" w14:textId="77777777" w:rsidR="00F12C72" w:rsidRPr="00113683" w:rsidRDefault="00F12C72" w:rsidP="008B7736">
            <w:pPr>
              <w:spacing w:before="40" w:after="120"/>
              <w:ind w:left="113" w:right="113"/>
              <w:rPr>
                <w:lang w:val="fr-FR" w:eastAsia="en-GB" w:bidi="en-GB"/>
              </w:rPr>
            </w:pPr>
            <w:r w:rsidRPr="00113683">
              <w:rPr>
                <w:lang w:val="fr-FR"/>
              </w:rPr>
              <w:t>Règlement ECE No 67, Révision 2</w:t>
            </w:r>
          </w:p>
        </w:tc>
        <w:tc>
          <w:tcPr>
            <w:tcW w:w="5238" w:type="dxa"/>
            <w:shd w:val="clear" w:color="auto" w:fill="auto"/>
          </w:tcPr>
          <w:p w14:paraId="5646F7F1" w14:textId="3F64A718" w:rsidR="00F12C72" w:rsidRPr="00113683" w:rsidRDefault="00F12C72" w:rsidP="008B7736">
            <w:pPr>
              <w:spacing w:before="40" w:after="120"/>
              <w:ind w:left="113" w:right="113"/>
              <w:rPr>
                <w:lang w:val="fr-FR" w:eastAsia="en-GB" w:bidi="en-GB"/>
              </w:rPr>
            </w:pPr>
            <w:r w:rsidRPr="00113683">
              <w:rPr>
                <w:lang w:val="fr-FR"/>
              </w:rPr>
              <w:t>Prescriptions uniformes relatives à l’homologation: I. Des équipements spéciaux pour l’alimentation du moteur aux gaz de pétrole liquéfiés sur les véhicules des catégories M et N; II. Des véhicules des catégories M et N munis d’un équipement spécial pour l’alimentation du moteur aux gaz de pétrole liquéfiés en ce qui concerne l’installation de cet équipement</w:t>
            </w:r>
          </w:p>
        </w:tc>
      </w:tr>
      <w:tr w:rsidR="00A074FC" w:rsidRPr="00113683" w14:paraId="5C8E4317" w14:textId="77777777" w:rsidTr="00FC7059">
        <w:trPr>
          <w:cantSplit/>
        </w:trPr>
        <w:tc>
          <w:tcPr>
            <w:tcW w:w="3266" w:type="dxa"/>
            <w:shd w:val="clear" w:color="auto" w:fill="auto"/>
          </w:tcPr>
          <w:p w14:paraId="2E0F5C11" w14:textId="77777777" w:rsidR="00F12C72" w:rsidRPr="00113683" w:rsidRDefault="00F12C72" w:rsidP="008B7736">
            <w:pPr>
              <w:spacing w:before="40" w:after="120"/>
              <w:ind w:left="113" w:right="113"/>
              <w:rPr>
                <w:lang w:val="fr-FR" w:eastAsia="en-GB" w:bidi="en-GB"/>
              </w:rPr>
            </w:pPr>
            <w:r w:rsidRPr="00113683">
              <w:rPr>
                <w:lang w:val="fr-FR"/>
              </w:rPr>
              <w:t>Règlement ECE No 115</w:t>
            </w:r>
          </w:p>
        </w:tc>
        <w:tc>
          <w:tcPr>
            <w:tcW w:w="5238" w:type="dxa"/>
            <w:shd w:val="clear" w:color="auto" w:fill="auto"/>
          </w:tcPr>
          <w:p w14:paraId="1E4BC9ED" w14:textId="38EB213A" w:rsidR="00F12C72" w:rsidRPr="00113683" w:rsidRDefault="00F12C72" w:rsidP="008B7736">
            <w:pPr>
              <w:spacing w:before="40" w:after="120"/>
              <w:ind w:left="113" w:right="113"/>
              <w:rPr>
                <w:lang w:val="fr-FR" w:eastAsia="en-GB" w:bidi="en-GB"/>
              </w:rPr>
            </w:pPr>
            <w:r w:rsidRPr="00113683">
              <w:rPr>
                <w:lang w:val="fr-FR"/>
              </w:rPr>
              <w:t>Prescriptions uniformes relatives à l’homologation: I. Des systèmes spéciaux d’adaptation au GPL (gaz de pétrole liquéfié) pour véhicules automobiles leur permettant d’utiliser ce carburant dans leur système de propulsion; II. Des systèmes spéciaux d’adaptation au GNC (gaz naturel comprimé) pour véhicules automobiles leur permettant d’utiliser ce carburant dans leur système de propulsion</w:t>
            </w:r>
          </w:p>
        </w:tc>
      </w:tr>
      <w:tr w:rsidR="00A074FC" w:rsidRPr="00113683" w14:paraId="0ED59FC8" w14:textId="77777777" w:rsidTr="00FC7059">
        <w:trPr>
          <w:cantSplit/>
        </w:trPr>
        <w:tc>
          <w:tcPr>
            <w:tcW w:w="8504" w:type="dxa"/>
            <w:gridSpan w:val="2"/>
            <w:shd w:val="clear" w:color="auto" w:fill="auto"/>
          </w:tcPr>
          <w:p w14:paraId="58B0B9D2" w14:textId="47EF2203" w:rsidR="00F12C72" w:rsidRPr="00113683" w:rsidRDefault="00F12C72" w:rsidP="008B7736">
            <w:pPr>
              <w:spacing w:before="40" w:after="120"/>
              <w:ind w:left="113" w:right="113"/>
              <w:rPr>
                <w:lang w:val="fr-FR"/>
              </w:rPr>
            </w:pPr>
            <w:r w:rsidRPr="00113683">
              <w:rPr>
                <w:b/>
                <w:bCs/>
                <w:lang w:val="fr-FR" w:eastAsia="en-GB" w:bidi="en-GB"/>
              </w:rPr>
              <w:t>Réservoirs à GNC</w:t>
            </w:r>
            <w:r w:rsidR="00850374" w:rsidRPr="00113683">
              <w:rPr>
                <w:b/>
                <w:bCs/>
                <w:lang w:val="fr-FR" w:eastAsia="en-GB" w:bidi="en-GB"/>
              </w:rPr>
              <w:t xml:space="preserve"> et GNL</w:t>
            </w:r>
          </w:p>
        </w:tc>
      </w:tr>
      <w:tr w:rsidR="00A074FC" w:rsidRPr="00113683" w14:paraId="1B30B9F5" w14:textId="77777777" w:rsidTr="00FC7059">
        <w:trPr>
          <w:cantSplit/>
        </w:trPr>
        <w:tc>
          <w:tcPr>
            <w:tcW w:w="3266" w:type="dxa"/>
            <w:shd w:val="clear" w:color="auto" w:fill="auto"/>
          </w:tcPr>
          <w:p w14:paraId="345F841D" w14:textId="77777777" w:rsidR="00F12C72" w:rsidRPr="00113683" w:rsidRDefault="00F12C72" w:rsidP="008B7736">
            <w:pPr>
              <w:spacing w:before="40" w:after="120"/>
              <w:ind w:left="113" w:right="113"/>
              <w:rPr>
                <w:lang w:val="fr-FR" w:eastAsia="en-GB" w:bidi="en-GB"/>
              </w:rPr>
            </w:pPr>
            <w:r w:rsidRPr="00113683">
              <w:rPr>
                <w:lang w:val="fr-FR"/>
              </w:rPr>
              <w:t>Règlement ECE No 110</w:t>
            </w:r>
          </w:p>
        </w:tc>
        <w:tc>
          <w:tcPr>
            <w:tcW w:w="5238" w:type="dxa"/>
            <w:shd w:val="clear" w:color="auto" w:fill="auto"/>
          </w:tcPr>
          <w:p w14:paraId="4F5C18D0" w14:textId="635FFA69" w:rsidR="00F12C72" w:rsidRPr="00113683" w:rsidRDefault="00F12C72" w:rsidP="008B7736">
            <w:pPr>
              <w:spacing w:before="40" w:after="120"/>
              <w:ind w:left="113" w:right="113"/>
              <w:rPr>
                <w:lang w:val="fr-FR" w:eastAsia="en-GB" w:bidi="en-GB"/>
              </w:rPr>
            </w:pPr>
            <w:r w:rsidRPr="00113683">
              <w:rPr>
                <w:lang w:val="fr-FR"/>
              </w:rPr>
              <w:t xml:space="preserve">Prescriptions uniformes relatives à l’homologation: I. Des organes spéciaux pour l’alimentation du moteur au gaz naturel comprimé (GNC) </w:t>
            </w:r>
            <w:r w:rsidR="00850374" w:rsidRPr="00113683">
              <w:rPr>
                <w:lang w:val="fr-FR"/>
              </w:rPr>
              <w:t xml:space="preserve">et/ou au gaz naturel liquéfié (GNL) </w:t>
            </w:r>
            <w:r w:rsidRPr="00113683">
              <w:rPr>
                <w:lang w:val="fr-FR"/>
              </w:rPr>
              <w:t>sur les véhicules; II. Des véhicules munis d’organes spéciaux d’un type homologué pour l’alimentation du moteur au gaz naturel comprimé (GNC) et/ou au gaz naturel liquéfié (GNL) en ce qui concerne l’installation de ces organes</w:t>
            </w:r>
          </w:p>
        </w:tc>
      </w:tr>
      <w:tr w:rsidR="00A074FC" w:rsidRPr="00113683" w14:paraId="4A47FD49" w14:textId="77777777" w:rsidTr="00FC7059">
        <w:trPr>
          <w:cantSplit/>
        </w:trPr>
        <w:tc>
          <w:tcPr>
            <w:tcW w:w="3266" w:type="dxa"/>
            <w:shd w:val="clear" w:color="auto" w:fill="auto"/>
          </w:tcPr>
          <w:p w14:paraId="375AB00A" w14:textId="77777777" w:rsidR="00F12C72" w:rsidRPr="00113683" w:rsidRDefault="00F12C72" w:rsidP="008B7736">
            <w:pPr>
              <w:spacing w:before="40" w:after="120"/>
              <w:ind w:left="113" w:right="113"/>
              <w:rPr>
                <w:lang w:val="fr-FR" w:eastAsia="en-GB" w:bidi="en-GB"/>
              </w:rPr>
            </w:pPr>
            <w:r w:rsidRPr="00113683">
              <w:rPr>
                <w:lang w:val="fr-FR"/>
              </w:rPr>
              <w:t>Règlement ECE No 115</w:t>
            </w:r>
          </w:p>
        </w:tc>
        <w:tc>
          <w:tcPr>
            <w:tcW w:w="5238" w:type="dxa"/>
            <w:shd w:val="clear" w:color="auto" w:fill="auto"/>
          </w:tcPr>
          <w:p w14:paraId="2D2046C7" w14:textId="6658ACA6" w:rsidR="00F12C72" w:rsidRPr="00113683" w:rsidRDefault="00F12C72" w:rsidP="00EE2281">
            <w:pPr>
              <w:spacing w:before="40" w:after="120"/>
              <w:ind w:left="134" w:right="113"/>
              <w:rPr>
                <w:lang w:val="fr-FR" w:eastAsia="en-GB" w:bidi="en-GB"/>
              </w:rPr>
            </w:pPr>
            <w:r w:rsidRPr="00113683">
              <w:rPr>
                <w:lang w:val="fr-FR"/>
              </w:rPr>
              <w:t>Prescriptions uniformes relatives à l’homologation: I. Des systèmes spéciaux d’adaptation au GPL (gaz de pétrole liquéfié) pour véhicules automobiles leur permettant d’utiliser ce carburant dans leur système de propulsion; II. Des systèmes spéciaux d’adaptation au GNC (gaz naturel comprimé) pour véhicules automobiles leur permettant d’utiliser ce carburant dans leur système de propulsion</w:t>
            </w:r>
          </w:p>
        </w:tc>
      </w:tr>
      <w:tr w:rsidR="00A074FC" w:rsidRPr="00113683" w14:paraId="4A41B033" w14:textId="77777777" w:rsidTr="00FC7059">
        <w:trPr>
          <w:cantSplit/>
        </w:trPr>
        <w:tc>
          <w:tcPr>
            <w:tcW w:w="3266" w:type="dxa"/>
            <w:shd w:val="clear" w:color="auto" w:fill="auto"/>
          </w:tcPr>
          <w:p w14:paraId="46CCADD0" w14:textId="77777777" w:rsidR="00F12C72" w:rsidRPr="00113683" w:rsidRDefault="00F12C72" w:rsidP="008B7736">
            <w:pPr>
              <w:spacing w:before="40" w:after="120"/>
              <w:ind w:left="113" w:right="113"/>
              <w:rPr>
                <w:lang w:val="fr-FR" w:eastAsia="en-GB" w:bidi="en-GB"/>
              </w:rPr>
            </w:pPr>
            <w:r w:rsidRPr="00113683">
              <w:rPr>
                <w:lang w:val="fr-FR"/>
              </w:rPr>
              <w:t xml:space="preserve">ISO 11439:2013 </w:t>
            </w:r>
          </w:p>
        </w:tc>
        <w:tc>
          <w:tcPr>
            <w:tcW w:w="5238" w:type="dxa"/>
            <w:shd w:val="clear" w:color="auto" w:fill="auto"/>
          </w:tcPr>
          <w:p w14:paraId="3534EBAA" w14:textId="473BAA5D" w:rsidR="00F12C72" w:rsidRPr="00113683" w:rsidRDefault="00F12C72" w:rsidP="00204AE3">
            <w:pPr>
              <w:spacing w:before="40" w:after="120"/>
              <w:ind w:left="113" w:right="113"/>
              <w:rPr>
                <w:lang w:val="fr-FR" w:eastAsia="en-GB" w:bidi="en-GB"/>
              </w:rPr>
            </w:pPr>
            <w:r w:rsidRPr="00113683">
              <w:rPr>
                <w:lang w:val="fr-FR"/>
              </w:rPr>
              <w:t xml:space="preserve">Bouteilles à gaz − Bouteilles haute pression pour le stockage de gaz naturel utilisé comme carburant à bord des véhicules automobiles </w:t>
            </w:r>
          </w:p>
        </w:tc>
      </w:tr>
      <w:tr w:rsidR="00A074FC" w:rsidRPr="00113683" w14:paraId="138E3A1A" w14:textId="77777777" w:rsidTr="00FC7059">
        <w:trPr>
          <w:cantSplit/>
        </w:trPr>
        <w:tc>
          <w:tcPr>
            <w:tcW w:w="3266" w:type="dxa"/>
            <w:shd w:val="clear" w:color="auto" w:fill="auto"/>
          </w:tcPr>
          <w:p w14:paraId="55116D64" w14:textId="77777777" w:rsidR="00F12C72" w:rsidRPr="00113683" w:rsidRDefault="00F12C72" w:rsidP="008B7736">
            <w:pPr>
              <w:spacing w:before="40" w:after="120"/>
              <w:ind w:left="113" w:right="113"/>
              <w:rPr>
                <w:lang w:val="fr-FR" w:eastAsia="en-GB" w:bidi="en-GB"/>
              </w:rPr>
            </w:pPr>
            <w:r w:rsidRPr="00113683">
              <w:rPr>
                <w:lang w:val="fr-FR"/>
              </w:rPr>
              <w:t xml:space="preserve">Série des normes ISO 15500 </w:t>
            </w:r>
          </w:p>
        </w:tc>
        <w:tc>
          <w:tcPr>
            <w:tcW w:w="5238" w:type="dxa"/>
            <w:shd w:val="clear" w:color="auto" w:fill="auto"/>
          </w:tcPr>
          <w:p w14:paraId="189E7F81" w14:textId="77777777" w:rsidR="00F12C72" w:rsidRPr="00113683" w:rsidRDefault="00F12C72" w:rsidP="008B7736">
            <w:pPr>
              <w:spacing w:before="40" w:after="120"/>
              <w:ind w:left="113" w:right="113"/>
              <w:rPr>
                <w:lang w:val="fr-FR" w:eastAsia="en-GB" w:bidi="en-GB"/>
              </w:rPr>
            </w:pPr>
            <w:r w:rsidRPr="00113683">
              <w:rPr>
                <w:lang w:val="fr-FR"/>
              </w:rPr>
              <w:t>Véhicules routiers − Composants des systèmes de combustible gaz naturel comprimé (GNC) − Différentes parties applicables</w:t>
            </w:r>
          </w:p>
        </w:tc>
      </w:tr>
      <w:tr w:rsidR="00A074FC" w:rsidRPr="00113683" w14:paraId="64E51347" w14:textId="77777777" w:rsidTr="00FC7059">
        <w:trPr>
          <w:cantSplit/>
        </w:trPr>
        <w:tc>
          <w:tcPr>
            <w:tcW w:w="3266" w:type="dxa"/>
            <w:shd w:val="clear" w:color="auto" w:fill="auto"/>
          </w:tcPr>
          <w:p w14:paraId="39562CB6" w14:textId="77777777" w:rsidR="00F12C72" w:rsidRPr="00113683" w:rsidRDefault="00F12C72" w:rsidP="008B7736">
            <w:pPr>
              <w:spacing w:before="40" w:after="120"/>
              <w:ind w:left="113" w:right="113"/>
              <w:rPr>
                <w:lang w:val="fr-FR" w:eastAsia="en-GB" w:bidi="en-GB"/>
              </w:rPr>
            </w:pPr>
            <w:r w:rsidRPr="00113683">
              <w:rPr>
                <w:lang w:val="fr-FR"/>
              </w:rPr>
              <w:t>ANSI NGV 2</w:t>
            </w:r>
          </w:p>
        </w:tc>
        <w:tc>
          <w:tcPr>
            <w:tcW w:w="5238" w:type="dxa"/>
            <w:shd w:val="clear" w:color="auto" w:fill="auto"/>
          </w:tcPr>
          <w:p w14:paraId="39FE1E81" w14:textId="77777777" w:rsidR="00F12C72" w:rsidRPr="00113683" w:rsidRDefault="00F12C72" w:rsidP="008B7736">
            <w:pPr>
              <w:spacing w:before="40" w:after="120"/>
              <w:ind w:left="113" w:right="113"/>
              <w:rPr>
                <w:i/>
                <w:lang w:val="en-GB" w:eastAsia="en-GB" w:bidi="en-GB"/>
              </w:rPr>
            </w:pPr>
            <w:r w:rsidRPr="00113683">
              <w:rPr>
                <w:i/>
                <w:lang w:val="en-GB"/>
              </w:rPr>
              <w:t>Compressed natural gas vehicle fuel containers</w:t>
            </w:r>
          </w:p>
        </w:tc>
      </w:tr>
      <w:tr w:rsidR="00A074FC" w:rsidRPr="00113683" w14:paraId="08854F44" w14:textId="77777777" w:rsidTr="00FC7059">
        <w:trPr>
          <w:cantSplit/>
        </w:trPr>
        <w:tc>
          <w:tcPr>
            <w:tcW w:w="3266" w:type="dxa"/>
            <w:shd w:val="clear" w:color="auto" w:fill="auto"/>
          </w:tcPr>
          <w:p w14:paraId="43217185" w14:textId="77777777" w:rsidR="00F12C72" w:rsidRPr="00113683" w:rsidRDefault="00F12C72" w:rsidP="008B7736">
            <w:pPr>
              <w:spacing w:before="40" w:after="120"/>
              <w:ind w:left="113" w:right="113"/>
              <w:rPr>
                <w:lang w:val="fr-FR" w:eastAsia="en-GB" w:bidi="en-GB"/>
              </w:rPr>
            </w:pPr>
            <w:r w:rsidRPr="00113683">
              <w:rPr>
                <w:lang w:val="fr-FR"/>
              </w:rPr>
              <w:t>CSA B51− Deuxième partie:2014</w:t>
            </w:r>
          </w:p>
        </w:tc>
        <w:tc>
          <w:tcPr>
            <w:tcW w:w="5238" w:type="dxa"/>
            <w:shd w:val="clear" w:color="auto" w:fill="auto"/>
          </w:tcPr>
          <w:p w14:paraId="750CD647" w14:textId="064B398D" w:rsidR="00F12C72" w:rsidRPr="00113683" w:rsidRDefault="00F12C72" w:rsidP="008B7736">
            <w:pPr>
              <w:spacing w:before="40" w:after="120"/>
              <w:ind w:left="113" w:right="113"/>
              <w:rPr>
                <w:lang w:val="fr-FR" w:eastAsia="en-GB" w:bidi="en-GB"/>
              </w:rPr>
            </w:pPr>
            <w:r w:rsidRPr="00113683">
              <w:rPr>
                <w:lang w:val="fr-FR"/>
              </w:rPr>
              <w:t>Code sur les chaudières, les appareils et les tuyauteries sous pression − Deuxième partie: Exigences s’appliquant aux cylindres à haute pression servant à l’entreposage de carburant à bord de véhicules automobiles</w:t>
            </w:r>
          </w:p>
        </w:tc>
      </w:tr>
      <w:tr w:rsidR="00A074FC" w:rsidRPr="00113683" w14:paraId="6768384B" w14:textId="77777777" w:rsidTr="00FC7059">
        <w:trPr>
          <w:cantSplit/>
        </w:trPr>
        <w:tc>
          <w:tcPr>
            <w:tcW w:w="8504" w:type="dxa"/>
            <w:gridSpan w:val="2"/>
            <w:shd w:val="clear" w:color="auto" w:fill="auto"/>
          </w:tcPr>
          <w:p w14:paraId="7D3EA5B6" w14:textId="77777777" w:rsidR="00F12C72" w:rsidRPr="00113683" w:rsidRDefault="00F12C72" w:rsidP="008B7736">
            <w:pPr>
              <w:spacing w:before="40" w:after="120"/>
              <w:ind w:left="113" w:right="113"/>
              <w:rPr>
                <w:b/>
                <w:szCs w:val="24"/>
                <w:lang w:val="fr-FR"/>
              </w:rPr>
            </w:pPr>
            <w:r w:rsidRPr="00113683">
              <w:rPr>
                <w:b/>
                <w:szCs w:val="24"/>
                <w:lang w:val="fr-FR" w:eastAsia="en-GB" w:bidi="en-GB"/>
              </w:rPr>
              <w:t>Réservoirs à hydrogène sous pression</w:t>
            </w:r>
          </w:p>
        </w:tc>
      </w:tr>
      <w:tr w:rsidR="00A074FC" w:rsidRPr="00113683" w14:paraId="61E472D6" w14:textId="77777777" w:rsidTr="00FC7059">
        <w:trPr>
          <w:cantSplit/>
        </w:trPr>
        <w:tc>
          <w:tcPr>
            <w:tcW w:w="3266" w:type="dxa"/>
            <w:shd w:val="clear" w:color="auto" w:fill="auto"/>
          </w:tcPr>
          <w:p w14:paraId="244474C8" w14:textId="11934F7C" w:rsidR="00F12C72" w:rsidRPr="00113683" w:rsidRDefault="00F12C72" w:rsidP="008B7736">
            <w:pPr>
              <w:spacing w:before="40" w:after="120"/>
              <w:ind w:left="113" w:right="113"/>
              <w:rPr>
                <w:lang w:val="fr-FR" w:eastAsia="en-GB" w:bidi="en-GB"/>
              </w:rPr>
            </w:pPr>
            <w:r w:rsidRPr="00113683">
              <w:rPr>
                <w:lang w:val="fr-FR"/>
              </w:rPr>
              <w:lastRenderedPageBreak/>
              <w:t>Règlement technique mondial n</w:t>
            </w:r>
            <w:r w:rsidRPr="00113683">
              <w:rPr>
                <w:vertAlign w:val="superscript"/>
                <w:lang w:val="fr-FR"/>
              </w:rPr>
              <w:t>o</w:t>
            </w:r>
            <w:r w:rsidRPr="00113683">
              <w:rPr>
                <w:lang w:val="fr-FR"/>
              </w:rPr>
              <w:t> 13</w:t>
            </w:r>
            <w:r w:rsidR="00DF57AC" w:rsidRPr="00113683">
              <w:rPr>
                <w:lang w:val="fr-FR"/>
              </w:rPr>
              <w:t xml:space="preserve"> (RTM)</w:t>
            </w:r>
          </w:p>
        </w:tc>
        <w:tc>
          <w:tcPr>
            <w:tcW w:w="5238" w:type="dxa"/>
            <w:shd w:val="clear" w:color="auto" w:fill="auto"/>
          </w:tcPr>
          <w:p w14:paraId="7140E6D5" w14:textId="77777777" w:rsidR="00F12C72" w:rsidRPr="00113683" w:rsidRDefault="00F12C72" w:rsidP="008B7736">
            <w:pPr>
              <w:spacing w:before="40" w:after="120"/>
              <w:ind w:left="113" w:right="113"/>
              <w:rPr>
                <w:lang w:val="fr-FR" w:eastAsia="en-GB" w:bidi="en-GB"/>
              </w:rPr>
            </w:pPr>
            <w:r w:rsidRPr="00113683">
              <w:rPr>
                <w:lang w:val="fr-FR"/>
              </w:rPr>
              <w:t>Règlement technique mondial sur les véhicules à hydrogène à pile à combustible (ECE/TRANS/180/Add.13)</w:t>
            </w:r>
          </w:p>
        </w:tc>
      </w:tr>
      <w:tr w:rsidR="00A074FC" w:rsidRPr="00113683" w14:paraId="35E13B27" w14:textId="77777777" w:rsidTr="00FC7059">
        <w:trPr>
          <w:cantSplit/>
        </w:trPr>
        <w:tc>
          <w:tcPr>
            <w:tcW w:w="3266" w:type="dxa"/>
            <w:shd w:val="clear" w:color="auto" w:fill="auto"/>
          </w:tcPr>
          <w:p w14:paraId="14166685" w14:textId="77777777" w:rsidR="00F12C72" w:rsidRPr="00113683" w:rsidRDefault="00F12C72" w:rsidP="008B7736">
            <w:pPr>
              <w:spacing w:before="40" w:after="120"/>
              <w:ind w:left="113" w:right="113"/>
              <w:rPr>
                <w:lang w:val="fr-FR" w:eastAsia="en-GB" w:bidi="en-GB"/>
              </w:rPr>
            </w:pPr>
            <w:r w:rsidRPr="00113683">
              <w:rPr>
                <w:lang w:val="fr-FR"/>
              </w:rPr>
              <w:t xml:space="preserve">ISO/TS 15869:2009 </w:t>
            </w:r>
          </w:p>
        </w:tc>
        <w:tc>
          <w:tcPr>
            <w:tcW w:w="5238" w:type="dxa"/>
            <w:shd w:val="clear" w:color="auto" w:fill="auto"/>
          </w:tcPr>
          <w:p w14:paraId="3A67A993" w14:textId="502F1BEE" w:rsidR="00F12C72" w:rsidRPr="00113683" w:rsidRDefault="00F12C72" w:rsidP="00204AE3">
            <w:pPr>
              <w:spacing w:before="40" w:after="120"/>
              <w:ind w:left="113" w:right="113"/>
              <w:rPr>
                <w:lang w:val="fr-FR" w:eastAsia="en-GB" w:bidi="en-GB"/>
              </w:rPr>
            </w:pPr>
            <w:r w:rsidRPr="00113683">
              <w:rPr>
                <w:lang w:val="fr-FR"/>
              </w:rPr>
              <w:t xml:space="preserve">Hydrogène gazeux et mélanges d’hydrogène gazeux − Réservoirs de carburant pour véhicules terrestres </w:t>
            </w:r>
          </w:p>
        </w:tc>
      </w:tr>
      <w:tr w:rsidR="00A074FC" w:rsidRPr="00113683" w14:paraId="476FACCD" w14:textId="77777777" w:rsidTr="00FC7059">
        <w:trPr>
          <w:cantSplit/>
        </w:trPr>
        <w:tc>
          <w:tcPr>
            <w:tcW w:w="3266" w:type="dxa"/>
            <w:shd w:val="clear" w:color="auto" w:fill="auto"/>
          </w:tcPr>
          <w:p w14:paraId="1CA71D57" w14:textId="77777777" w:rsidR="00F12C72" w:rsidRPr="00113683" w:rsidRDefault="00F12C72" w:rsidP="008B7736">
            <w:pPr>
              <w:spacing w:before="40" w:after="120"/>
              <w:ind w:left="113" w:right="113"/>
              <w:rPr>
                <w:lang w:val="fr-FR" w:eastAsia="en-GB" w:bidi="en-GB"/>
              </w:rPr>
            </w:pPr>
            <w:r w:rsidRPr="00113683">
              <w:rPr>
                <w:lang w:val="fr-FR"/>
              </w:rPr>
              <w:t xml:space="preserve">Règlement (CE) No 79/2009 </w:t>
            </w:r>
          </w:p>
        </w:tc>
        <w:tc>
          <w:tcPr>
            <w:tcW w:w="5238" w:type="dxa"/>
            <w:shd w:val="clear" w:color="auto" w:fill="auto"/>
          </w:tcPr>
          <w:p w14:paraId="521D41BC" w14:textId="77777777" w:rsidR="00F12C72" w:rsidRPr="00113683" w:rsidRDefault="00F12C72" w:rsidP="008B7736">
            <w:pPr>
              <w:spacing w:before="40" w:after="120"/>
              <w:ind w:left="113" w:right="113"/>
              <w:rPr>
                <w:lang w:val="fr-FR" w:eastAsia="en-GB" w:bidi="en-GB"/>
              </w:rPr>
            </w:pPr>
            <w:r w:rsidRPr="00113683">
              <w:rPr>
                <w:lang w:val="fr-FR"/>
              </w:rPr>
              <w:t>Règlement (CE) No 79/2009 du Parlement européen et du Conseil du 14 janvier 2009 concernant la réception par type des véhicules à moteur fonctionnant à l’hydrogène et modifiant la directive 2007/46/CE</w:t>
            </w:r>
          </w:p>
        </w:tc>
      </w:tr>
      <w:tr w:rsidR="00A074FC" w:rsidRPr="00113683" w14:paraId="361C2D71" w14:textId="77777777" w:rsidTr="00FC7059">
        <w:trPr>
          <w:cantSplit/>
        </w:trPr>
        <w:tc>
          <w:tcPr>
            <w:tcW w:w="3266" w:type="dxa"/>
            <w:shd w:val="clear" w:color="auto" w:fill="auto"/>
          </w:tcPr>
          <w:p w14:paraId="224516B5" w14:textId="77777777" w:rsidR="00F12C72" w:rsidRPr="00113683" w:rsidRDefault="00F12C72" w:rsidP="008B7736">
            <w:pPr>
              <w:spacing w:before="40" w:after="120"/>
              <w:ind w:left="113" w:right="113"/>
              <w:rPr>
                <w:lang w:val="fr-FR" w:eastAsia="en-GB" w:bidi="en-GB"/>
              </w:rPr>
            </w:pPr>
            <w:r w:rsidRPr="00113683">
              <w:rPr>
                <w:lang w:val="fr-FR"/>
              </w:rPr>
              <w:t xml:space="preserve">Règlement (UE) No 406/2010 </w:t>
            </w:r>
          </w:p>
        </w:tc>
        <w:tc>
          <w:tcPr>
            <w:tcW w:w="5238" w:type="dxa"/>
            <w:shd w:val="clear" w:color="auto" w:fill="auto"/>
          </w:tcPr>
          <w:p w14:paraId="4F84D640" w14:textId="77777777" w:rsidR="00F12C72" w:rsidRPr="00113683" w:rsidRDefault="00F12C72" w:rsidP="008B7736">
            <w:pPr>
              <w:spacing w:before="40" w:after="120"/>
              <w:ind w:left="113" w:right="113"/>
              <w:rPr>
                <w:lang w:val="fr-FR" w:eastAsia="en-GB" w:bidi="en-GB"/>
              </w:rPr>
            </w:pPr>
            <w:r w:rsidRPr="00113683">
              <w:rPr>
                <w:lang w:val="fr-FR"/>
              </w:rPr>
              <w:t>Règlement (UE) No 406/2010 de la Commission du 26 avril 2010 portant application du Règlement (CE) No 79/2009 du Parlement européen et du Conseil concernant la réception par type des véhicules à moteur fonctionnant à l’hydrogène</w:t>
            </w:r>
          </w:p>
        </w:tc>
      </w:tr>
      <w:tr w:rsidR="00A074FC" w:rsidRPr="00113683" w14:paraId="04EA3AAB" w14:textId="77777777" w:rsidTr="00FC7059">
        <w:trPr>
          <w:cantSplit/>
        </w:trPr>
        <w:tc>
          <w:tcPr>
            <w:tcW w:w="3266" w:type="dxa"/>
            <w:shd w:val="clear" w:color="auto" w:fill="auto"/>
          </w:tcPr>
          <w:p w14:paraId="720819DF" w14:textId="77777777" w:rsidR="00F12C72" w:rsidRPr="00113683" w:rsidRDefault="00F12C72" w:rsidP="008B7736">
            <w:pPr>
              <w:spacing w:before="40" w:after="120"/>
              <w:ind w:left="113" w:right="113"/>
              <w:rPr>
                <w:lang w:val="fr-FR" w:eastAsia="en-GB" w:bidi="en-GB"/>
              </w:rPr>
            </w:pPr>
            <w:r w:rsidRPr="00113683">
              <w:rPr>
                <w:lang w:val="fr-FR" w:eastAsia="en-GB" w:bidi="en-GB"/>
              </w:rPr>
              <w:t xml:space="preserve">Règlement </w:t>
            </w:r>
            <w:r w:rsidRPr="00113683">
              <w:rPr>
                <w:lang w:val="fr-FR"/>
              </w:rPr>
              <w:t xml:space="preserve">ECE No </w:t>
            </w:r>
            <w:r w:rsidRPr="00113683">
              <w:rPr>
                <w:lang w:val="fr-FR" w:eastAsia="en-GB" w:bidi="en-GB"/>
              </w:rPr>
              <w:t xml:space="preserve">134 </w:t>
            </w:r>
          </w:p>
        </w:tc>
        <w:tc>
          <w:tcPr>
            <w:tcW w:w="5238" w:type="dxa"/>
            <w:shd w:val="clear" w:color="auto" w:fill="auto"/>
          </w:tcPr>
          <w:p w14:paraId="3BD56757" w14:textId="77777777" w:rsidR="00F12C72" w:rsidRPr="00113683" w:rsidRDefault="00F12C72" w:rsidP="008B7736">
            <w:pPr>
              <w:spacing w:before="40" w:after="120"/>
              <w:ind w:left="113" w:right="113"/>
              <w:rPr>
                <w:lang w:val="fr-FR" w:eastAsia="en-GB" w:bidi="en-GB"/>
              </w:rPr>
            </w:pPr>
            <w:r w:rsidRPr="00113683">
              <w:rPr>
                <w:lang w:val="fr-FR"/>
              </w:rPr>
              <w:t>Règlement ECE No 134 (Véhicules à hydrogène et à pile à combustible (HFCV))</w:t>
            </w:r>
          </w:p>
        </w:tc>
      </w:tr>
      <w:tr w:rsidR="00A074FC" w:rsidRPr="00113683" w14:paraId="154D1E4D" w14:textId="77777777" w:rsidTr="00FC7059">
        <w:trPr>
          <w:cantSplit/>
        </w:trPr>
        <w:tc>
          <w:tcPr>
            <w:tcW w:w="3266" w:type="dxa"/>
            <w:shd w:val="clear" w:color="auto" w:fill="auto"/>
          </w:tcPr>
          <w:p w14:paraId="28D95F3B" w14:textId="77777777" w:rsidR="00F12C72" w:rsidRPr="00113683" w:rsidRDefault="00F12C72" w:rsidP="008B7736">
            <w:pPr>
              <w:spacing w:before="40" w:after="120"/>
              <w:ind w:left="113" w:right="113"/>
              <w:rPr>
                <w:lang w:val="fr-FR" w:eastAsia="en-GB" w:bidi="en-GB"/>
              </w:rPr>
            </w:pPr>
            <w:r w:rsidRPr="00113683">
              <w:rPr>
                <w:lang w:val="fr-FR"/>
              </w:rPr>
              <w:t>CSA B51− Deuxième partie:2014</w:t>
            </w:r>
          </w:p>
        </w:tc>
        <w:tc>
          <w:tcPr>
            <w:tcW w:w="5238" w:type="dxa"/>
            <w:shd w:val="clear" w:color="auto" w:fill="auto"/>
          </w:tcPr>
          <w:p w14:paraId="36271B3F" w14:textId="38B0BE30" w:rsidR="00F12C72" w:rsidRPr="00113683" w:rsidRDefault="00F12C72" w:rsidP="008B7736">
            <w:pPr>
              <w:spacing w:before="40" w:after="120"/>
              <w:ind w:left="113" w:right="113"/>
              <w:rPr>
                <w:lang w:val="fr-FR" w:eastAsia="en-GB" w:bidi="en-GB"/>
              </w:rPr>
            </w:pPr>
            <w:r w:rsidRPr="00113683">
              <w:rPr>
                <w:lang w:val="fr-FR"/>
              </w:rPr>
              <w:t>Code sur les chaudières, les appareils et les tuyauteries sous pression − Deuxième partie: Exigences s’appliquant aux cylindres à haute pression servant à l’entreposage de carburant à bord de véhicules automobiles</w:t>
            </w:r>
          </w:p>
        </w:tc>
      </w:tr>
    </w:tbl>
    <w:p w14:paraId="4A901E5A" w14:textId="4117C5C6" w:rsidR="00F12C72" w:rsidRPr="00113683" w:rsidRDefault="00F12C72" w:rsidP="00F12C72">
      <w:pPr>
        <w:pStyle w:val="SingleTxtG"/>
        <w:spacing w:before="120"/>
        <w:ind w:left="1138" w:right="1138" w:firstLine="562"/>
        <w:rPr>
          <w:lang w:val="fr-FR"/>
        </w:rPr>
      </w:pPr>
      <w:r w:rsidRPr="00113683">
        <w:rPr>
          <w:lang w:val="fr-FR"/>
        </w:rPr>
        <w:t xml:space="preserve">Le transport des réservoirs à gaz conçus et fabriqués conformément aux précédentes versions des normes ou règlements pertinents, applicables aux réservoirs à gaz destinés aux véhicules automobiles, en vigueur au moment de l’homologation des véhicules </w:t>
      </w:r>
      <w:r w:rsidR="00553856" w:rsidRPr="00113683">
        <w:rPr>
          <w:lang w:val="fr-FR"/>
        </w:rPr>
        <w:t>pour</w:t>
      </w:r>
      <w:r w:rsidRPr="00113683">
        <w:rPr>
          <w:lang w:val="fr-FR"/>
        </w:rPr>
        <w:t xml:space="preserve"> lesquels ces réservoirs </w:t>
      </w:r>
      <w:r w:rsidR="00553856" w:rsidRPr="00113683">
        <w:rPr>
          <w:lang w:val="fr-FR"/>
        </w:rPr>
        <w:t>ont été conçus et construits</w:t>
      </w:r>
      <w:r w:rsidRPr="00113683">
        <w:rPr>
          <w:lang w:val="fr-FR"/>
        </w:rPr>
        <w:t>, reste autorisé</w:t>
      </w:r>
      <w:r w:rsidR="003B798C" w:rsidRPr="00113683">
        <w:rPr>
          <w:lang w:val="fr-FR"/>
        </w:rPr>
        <w:t>;</w:t>
      </w:r>
    </w:p>
    <w:p w14:paraId="15E94D3F" w14:textId="248905DB" w:rsidR="00F12C72" w:rsidRPr="00113683" w:rsidRDefault="00F12C72" w:rsidP="00F12C72">
      <w:pPr>
        <w:pStyle w:val="SingleTxtG"/>
        <w:rPr>
          <w:lang w:val="fr-FR"/>
        </w:rPr>
      </w:pPr>
      <w:r w:rsidRPr="00113683">
        <w:rPr>
          <w:lang w:val="fr-FR"/>
        </w:rPr>
        <w:t>b)</w:t>
      </w:r>
      <w:r w:rsidRPr="00113683">
        <w:rPr>
          <w:lang w:val="fr-FR"/>
        </w:rPr>
        <w:tab/>
        <w:t>Les systèmes de confinement de gaz combustible doivent être étanches et ne présenter aucun dommage externe susceptible d’affecter la sécurité</w:t>
      </w:r>
      <w:r w:rsidR="007075CD" w:rsidRPr="00113683">
        <w:rPr>
          <w:lang w:val="fr-FR"/>
        </w:rPr>
        <w:t>;</w:t>
      </w:r>
    </w:p>
    <w:p w14:paraId="3245289A" w14:textId="4F0C9E60" w:rsidR="00F12C72" w:rsidRPr="00113683" w:rsidRDefault="00F12C72" w:rsidP="003B798C">
      <w:pPr>
        <w:pStyle w:val="SingleTxtG"/>
        <w:rPr>
          <w:i/>
          <w:lang w:val="fr-FR"/>
        </w:rPr>
      </w:pPr>
      <w:r w:rsidRPr="00113683">
        <w:rPr>
          <w:b/>
          <w:i/>
          <w:lang w:val="fr-FR"/>
        </w:rPr>
        <w:t>NOTA 1:</w:t>
      </w:r>
      <w:r w:rsidRPr="00113683">
        <w:rPr>
          <w:i/>
          <w:lang w:val="fr-FR"/>
        </w:rPr>
        <w:t xml:space="preserve"> Les critères sont énoncés dans la norme ISO 11623:2015 Bouteilles à gaz transportable − Contrôles et essais périodiques des bouteilles à gaz en matériau composite (ou ISO 19078:2013 Bouteilles à gaz − Inspection de l’installation des bouteilles, et requalification des bouteilles haute pression pour le stockage du gaz naturel, utilisé comme carburant, à bord des véhicules automobiles).</w:t>
      </w:r>
    </w:p>
    <w:p w14:paraId="2233770F" w14:textId="5732D1F1" w:rsidR="00F12C72" w:rsidRPr="00113683" w:rsidRDefault="00F12C72" w:rsidP="0022565D">
      <w:pPr>
        <w:pStyle w:val="SingleTxtG"/>
        <w:ind w:firstLine="567"/>
        <w:rPr>
          <w:i/>
          <w:lang w:val="fr-FR"/>
        </w:rPr>
      </w:pPr>
      <w:r w:rsidRPr="00113683">
        <w:rPr>
          <w:b/>
          <w:i/>
          <w:lang w:val="fr-FR"/>
        </w:rPr>
        <w:t>2:</w:t>
      </w:r>
      <w:r w:rsidRPr="00113683">
        <w:rPr>
          <w:i/>
          <w:lang w:val="fr-FR"/>
        </w:rPr>
        <w:t xml:space="preserve"> Si les systèmes de confinement de gaz combustible ne sont pas étanches ou s’ils sont trop remplis ou s’ils présentent des dommages qui pourraient affecter la sécurité</w:t>
      </w:r>
      <w:r w:rsidR="00555DEB" w:rsidRPr="00113683">
        <w:rPr>
          <w:i/>
          <w:lang w:val="fr-FR"/>
        </w:rPr>
        <w:t xml:space="preserve"> (par exemple, dans le cas d'un rappel relatif à la sécurité)</w:t>
      </w:r>
      <w:r w:rsidRPr="00113683">
        <w:rPr>
          <w:i/>
          <w:lang w:val="fr-FR"/>
        </w:rPr>
        <w:t xml:space="preserve">, ils ne peuvent être transportés que dans des récipients à pression de secours conformes </w:t>
      </w:r>
      <w:r w:rsidR="00113683" w:rsidRPr="00113683">
        <w:rPr>
          <w:i/>
          <w:lang w:val="fr-FR"/>
        </w:rPr>
        <w:t>à l’ADR</w:t>
      </w:r>
      <w:r w:rsidRPr="00113683">
        <w:rPr>
          <w:i/>
          <w:lang w:val="fr-FR"/>
        </w:rPr>
        <w:t>.</w:t>
      </w:r>
    </w:p>
    <w:p w14:paraId="2B6B4F7F" w14:textId="2B5BBEAC" w:rsidR="00F12C72" w:rsidRPr="00113683" w:rsidRDefault="00F12C72" w:rsidP="00F12C72">
      <w:pPr>
        <w:pStyle w:val="SingleTxtG"/>
        <w:rPr>
          <w:lang w:val="fr-FR"/>
        </w:rPr>
      </w:pPr>
      <w:r w:rsidRPr="00113683">
        <w:rPr>
          <w:lang w:val="fr-FR"/>
        </w:rPr>
        <w:t>c)</w:t>
      </w:r>
      <w:r w:rsidRPr="00113683">
        <w:rPr>
          <w:lang w:val="fr-FR"/>
        </w:rPr>
        <w:tab/>
        <w:t>Si le système de confinement des gaz est équipé d’au moins deux robinets intégrés en série, les deux robinets doivent être obturés de manière à être étanches au gaz dans les conditions normales de transport. Si un seul robinet existe ou fonctionne correctement, toutes les ouvertures</w:t>
      </w:r>
      <w:r w:rsidR="000A4478">
        <w:rPr>
          <w:lang w:val="fr-FR"/>
        </w:rPr>
        <w:t>,</w:t>
      </w:r>
      <w:r w:rsidRPr="00113683">
        <w:rPr>
          <w:lang w:val="fr-FR"/>
        </w:rPr>
        <w:t xml:space="preserve"> à l’exception de celle du dispositif de décompression, doivent être obturées de façon à être étanches aux gaz dans les conditions normales de transport</w:t>
      </w:r>
      <w:r w:rsidR="007075CD" w:rsidRPr="00113683">
        <w:rPr>
          <w:lang w:val="fr-FR"/>
        </w:rPr>
        <w:t>;</w:t>
      </w:r>
    </w:p>
    <w:p w14:paraId="4ED574D5" w14:textId="48484460" w:rsidR="00F12C72" w:rsidRPr="00113683" w:rsidRDefault="00F12C72" w:rsidP="00F12C72">
      <w:pPr>
        <w:pStyle w:val="SingleTxtG"/>
        <w:rPr>
          <w:lang w:val="fr-FR"/>
        </w:rPr>
      </w:pPr>
      <w:r w:rsidRPr="00113683">
        <w:rPr>
          <w:lang w:val="fr-FR"/>
        </w:rPr>
        <w:t>d)</w:t>
      </w:r>
      <w:r w:rsidRPr="00113683">
        <w:rPr>
          <w:lang w:val="fr-FR"/>
        </w:rPr>
        <w:tab/>
        <w:t>Les systèmes de confinement de gaz combustible doivent être transportés de façon à éviter toute obstruction du dispositif de décompression et tout endommagement des robinets et de toute autre partie sous pression des systèmes de confinement de gaz combustible et tout dégagement accidentel de gaz dans les conditions normales de transport. Le système de confinement de gaz combustible doit être fixé de façon à ne pas glisser, à ne pas rouler et à ne pas subir de déplacements verticaux</w:t>
      </w:r>
      <w:r w:rsidR="007075CD" w:rsidRPr="00113683">
        <w:rPr>
          <w:lang w:val="fr-FR"/>
        </w:rPr>
        <w:t>;</w:t>
      </w:r>
    </w:p>
    <w:p w14:paraId="6DEFE3F8" w14:textId="746F0BDD" w:rsidR="00F12C72" w:rsidRPr="00113683" w:rsidRDefault="00F12C72" w:rsidP="00F12C72">
      <w:pPr>
        <w:pStyle w:val="SingleTxtG"/>
        <w:rPr>
          <w:lang w:val="fr-FR"/>
        </w:rPr>
      </w:pPr>
      <w:r w:rsidRPr="00113683">
        <w:rPr>
          <w:lang w:val="fr-FR"/>
        </w:rPr>
        <w:lastRenderedPageBreak/>
        <w:t>e)</w:t>
      </w:r>
      <w:r w:rsidRPr="00113683">
        <w:rPr>
          <w:lang w:val="fr-FR"/>
        </w:rPr>
        <w:tab/>
        <w:t xml:space="preserve">Les robinets doivent être protégés par l’une des méthodes décrites au </w:t>
      </w:r>
      <w:r w:rsidR="0087537E" w:rsidRPr="00113683">
        <w:rPr>
          <w:lang w:val="fr-FR"/>
        </w:rPr>
        <w:t>4.1.6.8</w:t>
      </w:r>
      <w:r w:rsidRPr="00113683">
        <w:rPr>
          <w:lang w:val="fr-FR"/>
        </w:rPr>
        <w:t>, alinéas a) à e)</w:t>
      </w:r>
      <w:r w:rsidR="007075CD" w:rsidRPr="00113683">
        <w:rPr>
          <w:lang w:val="fr-FR"/>
        </w:rPr>
        <w:t>;</w:t>
      </w:r>
    </w:p>
    <w:p w14:paraId="6C3B6F98" w14:textId="1D1F0B1F" w:rsidR="00113683" w:rsidRPr="00113683" w:rsidRDefault="00113683" w:rsidP="00113683">
      <w:pPr>
        <w:pStyle w:val="SingleTxtG"/>
        <w:rPr>
          <w:lang w:val="fr-FR"/>
        </w:rPr>
      </w:pPr>
      <w:r w:rsidRPr="00113683">
        <w:rPr>
          <w:lang w:val="fr-FR"/>
        </w:rPr>
        <w:t>f)</w:t>
      </w:r>
      <w:r w:rsidRPr="00113683">
        <w:rPr>
          <w:lang w:val="fr-FR"/>
        </w:rPr>
        <w:tab/>
        <w:t>Sauf dans le cas des systèmes de confinement de gaz combustible transportés en vue de leur élimination, de leur recyclage, de leur réparation, de leur inspection, ou de leur entretien, les systèmes de confinement de gaz combustible ne doivent pas être remplis à plus de 20 % de leur taux de remplissage nominal ou de leur pression de service</w:t>
      </w:r>
      <w:r w:rsidR="007D761B">
        <w:rPr>
          <w:lang w:val="fr-FR"/>
        </w:rPr>
        <w:t xml:space="preserve"> nominale, selon qu’il convient</w:t>
      </w:r>
      <w:r w:rsidRPr="00113683">
        <w:rPr>
          <w:lang w:val="fr-FR"/>
        </w:rPr>
        <w:t>;</w:t>
      </w:r>
    </w:p>
    <w:p w14:paraId="37E80D7F" w14:textId="5C0F3458" w:rsidR="00F12C72" w:rsidRPr="00113683" w:rsidRDefault="00F12C72" w:rsidP="00F12C72">
      <w:pPr>
        <w:pStyle w:val="SingleTxtG"/>
        <w:rPr>
          <w:lang w:val="fr-FR"/>
        </w:rPr>
      </w:pPr>
      <w:r w:rsidRPr="00113683">
        <w:rPr>
          <w:lang w:val="fr-FR"/>
        </w:rPr>
        <w:t>g)</w:t>
      </w:r>
      <w:r w:rsidRPr="00113683">
        <w:rPr>
          <w:lang w:val="fr-FR"/>
        </w:rPr>
        <w:tab/>
        <w:t xml:space="preserve">Nonobstant les dispositions du chapitre 5.2, lorsque les systèmes de confinement des gaz combustibles sont expédiés dans un dispositif de </w:t>
      </w:r>
      <w:r w:rsidR="00BD454A" w:rsidRPr="00113683">
        <w:rPr>
          <w:lang w:val="fr-FR"/>
        </w:rPr>
        <w:t>manutention, les marqu</w:t>
      </w:r>
      <w:r w:rsidRPr="00113683">
        <w:rPr>
          <w:lang w:val="fr-FR"/>
        </w:rPr>
        <w:t>es et étiquettes peuvent être apposé</w:t>
      </w:r>
      <w:r w:rsidR="00BD454A" w:rsidRPr="00113683">
        <w:rPr>
          <w:lang w:val="fr-FR"/>
        </w:rPr>
        <w:t>e</w:t>
      </w:r>
      <w:r w:rsidRPr="00113683">
        <w:rPr>
          <w:lang w:val="fr-FR"/>
        </w:rPr>
        <w:t>s sur ledit dispositif</w:t>
      </w:r>
      <w:r w:rsidR="007075CD" w:rsidRPr="00113683">
        <w:rPr>
          <w:lang w:val="fr-FR"/>
        </w:rPr>
        <w:t>;</w:t>
      </w:r>
      <w:r w:rsidRPr="00113683">
        <w:rPr>
          <w:lang w:val="fr-FR"/>
        </w:rPr>
        <w:t xml:space="preserve"> </w:t>
      </w:r>
      <w:r w:rsidR="0028758A" w:rsidRPr="00113683">
        <w:rPr>
          <w:lang w:val="fr-FR"/>
        </w:rPr>
        <w:t>et</w:t>
      </w:r>
    </w:p>
    <w:p w14:paraId="5C5A9B80" w14:textId="194884F2" w:rsidR="00F12C72" w:rsidRPr="00113683" w:rsidRDefault="00F12C72" w:rsidP="00F12C72">
      <w:pPr>
        <w:pStyle w:val="SingleTxtG"/>
        <w:rPr>
          <w:lang w:val="fr-FR"/>
        </w:rPr>
      </w:pPr>
      <w:r w:rsidRPr="00113683">
        <w:rPr>
          <w:lang w:val="fr-FR"/>
        </w:rPr>
        <w:t>h)</w:t>
      </w:r>
      <w:r w:rsidRPr="00113683">
        <w:rPr>
          <w:lang w:val="fr-FR"/>
        </w:rPr>
        <w:tab/>
        <w:t xml:space="preserve">Nonobstant les dispositions du </w:t>
      </w:r>
      <w:r w:rsidR="0087537E" w:rsidRPr="00113683">
        <w:rPr>
          <w:lang w:val="fr-FR"/>
        </w:rPr>
        <w:t>5.4.1.1.1 f)</w:t>
      </w:r>
      <w:r w:rsidRPr="00113683">
        <w:rPr>
          <w:lang w:val="fr-FR"/>
        </w:rPr>
        <w:t xml:space="preserve">, les renseignements relatifs à la quantité totale de marchandises dangereuses peuvent être remplacés </w:t>
      </w:r>
      <w:r w:rsidR="0086151F" w:rsidRPr="00113683">
        <w:rPr>
          <w:lang w:val="fr-FR"/>
        </w:rPr>
        <w:t>par les renseignements ci-après</w:t>
      </w:r>
      <w:r w:rsidRPr="00113683">
        <w:rPr>
          <w:lang w:val="fr-FR"/>
        </w:rPr>
        <w:t>:</w:t>
      </w:r>
    </w:p>
    <w:p w14:paraId="1B0C5997" w14:textId="4AA927D5" w:rsidR="00F12C72" w:rsidRPr="00113683" w:rsidRDefault="00F12C72" w:rsidP="0086151F">
      <w:pPr>
        <w:pStyle w:val="SingleTxtG"/>
        <w:ind w:firstLine="567"/>
        <w:rPr>
          <w:lang w:val="fr-FR"/>
        </w:rPr>
      </w:pPr>
      <w:r w:rsidRPr="00113683">
        <w:rPr>
          <w:lang w:val="fr-FR"/>
        </w:rPr>
        <w:t>i)</w:t>
      </w:r>
      <w:r w:rsidRPr="00113683">
        <w:rPr>
          <w:lang w:val="fr-FR"/>
        </w:rPr>
        <w:tab/>
        <w:t>Le nombre de systèmes de</w:t>
      </w:r>
      <w:r w:rsidR="00A97522" w:rsidRPr="00113683">
        <w:rPr>
          <w:lang w:val="fr-FR"/>
        </w:rPr>
        <w:t xml:space="preserve"> confinement de gaz combustible</w:t>
      </w:r>
      <w:r w:rsidRPr="00113683">
        <w:rPr>
          <w:lang w:val="fr-FR"/>
        </w:rPr>
        <w:t>;</w:t>
      </w:r>
      <w:r w:rsidR="0028758A" w:rsidRPr="00113683">
        <w:rPr>
          <w:lang w:val="fr-FR"/>
        </w:rPr>
        <w:t xml:space="preserve"> et</w:t>
      </w:r>
    </w:p>
    <w:p w14:paraId="43D5B266" w14:textId="7FAD448E" w:rsidR="00F12C72" w:rsidRPr="00113683" w:rsidRDefault="00F12C72" w:rsidP="00A7254B">
      <w:pPr>
        <w:pStyle w:val="SingleTxtG"/>
        <w:ind w:left="1701"/>
        <w:rPr>
          <w:lang w:val="fr-FR"/>
        </w:rPr>
      </w:pPr>
      <w:r w:rsidRPr="00113683">
        <w:rPr>
          <w:lang w:val="fr-FR"/>
        </w:rPr>
        <w:t>ii)</w:t>
      </w:r>
      <w:r w:rsidRPr="00113683">
        <w:rPr>
          <w:lang w:val="fr-FR"/>
        </w:rPr>
        <w:tab/>
        <w:t>Dans le cas des gaz liquéfiés, la masse nette totale (kg) de gaz pour chaque système de confinement de gaz combustible et, dans le cas des gaz comprimés, la capacité totale en eau (</w:t>
      </w:r>
      <w:r w:rsidRPr="00113683">
        <w:rPr>
          <w:i/>
          <w:lang w:val="fr-FR"/>
        </w:rPr>
        <w:t>l</w:t>
      </w:r>
      <w:r w:rsidRPr="00113683">
        <w:rPr>
          <w:lang w:val="fr-FR"/>
        </w:rPr>
        <w:t>) de chaque système de confinement de gaz combustible, suivie de l</w:t>
      </w:r>
      <w:r w:rsidR="007D761B">
        <w:rPr>
          <w:lang w:val="fr-FR"/>
        </w:rPr>
        <w:t>a pression nominale de service.</w:t>
      </w:r>
    </w:p>
    <w:p w14:paraId="7829C3E6" w14:textId="67B73F01" w:rsidR="00F12C72" w:rsidRPr="00113683" w:rsidRDefault="00F12C72" w:rsidP="00A7254B">
      <w:pPr>
        <w:pStyle w:val="SingleTxtG"/>
        <w:ind w:firstLine="567"/>
        <w:rPr>
          <w:lang w:val="fr-FR"/>
        </w:rPr>
      </w:pPr>
      <w:r w:rsidRPr="00113683">
        <w:rPr>
          <w:lang w:val="fr-FR"/>
        </w:rPr>
        <w:t>Exemples de renseignements à mentionner s</w:t>
      </w:r>
      <w:r w:rsidR="00771312" w:rsidRPr="00113683">
        <w:rPr>
          <w:lang w:val="fr-FR"/>
        </w:rPr>
        <w:t>ur le document de transport</w:t>
      </w:r>
      <w:r w:rsidRPr="00113683">
        <w:rPr>
          <w:lang w:val="fr-FR"/>
        </w:rPr>
        <w:t>:</w:t>
      </w:r>
    </w:p>
    <w:p w14:paraId="754D4E61" w14:textId="3FCD3161" w:rsidR="00F12C72" w:rsidRPr="00113683" w:rsidRDefault="00771312" w:rsidP="00A7254B">
      <w:pPr>
        <w:pStyle w:val="SingleTxtG"/>
        <w:ind w:left="1701"/>
        <w:rPr>
          <w:lang w:val="fr-FR"/>
        </w:rPr>
      </w:pPr>
      <w:r w:rsidRPr="00113683">
        <w:rPr>
          <w:lang w:val="fr-FR"/>
        </w:rPr>
        <w:t>Exemple 1</w:t>
      </w:r>
      <w:r w:rsidR="00F12C72" w:rsidRPr="00113683">
        <w:rPr>
          <w:lang w:val="fr-FR"/>
        </w:rPr>
        <w:t xml:space="preserve">: </w:t>
      </w:r>
      <w:r w:rsidR="009F4509" w:rsidRPr="00113683">
        <w:rPr>
          <w:lang w:val="fr-FR"/>
        </w:rPr>
        <w:t>"</w:t>
      </w:r>
      <w:r w:rsidR="00F12C72" w:rsidRPr="00113683">
        <w:rPr>
          <w:lang w:val="fr-FR"/>
        </w:rPr>
        <w:t>No ONU 1971 gaz naturel, comprimé, 2.1, un dispositif de stockage de gaz combustible d’une capacité totale de 50 l, 200 bar</w:t>
      </w:r>
      <w:r w:rsidR="009F4509" w:rsidRPr="00113683">
        <w:rPr>
          <w:lang w:val="fr-FR"/>
        </w:rPr>
        <w:t>".</w:t>
      </w:r>
    </w:p>
    <w:p w14:paraId="5487B78E" w14:textId="427FAF3E" w:rsidR="00F12C72" w:rsidRPr="00113683" w:rsidRDefault="00771312" w:rsidP="00A7254B">
      <w:pPr>
        <w:pStyle w:val="SingleTxtG"/>
        <w:ind w:left="1701"/>
        <w:rPr>
          <w:lang w:val="fr-FR"/>
        </w:rPr>
      </w:pPr>
      <w:r w:rsidRPr="00113683">
        <w:rPr>
          <w:lang w:val="fr-FR"/>
        </w:rPr>
        <w:t>Exemple 2</w:t>
      </w:r>
      <w:r w:rsidR="00F12C72" w:rsidRPr="00113683">
        <w:rPr>
          <w:lang w:val="fr-FR"/>
        </w:rPr>
        <w:t xml:space="preserve">: </w:t>
      </w:r>
      <w:r w:rsidR="009F4509" w:rsidRPr="00113683">
        <w:rPr>
          <w:lang w:val="fr-FR"/>
        </w:rPr>
        <w:t>"</w:t>
      </w:r>
      <w:r w:rsidR="00F12C72" w:rsidRPr="00113683">
        <w:rPr>
          <w:lang w:val="fr-FR"/>
        </w:rPr>
        <w:t>No ONU 1965 hydrocarbures gazeux en mélange, liquéfié, N.S.A., 2.1, trois dispositifs</w:t>
      </w:r>
      <w:r w:rsidR="00565907" w:rsidRPr="00113683">
        <w:rPr>
          <w:lang w:val="fr-FR"/>
        </w:rPr>
        <w:t xml:space="preserve"> de stockage de gaz combustible</w:t>
      </w:r>
      <w:r w:rsidR="00F12C72" w:rsidRPr="00113683">
        <w:rPr>
          <w:lang w:val="fr-FR"/>
        </w:rPr>
        <w:t>, la masse de gaz étant pour chacun de 15 kg</w:t>
      </w:r>
      <w:r w:rsidR="009F4509" w:rsidRPr="00113683">
        <w:rPr>
          <w:lang w:val="fr-FR"/>
        </w:rPr>
        <w:t>"</w:t>
      </w:r>
      <w:r w:rsidR="00F12C72" w:rsidRPr="00113683">
        <w:rPr>
          <w:lang w:val="fr-FR"/>
        </w:rPr>
        <w:t>. ».</w:t>
      </w:r>
    </w:p>
    <w:p w14:paraId="385BE63A" w14:textId="33C001E7" w:rsidR="008C6783" w:rsidRPr="00746A3A" w:rsidRDefault="008C6783" w:rsidP="00DF57AC">
      <w:pPr>
        <w:pStyle w:val="SingleTxtG"/>
        <w:rPr>
          <w:rFonts w:eastAsia="MS Mincho"/>
          <w:lang w:val="fr-FR" w:eastAsia="nl-NL"/>
        </w:rPr>
      </w:pPr>
      <w:r w:rsidRPr="00746A3A">
        <w:rPr>
          <w:rFonts w:eastAsia="MS Mincho"/>
          <w:lang w:val="fr-FR" w:eastAsia="nl-NL"/>
        </w:rPr>
        <w:t>« 670</w:t>
      </w:r>
      <w:r w:rsidRPr="00746A3A">
        <w:rPr>
          <w:rFonts w:eastAsia="MS Mincho"/>
          <w:lang w:val="fr-FR" w:eastAsia="nl-NL"/>
        </w:rPr>
        <w:tab/>
        <w:t>a)</w:t>
      </w:r>
      <w:r w:rsidRPr="00746A3A">
        <w:rPr>
          <w:rFonts w:eastAsia="MS Mincho"/>
          <w:lang w:val="fr-FR" w:eastAsia="nl-NL"/>
        </w:rPr>
        <w:tab/>
      </w:r>
      <w:r w:rsidRPr="00746A3A">
        <w:rPr>
          <w:lang w:val="fr-FR"/>
        </w:rPr>
        <w:t>Les piles et batteries au lithium contenues dans des équipements provenant des ménages collectés et présentés au transport en vue de leur dépollution, démantèlement, élimination ou recyclage</w:t>
      </w:r>
      <w:r w:rsidRPr="00746A3A">
        <w:rPr>
          <w:rFonts w:eastAsia="MS Mincho"/>
          <w:lang w:val="fr-FR" w:eastAsia="nl-NL"/>
        </w:rPr>
        <w:t xml:space="preserve"> </w:t>
      </w:r>
      <w:r w:rsidRPr="00746A3A">
        <w:rPr>
          <w:lang w:val="fr-FR"/>
        </w:rPr>
        <w:t>ne sont pas soumises aux autres dispositions de l’ADR, y compris la disposition spéciale 376 et le 2.2.9.1.7, si</w:t>
      </w:r>
      <w:r w:rsidRPr="00746A3A">
        <w:rPr>
          <w:rFonts w:eastAsia="MS Mincho"/>
          <w:lang w:val="fr-FR" w:eastAsia="nl-NL"/>
        </w:rPr>
        <w:t>:</w:t>
      </w:r>
    </w:p>
    <w:p w14:paraId="389C219A" w14:textId="77777777" w:rsidR="008C6783" w:rsidRPr="00746A3A" w:rsidRDefault="008C6783" w:rsidP="008C6783">
      <w:pPr>
        <w:pStyle w:val="SingleTxtG"/>
        <w:rPr>
          <w:rFonts w:eastAsia="MS Mincho"/>
          <w:lang w:val="fr-FR" w:eastAsia="nl-NL"/>
        </w:rPr>
      </w:pPr>
      <w:r w:rsidRPr="00746A3A">
        <w:rPr>
          <w:rFonts w:eastAsia="MS Mincho"/>
          <w:lang w:val="fr-FR" w:eastAsia="nl-NL"/>
        </w:rPr>
        <w:t>i)</w:t>
      </w:r>
      <w:r w:rsidRPr="00746A3A">
        <w:rPr>
          <w:rFonts w:eastAsia="MS Mincho"/>
          <w:lang w:val="fr-FR" w:eastAsia="nl-NL"/>
        </w:rPr>
        <w:tab/>
      </w:r>
      <w:r w:rsidRPr="00746A3A">
        <w:rPr>
          <w:rFonts w:eastAsia="MS Mincho"/>
          <w:lang w:val="fr-FR"/>
        </w:rPr>
        <w:t>Elles ne sont pas la source d'alimentation principale pour le fonctionnement de l'appareil dans lequel elles sont contenues;</w:t>
      </w:r>
    </w:p>
    <w:p w14:paraId="58C1E550" w14:textId="77777777" w:rsidR="008C6783" w:rsidRPr="00746A3A" w:rsidRDefault="008C6783" w:rsidP="008C6783">
      <w:pPr>
        <w:pStyle w:val="SingleTxtG"/>
        <w:rPr>
          <w:rFonts w:eastAsia="MS Mincho"/>
          <w:lang w:val="fr-FR" w:eastAsia="nl-NL"/>
        </w:rPr>
      </w:pPr>
      <w:r w:rsidRPr="00746A3A">
        <w:rPr>
          <w:rFonts w:eastAsia="MS Mincho"/>
          <w:lang w:val="fr-FR" w:eastAsia="nl-NL"/>
        </w:rPr>
        <w:t>ii)</w:t>
      </w:r>
      <w:r w:rsidRPr="00746A3A">
        <w:rPr>
          <w:rFonts w:eastAsia="MS Mincho"/>
          <w:lang w:val="fr-FR" w:eastAsia="nl-NL"/>
        </w:rPr>
        <w:tab/>
        <w:t>L’équipement dans lequel elles sont contenues ne contient aucune autre pile ou batterie au lithium comme source d'énergie principale; et</w:t>
      </w:r>
    </w:p>
    <w:p w14:paraId="21871C22" w14:textId="2BAAA03C" w:rsidR="008C6783" w:rsidRPr="00746A3A" w:rsidRDefault="008C6783" w:rsidP="008C6783">
      <w:pPr>
        <w:pStyle w:val="SingleTxtG"/>
        <w:rPr>
          <w:lang w:val="fr-FR"/>
        </w:rPr>
      </w:pPr>
      <w:r w:rsidRPr="00746A3A">
        <w:rPr>
          <w:rFonts w:eastAsia="MS Mincho"/>
          <w:lang w:val="fr-FR" w:eastAsia="nl-NL"/>
        </w:rPr>
        <w:t>iii)</w:t>
      </w:r>
      <w:r w:rsidRPr="00746A3A">
        <w:rPr>
          <w:rFonts w:eastAsia="MS Mincho"/>
          <w:lang w:val="fr-FR" w:eastAsia="nl-NL"/>
        </w:rPr>
        <w:tab/>
      </w:r>
      <w:r w:rsidRPr="00746A3A">
        <w:rPr>
          <w:lang w:val="fr-FR"/>
        </w:rPr>
        <w:t>Elles sont protégées par l’équipement dans lequel elles sont contenues.</w:t>
      </w:r>
    </w:p>
    <w:p w14:paraId="574F17AC" w14:textId="77777777" w:rsidR="008C6783" w:rsidRPr="00746A3A" w:rsidRDefault="008C6783" w:rsidP="008C6783">
      <w:pPr>
        <w:pStyle w:val="SingleTxtG"/>
        <w:rPr>
          <w:rFonts w:eastAsia="MS Mincho"/>
          <w:lang w:val="fr-FR" w:eastAsia="nl-NL"/>
        </w:rPr>
      </w:pPr>
      <w:r w:rsidRPr="00746A3A">
        <w:rPr>
          <w:rFonts w:eastAsia="MS Mincho"/>
          <w:lang w:val="fr-FR" w:eastAsia="nl-NL"/>
        </w:rPr>
        <w:t>Des exemples des piles et batteries visées par ce paragraphe sont les piles boutons utilisées pour l'intégrité des données dans les appareils ménagers (par exemple les réfrigérateurs, machines à laver, lave-vaisselles) ou dans d'autres équipements électriques ou électroniques;</w:t>
      </w:r>
    </w:p>
    <w:p w14:paraId="104BFABA" w14:textId="77777777" w:rsidR="008C6783" w:rsidRPr="00746A3A" w:rsidRDefault="008C6783" w:rsidP="008C6783">
      <w:pPr>
        <w:pStyle w:val="SingleTxtG"/>
        <w:rPr>
          <w:rFonts w:eastAsia="MS Mincho"/>
          <w:lang w:val="fr-FR" w:eastAsia="nl-NL"/>
        </w:rPr>
      </w:pPr>
      <w:r w:rsidRPr="00746A3A">
        <w:rPr>
          <w:rFonts w:eastAsia="MS Mincho"/>
          <w:lang w:val="fr-FR" w:eastAsia="nl-NL"/>
        </w:rPr>
        <w:tab/>
        <w:t>b)</w:t>
      </w:r>
      <w:r w:rsidRPr="00746A3A">
        <w:rPr>
          <w:rFonts w:eastAsia="MS Mincho"/>
          <w:lang w:val="fr-FR" w:eastAsia="nl-NL"/>
        </w:rPr>
        <w:tab/>
      </w:r>
      <w:r w:rsidRPr="00746A3A">
        <w:rPr>
          <w:lang w:val="fr-FR"/>
        </w:rPr>
        <w:t xml:space="preserve">Lorsqu’elles sont transportées jusqu’aux lieux de traitement intermédiaire, les piles et batteries au lithium, qui ne répondent pas aux prescriptions de l’alinéa </w:t>
      </w:r>
      <w:r w:rsidRPr="00746A3A">
        <w:rPr>
          <w:rFonts w:eastAsia="MS Mincho"/>
          <w:lang w:val="fr-FR" w:eastAsia="nl-NL"/>
        </w:rPr>
        <w:t xml:space="preserve">a), </w:t>
      </w:r>
      <w:r w:rsidRPr="00746A3A">
        <w:rPr>
          <w:lang w:val="fr-FR"/>
        </w:rPr>
        <w:t>contenues dans des équipements provenant des ménages, collectés et présentés au transport en vue de leur dépollution, démantèlement, élimination ou recyclage,</w:t>
      </w:r>
      <w:r w:rsidRPr="00746A3A">
        <w:rPr>
          <w:rFonts w:eastAsia="MS Mincho"/>
          <w:lang w:val="fr-FR" w:eastAsia="nl-NL"/>
        </w:rPr>
        <w:t xml:space="preserve"> </w:t>
      </w:r>
      <w:r w:rsidRPr="00746A3A">
        <w:rPr>
          <w:lang w:val="fr-FR"/>
        </w:rPr>
        <w:t>ne sont pas soumises aux autres dispositions de l’ADR, y compris la disposition spéciale 376 et le 2.2.9.1.7</w:t>
      </w:r>
      <w:r w:rsidRPr="00746A3A">
        <w:rPr>
          <w:rFonts w:eastAsia="MS Mincho"/>
          <w:lang w:val="fr-FR" w:eastAsia="nl-NL"/>
        </w:rPr>
        <w:t>, s’il est satisfait aux conditions suivantes:</w:t>
      </w:r>
    </w:p>
    <w:p w14:paraId="4DDE71DC" w14:textId="77777777" w:rsidR="008C6783" w:rsidRPr="00746A3A" w:rsidRDefault="008C6783" w:rsidP="008C6783">
      <w:pPr>
        <w:pStyle w:val="SingleTxtG"/>
        <w:ind w:left="2268"/>
        <w:rPr>
          <w:rFonts w:eastAsia="MS Mincho"/>
          <w:lang w:val="fr-FR" w:eastAsia="nl-NL"/>
        </w:rPr>
      </w:pPr>
      <w:r w:rsidRPr="00746A3A">
        <w:rPr>
          <w:rFonts w:eastAsia="MS Mincho"/>
          <w:lang w:val="fr-FR" w:eastAsia="nl-NL"/>
        </w:rPr>
        <w:t>i)</w:t>
      </w:r>
      <w:r w:rsidRPr="00746A3A">
        <w:rPr>
          <w:rFonts w:eastAsia="MS Mincho"/>
          <w:lang w:val="fr-FR" w:eastAsia="nl-NL"/>
        </w:rPr>
        <w:tab/>
        <w:t xml:space="preserve">Les équipements sont emballés selon les </w:t>
      </w:r>
      <w:r w:rsidRPr="00746A3A">
        <w:rPr>
          <w:lang w:val="fr-FR"/>
        </w:rPr>
        <w:t>dispositions de l’instruction d’emballage P909 du 4.1.4.1, à l’exception des dispositions supplémentaires 1 et 2;</w:t>
      </w:r>
      <w:r w:rsidRPr="00746A3A">
        <w:rPr>
          <w:rFonts w:eastAsia="MS Mincho"/>
          <w:lang w:val="fr-FR" w:eastAsia="nl-NL"/>
        </w:rPr>
        <w:t xml:space="preserve"> ou ils sont emballés dans des emballages extérieurs solides comme par exemple des récipients de collecte spécialement conçus qui répondent aux prescriptions suivantes: </w:t>
      </w:r>
    </w:p>
    <w:p w14:paraId="69C2D8EA" w14:textId="77777777" w:rsidR="008C6783" w:rsidRPr="00746A3A" w:rsidRDefault="008C6783" w:rsidP="008C6783">
      <w:pPr>
        <w:pStyle w:val="SingleTxtG"/>
        <w:ind w:left="2835"/>
        <w:rPr>
          <w:rFonts w:eastAsia="MS Mincho"/>
          <w:lang w:val="fr-FR" w:eastAsia="nl-NL"/>
        </w:rPr>
      </w:pPr>
      <w:r w:rsidRPr="00746A3A">
        <w:rPr>
          <w:rFonts w:eastAsia="MS Mincho"/>
          <w:lang w:val="fr-FR" w:eastAsia="nl-NL"/>
        </w:rPr>
        <w:lastRenderedPageBreak/>
        <w:tab/>
        <w:t>-</w:t>
      </w:r>
      <w:r w:rsidRPr="00746A3A">
        <w:rPr>
          <w:rFonts w:eastAsia="MS Mincho"/>
          <w:lang w:val="fr-FR" w:eastAsia="nl-NL"/>
        </w:rPr>
        <w:tab/>
        <w:t>Les emballages doivent être fabriqués en matériaux appropriés et être de résistance suffisante et conçus en fonction de leur capacité et de leur utilisation prévue. Il n’est pas nécessaire que les emballages répondent aux prescriptions du 4.1.1.3;</w:t>
      </w:r>
    </w:p>
    <w:p w14:paraId="73087A99" w14:textId="77777777" w:rsidR="008C6783" w:rsidRPr="00746A3A" w:rsidRDefault="008C6783" w:rsidP="008C6783">
      <w:pPr>
        <w:pStyle w:val="SingleTxtG"/>
        <w:ind w:left="2835"/>
        <w:rPr>
          <w:rFonts w:eastAsia="MS Mincho"/>
          <w:lang w:val="fr-FR" w:eastAsia="nl-NL"/>
        </w:rPr>
      </w:pPr>
      <w:r w:rsidRPr="00746A3A">
        <w:rPr>
          <w:rFonts w:eastAsia="MS Mincho"/>
          <w:lang w:val="fr-FR" w:eastAsia="nl-NL"/>
        </w:rPr>
        <w:tab/>
        <w:t>-</w:t>
      </w:r>
      <w:r w:rsidRPr="00746A3A">
        <w:rPr>
          <w:rFonts w:eastAsia="MS Mincho"/>
          <w:lang w:val="fr-FR" w:eastAsia="nl-NL"/>
        </w:rPr>
        <w:tab/>
        <w:t>Des mesures appropriées doivent être prises pour minimiser les dommages aux équipements lors de leur mise en emballage et lors de la manipulation des emballages, par exemple l’utilisation de tapis de caoutchouc; et</w:t>
      </w:r>
    </w:p>
    <w:p w14:paraId="27542782" w14:textId="77777777" w:rsidR="008C6783" w:rsidRPr="00746A3A" w:rsidRDefault="008C6783" w:rsidP="008C6783">
      <w:pPr>
        <w:pStyle w:val="SingleTxtG"/>
        <w:ind w:left="2835"/>
        <w:rPr>
          <w:rFonts w:eastAsia="MS Mincho"/>
          <w:lang w:val="fr-FR" w:eastAsia="nl-NL"/>
        </w:rPr>
      </w:pPr>
      <w:r w:rsidRPr="00746A3A">
        <w:rPr>
          <w:rFonts w:eastAsia="MS Mincho"/>
          <w:lang w:val="fr-FR" w:eastAsia="nl-NL"/>
        </w:rPr>
        <w:tab/>
        <w:t>-</w:t>
      </w:r>
      <w:r w:rsidRPr="00746A3A">
        <w:rPr>
          <w:rFonts w:eastAsia="MS Mincho"/>
          <w:lang w:val="fr-FR" w:eastAsia="nl-NL"/>
        </w:rPr>
        <w:tab/>
      </w:r>
      <w:r w:rsidRPr="00746A3A">
        <w:rPr>
          <w:rFonts w:eastAsia="MS Mincho"/>
          <w:szCs w:val="24"/>
          <w:lang w:val="fr-FR" w:eastAsia="nl-NL"/>
        </w:rPr>
        <w:t>Les emballages sont fabriqués et fermés, lorsqu’ils sont préparés pour l’expédition, de façon à exclure toute perte du contenu durant le transport, par exemple à l’aide de couvercles, de doublures intérieures résistantes ou de couverture de transport. Des ouvertures destinées au remplissage sont acceptables pour autant qu’elles soient conçues de manière à éviter les pertes de contenu;</w:t>
      </w:r>
    </w:p>
    <w:p w14:paraId="627C7DAB" w14:textId="77777777" w:rsidR="008C6783" w:rsidRPr="00746A3A" w:rsidRDefault="008C6783" w:rsidP="008C6783">
      <w:pPr>
        <w:pStyle w:val="SingleTxtG"/>
        <w:ind w:left="2268"/>
        <w:rPr>
          <w:rFonts w:eastAsia="MS Mincho"/>
          <w:lang w:val="fr-FR" w:eastAsia="nl-NL"/>
        </w:rPr>
      </w:pPr>
      <w:r w:rsidRPr="00746A3A">
        <w:rPr>
          <w:rFonts w:eastAsia="MS Mincho"/>
          <w:lang w:val="fr-FR" w:eastAsia="nl-NL"/>
        </w:rPr>
        <w:tab/>
        <w:t>ii)</w:t>
      </w:r>
      <w:r w:rsidRPr="00746A3A">
        <w:rPr>
          <w:rFonts w:eastAsia="MS Mincho"/>
          <w:lang w:val="fr-FR" w:eastAsia="nl-NL"/>
        </w:rPr>
        <w:tab/>
      </w:r>
      <w:r w:rsidRPr="00746A3A">
        <w:rPr>
          <w:lang w:val="fr-FR"/>
        </w:rPr>
        <w:t>Un système d’assurance de la qualité est mis en place garantissant que la quantité totale de piles et batteries au lithium par unité de transport ne dépasse pas 333 kg;</w:t>
      </w:r>
    </w:p>
    <w:p w14:paraId="5CEDE1FC" w14:textId="77777777" w:rsidR="008C6783" w:rsidRPr="00746A3A" w:rsidRDefault="008C6783" w:rsidP="008C6783">
      <w:pPr>
        <w:pStyle w:val="SingleTxtG"/>
        <w:ind w:left="2835"/>
        <w:rPr>
          <w:rFonts w:eastAsia="MS Mincho"/>
          <w:i/>
          <w:lang w:val="fr-FR" w:eastAsia="nl-NL"/>
        </w:rPr>
      </w:pPr>
      <w:r w:rsidRPr="00746A3A">
        <w:rPr>
          <w:rFonts w:eastAsia="MS Mincho"/>
          <w:b/>
          <w:i/>
          <w:iCs/>
          <w:lang w:val="fr-FR" w:eastAsia="nl-NL"/>
        </w:rPr>
        <w:t>NOTA:</w:t>
      </w:r>
      <w:r w:rsidRPr="00746A3A">
        <w:rPr>
          <w:rFonts w:eastAsia="MS Mincho"/>
          <w:i/>
          <w:iCs/>
          <w:lang w:val="fr-FR" w:eastAsia="nl-NL"/>
        </w:rPr>
        <w:t xml:space="preserve"> </w:t>
      </w:r>
      <w:r w:rsidRPr="00746A3A">
        <w:rPr>
          <w:rFonts w:eastAsia="MS Mincho"/>
          <w:i/>
          <w:iCs/>
          <w:lang w:val="fr-FR" w:eastAsia="nl-NL"/>
        </w:rPr>
        <w:tab/>
      </w:r>
      <w:r w:rsidRPr="00746A3A">
        <w:rPr>
          <w:i/>
          <w:lang w:val="fr-FR"/>
        </w:rPr>
        <w:t>La quantité totale de piles et batteries au lithium dans les équipements provenant des ménages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14:paraId="2D036AB9" w14:textId="14507253" w:rsidR="008C6783" w:rsidRPr="00746A3A" w:rsidRDefault="008C6783" w:rsidP="008C6783">
      <w:pPr>
        <w:pStyle w:val="SingleTxtG"/>
        <w:ind w:left="2268"/>
        <w:rPr>
          <w:rFonts w:eastAsia="MS Mincho"/>
          <w:lang w:val="fr-FR" w:eastAsia="nl-NL"/>
        </w:rPr>
      </w:pPr>
      <w:r w:rsidRPr="00746A3A">
        <w:rPr>
          <w:rFonts w:eastAsia="MS Mincho"/>
          <w:lang w:val="fr-FR" w:eastAsia="nl-NL"/>
        </w:rPr>
        <w:t>iii)</w:t>
      </w:r>
      <w:r w:rsidRPr="00746A3A">
        <w:rPr>
          <w:rFonts w:eastAsia="MS Mincho"/>
          <w:lang w:val="fr-FR" w:eastAsia="nl-NL"/>
        </w:rPr>
        <w:tab/>
        <w:t xml:space="preserve">Les colis portent la marque “PILES AU LITHIUM POUR ÉLIMINATION” ou “PILES AU LITHIUM POUR RECYCLAGE”, selon le cas. Si des équipements contenant des piles ou batteries au lithium sont transportés non emballés ou sur des palettes conformément à </w:t>
      </w:r>
      <w:r w:rsidR="00CC6319" w:rsidRPr="00746A3A">
        <w:rPr>
          <w:rFonts w:eastAsia="MS Mincho"/>
          <w:lang w:val="fr-FR" w:eastAsia="nl-NL"/>
        </w:rPr>
        <w:t>l’instruction</w:t>
      </w:r>
      <w:r w:rsidRPr="00746A3A">
        <w:rPr>
          <w:rFonts w:eastAsia="MS Mincho"/>
          <w:lang w:val="fr-FR" w:eastAsia="nl-NL"/>
        </w:rPr>
        <w:t xml:space="preserve"> d’emballage P909 3) du 4.1.4.1, cette marque peut alternativement être fixée sur la surface extérieure des véhicules ou des conteneurs.</w:t>
      </w:r>
    </w:p>
    <w:p w14:paraId="7721FD71" w14:textId="77777777" w:rsidR="008C6783" w:rsidRPr="00746A3A" w:rsidRDefault="008C6783" w:rsidP="008C6783">
      <w:pPr>
        <w:pStyle w:val="SingleTxtG"/>
        <w:ind w:left="2268"/>
        <w:rPr>
          <w:rFonts w:eastAsia="MS Mincho"/>
          <w:i/>
          <w:lang w:val="fr-FR" w:eastAsia="nl-NL"/>
        </w:rPr>
      </w:pPr>
      <w:r w:rsidRPr="00746A3A">
        <w:rPr>
          <w:rFonts w:eastAsia="MS Mincho"/>
          <w:b/>
          <w:i/>
          <w:lang w:val="fr-FR" w:eastAsia="nl-NL"/>
        </w:rPr>
        <w:t>NOTA:</w:t>
      </w:r>
      <w:r w:rsidRPr="00746A3A">
        <w:rPr>
          <w:rFonts w:eastAsia="MS Mincho"/>
          <w:i/>
          <w:lang w:val="fr-FR" w:eastAsia="nl-NL"/>
        </w:rPr>
        <w:t xml:space="preserve"> Par “équipements provenant des ménages” on entend les équipements qui proviennent des ménages et les équipements d’origine commerciale, industrielle, institutionnelle et autre qui, en raison de leur nature et de leur quantité, sont similaires à ceux des ménages. Les équipements susceptibles d’être utilisés à la fois par les ménages et les utilisateurs autres que les ménages doivent en tout état de cause être considérés comme étant des équipements provenant des ménages. ».</w:t>
      </w:r>
    </w:p>
    <w:p w14:paraId="4D19F13B" w14:textId="2F93E7F8" w:rsidR="000200D8" w:rsidRPr="00113683" w:rsidRDefault="000200D8" w:rsidP="00D53F01">
      <w:pPr>
        <w:pStyle w:val="SingleTxtG"/>
        <w:rPr>
          <w:lang w:val="fr-FR"/>
        </w:rPr>
      </w:pPr>
      <w:r w:rsidRPr="00113683">
        <w:rPr>
          <w:iCs/>
          <w:lang w:val="fr-FR"/>
        </w:rPr>
        <w:t>« </w:t>
      </w:r>
      <w:r w:rsidRPr="00113683">
        <w:rPr>
          <w:lang w:val="fr-FR"/>
        </w:rPr>
        <w:t>671</w:t>
      </w:r>
      <w:r w:rsidRPr="00113683">
        <w:rPr>
          <w:lang w:val="fr-FR"/>
        </w:rPr>
        <w:tab/>
        <w:t>Aux fins des exemptions liées aux quantités transportées par unité de transport (voir 1.1.3.6), la catégorie de transport doit être déterminée en fonction du groupe d’emballage (voir troisième paragraphe de la disposition spéciale 251):</w:t>
      </w:r>
    </w:p>
    <w:p w14:paraId="77483EF2" w14:textId="5DCCDB11" w:rsidR="000200D8" w:rsidRPr="00113683" w:rsidRDefault="000200D8" w:rsidP="000200D8">
      <w:pPr>
        <w:pStyle w:val="SingleTxtG"/>
        <w:rPr>
          <w:lang w:val="fr-FR"/>
        </w:rPr>
      </w:pPr>
      <w:r w:rsidRPr="00113683">
        <w:rPr>
          <w:lang w:val="fr-FR"/>
        </w:rPr>
        <w:t>-</w:t>
      </w:r>
      <w:r w:rsidRPr="00113683">
        <w:rPr>
          <w:lang w:val="fr-FR"/>
        </w:rPr>
        <w:tab/>
        <w:t>catégorie de transport 3 pour les trousses assi</w:t>
      </w:r>
      <w:r w:rsidR="007D761B">
        <w:rPr>
          <w:lang w:val="fr-FR"/>
        </w:rPr>
        <w:t>gnées au groupe d’emballage III</w:t>
      </w:r>
      <w:r w:rsidRPr="00113683">
        <w:rPr>
          <w:lang w:val="fr-FR"/>
        </w:rPr>
        <w:t>;</w:t>
      </w:r>
    </w:p>
    <w:p w14:paraId="29A3B3F0" w14:textId="65D71AEF" w:rsidR="000200D8" w:rsidRPr="00113683" w:rsidRDefault="000200D8" w:rsidP="000200D8">
      <w:pPr>
        <w:pStyle w:val="SingleTxtG"/>
        <w:rPr>
          <w:lang w:val="fr-FR"/>
        </w:rPr>
      </w:pPr>
      <w:r w:rsidRPr="00113683">
        <w:rPr>
          <w:lang w:val="fr-FR"/>
        </w:rPr>
        <w:t>-</w:t>
      </w:r>
      <w:r w:rsidRPr="00113683">
        <w:rPr>
          <w:lang w:val="fr-FR"/>
        </w:rPr>
        <w:tab/>
        <w:t>catégorie de transport 2 pour les trousses ass</w:t>
      </w:r>
      <w:r w:rsidR="007D761B">
        <w:rPr>
          <w:lang w:val="fr-FR"/>
        </w:rPr>
        <w:t>ignées au groupe d’emballage II</w:t>
      </w:r>
      <w:r w:rsidRPr="00113683">
        <w:rPr>
          <w:lang w:val="fr-FR"/>
        </w:rPr>
        <w:t>;</w:t>
      </w:r>
    </w:p>
    <w:p w14:paraId="73E2D049" w14:textId="39CF2556" w:rsidR="000200D8" w:rsidRPr="00113683" w:rsidRDefault="00E93FDF" w:rsidP="000200D8">
      <w:pPr>
        <w:pStyle w:val="SingleTxtG"/>
        <w:rPr>
          <w:lang w:val="fr-FR"/>
        </w:rPr>
      </w:pPr>
      <w:r w:rsidRPr="00113683">
        <w:rPr>
          <w:lang w:val="fr-FR"/>
        </w:rPr>
        <w:t>-</w:t>
      </w:r>
      <w:r w:rsidR="000200D8" w:rsidRPr="00113683">
        <w:rPr>
          <w:lang w:val="fr-FR"/>
        </w:rPr>
        <w:tab/>
        <w:t>catégorie de transport 1 pour les trousses assignées au groupe d’emballage I. ».</w:t>
      </w:r>
    </w:p>
    <w:p w14:paraId="0055B888" w14:textId="31EF5C13" w:rsidR="00447B06" w:rsidRPr="00113683" w:rsidRDefault="00447B06" w:rsidP="00D53F01">
      <w:pPr>
        <w:pStyle w:val="SingleTxtG"/>
        <w:rPr>
          <w:iCs/>
          <w:lang w:val="fr-FR"/>
        </w:rPr>
      </w:pPr>
      <w:r w:rsidRPr="00113683">
        <w:rPr>
          <w:lang w:val="fr-FR"/>
        </w:rPr>
        <w:t>« </w:t>
      </w:r>
      <w:r w:rsidR="0087537E" w:rsidRPr="00113683">
        <w:rPr>
          <w:lang w:val="fr-FR"/>
        </w:rPr>
        <w:t>672</w:t>
      </w:r>
      <w:r w:rsidR="0087537E" w:rsidRPr="00113683">
        <w:rPr>
          <w:lang w:val="fr-FR"/>
        </w:rPr>
        <w:tab/>
      </w:r>
      <w:r w:rsidR="001914AA" w:rsidRPr="00113683">
        <w:rPr>
          <w:iCs/>
          <w:lang w:val="fr-FR"/>
        </w:rPr>
        <w:t xml:space="preserve">Les machines et appareils transportés sous cette rubrique et conformément à la disposition spéciale 301 ne sont </w:t>
      </w:r>
      <w:r w:rsidRPr="00113683">
        <w:rPr>
          <w:iCs/>
          <w:lang w:val="fr-FR"/>
        </w:rPr>
        <w:t xml:space="preserve">soumis à aucune autre disposition </w:t>
      </w:r>
      <w:r w:rsidR="007D761B">
        <w:rPr>
          <w:iCs/>
          <w:lang w:val="fr-FR"/>
        </w:rPr>
        <w:t>de l’ADR</w:t>
      </w:r>
      <w:r w:rsidR="00113683" w:rsidRPr="00113683">
        <w:rPr>
          <w:iCs/>
          <w:lang w:val="fr-FR"/>
        </w:rPr>
        <w:t xml:space="preserve"> </w:t>
      </w:r>
      <w:r w:rsidRPr="00113683">
        <w:rPr>
          <w:iCs/>
          <w:lang w:val="fr-FR"/>
        </w:rPr>
        <w:t>à condition qu'ils soient soit:</w:t>
      </w:r>
    </w:p>
    <w:p w14:paraId="5403AF76" w14:textId="16505070" w:rsidR="00447B06" w:rsidRPr="00113683" w:rsidRDefault="0087537E" w:rsidP="00447B06">
      <w:pPr>
        <w:pStyle w:val="SingleTxtG"/>
        <w:rPr>
          <w:lang w:val="fr-FR"/>
        </w:rPr>
      </w:pPr>
      <w:r w:rsidRPr="00113683">
        <w:rPr>
          <w:lang w:val="fr-FR"/>
        </w:rPr>
        <w:lastRenderedPageBreak/>
        <w:t xml:space="preserve">- </w:t>
      </w:r>
      <w:r w:rsidRPr="00113683">
        <w:rPr>
          <w:lang w:val="fr-FR"/>
        </w:rPr>
        <w:tab/>
      </w:r>
      <w:r w:rsidR="00447B06" w:rsidRPr="00113683">
        <w:rPr>
          <w:lang w:val="fr-FR"/>
        </w:rPr>
        <w:t>emballés dans un emballage extérieur robuste, construit en matériau approprié, et d'une résistance et d'une conception adaptées à la capacité d'emballage et à l’utilisation prévue, et satisfaisant aux prescriptions applicables du 4.1.1.1; ou</w:t>
      </w:r>
    </w:p>
    <w:p w14:paraId="438947C3" w14:textId="49EBB177" w:rsidR="0087537E" w:rsidRPr="00113683" w:rsidRDefault="0087537E" w:rsidP="0087537E">
      <w:pPr>
        <w:pStyle w:val="SingleTxtG"/>
        <w:rPr>
          <w:lang w:val="fr-FR"/>
        </w:rPr>
      </w:pPr>
      <w:r w:rsidRPr="00113683">
        <w:rPr>
          <w:lang w:val="fr-FR"/>
        </w:rPr>
        <w:t>-</w:t>
      </w:r>
      <w:r w:rsidRPr="00113683">
        <w:rPr>
          <w:lang w:val="fr-FR"/>
        </w:rPr>
        <w:tab/>
      </w:r>
      <w:r w:rsidR="00447B06" w:rsidRPr="00113683">
        <w:rPr>
          <w:lang w:val="fr-FR"/>
        </w:rPr>
        <w:t>transportés sans emballage extérieur si la machine ou l'appareil est construit et conçu de manière à ce que les récipients contenant les marchandises dangereuses bénéficient d'une protection adéquate. ».</w:t>
      </w:r>
    </w:p>
    <w:p w14:paraId="0C1D08DE" w14:textId="054E6073" w:rsidR="0087537E" w:rsidRPr="00113683" w:rsidRDefault="00447B06" w:rsidP="00113683">
      <w:pPr>
        <w:pStyle w:val="SingleTxtG"/>
        <w:rPr>
          <w:iCs/>
          <w:lang w:val="fr-FR"/>
        </w:rPr>
      </w:pPr>
      <w:r w:rsidRPr="00113683">
        <w:rPr>
          <w:iCs/>
          <w:lang w:val="fr-FR"/>
        </w:rPr>
        <w:t>« </w:t>
      </w:r>
      <w:r w:rsidR="0087537E" w:rsidRPr="00113683">
        <w:rPr>
          <w:iCs/>
          <w:lang w:val="fr-FR"/>
        </w:rPr>
        <w:t>673</w:t>
      </w:r>
      <w:r w:rsidR="0087537E" w:rsidRPr="00113683">
        <w:rPr>
          <w:iCs/>
          <w:lang w:val="fr-FR"/>
        </w:rPr>
        <w:tab/>
      </w:r>
      <w:r w:rsidR="0087537E" w:rsidRPr="00113683">
        <w:rPr>
          <w:i/>
          <w:iCs/>
          <w:lang w:val="fr-FR"/>
        </w:rPr>
        <w:t>(</w:t>
      </w:r>
      <w:r w:rsidRPr="00113683">
        <w:rPr>
          <w:i/>
          <w:iCs/>
          <w:lang w:val="fr-FR"/>
        </w:rPr>
        <w:t>Réservé</w:t>
      </w:r>
      <w:r w:rsidR="0087537E" w:rsidRPr="00113683">
        <w:rPr>
          <w:i/>
          <w:iCs/>
          <w:lang w:val="fr-FR"/>
        </w:rPr>
        <w:t>)</w:t>
      </w:r>
      <w:r w:rsidRPr="00113683">
        <w:rPr>
          <w:iCs/>
          <w:lang w:val="fr-FR"/>
        </w:rPr>
        <w:t> ».</w:t>
      </w:r>
    </w:p>
    <w:p w14:paraId="657B04CA" w14:textId="2949B59E" w:rsidR="00342D08" w:rsidRPr="003024AA" w:rsidRDefault="00342D08" w:rsidP="00342D08">
      <w:pPr>
        <w:pStyle w:val="SingleTxtG"/>
        <w:tabs>
          <w:tab w:val="left" w:pos="1985"/>
        </w:tabs>
        <w:rPr>
          <w:lang w:val="fr-FR"/>
        </w:rPr>
      </w:pPr>
      <w:r w:rsidRPr="003024AA">
        <w:rPr>
          <w:lang w:val="fr-FR"/>
        </w:rPr>
        <w:t>« 674</w:t>
      </w:r>
      <w:r w:rsidRPr="003024AA">
        <w:rPr>
          <w:lang w:val="fr-FR"/>
        </w:rPr>
        <w:tab/>
        <w:t>Cette disposition spéciale s’applique aux contrôles et épreuves périodiques des bouteilles surmoulées telles que définies au 1.2.1.</w:t>
      </w:r>
    </w:p>
    <w:p w14:paraId="3B73A67B" w14:textId="77777777" w:rsidR="00342D08" w:rsidRPr="003024AA" w:rsidRDefault="00342D08" w:rsidP="00342D08">
      <w:pPr>
        <w:pStyle w:val="SingleTxtG"/>
        <w:rPr>
          <w:lang w:val="fr-FR"/>
        </w:rPr>
      </w:pPr>
      <w:r w:rsidRPr="003024AA">
        <w:rPr>
          <w:lang w:val="fr-FR"/>
        </w:rPr>
        <w:t>Les bouteilles surmoulées pour lesquelles le 6.2.3.5.3.1 s’applique doivent être soumises à des contrôles et épreuves périodiques conformément au 6.2.1.6.1, modifiés par la méthode alternative suivante:</w:t>
      </w:r>
    </w:p>
    <w:p w14:paraId="5EC68224" w14:textId="77777777" w:rsidR="00342D08" w:rsidRPr="003024AA" w:rsidRDefault="00342D08" w:rsidP="00342D08">
      <w:pPr>
        <w:pStyle w:val="SingleTxtG"/>
        <w:rPr>
          <w:lang w:val="fr-FR"/>
        </w:rPr>
      </w:pPr>
      <w:r w:rsidRPr="003024AA">
        <w:rPr>
          <w:lang w:val="fr-FR"/>
        </w:rPr>
        <w:t>-</w:t>
      </w:r>
      <w:r w:rsidRPr="003024AA">
        <w:rPr>
          <w:lang w:val="fr-FR"/>
        </w:rPr>
        <w:tab/>
        <w:t>Remplacer l’épreuve prescrite au 6.2.1.6.1 d) par des essais destructifs alternatifs;</w:t>
      </w:r>
    </w:p>
    <w:p w14:paraId="007B8788" w14:textId="77777777" w:rsidR="00342D08" w:rsidRPr="003024AA" w:rsidRDefault="00342D08" w:rsidP="00342D08">
      <w:pPr>
        <w:pStyle w:val="SingleTxtG"/>
        <w:rPr>
          <w:lang w:val="fr-FR"/>
        </w:rPr>
      </w:pPr>
      <w:r w:rsidRPr="003024AA">
        <w:rPr>
          <w:lang w:val="fr-FR"/>
        </w:rPr>
        <w:t>-</w:t>
      </w:r>
      <w:r w:rsidRPr="003024AA">
        <w:rPr>
          <w:lang w:val="fr-FR"/>
        </w:rPr>
        <w:tab/>
        <w:t xml:space="preserve">Réaliser des essais destructifs spécifiques supplémentaires relatifs aux caractéristiques des bouteilles surmoulées. </w:t>
      </w:r>
    </w:p>
    <w:p w14:paraId="1E0B27D4" w14:textId="77777777" w:rsidR="00342D08" w:rsidRPr="003024AA" w:rsidRDefault="00342D08" w:rsidP="00342D08">
      <w:pPr>
        <w:pStyle w:val="SingleTxtG"/>
        <w:rPr>
          <w:lang w:val="fr-FR"/>
        </w:rPr>
      </w:pPr>
      <w:r w:rsidRPr="003024AA">
        <w:rPr>
          <w:lang w:val="fr-FR"/>
        </w:rPr>
        <w:t>Les procédures et les prescriptions relatives à cette méthode alternative sont décrites ci</w:t>
      </w:r>
      <w:r w:rsidRPr="003024AA">
        <w:rPr>
          <w:lang w:val="fr-FR"/>
        </w:rPr>
        <w:noBreakHyphen/>
        <w:t>après.</w:t>
      </w:r>
    </w:p>
    <w:p w14:paraId="2D03A511" w14:textId="77777777" w:rsidR="00342D08" w:rsidRPr="003024AA" w:rsidRDefault="00342D08" w:rsidP="00342D08">
      <w:pPr>
        <w:pStyle w:val="SingleTxtG"/>
        <w:keepNext/>
        <w:rPr>
          <w:lang w:val="fr-FR"/>
        </w:rPr>
      </w:pPr>
      <w:r w:rsidRPr="003024AA">
        <w:rPr>
          <w:lang w:val="fr-FR"/>
        </w:rPr>
        <w:t>Méthode alternative:</w:t>
      </w:r>
    </w:p>
    <w:p w14:paraId="7FE0533A" w14:textId="77777777" w:rsidR="00342D08" w:rsidRPr="003024AA" w:rsidRDefault="00342D08" w:rsidP="00342D08">
      <w:pPr>
        <w:pStyle w:val="SingleTxtG"/>
        <w:rPr>
          <w:lang w:val="fr-FR"/>
        </w:rPr>
      </w:pPr>
      <w:r w:rsidRPr="003024AA">
        <w:rPr>
          <w:lang w:val="fr-FR"/>
        </w:rPr>
        <w:t>a)</w:t>
      </w:r>
      <w:r w:rsidRPr="003024AA">
        <w:rPr>
          <w:lang w:val="fr-FR"/>
        </w:rPr>
        <w:tab/>
        <w:t xml:space="preserve">Généralités </w:t>
      </w:r>
    </w:p>
    <w:p w14:paraId="5BE5DCA8" w14:textId="77777777" w:rsidR="00342D08" w:rsidRPr="003024AA" w:rsidRDefault="00342D08" w:rsidP="00342D08">
      <w:pPr>
        <w:pStyle w:val="SingleTxtG"/>
        <w:ind w:left="1701"/>
        <w:rPr>
          <w:lang w:val="fr-FR"/>
        </w:rPr>
      </w:pPr>
      <w:r w:rsidRPr="003024AA">
        <w:rPr>
          <w:lang w:val="fr-FR"/>
        </w:rPr>
        <w:t xml:space="preserve">Les dispositions suivantes s’appliquent aux bouteilles surmoulées construites en série à partir de bouteilles en acier soudées conformément aux normes EN 1442:2017, EN 14140:2014 + AC:2015 ou à l’annexe I, parties 1 à 3, de la Directive 84/527/CEE du Conseil. La conception de l’enveloppe surmoulée doit prévenir l’infiltration d’eau jusqu’à la bouteille intérieure en acier. Le procédé de transformation de la bouteille en acier en une bouteille surmoulée doit satisfaire aux dispositions applicables des normes EN 1442:2017 et EN 14140:2014 + AC:2015. </w:t>
      </w:r>
    </w:p>
    <w:p w14:paraId="1C4EEF93" w14:textId="77777777" w:rsidR="00342D08" w:rsidRPr="003024AA" w:rsidRDefault="00342D08" w:rsidP="00342D08">
      <w:pPr>
        <w:pStyle w:val="SingleTxtG"/>
        <w:ind w:left="1701"/>
        <w:rPr>
          <w:lang w:val="fr-FR"/>
        </w:rPr>
      </w:pPr>
      <w:r w:rsidRPr="003024AA">
        <w:rPr>
          <w:lang w:val="fr-FR"/>
        </w:rPr>
        <w:t>Les bouteilles surmoulées doivent être munies de robinets à fermeture automatique.</w:t>
      </w:r>
    </w:p>
    <w:p w14:paraId="1B49AC60" w14:textId="77777777" w:rsidR="00342D08" w:rsidRPr="003024AA" w:rsidRDefault="00342D08" w:rsidP="00342D08">
      <w:pPr>
        <w:pStyle w:val="SingleTxtG"/>
      </w:pPr>
      <w:r w:rsidRPr="003024AA">
        <w:rPr>
          <w:lang w:val="fr-FR"/>
        </w:rPr>
        <w:t>b)</w:t>
      </w:r>
      <w:r w:rsidRPr="003024AA">
        <w:rPr>
          <w:lang w:val="fr-FR"/>
        </w:rPr>
        <w:tab/>
        <w:t>Population de base</w:t>
      </w:r>
    </w:p>
    <w:p w14:paraId="7466ADC6" w14:textId="77777777" w:rsidR="00342D08" w:rsidRPr="003024AA" w:rsidRDefault="00342D08" w:rsidP="00342D08">
      <w:pPr>
        <w:pStyle w:val="SingleTxtG"/>
        <w:ind w:left="1701"/>
        <w:rPr>
          <w:lang w:val="fr-FR"/>
        </w:rPr>
      </w:pPr>
      <w:r w:rsidRPr="003024AA">
        <w:rPr>
          <w:lang w:val="fr-FR"/>
        </w:rPr>
        <w:t>Une population de base de bouteilles surmoulées est définie comme étant la production de bouteilles provenant d’un même fabricant de surmoulage utilisant des bouteilles intérieures nouvelles fabriquées par un même fabricant au cours d’une même année civile, utilisant le même modèle type et les mêmes matériaux et procédés de production.</w:t>
      </w:r>
    </w:p>
    <w:p w14:paraId="22256909" w14:textId="77777777" w:rsidR="00342D08" w:rsidRPr="003024AA" w:rsidRDefault="00342D08" w:rsidP="00342D08">
      <w:pPr>
        <w:pStyle w:val="SingleTxtG"/>
      </w:pPr>
      <w:r w:rsidRPr="003024AA">
        <w:rPr>
          <w:lang w:val="fr-FR"/>
        </w:rPr>
        <w:t>c)</w:t>
      </w:r>
      <w:r w:rsidRPr="003024AA">
        <w:rPr>
          <w:lang w:val="fr-FR"/>
        </w:rPr>
        <w:tab/>
        <w:t>Sous-groupes de population de base</w:t>
      </w:r>
    </w:p>
    <w:p w14:paraId="103B4B86" w14:textId="77777777" w:rsidR="00342D08" w:rsidRPr="003024AA" w:rsidRDefault="00342D08" w:rsidP="00342D08">
      <w:pPr>
        <w:pStyle w:val="SingleTxtG"/>
        <w:ind w:left="1701"/>
        <w:rPr>
          <w:lang w:val="fr-FR"/>
        </w:rPr>
      </w:pPr>
      <w:r w:rsidRPr="003024AA">
        <w:rPr>
          <w:lang w:val="fr-FR"/>
        </w:rPr>
        <w:t>Au sein de la population de base définie ci-dessus, les bouteilles surmoulées appartenant à différents propriétaires doivent être séparées en sous-groupes spécifiques, un pour chaque propriétaire.</w:t>
      </w:r>
    </w:p>
    <w:p w14:paraId="4DCD1192" w14:textId="77777777" w:rsidR="00342D08" w:rsidRPr="003024AA" w:rsidRDefault="00342D08" w:rsidP="00342D08">
      <w:pPr>
        <w:pStyle w:val="SingleTxtG"/>
        <w:ind w:left="1701"/>
        <w:rPr>
          <w:lang w:val="fr-FR"/>
        </w:rPr>
      </w:pPr>
      <w:r w:rsidRPr="003024AA">
        <w:rPr>
          <w:lang w:val="fr-FR"/>
        </w:rPr>
        <w:t>Si l’ensemble de la population de base appartient à un seul propriétaire, le sous-groupe équivaut à la population de base.</w:t>
      </w:r>
    </w:p>
    <w:p w14:paraId="4F27E93A" w14:textId="77777777" w:rsidR="00342D08" w:rsidRPr="003024AA" w:rsidRDefault="00342D08" w:rsidP="00342D08">
      <w:pPr>
        <w:pStyle w:val="SingleTxtG"/>
      </w:pPr>
      <w:r w:rsidRPr="003024AA">
        <w:rPr>
          <w:lang w:val="fr-FR"/>
        </w:rPr>
        <w:t>d)</w:t>
      </w:r>
      <w:r w:rsidRPr="003024AA">
        <w:rPr>
          <w:lang w:val="fr-FR"/>
        </w:rPr>
        <w:tab/>
        <w:t>Traçabilité</w:t>
      </w:r>
    </w:p>
    <w:p w14:paraId="492B3215" w14:textId="77777777" w:rsidR="00342D08" w:rsidRPr="003024AA" w:rsidRDefault="00342D08" w:rsidP="00342D08">
      <w:pPr>
        <w:pStyle w:val="SingleTxtG"/>
        <w:ind w:left="1701"/>
        <w:rPr>
          <w:lang w:val="fr-FR"/>
        </w:rPr>
      </w:pPr>
      <w:r w:rsidRPr="003024AA">
        <w:rPr>
          <w:lang w:val="fr-FR"/>
        </w:rPr>
        <w:t>Le marquage des bouteilles intérieures en acier conformément au 6.2.3.9 doit être reproduit sur le surmoulage. En outre, chaque bouteille surmoulée doit être munie d’un dispositif individuel d’identification électronique résistant. Les caractéristiques détaillées des bouteilles surmoulées doivent être enregistrées par le propriétaire dans une base de données centrale. La base de données doit être utilisée pour :</w:t>
      </w:r>
    </w:p>
    <w:p w14:paraId="192D2B92" w14:textId="77777777" w:rsidR="00342D08" w:rsidRPr="003024AA"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3024AA">
        <w:rPr>
          <w:lang w:val="fr-FR"/>
        </w:rPr>
        <w:lastRenderedPageBreak/>
        <w:t>-</w:t>
      </w:r>
      <w:r w:rsidRPr="003024AA">
        <w:rPr>
          <w:lang w:val="fr-FR"/>
        </w:rPr>
        <w:tab/>
        <w:t>Identifier le sous-groupe spécifique ;</w:t>
      </w:r>
    </w:p>
    <w:p w14:paraId="74ED2EA4" w14:textId="77777777" w:rsidR="00342D08" w:rsidRPr="003024AA"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3024AA">
        <w:rPr>
          <w:lang w:val="fr-FR"/>
        </w:rPr>
        <w:t>-</w:t>
      </w:r>
      <w:r w:rsidRPr="003024AA">
        <w:rPr>
          <w:lang w:val="fr-FR"/>
        </w:rPr>
        <w:tab/>
        <w:t xml:space="preserve">Mettre à disposition des organismes de contrôle, des centres de remplissage ou des autorités compétentes, les caractéristiques techniques spécifiques des bouteilles comprenant au moins le numéro de série, le lot de production des bouteilles en acier, le lot de production des surmoulages et la date du surmoulage ; </w:t>
      </w:r>
    </w:p>
    <w:p w14:paraId="4A234908" w14:textId="77777777" w:rsidR="00342D08" w:rsidRPr="003024AA"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3024AA">
        <w:rPr>
          <w:lang w:val="fr-FR"/>
        </w:rPr>
        <w:t>-</w:t>
      </w:r>
      <w:r w:rsidRPr="003024AA">
        <w:rPr>
          <w:lang w:val="fr-FR"/>
        </w:rPr>
        <w:tab/>
        <w:t>Identifier la bouteille en faisant le lien entre le dispositif électronique et la base de données, grâce au numéro de série ;</w:t>
      </w:r>
    </w:p>
    <w:p w14:paraId="46B590B2" w14:textId="77777777" w:rsidR="00342D08" w:rsidRPr="003024AA"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3024AA">
        <w:rPr>
          <w:lang w:val="fr-FR"/>
        </w:rPr>
        <w:t>-</w:t>
      </w:r>
      <w:r w:rsidRPr="003024AA">
        <w:rPr>
          <w:lang w:val="fr-FR"/>
        </w:rPr>
        <w:tab/>
        <w:t>Vérifier l’historique de chaque bouteille et de déterminer les mesures à prendre (par exemple : remplissage, échantillonnage, nouveaux essais, retrait) ;</w:t>
      </w:r>
    </w:p>
    <w:p w14:paraId="3E7CDFDF" w14:textId="77777777" w:rsidR="00342D08" w:rsidRPr="003024AA"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3024AA">
        <w:rPr>
          <w:lang w:val="fr-FR"/>
        </w:rPr>
        <w:t>-</w:t>
      </w:r>
      <w:r w:rsidRPr="003024AA">
        <w:rPr>
          <w:lang w:val="fr-FR"/>
        </w:rPr>
        <w:tab/>
        <w:t>Enregistrer les mesures prises, y compris la date et l’adresse du lieu de leur mise en œuvre.</w:t>
      </w:r>
    </w:p>
    <w:p w14:paraId="57A5345E" w14:textId="77777777" w:rsidR="00342D08" w:rsidRPr="003024AA" w:rsidRDefault="00342D08" w:rsidP="00342D08">
      <w:pPr>
        <w:pStyle w:val="SingleTxtG"/>
        <w:ind w:left="1701"/>
        <w:rPr>
          <w:lang w:val="fr-FR"/>
        </w:rPr>
      </w:pPr>
      <w:r w:rsidRPr="003024AA">
        <w:rPr>
          <w:lang w:val="fr-FR"/>
        </w:rPr>
        <w:t>Les données enregistrées doivent être conservées à disposition par le propriétaire des bouteilles surmoulées pendant toute la durée de vie du sous-groupe.</w:t>
      </w:r>
    </w:p>
    <w:p w14:paraId="77D6E97D" w14:textId="77777777" w:rsidR="00342D08" w:rsidRPr="003024AA" w:rsidRDefault="00342D08" w:rsidP="00342D08">
      <w:pPr>
        <w:pStyle w:val="SingleTxtG"/>
      </w:pPr>
      <w:r w:rsidRPr="003024AA">
        <w:rPr>
          <w:lang w:val="fr-FR"/>
        </w:rPr>
        <w:t>e)</w:t>
      </w:r>
      <w:r w:rsidRPr="003024AA">
        <w:rPr>
          <w:lang w:val="fr-FR"/>
        </w:rPr>
        <w:tab/>
        <w:t>Échantillonnage pour évaluation statistique</w:t>
      </w:r>
    </w:p>
    <w:p w14:paraId="0AC85D78" w14:textId="77777777" w:rsidR="00342D08" w:rsidRPr="003024AA" w:rsidRDefault="00342D08" w:rsidP="00342D08">
      <w:pPr>
        <w:pStyle w:val="SingleTxtG"/>
        <w:ind w:left="1701"/>
        <w:rPr>
          <w:lang w:val="fr-FR"/>
        </w:rPr>
      </w:pPr>
      <w:r w:rsidRPr="003024AA">
        <w:rPr>
          <w:lang w:val="fr-FR"/>
        </w:rPr>
        <w:t>L’échantillonnage doit être effectué de manière aléatoire parmi un sous-groupe tel qu’indiqué à l’alinéa c). La taille de chaque échantillon par sous-groupe doit être conforme au tableau de l’alinéa g).</w:t>
      </w:r>
    </w:p>
    <w:p w14:paraId="43B67E37" w14:textId="77777777" w:rsidR="00342D08" w:rsidRPr="003024AA" w:rsidRDefault="00342D08" w:rsidP="00342D08">
      <w:pPr>
        <w:pStyle w:val="SingleTxtG"/>
      </w:pPr>
      <w:r w:rsidRPr="003024AA">
        <w:rPr>
          <w:lang w:val="fr-FR"/>
        </w:rPr>
        <w:t>f)</w:t>
      </w:r>
      <w:r w:rsidRPr="003024AA">
        <w:rPr>
          <w:lang w:val="fr-FR"/>
        </w:rPr>
        <w:tab/>
        <w:t>Procédure d’essai destructif</w:t>
      </w:r>
    </w:p>
    <w:p w14:paraId="4B14D19B" w14:textId="77777777" w:rsidR="00342D08" w:rsidRPr="003024AA" w:rsidRDefault="00342D08" w:rsidP="00342D08">
      <w:pPr>
        <w:pStyle w:val="SingleTxtG"/>
        <w:ind w:left="1701"/>
        <w:rPr>
          <w:lang w:val="fr-FR"/>
        </w:rPr>
      </w:pPr>
      <w:r w:rsidRPr="003024AA">
        <w:rPr>
          <w:lang w:val="fr-FR"/>
        </w:rPr>
        <w:t>Les contrôles et épreuves prescrits au 6.2.1.6.1 doivent être effectués, sauf l’épreuve prescrite au d) qui doit être remplacée par la procédure d’essais suivante:</w:t>
      </w:r>
    </w:p>
    <w:p w14:paraId="78BA080A" w14:textId="77777777" w:rsidR="00342D08" w:rsidRPr="003024AA"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3024AA">
        <w:rPr>
          <w:lang w:val="fr-FR"/>
        </w:rPr>
        <w:t>-</w:t>
      </w:r>
      <w:r w:rsidRPr="003024AA">
        <w:rPr>
          <w:lang w:val="fr-FR"/>
        </w:rPr>
        <w:tab/>
        <w:t>Essai de rupture (conformément à la norme EN 1442:2017 ou EN 14140:2014 + AC:2015).</w:t>
      </w:r>
    </w:p>
    <w:p w14:paraId="13D35495" w14:textId="77777777" w:rsidR="00342D08" w:rsidRPr="003024AA" w:rsidRDefault="00342D08" w:rsidP="00342D08">
      <w:pPr>
        <w:pStyle w:val="SingleTxtG"/>
        <w:ind w:left="1701"/>
        <w:rPr>
          <w:lang w:val="fr-FR"/>
        </w:rPr>
      </w:pPr>
      <w:r w:rsidRPr="003024AA">
        <w:rPr>
          <w:lang w:val="fr-FR"/>
        </w:rPr>
        <w:t>En outre, les essais suivants doivent être effectués :</w:t>
      </w:r>
    </w:p>
    <w:p w14:paraId="2D608FCD" w14:textId="77777777" w:rsidR="00342D08" w:rsidRPr="003024AA"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3024AA">
        <w:rPr>
          <w:lang w:val="fr-FR"/>
        </w:rPr>
        <w:t>-</w:t>
      </w:r>
      <w:r w:rsidRPr="003024AA">
        <w:rPr>
          <w:lang w:val="fr-FR"/>
        </w:rPr>
        <w:tab/>
        <w:t>Essai d’adhérence (conformément à la norme EN 1442:2017 ou EN 14140:2014 + AC:2015) ;</w:t>
      </w:r>
    </w:p>
    <w:p w14:paraId="6C7983BC" w14:textId="77777777" w:rsidR="00342D08" w:rsidRPr="003024AA"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3024AA">
        <w:rPr>
          <w:lang w:val="fr-FR"/>
        </w:rPr>
        <w:t>-</w:t>
      </w:r>
      <w:r w:rsidRPr="003024AA">
        <w:rPr>
          <w:lang w:val="fr-FR"/>
        </w:rPr>
        <w:tab/>
        <w:t>Essais de pelage et de corrosion (conformément à la norme EN ISO 4628-3:2016).</w:t>
      </w:r>
    </w:p>
    <w:p w14:paraId="0CBFC274" w14:textId="77777777" w:rsidR="00342D08" w:rsidRPr="003024AA" w:rsidRDefault="00342D08" w:rsidP="00342D08">
      <w:pPr>
        <w:pStyle w:val="SingleTxtG"/>
        <w:ind w:left="1701"/>
        <w:rPr>
          <w:lang w:val="fr-FR"/>
        </w:rPr>
      </w:pPr>
      <w:r w:rsidRPr="003024AA">
        <w:rPr>
          <w:lang w:val="fr-FR"/>
        </w:rPr>
        <w:t>L’essai d’adhérence, les essais de pelage et de corrosion, et l’essai de rupture doivent être effectués sur chaque échantillon correspondant, d’après le tableau de l’alinéa g), et être effectués après les trois premières années de service puis tous les cinq ans.</w:t>
      </w:r>
    </w:p>
    <w:p w14:paraId="3393990F" w14:textId="77777777" w:rsidR="00342D08" w:rsidRPr="003024AA" w:rsidRDefault="00342D08" w:rsidP="00342D08">
      <w:pPr>
        <w:pStyle w:val="SingleTxtG"/>
      </w:pPr>
      <w:r w:rsidRPr="003024AA">
        <w:t>g)</w:t>
      </w:r>
      <w:r w:rsidRPr="003024AA">
        <w:tab/>
        <w:t>Évaluation statistique des résultats des essais − Méthode et prescriptions minimales</w:t>
      </w:r>
    </w:p>
    <w:p w14:paraId="4063A1C7" w14:textId="77777777" w:rsidR="00342D08" w:rsidRPr="003024AA" w:rsidRDefault="00342D08" w:rsidP="00342D08">
      <w:pPr>
        <w:pStyle w:val="SingleTxtG"/>
        <w:ind w:left="1701"/>
        <w:rPr>
          <w:lang w:val="fr-FR"/>
        </w:rPr>
      </w:pPr>
      <w:r w:rsidRPr="003024AA">
        <w:rPr>
          <w:lang w:val="fr-FR"/>
        </w:rPr>
        <w:t>La procédure d’évaluation statistique, suivant les critères de rejet correspondants, est décrite ci-dessous.</w:t>
      </w:r>
    </w:p>
    <w:tbl>
      <w:tblPr>
        <w:tblW w:w="0" w:type="dxa"/>
        <w:tblLayout w:type="fixed"/>
        <w:tblCellMar>
          <w:left w:w="0" w:type="dxa"/>
          <w:right w:w="0" w:type="dxa"/>
        </w:tblCellMar>
        <w:tblLook w:val="00A0" w:firstRow="1" w:lastRow="0" w:firstColumn="1" w:lastColumn="0" w:noHBand="0" w:noVBand="0"/>
      </w:tblPr>
      <w:tblGrid>
        <w:gridCol w:w="1124"/>
        <w:gridCol w:w="1394"/>
        <w:gridCol w:w="1566"/>
        <w:gridCol w:w="3560"/>
        <w:gridCol w:w="1993"/>
      </w:tblGrid>
      <w:tr w:rsidR="00342D08" w:rsidRPr="003024AA" w14:paraId="2D13D3AE" w14:textId="77777777" w:rsidTr="00342D08">
        <w:trPr>
          <w:cantSplit/>
          <w:trHeight w:val="20"/>
          <w:tblHeader/>
        </w:trPr>
        <w:tc>
          <w:tcPr>
            <w:tcW w:w="1124" w:type="dxa"/>
            <w:tcBorders>
              <w:top w:val="single" w:sz="12" w:space="0" w:color="auto"/>
              <w:left w:val="single" w:sz="12" w:space="0" w:color="auto"/>
              <w:bottom w:val="single" w:sz="6" w:space="0" w:color="auto"/>
              <w:right w:val="single" w:sz="6" w:space="0" w:color="auto"/>
            </w:tcBorders>
            <w:vAlign w:val="center"/>
            <w:hideMark/>
          </w:tcPr>
          <w:p w14:paraId="49421427" w14:textId="77777777" w:rsidR="00342D08" w:rsidRPr="003024AA" w:rsidRDefault="00342D08">
            <w:pPr>
              <w:spacing w:before="40" w:after="80" w:line="200" w:lineRule="atLeast"/>
              <w:ind w:left="57" w:right="57"/>
              <w:jc w:val="center"/>
              <w:rPr>
                <w:b/>
                <w:bCs/>
                <w:sz w:val="18"/>
                <w:szCs w:val="18"/>
                <w:lang w:val="fr-FR"/>
              </w:rPr>
            </w:pPr>
            <w:r w:rsidRPr="003024AA">
              <w:rPr>
                <w:b/>
                <w:sz w:val="18"/>
                <w:szCs w:val="18"/>
                <w:lang w:val="fr-FR"/>
              </w:rPr>
              <w:lastRenderedPageBreak/>
              <w:t xml:space="preserve">Intervalle entre les essais </w:t>
            </w:r>
            <w:r w:rsidRPr="003024AA">
              <w:rPr>
                <w:sz w:val="18"/>
                <w:szCs w:val="18"/>
                <w:lang w:val="fr-FR"/>
              </w:rPr>
              <w:t>(en années)</w:t>
            </w:r>
          </w:p>
        </w:tc>
        <w:tc>
          <w:tcPr>
            <w:tcW w:w="1394" w:type="dxa"/>
            <w:tcBorders>
              <w:top w:val="single" w:sz="12" w:space="0" w:color="auto"/>
              <w:left w:val="single" w:sz="6" w:space="0" w:color="auto"/>
              <w:bottom w:val="single" w:sz="6" w:space="0" w:color="auto"/>
              <w:right w:val="single" w:sz="6" w:space="0" w:color="auto"/>
            </w:tcBorders>
            <w:vAlign w:val="center"/>
            <w:hideMark/>
          </w:tcPr>
          <w:p w14:paraId="070BF33D" w14:textId="77777777" w:rsidR="00342D08" w:rsidRPr="003024AA" w:rsidRDefault="00342D08">
            <w:pPr>
              <w:spacing w:before="40" w:after="80" w:line="200" w:lineRule="atLeast"/>
              <w:ind w:left="57" w:right="57"/>
              <w:jc w:val="center"/>
              <w:rPr>
                <w:b/>
                <w:bCs/>
                <w:sz w:val="18"/>
                <w:szCs w:val="18"/>
                <w:lang w:val="fr-FR"/>
              </w:rPr>
            </w:pPr>
            <w:r w:rsidRPr="003024AA">
              <w:rPr>
                <w:b/>
                <w:sz w:val="18"/>
                <w:szCs w:val="18"/>
                <w:lang w:val="fr-FR"/>
              </w:rPr>
              <w:t>Type d’essai</w:t>
            </w:r>
          </w:p>
        </w:tc>
        <w:tc>
          <w:tcPr>
            <w:tcW w:w="1566" w:type="dxa"/>
            <w:tcBorders>
              <w:top w:val="single" w:sz="12" w:space="0" w:color="auto"/>
              <w:left w:val="single" w:sz="6" w:space="0" w:color="auto"/>
              <w:bottom w:val="single" w:sz="6" w:space="0" w:color="auto"/>
              <w:right w:val="single" w:sz="6" w:space="0" w:color="auto"/>
            </w:tcBorders>
            <w:vAlign w:val="center"/>
            <w:hideMark/>
          </w:tcPr>
          <w:p w14:paraId="707F212E" w14:textId="77777777" w:rsidR="00342D08" w:rsidRPr="003024AA" w:rsidRDefault="00342D08">
            <w:pPr>
              <w:spacing w:before="40" w:after="80" w:line="200" w:lineRule="atLeast"/>
              <w:ind w:left="57" w:right="57"/>
              <w:jc w:val="center"/>
              <w:rPr>
                <w:b/>
                <w:bCs/>
                <w:sz w:val="18"/>
                <w:szCs w:val="18"/>
                <w:lang w:val="fr-FR"/>
              </w:rPr>
            </w:pPr>
            <w:r w:rsidRPr="003024AA">
              <w:rPr>
                <w:b/>
                <w:sz w:val="18"/>
                <w:szCs w:val="18"/>
                <w:lang w:val="fr-FR"/>
              </w:rPr>
              <w:t>Norme</w:t>
            </w:r>
          </w:p>
        </w:tc>
        <w:tc>
          <w:tcPr>
            <w:tcW w:w="3560" w:type="dxa"/>
            <w:tcBorders>
              <w:top w:val="single" w:sz="12" w:space="0" w:color="auto"/>
              <w:left w:val="single" w:sz="6" w:space="0" w:color="auto"/>
              <w:bottom w:val="single" w:sz="6" w:space="0" w:color="auto"/>
              <w:right w:val="single" w:sz="6" w:space="0" w:color="auto"/>
            </w:tcBorders>
            <w:vAlign w:val="center"/>
            <w:hideMark/>
          </w:tcPr>
          <w:p w14:paraId="5828E07D" w14:textId="77777777" w:rsidR="00342D08" w:rsidRPr="003024AA" w:rsidRDefault="00342D08">
            <w:pPr>
              <w:spacing w:before="40" w:after="80" w:line="200" w:lineRule="atLeast"/>
              <w:ind w:left="57" w:right="57"/>
              <w:jc w:val="center"/>
              <w:rPr>
                <w:b/>
                <w:bCs/>
                <w:sz w:val="18"/>
                <w:szCs w:val="18"/>
                <w:lang w:val="fr-FR"/>
              </w:rPr>
            </w:pPr>
            <w:r w:rsidRPr="003024AA">
              <w:rPr>
                <w:b/>
                <w:sz w:val="18"/>
                <w:szCs w:val="18"/>
                <w:lang w:val="fr-FR"/>
              </w:rPr>
              <w:t>Critères de rejet</w:t>
            </w:r>
          </w:p>
        </w:tc>
        <w:tc>
          <w:tcPr>
            <w:tcW w:w="1993" w:type="dxa"/>
            <w:tcBorders>
              <w:top w:val="single" w:sz="12" w:space="0" w:color="auto"/>
              <w:left w:val="single" w:sz="6" w:space="0" w:color="auto"/>
              <w:bottom w:val="single" w:sz="6" w:space="0" w:color="auto"/>
              <w:right w:val="single" w:sz="6" w:space="0" w:color="auto"/>
            </w:tcBorders>
            <w:vAlign w:val="center"/>
            <w:hideMark/>
          </w:tcPr>
          <w:p w14:paraId="33390223" w14:textId="77777777" w:rsidR="00342D08" w:rsidRPr="003024AA" w:rsidRDefault="00342D08">
            <w:pPr>
              <w:spacing w:before="40" w:after="80" w:line="200" w:lineRule="atLeast"/>
              <w:ind w:left="57" w:right="57"/>
              <w:jc w:val="center"/>
              <w:rPr>
                <w:b/>
                <w:bCs/>
                <w:sz w:val="18"/>
                <w:szCs w:val="18"/>
                <w:lang w:val="fr-FR"/>
              </w:rPr>
            </w:pPr>
            <w:r w:rsidRPr="003024AA">
              <w:rPr>
                <w:b/>
                <w:sz w:val="18"/>
                <w:szCs w:val="18"/>
                <w:lang w:val="fr-FR"/>
              </w:rPr>
              <w:t xml:space="preserve">Niveau d’échantillonnage du Sous-Groupe </w:t>
            </w:r>
          </w:p>
        </w:tc>
      </w:tr>
      <w:tr w:rsidR="00342D08" w:rsidRPr="003024AA" w14:paraId="53F976C5" w14:textId="77777777" w:rsidTr="00342D08">
        <w:trPr>
          <w:cantSplit/>
          <w:trHeight w:val="20"/>
        </w:trPr>
        <w:tc>
          <w:tcPr>
            <w:tcW w:w="1124" w:type="dxa"/>
            <w:vMerge w:val="restart"/>
            <w:tcBorders>
              <w:top w:val="single" w:sz="6" w:space="0" w:color="auto"/>
              <w:left w:val="single" w:sz="12" w:space="0" w:color="auto"/>
              <w:bottom w:val="nil"/>
              <w:right w:val="single" w:sz="6" w:space="0" w:color="auto"/>
            </w:tcBorders>
            <w:hideMark/>
          </w:tcPr>
          <w:p w14:paraId="6CAC8151"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Après 3 ans de service</w:t>
            </w:r>
          </w:p>
          <w:p w14:paraId="30E9E8BA"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(voir f))</w:t>
            </w:r>
          </w:p>
        </w:tc>
        <w:tc>
          <w:tcPr>
            <w:tcW w:w="1394" w:type="dxa"/>
            <w:tcBorders>
              <w:top w:val="single" w:sz="6" w:space="0" w:color="auto"/>
              <w:left w:val="single" w:sz="6" w:space="0" w:color="auto"/>
              <w:bottom w:val="nil"/>
              <w:right w:val="single" w:sz="6" w:space="0" w:color="auto"/>
            </w:tcBorders>
            <w:hideMark/>
          </w:tcPr>
          <w:p w14:paraId="1891FB6B"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Essai de rupture</w:t>
            </w:r>
          </w:p>
        </w:tc>
        <w:tc>
          <w:tcPr>
            <w:tcW w:w="1566" w:type="dxa"/>
            <w:tcBorders>
              <w:top w:val="single" w:sz="6" w:space="0" w:color="auto"/>
              <w:left w:val="single" w:sz="6" w:space="0" w:color="auto"/>
              <w:bottom w:val="nil"/>
              <w:right w:val="single" w:sz="6" w:space="0" w:color="auto"/>
            </w:tcBorders>
            <w:hideMark/>
          </w:tcPr>
          <w:p w14:paraId="3366F52A"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lang w:val="fr-FR"/>
              </w:rPr>
              <w:t>EN 1442:2017</w:t>
            </w:r>
          </w:p>
        </w:tc>
        <w:tc>
          <w:tcPr>
            <w:tcW w:w="3560" w:type="dxa"/>
            <w:tcBorders>
              <w:top w:val="single" w:sz="6" w:space="0" w:color="auto"/>
              <w:left w:val="single" w:sz="6" w:space="0" w:color="auto"/>
              <w:bottom w:val="nil"/>
              <w:right w:val="single" w:sz="6" w:space="0" w:color="auto"/>
            </w:tcBorders>
            <w:hideMark/>
          </w:tcPr>
          <w:p w14:paraId="0FD81611" w14:textId="77777777" w:rsidR="00342D08" w:rsidRPr="003024AA" w:rsidRDefault="00342D08">
            <w:pPr>
              <w:pStyle w:val="Tabletext9"/>
              <w:spacing w:before="40" w:after="80" w:line="200" w:lineRule="atLeast"/>
              <w:ind w:left="57" w:right="57"/>
              <w:jc w:val="center"/>
              <w:rPr>
                <w:rFonts w:ascii="Times New Roman" w:hAnsi="Times New Roman"/>
                <w:szCs w:val="18"/>
                <w:lang w:val="fr-FR"/>
              </w:rPr>
            </w:pPr>
            <w:r w:rsidRPr="003024AA">
              <w:rPr>
                <w:rFonts w:ascii="Times New Roman" w:hAnsi="Times New Roman"/>
                <w:szCs w:val="18"/>
                <w:lang w:val="fr-FR"/>
              </w:rPr>
              <w:t>Le point de pression de rupture de l’échantillon représentatif doit être au-dessus de la limite inférieure de l’intervalle de tolérance indiquée sur le Tableau de Performance des Echantillons</w:t>
            </w:r>
          </w:p>
          <w:p w14:paraId="6FD33A6D" w14:textId="77777777" w:rsidR="00342D08" w:rsidRPr="003024AA" w:rsidRDefault="00342D08">
            <w:pPr>
              <w:pStyle w:val="Tabletext9"/>
              <w:spacing w:before="40" w:after="80" w:line="200" w:lineRule="atLeast"/>
              <w:ind w:left="57" w:right="57"/>
              <w:jc w:val="center"/>
              <w:rPr>
                <w:rFonts w:ascii="Times New Roman" w:hAnsi="Times New Roman"/>
                <w:szCs w:val="18"/>
                <w:lang w:val="fr-FR"/>
              </w:rPr>
            </w:pPr>
            <w:r w:rsidRPr="003024AA">
              <w:rPr>
                <w:rFonts w:ascii="Times New Roman" w:hAnsi="Times New Roman"/>
                <w:szCs w:val="18"/>
                <w:lang w:val="fr-FR"/>
              </w:rPr>
              <w:br/>
              <w:t>Ω</w:t>
            </w:r>
            <w:r w:rsidRPr="003024AA">
              <w:rPr>
                <w:rFonts w:ascii="Times New Roman" w:hAnsi="Times New Roman"/>
                <w:szCs w:val="18"/>
                <w:vertAlign w:val="subscript"/>
                <w:lang w:val="fr-FR"/>
              </w:rPr>
              <w:t>m</w:t>
            </w:r>
            <w:r w:rsidRPr="003024AA">
              <w:rPr>
                <w:rFonts w:ascii="Times New Roman" w:hAnsi="Times New Roman"/>
                <w:szCs w:val="18"/>
                <w:lang w:val="fr-FR"/>
              </w:rPr>
              <w:t xml:space="preserve"> ≥ 1 + Ω</w:t>
            </w:r>
            <w:r w:rsidRPr="003024AA">
              <w:rPr>
                <w:rFonts w:ascii="Times New Roman" w:hAnsi="Times New Roman"/>
                <w:szCs w:val="18"/>
                <w:vertAlign w:val="subscript"/>
                <w:lang w:val="fr-FR"/>
              </w:rPr>
              <w:t>s</w:t>
            </w:r>
            <w:r w:rsidRPr="003024AA">
              <w:rPr>
                <w:rFonts w:ascii="Times New Roman" w:hAnsi="Times New Roman"/>
                <w:szCs w:val="18"/>
                <w:lang w:val="fr-FR"/>
              </w:rPr>
              <w:t xml:space="preserve">× k3 (n; p;1-α) </w:t>
            </w:r>
            <w:r w:rsidRPr="003024AA">
              <w:rPr>
                <w:rFonts w:ascii="Times New Roman" w:hAnsi="Times New Roman"/>
                <w:b/>
                <w:szCs w:val="18"/>
                <w:vertAlign w:val="superscript"/>
                <w:lang w:val="fr-FR"/>
              </w:rPr>
              <w:t>a</w:t>
            </w:r>
            <w:r w:rsidRPr="003024AA">
              <w:rPr>
                <w:rFonts w:ascii="Times New Roman" w:hAnsi="Times New Roman"/>
                <w:szCs w:val="18"/>
                <w:lang w:val="fr-FR"/>
              </w:rPr>
              <w:br/>
            </w:r>
            <w:r w:rsidRPr="003024AA">
              <w:rPr>
                <w:rFonts w:ascii="Times New Roman" w:hAnsi="Times New Roman"/>
                <w:szCs w:val="18"/>
                <w:lang w:val="fr-FR"/>
              </w:rPr>
              <w:br/>
              <w:t>Aucun résultat individuel ne doit être inférieur à la pression d’épreuve</w:t>
            </w:r>
          </w:p>
        </w:tc>
        <w:tc>
          <w:tcPr>
            <w:tcW w:w="1993" w:type="dxa"/>
            <w:tcBorders>
              <w:top w:val="single" w:sz="6" w:space="0" w:color="auto"/>
              <w:left w:val="single" w:sz="6" w:space="0" w:color="auto"/>
              <w:bottom w:val="nil"/>
              <w:right w:val="single" w:sz="6" w:space="0" w:color="auto"/>
            </w:tcBorders>
            <w:hideMark/>
          </w:tcPr>
          <w:p w14:paraId="157566E7" w14:textId="77777777" w:rsidR="00342D08" w:rsidRPr="003024AA" w:rsidRDefault="00342D08">
            <w:pPr>
              <w:pStyle w:val="Tabletext9"/>
              <w:spacing w:before="40" w:after="80" w:line="200" w:lineRule="atLeast"/>
              <w:ind w:left="57" w:right="57"/>
              <w:jc w:val="center"/>
              <w:rPr>
                <w:rFonts w:ascii="Times New Roman" w:hAnsi="Times New Roman"/>
                <w:szCs w:val="18"/>
                <w:lang w:val="fr-FR"/>
              </w:rPr>
            </w:pPr>
            <w:r w:rsidRPr="003024AA">
              <w:rPr>
                <w:rFonts w:ascii="Times New Roman" w:hAnsi="Times New Roman"/>
                <w:position w:val="-10"/>
                <w:szCs w:val="18"/>
                <w:lang w:val="fr-FR"/>
              </w:rPr>
              <w:object w:dxaOrig="465" w:dyaOrig="360" w14:anchorId="0B2AFE7F">
                <v:shape id="_x0000_i1027" type="#_x0000_t75" style="width:25.65pt;height:20.75pt" o:ole="">
                  <v:imagedata r:id="rId22" o:title=""/>
                </v:shape>
                <o:OLEObject Type="Embed" ProgID="Equation.3" ShapeID="_x0000_i1027" DrawAspect="Content" ObjectID="_1581925884" r:id="rId23"/>
              </w:object>
            </w:r>
            <w:r w:rsidRPr="003024AA">
              <w:rPr>
                <w:rFonts w:ascii="Times New Roman" w:hAnsi="Times New Roman"/>
                <w:szCs w:val="18"/>
                <w:lang w:val="fr-FR"/>
              </w:rPr>
              <w:t xml:space="preserve"> ou Q/200 la valeur la plus petite étant retenue</w:t>
            </w:r>
            <w:r w:rsidRPr="003024AA">
              <w:rPr>
                <w:rFonts w:ascii="Times New Roman" w:hAnsi="Times New Roman"/>
                <w:szCs w:val="18"/>
                <w:lang w:val="fr-FR"/>
              </w:rPr>
              <w:br/>
              <w:t xml:space="preserve">et </w:t>
            </w:r>
            <w:r w:rsidRPr="003024AA">
              <w:rPr>
                <w:rFonts w:ascii="Times New Roman" w:hAnsi="Times New Roman"/>
                <w:szCs w:val="18"/>
                <w:lang w:val="fr-FR"/>
              </w:rPr>
              <w:br/>
              <w:t>un minimum de 20 par sous-groupe (Q)</w:t>
            </w:r>
          </w:p>
        </w:tc>
      </w:tr>
      <w:tr w:rsidR="00342D08" w:rsidRPr="003024AA" w14:paraId="0972994E" w14:textId="77777777" w:rsidTr="00342D08">
        <w:trPr>
          <w:cantSplit/>
          <w:trHeight w:val="20"/>
        </w:trPr>
        <w:tc>
          <w:tcPr>
            <w:tcW w:w="1124" w:type="dxa"/>
            <w:vMerge/>
            <w:tcBorders>
              <w:top w:val="single" w:sz="6" w:space="0" w:color="auto"/>
              <w:left w:val="single" w:sz="12" w:space="0" w:color="auto"/>
              <w:bottom w:val="nil"/>
              <w:right w:val="single" w:sz="6" w:space="0" w:color="auto"/>
            </w:tcBorders>
            <w:vAlign w:val="center"/>
            <w:hideMark/>
          </w:tcPr>
          <w:p w14:paraId="244E4F04" w14:textId="77777777" w:rsidR="00342D08" w:rsidRPr="003024AA"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14:paraId="6B3A120F"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Pelage</w:t>
            </w:r>
            <w:r w:rsidRPr="003024AA">
              <w:rPr>
                <w:rFonts w:ascii="Times New Roman" w:hAnsi="Times New Roman"/>
                <w:szCs w:val="18"/>
                <w:lang w:val="fr-FR"/>
              </w:rPr>
              <w:br/>
              <w:t xml:space="preserve">et </w:t>
            </w:r>
            <w:r w:rsidRPr="003024AA">
              <w:rPr>
                <w:rFonts w:ascii="Times New Roman" w:hAnsi="Times New Roman"/>
                <w:szCs w:val="18"/>
                <w:lang w:val="fr-FR"/>
              </w:rPr>
              <w:br/>
              <w:t xml:space="preserve">corrosion </w:t>
            </w:r>
          </w:p>
        </w:tc>
        <w:tc>
          <w:tcPr>
            <w:tcW w:w="1566" w:type="dxa"/>
            <w:tcBorders>
              <w:top w:val="single" w:sz="6" w:space="0" w:color="auto"/>
              <w:left w:val="single" w:sz="6" w:space="0" w:color="auto"/>
              <w:bottom w:val="single" w:sz="6" w:space="0" w:color="auto"/>
              <w:right w:val="single" w:sz="6" w:space="0" w:color="auto"/>
            </w:tcBorders>
            <w:hideMark/>
          </w:tcPr>
          <w:p w14:paraId="2DD3BFD6"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lang w:val="fr-FR"/>
              </w:rPr>
              <w:t>EN ISO 4628-3:2016</w:t>
            </w:r>
          </w:p>
        </w:tc>
        <w:tc>
          <w:tcPr>
            <w:tcW w:w="3560" w:type="dxa"/>
            <w:tcBorders>
              <w:top w:val="single" w:sz="6" w:space="0" w:color="auto"/>
              <w:left w:val="single" w:sz="6" w:space="0" w:color="auto"/>
              <w:bottom w:val="single" w:sz="6" w:space="0" w:color="auto"/>
              <w:right w:val="single" w:sz="6" w:space="0" w:color="auto"/>
            </w:tcBorders>
            <w:hideMark/>
          </w:tcPr>
          <w:p w14:paraId="2F734E48" w14:textId="77777777" w:rsidR="00342D08" w:rsidRPr="003024AA" w:rsidRDefault="00342D08">
            <w:pPr>
              <w:spacing w:before="40" w:after="80" w:line="200" w:lineRule="atLeast"/>
              <w:ind w:left="57" w:right="57"/>
              <w:jc w:val="center"/>
              <w:rPr>
                <w:sz w:val="18"/>
                <w:szCs w:val="18"/>
                <w:lang w:val="fr-FR"/>
              </w:rPr>
            </w:pPr>
            <w:r w:rsidRPr="003024AA">
              <w:rPr>
                <w:sz w:val="18"/>
                <w:szCs w:val="18"/>
                <w:lang w:val="fr-FR"/>
              </w:rPr>
              <w:t>Degré de corrosion max :</w:t>
            </w:r>
            <w:r w:rsidRPr="003024AA">
              <w:rPr>
                <w:sz w:val="18"/>
                <w:szCs w:val="18"/>
                <w:lang w:val="fr-FR"/>
              </w:rPr>
              <w:br/>
              <w:t>Ri2</w:t>
            </w:r>
          </w:p>
        </w:tc>
        <w:tc>
          <w:tcPr>
            <w:tcW w:w="1993" w:type="dxa"/>
            <w:tcBorders>
              <w:top w:val="single" w:sz="6" w:space="0" w:color="auto"/>
              <w:left w:val="single" w:sz="6" w:space="0" w:color="auto"/>
              <w:bottom w:val="single" w:sz="6" w:space="0" w:color="auto"/>
              <w:right w:val="single" w:sz="6" w:space="0" w:color="auto"/>
            </w:tcBorders>
            <w:hideMark/>
          </w:tcPr>
          <w:p w14:paraId="758EFC51" w14:textId="77777777" w:rsidR="00342D08" w:rsidRPr="003024AA" w:rsidRDefault="00342D08">
            <w:pPr>
              <w:spacing w:before="40" w:after="80" w:line="200" w:lineRule="atLeast"/>
              <w:ind w:left="57" w:right="57"/>
              <w:jc w:val="center"/>
              <w:rPr>
                <w:sz w:val="18"/>
                <w:szCs w:val="18"/>
                <w:lang w:val="fr-FR"/>
              </w:rPr>
            </w:pPr>
            <w:r w:rsidRPr="003024AA">
              <w:rPr>
                <w:sz w:val="18"/>
                <w:szCs w:val="18"/>
                <w:lang w:val="fr-FR"/>
              </w:rPr>
              <w:t>Q/1 000</w:t>
            </w:r>
          </w:p>
        </w:tc>
      </w:tr>
      <w:tr w:rsidR="00342D08" w:rsidRPr="003024AA" w14:paraId="539C93D8" w14:textId="77777777" w:rsidTr="00342D08">
        <w:trPr>
          <w:cantSplit/>
          <w:trHeight w:val="20"/>
        </w:trPr>
        <w:tc>
          <w:tcPr>
            <w:tcW w:w="1124" w:type="dxa"/>
            <w:vMerge/>
            <w:tcBorders>
              <w:top w:val="single" w:sz="6" w:space="0" w:color="auto"/>
              <w:left w:val="single" w:sz="12" w:space="0" w:color="auto"/>
              <w:bottom w:val="nil"/>
              <w:right w:val="single" w:sz="6" w:space="0" w:color="auto"/>
            </w:tcBorders>
            <w:vAlign w:val="center"/>
            <w:hideMark/>
          </w:tcPr>
          <w:p w14:paraId="0C6FEBC7" w14:textId="77777777" w:rsidR="00342D08" w:rsidRPr="003024AA"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nil"/>
              <w:right w:val="single" w:sz="6" w:space="0" w:color="auto"/>
            </w:tcBorders>
            <w:hideMark/>
          </w:tcPr>
          <w:p w14:paraId="3CB4EBBD"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Adhérence du polyuréthane</w:t>
            </w:r>
          </w:p>
        </w:tc>
        <w:tc>
          <w:tcPr>
            <w:tcW w:w="1566"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03C47F37" w14:textId="77777777" w:rsidR="00342D08" w:rsidRPr="003024AA" w:rsidRDefault="00342D08">
            <w:pPr>
              <w:pStyle w:val="Tabletext9"/>
              <w:spacing w:before="40" w:after="80" w:line="200" w:lineRule="atLeast"/>
              <w:ind w:right="57"/>
              <w:jc w:val="left"/>
              <w:rPr>
                <w:rFonts w:ascii="Times New Roman" w:hAnsi="Times New Roman"/>
                <w:szCs w:val="18"/>
                <w:lang w:val="fr-FR"/>
              </w:rPr>
            </w:pPr>
            <w:r w:rsidRPr="003024AA">
              <w:rPr>
                <w:rFonts w:ascii="Times New Roman" w:hAnsi="Times New Roman"/>
                <w:lang w:val="fr-FR"/>
              </w:rPr>
              <w:t>ISO 2859-1:1999 + A1:2011</w:t>
            </w:r>
            <w:r w:rsidRPr="003024AA">
              <w:rPr>
                <w:rFonts w:ascii="Times New Roman" w:hAnsi="Times New Roman"/>
                <w:szCs w:val="18"/>
                <w:lang w:val="fr-FR"/>
              </w:rPr>
              <w:br/>
            </w:r>
            <w:r w:rsidRPr="003024AA">
              <w:rPr>
                <w:rFonts w:ascii="Times New Roman" w:hAnsi="Times New Roman"/>
                <w:lang w:val="fr-FR"/>
              </w:rPr>
              <w:t>EN 1442:2017</w:t>
            </w:r>
            <w:r w:rsidRPr="003024AA">
              <w:rPr>
                <w:rFonts w:ascii="Times New Roman" w:hAnsi="Times New Roman"/>
                <w:szCs w:val="18"/>
                <w:lang w:val="fr-FR"/>
              </w:rPr>
              <w:br/>
            </w:r>
            <w:r w:rsidRPr="003024AA">
              <w:rPr>
                <w:rFonts w:ascii="Times New Roman" w:hAnsi="Times New Roman"/>
                <w:lang w:val="fr-FR"/>
              </w:rPr>
              <w:t>EN 14140:2014 + AC:2015</w:t>
            </w:r>
          </w:p>
        </w:tc>
        <w:tc>
          <w:tcPr>
            <w:tcW w:w="3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4511462" w14:textId="77777777" w:rsidR="00342D08" w:rsidRPr="003024AA" w:rsidRDefault="00342D08">
            <w:pPr>
              <w:spacing w:before="40" w:after="80" w:line="200" w:lineRule="atLeast"/>
              <w:ind w:left="57" w:right="57"/>
              <w:jc w:val="center"/>
              <w:rPr>
                <w:sz w:val="18"/>
                <w:szCs w:val="18"/>
                <w:lang w:val="fr-FR"/>
              </w:rPr>
            </w:pPr>
            <w:r w:rsidRPr="003024AA">
              <w:rPr>
                <w:sz w:val="18"/>
                <w:szCs w:val="18"/>
                <w:lang w:val="fr-FR"/>
              </w:rPr>
              <w:t>Valeur d’adhérence &gt; 0,5 N/mm</w:t>
            </w:r>
            <w:r w:rsidRPr="003024AA">
              <w:rPr>
                <w:sz w:val="18"/>
                <w:szCs w:val="18"/>
                <w:vertAlign w:val="superscript"/>
                <w:lang w:val="fr-FR"/>
              </w:rPr>
              <w:t>2</w:t>
            </w:r>
          </w:p>
        </w:tc>
        <w:tc>
          <w:tcPr>
            <w:tcW w:w="1993"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5587BE4E" w14:textId="77777777" w:rsidR="00342D08" w:rsidRPr="003024AA" w:rsidRDefault="00342D08">
            <w:pPr>
              <w:spacing w:before="40" w:after="80" w:line="200" w:lineRule="atLeast"/>
              <w:ind w:left="57" w:right="57"/>
              <w:jc w:val="center"/>
              <w:rPr>
                <w:position w:val="-12"/>
                <w:sz w:val="18"/>
                <w:szCs w:val="18"/>
                <w:lang w:val="fr-FR"/>
              </w:rPr>
            </w:pPr>
            <w:r w:rsidRPr="003024AA">
              <w:rPr>
                <w:sz w:val="18"/>
                <w:szCs w:val="18"/>
                <w:lang w:val="fr-FR"/>
              </w:rPr>
              <w:t>Voir ISO 2859-1:1999 + A1:2011 appliquée à Q/1000</w:t>
            </w:r>
          </w:p>
        </w:tc>
      </w:tr>
      <w:tr w:rsidR="00342D08" w:rsidRPr="003024AA" w14:paraId="3038E626" w14:textId="77777777" w:rsidTr="00342D08">
        <w:trPr>
          <w:cantSplit/>
          <w:trHeight w:val="20"/>
        </w:trPr>
        <w:tc>
          <w:tcPr>
            <w:tcW w:w="1124" w:type="dxa"/>
            <w:vMerge w:val="restart"/>
            <w:tcBorders>
              <w:top w:val="single" w:sz="6" w:space="0" w:color="auto"/>
              <w:left w:val="single" w:sz="12" w:space="0" w:color="auto"/>
              <w:bottom w:val="single" w:sz="6" w:space="0" w:color="auto"/>
              <w:right w:val="single" w:sz="6" w:space="0" w:color="auto"/>
            </w:tcBorders>
            <w:hideMark/>
          </w:tcPr>
          <w:p w14:paraId="38E0B9AF"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Puis tous les 5 ans</w:t>
            </w:r>
          </w:p>
          <w:p w14:paraId="20403DDA"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(voir f))</w:t>
            </w:r>
          </w:p>
        </w:tc>
        <w:tc>
          <w:tcPr>
            <w:tcW w:w="1394" w:type="dxa"/>
            <w:tcBorders>
              <w:top w:val="single" w:sz="6" w:space="0" w:color="auto"/>
              <w:left w:val="single" w:sz="6" w:space="0" w:color="auto"/>
              <w:bottom w:val="nil"/>
              <w:right w:val="single" w:sz="6" w:space="0" w:color="auto"/>
            </w:tcBorders>
            <w:hideMark/>
          </w:tcPr>
          <w:p w14:paraId="5B918E6A"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Essai de rupture</w:t>
            </w:r>
          </w:p>
        </w:tc>
        <w:tc>
          <w:tcPr>
            <w:tcW w:w="1566" w:type="dxa"/>
            <w:tcBorders>
              <w:top w:val="single" w:sz="6" w:space="0" w:color="auto"/>
              <w:left w:val="single" w:sz="6" w:space="0" w:color="auto"/>
              <w:bottom w:val="nil"/>
              <w:right w:val="single" w:sz="6" w:space="0" w:color="auto"/>
            </w:tcBorders>
            <w:hideMark/>
          </w:tcPr>
          <w:p w14:paraId="7A115783"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lang w:val="fr-FR"/>
              </w:rPr>
              <w:t>EN 1442:2017</w:t>
            </w:r>
          </w:p>
        </w:tc>
        <w:tc>
          <w:tcPr>
            <w:tcW w:w="3560" w:type="dxa"/>
            <w:tcBorders>
              <w:top w:val="single" w:sz="6" w:space="0" w:color="auto"/>
              <w:left w:val="single" w:sz="6" w:space="0" w:color="auto"/>
              <w:bottom w:val="nil"/>
              <w:right w:val="single" w:sz="6" w:space="0" w:color="auto"/>
            </w:tcBorders>
            <w:hideMark/>
          </w:tcPr>
          <w:p w14:paraId="06574916" w14:textId="77777777" w:rsidR="00342D08" w:rsidRPr="003024AA" w:rsidRDefault="00342D08">
            <w:pPr>
              <w:pStyle w:val="Tabletext9"/>
              <w:spacing w:before="40" w:after="80" w:line="200" w:lineRule="atLeast"/>
              <w:ind w:left="57" w:right="57"/>
              <w:jc w:val="center"/>
              <w:rPr>
                <w:rFonts w:ascii="Times New Roman" w:hAnsi="Times New Roman"/>
                <w:szCs w:val="18"/>
                <w:lang w:val="fr-FR"/>
              </w:rPr>
            </w:pPr>
            <w:r w:rsidRPr="003024AA">
              <w:rPr>
                <w:rFonts w:ascii="Times New Roman" w:hAnsi="Times New Roman"/>
                <w:szCs w:val="18"/>
                <w:lang w:val="fr-FR"/>
              </w:rPr>
              <w:t>Le point de pression de rupture de l’échantillon représentatif doit être au-dessus de la limite inférieure de l’intervalle de tolérance indiquée sur le Tableau de Performance des Echantillons</w:t>
            </w:r>
          </w:p>
          <w:p w14:paraId="5D9B7448" w14:textId="77777777" w:rsidR="00342D08" w:rsidRPr="003024AA" w:rsidRDefault="00342D08">
            <w:pPr>
              <w:spacing w:before="40" w:after="80" w:line="200" w:lineRule="atLeast"/>
              <w:ind w:left="57" w:right="57"/>
              <w:jc w:val="center"/>
              <w:rPr>
                <w:sz w:val="18"/>
                <w:szCs w:val="18"/>
                <w:lang w:val="fr-FR"/>
              </w:rPr>
            </w:pPr>
            <w:r w:rsidRPr="003024AA">
              <w:rPr>
                <w:sz w:val="18"/>
                <w:szCs w:val="18"/>
                <w:lang w:val="fr-FR"/>
              </w:rPr>
              <w:br/>
              <w:t>Ω</w:t>
            </w:r>
            <w:r w:rsidRPr="003024AA">
              <w:rPr>
                <w:sz w:val="18"/>
                <w:szCs w:val="18"/>
                <w:vertAlign w:val="subscript"/>
                <w:lang w:val="fr-FR"/>
              </w:rPr>
              <w:t>m</w:t>
            </w:r>
            <w:r w:rsidRPr="003024AA">
              <w:rPr>
                <w:sz w:val="18"/>
                <w:szCs w:val="18"/>
                <w:lang w:val="fr-FR"/>
              </w:rPr>
              <w:t xml:space="preserve"> ≥ 1 + Ω</w:t>
            </w:r>
            <w:r w:rsidRPr="003024AA">
              <w:rPr>
                <w:sz w:val="18"/>
                <w:szCs w:val="18"/>
                <w:vertAlign w:val="subscript"/>
                <w:lang w:val="fr-FR"/>
              </w:rPr>
              <w:t>s</w:t>
            </w:r>
            <w:r w:rsidRPr="003024AA">
              <w:rPr>
                <w:sz w:val="18"/>
                <w:szCs w:val="18"/>
                <w:lang w:val="fr-FR"/>
              </w:rPr>
              <w:t xml:space="preserve"> × k3 (n;p;1-α) </w:t>
            </w:r>
            <w:r w:rsidRPr="003024AA">
              <w:rPr>
                <w:b/>
                <w:szCs w:val="18"/>
                <w:vertAlign w:val="superscript"/>
                <w:lang w:val="fr-FR"/>
              </w:rPr>
              <w:t>a</w:t>
            </w:r>
            <w:r w:rsidRPr="003024AA">
              <w:rPr>
                <w:sz w:val="18"/>
                <w:szCs w:val="18"/>
                <w:lang w:val="fr-FR"/>
              </w:rPr>
              <w:br/>
            </w:r>
          </w:p>
          <w:p w14:paraId="2FC8DD34" w14:textId="77777777" w:rsidR="00342D08" w:rsidRPr="003024AA" w:rsidRDefault="00342D08">
            <w:pPr>
              <w:spacing w:before="40" w:after="80" w:line="200" w:lineRule="atLeast"/>
              <w:ind w:left="57" w:right="57"/>
              <w:jc w:val="center"/>
              <w:rPr>
                <w:sz w:val="18"/>
                <w:szCs w:val="18"/>
                <w:lang w:val="fr-FR"/>
              </w:rPr>
            </w:pPr>
            <w:r w:rsidRPr="003024AA">
              <w:rPr>
                <w:szCs w:val="18"/>
                <w:lang w:val="fr-FR"/>
              </w:rPr>
              <w:t>Aucun résultat individuel ne doit être inférieur à la pression d’épreuve</w:t>
            </w:r>
          </w:p>
        </w:tc>
        <w:tc>
          <w:tcPr>
            <w:tcW w:w="1993" w:type="dxa"/>
            <w:tcBorders>
              <w:top w:val="single" w:sz="6" w:space="0" w:color="auto"/>
              <w:left w:val="single" w:sz="6" w:space="0" w:color="auto"/>
              <w:bottom w:val="nil"/>
              <w:right w:val="single" w:sz="6" w:space="0" w:color="auto"/>
            </w:tcBorders>
            <w:hideMark/>
          </w:tcPr>
          <w:p w14:paraId="47DACEB6" w14:textId="77777777" w:rsidR="00342D08" w:rsidRPr="003024AA" w:rsidRDefault="00342D08">
            <w:pPr>
              <w:spacing w:before="40" w:after="80" w:line="200" w:lineRule="atLeast"/>
              <w:ind w:left="57" w:right="57"/>
              <w:jc w:val="center"/>
              <w:rPr>
                <w:sz w:val="18"/>
                <w:szCs w:val="18"/>
                <w:lang w:val="fr-FR"/>
              </w:rPr>
            </w:pPr>
            <w:r w:rsidRPr="003024AA">
              <w:rPr>
                <w:position w:val="-10"/>
                <w:szCs w:val="18"/>
                <w:lang w:val="fr-FR"/>
              </w:rPr>
              <w:object w:dxaOrig="480" w:dyaOrig="360" w14:anchorId="0B7204FD">
                <v:shape id="_x0000_i1028" type="#_x0000_t75" style="width:25.65pt;height:20.75pt" o:ole="">
                  <v:imagedata r:id="rId24" o:title=""/>
                </v:shape>
                <o:OLEObject Type="Embed" ProgID="Equation.3" ShapeID="_x0000_i1028" DrawAspect="Content" ObjectID="_1581925885" r:id="rId25"/>
              </w:object>
            </w:r>
            <w:r w:rsidRPr="003024AA">
              <w:rPr>
                <w:sz w:val="18"/>
                <w:szCs w:val="18"/>
                <w:lang w:val="fr-FR"/>
              </w:rPr>
              <w:t xml:space="preserve"> ou Q/100 la valeur la plus petite étant retenue </w:t>
            </w:r>
            <w:r w:rsidRPr="003024AA">
              <w:rPr>
                <w:sz w:val="18"/>
                <w:szCs w:val="18"/>
                <w:lang w:val="fr-FR"/>
              </w:rPr>
              <w:br/>
              <w:t xml:space="preserve">et </w:t>
            </w:r>
            <w:r w:rsidRPr="003024AA">
              <w:rPr>
                <w:sz w:val="18"/>
                <w:szCs w:val="18"/>
                <w:lang w:val="fr-FR"/>
              </w:rPr>
              <w:br/>
              <w:t>un minimum de 40 par sous-groupe (Q)</w:t>
            </w:r>
          </w:p>
        </w:tc>
      </w:tr>
      <w:tr w:rsidR="00342D08" w:rsidRPr="003024AA" w14:paraId="3B68BC95" w14:textId="77777777" w:rsidTr="00342D08">
        <w:trPr>
          <w:cantSplit/>
          <w:trHeight w:val="20"/>
        </w:trPr>
        <w:tc>
          <w:tcPr>
            <w:tcW w:w="1124" w:type="dxa"/>
            <w:vMerge/>
            <w:tcBorders>
              <w:top w:val="single" w:sz="6" w:space="0" w:color="auto"/>
              <w:left w:val="single" w:sz="12" w:space="0" w:color="auto"/>
              <w:bottom w:val="single" w:sz="6" w:space="0" w:color="auto"/>
              <w:right w:val="single" w:sz="6" w:space="0" w:color="auto"/>
            </w:tcBorders>
            <w:vAlign w:val="center"/>
            <w:hideMark/>
          </w:tcPr>
          <w:p w14:paraId="11E204F7" w14:textId="77777777" w:rsidR="00342D08" w:rsidRPr="003024AA"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14:paraId="26E5444F"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 xml:space="preserve">Pelage et corrosion </w:t>
            </w:r>
          </w:p>
        </w:tc>
        <w:tc>
          <w:tcPr>
            <w:tcW w:w="1566" w:type="dxa"/>
            <w:tcBorders>
              <w:top w:val="single" w:sz="6" w:space="0" w:color="auto"/>
              <w:left w:val="single" w:sz="6" w:space="0" w:color="auto"/>
              <w:bottom w:val="single" w:sz="6" w:space="0" w:color="auto"/>
              <w:right w:val="single" w:sz="6" w:space="0" w:color="auto"/>
            </w:tcBorders>
            <w:hideMark/>
          </w:tcPr>
          <w:p w14:paraId="447A569A"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lang w:val="fr-FR"/>
              </w:rPr>
              <w:t>EN ISO 4628-3:2016</w:t>
            </w:r>
          </w:p>
        </w:tc>
        <w:tc>
          <w:tcPr>
            <w:tcW w:w="3560" w:type="dxa"/>
            <w:tcBorders>
              <w:top w:val="single" w:sz="6" w:space="0" w:color="auto"/>
              <w:left w:val="single" w:sz="6" w:space="0" w:color="auto"/>
              <w:bottom w:val="single" w:sz="6" w:space="0" w:color="auto"/>
              <w:right w:val="single" w:sz="6" w:space="0" w:color="auto"/>
            </w:tcBorders>
            <w:hideMark/>
          </w:tcPr>
          <w:p w14:paraId="24592BDC" w14:textId="77777777" w:rsidR="00342D08" w:rsidRPr="003024AA" w:rsidRDefault="00342D08">
            <w:pPr>
              <w:spacing w:before="40" w:after="80" w:line="200" w:lineRule="atLeast"/>
              <w:ind w:left="57" w:right="57"/>
              <w:jc w:val="center"/>
              <w:rPr>
                <w:sz w:val="18"/>
                <w:szCs w:val="18"/>
                <w:lang w:val="fr-FR"/>
              </w:rPr>
            </w:pPr>
            <w:r w:rsidRPr="003024AA">
              <w:rPr>
                <w:sz w:val="18"/>
                <w:szCs w:val="18"/>
                <w:lang w:val="fr-FR"/>
              </w:rPr>
              <w:t>Degré de corrosion max :</w:t>
            </w:r>
            <w:r w:rsidRPr="003024AA">
              <w:rPr>
                <w:sz w:val="18"/>
                <w:szCs w:val="18"/>
                <w:lang w:val="fr-FR"/>
              </w:rPr>
              <w:br/>
              <w:t>Ri2</w:t>
            </w:r>
          </w:p>
        </w:tc>
        <w:tc>
          <w:tcPr>
            <w:tcW w:w="1993" w:type="dxa"/>
            <w:tcBorders>
              <w:top w:val="single" w:sz="6" w:space="0" w:color="auto"/>
              <w:left w:val="single" w:sz="6" w:space="0" w:color="auto"/>
              <w:bottom w:val="single" w:sz="6" w:space="0" w:color="auto"/>
              <w:right w:val="single" w:sz="6" w:space="0" w:color="auto"/>
            </w:tcBorders>
            <w:hideMark/>
          </w:tcPr>
          <w:p w14:paraId="0BF46F91" w14:textId="77777777" w:rsidR="00342D08" w:rsidRPr="003024AA" w:rsidRDefault="00342D08">
            <w:pPr>
              <w:spacing w:before="40" w:after="80" w:line="200" w:lineRule="atLeast"/>
              <w:ind w:left="57" w:right="57"/>
              <w:jc w:val="center"/>
              <w:rPr>
                <w:sz w:val="18"/>
                <w:szCs w:val="18"/>
                <w:lang w:val="fr-FR"/>
              </w:rPr>
            </w:pPr>
            <w:r w:rsidRPr="003024AA">
              <w:rPr>
                <w:sz w:val="18"/>
                <w:szCs w:val="18"/>
                <w:lang w:val="fr-FR"/>
              </w:rPr>
              <w:t>Q/1 000</w:t>
            </w:r>
          </w:p>
        </w:tc>
      </w:tr>
      <w:tr w:rsidR="00342D08" w:rsidRPr="003024AA" w14:paraId="3F516449" w14:textId="77777777" w:rsidTr="00342D08">
        <w:trPr>
          <w:cantSplit/>
          <w:trHeight w:val="20"/>
        </w:trPr>
        <w:tc>
          <w:tcPr>
            <w:tcW w:w="1124" w:type="dxa"/>
            <w:vMerge/>
            <w:tcBorders>
              <w:top w:val="single" w:sz="6" w:space="0" w:color="auto"/>
              <w:left w:val="single" w:sz="12" w:space="0" w:color="auto"/>
              <w:bottom w:val="single" w:sz="6" w:space="0" w:color="auto"/>
              <w:right w:val="single" w:sz="6" w:space="0" w:color="auto"/>
            </w:tcBorders>
            <w:vAlign w:val="center"/>
            <w:hideMark/>
          </w:tcPr>
          <w:p w14:paraId="3C176EBB" w14:textId="77777777" w:rsidR="00342D08" w:rsidRPr="003024AA"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14:paraId="69FFC42A"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Adhérence du polyuréthane</w:t>
            </w:r>
          </w:p>
        </w:tc>
        <w:tc>
          <w:tcPr>
            <w:tcW w:w="1566" w:type="dxa"/>
            <w:tcBorders>
              <w:top w:val="single" w:sz="6" w:space="0" w:color="auto"/>
              <w:left w:val="single" w:sz="6" w:space="0" w:color="auto"/>
              <w:bottom w:val="single" w:sz="6" w:space="0" w:color="auto"/>
              <w:right w:val="single" w:sz="6" w:space="0" w:color="auto"/>
            </w:tcBorders>
            <w:hideMark/>
          </w:tcPr>
          <w:p w14:paraId="14155CFF" w14:textId="77777777" w:rsidR="00342D08" w:rsidRPr="003024AA" w:rsidRDefault="00342D08">
            <w:pPr>
              <w:pStyle w:val="Tabletext9"/>
              <w:spacing w:before="0" w:after="0" w:line="240" w:lineRule="auto"/>
              <w:ind w:left="57" w:right="57"/>
              <w:jc w:val="left"/>
              <w:rPr>
                <w:rFonts w:ascii="Times New Roman" w:hAnsi="Times New Roman"/>
                <w:szCs w:val="18"/>
                <w:lang w:val="fr-FR"/>
              </w:rPr>
            </w:pPr>
            <w:r w:rsidRPr="003024AA">
              <w:rPr>
                <w:rFonts w:ascii="Times New Roman" w:hAnsi="Times New Roman"/>
                <w:szCs w:val="18"/>
                <w:lang w:val="fr-FR"/>
              </w:rPr>
              <w:t>ISO 2859-1:1999 + A1:2011</w:t>
            </w:r>
          </w:p>
          <w:p w14:paraId="129D5F08" w14:textId="77777777" w:rsidR="00342D08" w:rsidRPr="003024AA" w:rsidRDefault="00342D08">
            <w:pPr>
              <w:pStyle w:val="Tabletext9"/>
              <w:spacing w:before="0" w:after="0" w:line="240" w:lineRule="auto"/>
              <w:ind w:left="57" w:right="57"/>
              <w:jc w:val="left"/>
              <w:rPr>
                <w:rFonts w:ascii="Times New Roman" w:hAnsi="Times New Roman"/>
                <w:szCs w:val="18"/>
                <w:lang w:val="fr-FR"/>
              </w:rPr>
            </w:pPr>
            <w:r w:rsidRPr="003024AA">
              <w:rPr>
                <w:rFonts w:ascii="Times New Roman" w:hAnsi="Times New Roman"/>
                <w:szCs w:val="18"/>
                <w:lang w:val="fr-FR"/>
              </w:rPr>
              <w:t>EN 1442:2017</w:t>
            </w:r>
          </w:p>
          <w:p w14:paraId="3A5378D1" w14:textId="77777777" w:rsidR="00342D08" w:rsidRPr="003024AA" w:rsidRDefault="00342D08">
            <w:pPr>
              <w:pStyle w:val="Tabletext9"/>
              <w:spacing w:before="40" w:after="80" w:line="200" w:lineRule="atLeast"/>
              <w:ind w:left="57" w:right="57"/>
              <w:jc w:val="left"/>
              <w:rPr>
                <w:rFonts w:ascii="Times New Roman" w:hAnsi="Times New Roman"/>
                <w:szCs w:val="18"/>
                <w:lang w:val="fr-FR"/>
              </w:rPr>
            </w:pPr>
            <w:r w:rsidRPr="003024AA">
              <w:rPr>
                <w:rFonts w:ascii="Times New Roman" w:hAnsi="Times New Roman"/>
                <w:szCs w:val="18"/>
                <w:lang w:val="fr-FR"/>
              </w:rPr>
              <w:t>EN 14140:2014 + AC:2015</w:t>
            </w:r>
          </w:p>
        </w:tc>
        <w:tc>
          <w:tcPr>
            <w:tcW w:w="3560" w:type="dxa"/>
            <w:tcBorders>
              <w:top w:val="single" w:sz="6" w:space="0" w:color="auto"/>
              <w:left w:val="single" w:sz="6" w:space="0" w:color="auto"/>
              <w:bottom w:val="single" w:sz="6" w:space="0" w:color="auto"/>
              <w:right w:val="single" w:sz="6" w:space="0" w:color="auto"/>
            </w:tcBorders>
            <w:hideMark/>
          </w:tcPr>
          <w:p w14:paraId="2F4ECBA2" w14:textId="77777777" w:rsidR="00342D08" w:rsidRPr="003024AA" w:rsidRDefault="00342D08">
            <w:pPr>
              <w:spacing w:before="40" w:after="80" w:line="200" w:lineRule="atLeast"/>
              <w:ind w:left="57" w:right="57"/>
              <w:jc w:val="center"/>
              <w:rPr>
                <w:sz w:val="18"/>
                <w:szCs w:val="18"/>
                <w:lang w:val="fr-FR"/>
              </w:rPr>
            </w:pPr>
            <w:r w:rsidRPr="003024AA">
              <w:rPr>
                <w:sz w:val="18"/>
                <w:szCs w:val="18"/>
                <w:lang w:val="fr-FR"/>
              </w:rPr>
              <w:t>Valeur d’adhérence &gt; 0,5 N/mm</w:t>
            </w:r>
            <w:r w:rsidRPr="003024AA">
              <w:rPr>
                <w:sz w:val="18"/>
                <w:szCs w:val="18"/>
                <w:vertAlign w:val="superscript"/>
                <w:lang w:val="fr-FR"/>
              </w:rPr>
              <w:t>2</w:t>
            </w:r>
          </w:p>
        </w:tc>
        <w:tc>
          <w:tcPr>
            <w:tcW w:w="1993" w:type="dxa"/>
            <w:tcBorders>
              <w:top w:val="single" w:sz="6" w:space="0" w:color="auto"/>
              <w:left w:val="single" w:sz="6" w:space="0" w:color="auto"/>
              <w:bottom w:val="single" w:sz="6" w:space="0" w:color="auto"/>
              <w:right w:val="single" w:sz="6" w:space="0" w:color="auto"/>
            </w:tcBorders>
            <w:hideMark/>
          </w:tcPr>
          <w:p w14:paraId="7CE6DA4B" w14:textId="77777777" w:rsidR="00342D08" w:rsidRPr="003024AA" w:rsidRDefault="00342D08">
            <w:pPr>
              <w:spacing w:before="40" w:after="80" w:line="200" w:lineRule="atLeast"/>
              <w:ind w:left="57" w:right="57"/>
              <w:jc w:val="center"/>
              <w:rPr>
                <w:position w:val="-12"/>
                <w:sz w:val="18"/>
                <w:szCs w:val="18"/>
                <w:lang w:val="fr-FR"/>
              </w:rPr>
            </w:pPr>
            <w:r w:rsidRPr="003024AA">
              <w:rPr>
                <w:sz w:val="18"/>
                <w:szCs w:val="18"/>
                <w:lang w:val="fr-FR"/>
              </w:rPr>
              <w:t>Voir ISO 2859-1:1999 + A1:2011 appliquée à Q/1000</w:t>
            </w:r>
          </w:p>
        </w:tc>
      </w:tr>
    </w:tbl>
    <w:p w14:paraId="308113DF" w14:textId="77777777" w:rsidR="00342D08" w:rsidRPr="003024AA" w:rsidRDefault="00342D08" w:rsidP="00342D08">
      <w:pPr>
        <w:pStyle w:val="SingleTxtG"/>
        <w:spacing w:before="120"/>
        <w:rPr>
          <w:rFonts w:eastAsiaTheme="minorHAnsi"/>
          <w:i/>
          <w:lang w:val="fr-FR"/>
        </w:rPr>
      </w:pPr>
      <w:r w:rsidRPr="003024AA">
        <w:rPr>
          <w:b/>
          <w:szCs w:val="18"/>
          <w:vertAlign w:val="superscript"/>
          <w:lang w:val="fr-FR"/>
        </w:rPr>
        <w:t>a</w:t>
      </w:r>
      <w:r w:rsidRPr="003024AA">
        <w:rPr>
          <w:lang w:val="fr-FR"/>
        </w:rPr>
        <w:t xml:space="preserve"> </w:t>
      </w:r>
      <w:r w:rsidRPr="003024AA">
        <w:rPr>
          <w:lang w:val="fr-FR"/>
        </w:rPr>
        <w:tab/>
      </w:r>
      <w:r w:rsidRPr="003024AA">
        <w:rPr>
          <w:i/>
          <w:lang w:val="fr-FR"/>
        </w:rPr>
        <w:t>Le point de pression de rupture (BPP) de l’échantillon représentatif est utilisé pour l’évaluation des résultats de test au moyen d’un Tableau de Performance des Echantillons :</w:t>
      </w:r>
    </w:p>
    <w:p w14:paraId="62E41333" w14:textId="77777777" w:rsidR="00342D08" w:rsidRPr="003024AA" w:rsidRDefault="00342D08" w:rsidP="00342D08">
      <w:pPr>
        <w:pStyle w:val="SingleTxtG"/>
        <w:keepNext/>
        <w:rPr>
          <w:i/>
          <w:spacing w:val="-1"/>
          <w:lang w:val="fr-FR"/>
        </w:rPr>
      </w:pPr>
      <w:r w:rsidRPr="003024AA">
        <w:rPr>
          <w:i/>
          <w:spacing w:val="-1"/>
          <w:lang w:val="fr-FR"/>
        </w:rPr>
        <w:t>Étape 1 : Détermination du point de pression de rupture (BPP) d’un échantillon représentatif</w:t>
      </w:r>
    </w:p>
    <w:p w14:paraId="62C1666A" w14:textId="77777777" w:rsidR="00342D08" w:rsidRPr="003024AA" w:rsidRDefault="00342D08" w:rsidP="00342D08">
      <w:pPr>
        <w:pStyle w:val="SingleTxtG"/>
        <w:rPr>
          <w:i/>
          <w:lang w:val="fr-FR"/>
        </w:rPr>
      </w:pPr>
      <w:r w:rsidRPr="003024AA">
        <w:rPr>
          <w:i/>
          <w:lang w:val="fr-FR"/>
        </w:rPr>
        <w:t>Chaque échantillon est représenté par un point dont les coordonnées sont la valeur moyenne et l’écart type des résultats des essais de rupture de l’échantillon, chacun normalisé par la pression d’épreuve correspondante.</w:t>
      </w:r>
    </w:p>
    <w:p w14:paraId="3082D703" w14:textId="77777777" w:rsidR="00342D08" w:rsidRPr="003024AA" w:rsidRDefault="00342D08" w:rsidP="00342D08">
      <w:pPr>
        <w:spacing w:after="120"/>
        <w:ind w:left="1701" w:right="1134"/>
        <w:jc w:val="center"/>
        <w:rPr>
          <w:i/>
          <w:lang w:val="fr-FR"/>
        </w:rPr>
      </w:pPr>
      <m:oMathPara>
        <m:oMath>
          <m:r>
            <w:rPr>
              <w:rFonts w:ascii="Cambria Math" w:hAnsi="Cambria Math"/>
              <w:lang w:val="fr-FR"/>
            </w:rPr>
            <m:t>BPP:(</m:t>
          </m:r>
          <m:sSub>
            <m:sSubPr>
              <m:ctrlPr>
                <w:rPr>
                  <w:rFonts w:ascii="Cambria Math" w:hAnsi="Cambria Math"/>
                  <w:i/>
                  <w:lang w:val="fr-FR"/>
                </w:rPr>
              </m:ctrlPr>
            </m:sSubPr>
            <m:e>
              <m:r>
                <m:rPr>
                  <m:sty m:val="p"/>
                </m:rPr>
                <w:rPr>
                  <w:rFonts w:ascii="Cambria Math" w:hAnsi="Cambria Math"/>
                  <w:position w:val="-4"/>
                  <w:lang w:val="fr-FR"/>
                </w:rPr>
                <w:object w:dxaOrig="255" w:dyaOrig="255" w14:anchorId="30260938">
                  <v:shape id="_x0000_i1030" type="#_x0000_t75" style="width:10.35pt;height:10.35pt" o:ole="">
                    <v:imagedata r:id="rId26" o:title=""/>
                  </v:shape>
                  <o:OLEObject Type="Embed" ProgID="Equation.3" ShapeID="_x0000_i1030" DrawAspect="Content" ObjectID="_1581925886" r:id="rId27"/>
                </w:object>
              </m:r>
            </m:e>
            <m:sub>
              <m:r>
                <w:rPr>
                  <w:rFonts w:ascii="Cambria Math" w:hAnsi="Cambria Math"/>
                  <w:lang w:val="fr-FR"/>
                </w:rPr>
                <m:t>s</m:t>
              </m:r>
            </m:sub>
          </m:sSub>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s</m:t>
              </m:r>
            </m:num>
            <m:den>
              <m:r>
                <w:rPr>
                  <w:rFonts w:ascii="Cambria Math" w:hAnsi="Cambria Math"/>
                  <w:lang w:val="fr-FR"/>
                </w:rPr>
                <m:t>PH</m:t>
              </m:r>
            </m:den>
          </m:f>
          <m:r>
            <w:rPr>
              <w:rFonts w:ascii="Cambria Math" w:hAnsi="Cambria Math"/>
              <w:lang w:val="fr-FR"/>
            </w:rPr>
            <m:t xml:space="preserve"> ; </m:t>
          </m:r>
          <m:sSub>
            <m:sSubPr>
              <m:ctrlPr>
                <w:rPr>
                  <w:rFonts w:ascii="Cambria Math" w:hAnsi="Cambria Math"/>
                  <w:i/>
                  <w:lang w:val="fr-FR"/>
                </w:rPr>
              </m:ctrlPr>
            </m:sSubPr>
            <m:e>
              <m:r>
                <m:rPr>
                  <m:sty m:val="p"/>
                </m:rPr>
                <w:rPr>
                  <w:rFonts w:ascii="Cambria Math" w:hAnsi="Cambria Math"/>
                  <w:position w:val="-4"/>
                  <w:lang w:val="fr-FR"/>
                </w:rPr>
                <w:object w:dxaOrig="255" w:dyaOrig="255" w14:anchorId="5AB61101">
                  <v:shape id="_x0000_i1032" type="#_x0000_t75" style="width:10.35pt;height:10.35pt" o:ole="">
                    <v:imagedata r:id="rId26" o:title=""/>
                  </v:shape>
                  <o:OLEObject Type="Embed" ProgID="Equation.3" ShapeID="_x0000_i1032" DrawAspect="Content" ObjectID="_1581925887" r:id="rId28"/>
                </w:object>
              </m:r>
            </m:e>
            <m:sub>
              <m:r>
                <w:rPr>
                  <w:rFonts w:ascii="Cambria Math" w:hAnsi="Cambria Math"/>
                  <w:lang w:val="fr-FR"/>
                </w:rPr>
                <m:t>m</m:t>
              </m:r>
            </m:sub>
          </m:sSub>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x</m:t>
              </m:r>
            </m:num>
            <m:den>
              <m:r>
                <w:rPr>
                  <w:rFonts w:ascii="Cambria Math" w:hAnsi="Cambria Math"/>
                  <w:lang w:val="fr-FR"/>
                </w:rPr>
                <m:t>PH</m:t>
              </m:r>
            </m:den>
          </m:f>
          <m:r>
            <w:rPr>
              <w:rFonts w:ascii="Cambria Math" w:hAnsi="Cambria Math"/>
              <w:lang w:val="fr-FR"/>
            </w:rPr>
            <m:t xml:space="preserve"> )</m:t>
          </m:r>
        </m:oMath>
      </m:oMathPara>
    </w:p>
    <w:p w14:paraId="267F5426" w14:textId="77777777" w:rsidR="00342D08" w:rsidRPr="003024AA" w:rsidRDefault="00342D08" w:rsidP="00342D08">
      <w:pPr>
        <w:pStyle w:val="SingleTxtG"/>
        <w:rPr>
          <w:i/>
          <w:lang w:val="fr-FR"/>
        </w:rPr>
      </w:pPr>
      <w:r w:rsidRPr="003024AA">
        <w:rPr>
          <w:i/>
          <w:lang w:val="fr-FR"/>
        </w:rPr>
        <w:t>où</w:t>
      </w:r>
    </w:p>
    <w:p w14:paraId="7DCC0945" w14:textId="77777777" w:rsidR="00342D08" w:rsidRPr="003024AA" w:rsidRDefault="00342D08" w:rsidP="00342D08">
      <w:pPr>
        <w:pStyle w:val="SingleTxtG"/>
        <w:rPr>
          <w:i/>
          <w:lang w:val="fr-FR"/>
        </w:rPr>
      </w:pPr>
      <w:r w:rsidRPr="003024AA">
        <w:rPr>
          <w:i/>
          <w:lang w:val="fr-FR"/>
        </w:rPr>
        <w:t>x : valeur moyenne de l’échantillon ;</w:t>
      </w:r>
    </w:p>
    <w:p w14:paraId="178CA99C" w14:textId="77777777" w:rsidR="00342D08" w:rsidRPr="003024AA" w:rsidRDefault="00342D08" w:rsidP="00342D08">
      <w:pPr>
        <w:pStyle w:val="SingleTxtG"/>
        <w:rPr>
          <w:i/>
          <w:lang w:val="fr-FR"/>
        </w:rPr>
      </w:pPr>
      <w:r w:rsidRPr="003024AA">
        <w:rPr>
          <w:i/>
          <w:lang w:val="fr-FR"/>
        </w:rPr>
        <w:t>s : écart type de l’échantillon ;</w:t>
      </w:r>
    </w:p>
    <w:p w14:paraId="0A537DCC" w14:textId="77777777" w:rsidR="00342D08" w:rsidRPr="003024AA" w:rsidRDefault="00342D08" w:rsidP="00342D08">
      <w:pPr>
        <w:pStyle w:val="SingleTxtG"/>
        <w:rPr>
          <w:i/>
          <w:lang w:val="fr-FR"/>
        </w:rPr>
      </w:pPr>
      <w:r w:rsidRPr="003024AA">
        <w:rPr>
          <w:i/>
          <w:lang w:val="fr-FR"/>
        </w:rPr>
        <w:t>PH : Pression d’épreuve.</w:t>
      </w:r>
    </w:p>
    <w:p w14:paraId="400DB075" w14:textId="77777777" w:rsidR="00342D08" w:rsidRPr="003024AA" w:rsidRDefault="00342D08" w:rsidP="00342D08">
      <w:pPr>
        <w:pStyle w:val="SingleTxtG"/>
        <w:keepNext/>
        <w:rPr>
          <w:i/>
          <w:lang w:val="fr-FR"/>
        </w:rPr>
      </w:pPr>
      <w:r w:rsidRPr="003024AA">
        <w:rPr>
          <w:i/>
          <w:lang w:val="fr-FR"/>
        </w:rPr>
        <w:lastRenderedPageBreak/>
        <w:t>Étape 2 : Tracé sur un Tableau de Performance des Echantillons</w:t>
      </w:r>
    </w:p>
    <w:p w14:paraId="68375EEE" w14:textId="77777777" w:rsidR="00342D08" w:rsidRPr="003024AA" w:rsidRDefault="00342D08" w:rsidP="00342D08">
      <w:pPr>
        <w:pStyle w:val="SingleTxtG"/>
        <w:keepNext/>
        <w:rPr>
          <w:i/>
          <w:lang w:val="fr-FR"/>
        </w:rPr>
      </w:pPr>
      <w:r w:rsidRPr="003024AA">
        <w:rPr>
          <w:i/>
          <w:lang w:val="fr-FR"/>
        </w:rPr>
        <w:t>Chaque point de pression de rupture est porté sur un Tableau de Performance des Echantillons avec les axes suivants :</w:t>
      </w:r>
    </w:p>
    <w:p w14:paraId="2F41B5EA" w14:textId="77777777" w:rsidR="00342D08" w:rsidRPr="003024AA" w:rsidRDefault="00342D08" w:rsidP="00342D08">
      <w:pPr>
        <w:pStyle w:val="SingleTxtG"/>
        <w:rPr>
          <w:i/>
          <w:lang w:val="fr-FR"/>
        </w:rPr>
      </w:pPr>
      <w:r w:rsidRPr="003024AA">
        <w:rPr>
          <w:lang w:val="fr-FR"/>
        </w:rPr>
        <w:t>-</w:t>
      </w:r>
      <w:r w:rsidRPr="003024AA">
        <w:rPr>
          <w:lang w:val="fr-FR"/>
        </w:rPr>
        <w:tab/>
      </w:r>
      <w:r w:rsidRPr="003024AA">
        <w:rPr>
          <w:i/>
          <w:lang w:val="fr-FR"/>
        </w:rPr>
        <w:t>Abscisse : écart type normalisé par la pression d’épreuve (Ω</w:t>
      </w:r>
      <w:r w:rsidRPr="003024AA">
        <w:rPr>
          <w:i/>
          <w:vertAlign w:val="subscript"/>
          <w:lang w:val="fr-FR"/>
        </w:rPr>
        <w:t>s</w:t>
      </w:r>
      <w:r w:rsidRPr="003024AA">
        <w:rPr>
          <w:i/>
          <w:lang w:val="fr-FR"/>
        </w:rPr>
        <w:t>) ;</w:t>
      </w:r>
    </w:p>
    <w:p w14:paraId="06ECA99A" w14:textId="77777777" w:rsidR="00342D08" w:rsidRPr="003024AA" w:rsidRDefault="00342D08" w:rsidP="00342D08">
      <w:pPr>
        <w:pStyle w:val="SingleTxtG"/>
        <w:rPr>
          <w:i/>
          <w:lang w:val="fr-FR"/>
        </w:rPr>
      </w:pPr>
      <w:r w:rsidRPr="003024AA">
        <w:rPr>
          <w:lang w:val="fr-FR"/>
        </w:rPr>
        <w:t>-</w:t>
      </w:r>
      <w:r w:rsidRPr="003024AA">
        <w:rPr>
          <w:lang w:val="fr-FR"/>
        </w:rPr>
        <w:tab/>
      </w:r>
      <w:r w:rsidRPr="003024AA">
        <w:rPr>
          <w:i/>
          <w:lang w:val="fr-FR"/>
        </w:rPr>
        <w:t>Ordonnée : moyenne normalisé par la pression d’épreuve (Ω</w:t>
      </w:r>
      <w:r w:rsidRPr="003024AA">
        <w:rPr>
          <w:i/>
          <w:vertAlign w:val="subscript"/>
          <w:lang w:val="fr-FR"/>
        </w:rPr>
        <w:t>m</w:t>
      </w:r>
      <w:r w:rsidRPr="003024AA">
        <w:rPr>
          <w:i/>
          <w:lang w:val="fr-FR"/>
        </w:rPr>
        <w:t>).</w:t>
      </w:r>
    </w:p>
    <w:p w14:paraId="40333962" w14:textId="77777777" w:rsidR="00342D08" w:rsidRPr="003024AA" w:rsidRDefault="00342D08" w:rsidP="00342D08">
      <w:pPr>
        <w:pStyle w:val="SingleTxtG"/>
        <w:keepNext/>
        <w:rPr>
          <w:i/>
          <w:lang w:val="fr-FR"/>
        </w:rPr>
      </w:pPr>
      <w:r w:rsidRPr="003024AA">
        <w:rPr>
          <w:i/>
          <w:lang w:val="fr-FR"/>
        </w:rPr>
        <w:t>Étape 3 : Détermination de la limite inférieure de l’intervalle de tolérance appropriée dans le Tableau de Performance des Echantillons</w:t>
      </w:r>
    </w:p>
    <w:p w14:paraId="082D4689" w14:textId="77777777" w:rsidR="00342D08" w:rsidRPr="003024AA" w:rsidRDefault="00342D08" w:rsidP="00342D08">
      <w:pPr>
        <w:pStyle w:val="SingleTxtG"/>
        <w:rPr>
          <w:i/>
          <w:lang w:val="fr-FR"/>
        </w:rPr>
      </w:pPr>
      <w:r w:rsidRPr="003024AA">
        <w:rPr>
          <w:i/>
          <w:lang w:val="fr-FR"/>
        </w:rPr>
        <w:t>Les résultats concernant la pression de rupture doivent d’abord être contrôlés conformément au Essai conjoint (essai multidirectionnel) en utilisant un niveau de signification α = 0,05 (voir le paragraphe 7 de la norme ISO 5479:1997) afin de déterminer si la distribution des résultats pour chaque échantillon est normale ou non-normale.</w:t>
      </w:r>
    </w:p>
    <w:p w14:paraId="4BF7B8C1" w14:textId="77777777" w:rsidR="00342D08" w:rsidRPr="003024AA" w:rsidRDefault="00342D08" w:rsidP="00342D08">
      <w:pPr>
        <w:pStyle w:val="SingleTxtG"/>
        <w:rPr>
          <w:i/>
          <w:lang w:val="fr-FR"/>
        </w:rPr>
      </w:pPr>
      <w:r w:rsidRPr="003024AA">
        <w:rPr>
          <w:lang w:val="fr-FR"/>
        </w:rPr>
        <w:t>-</w:t>
      </w:r>
      <w:r w:rsidRPr="003024AA">
        <w:rPr>
          <w:lang w:val="fr-FR"/>
        </w:rPr>
        <w:tab/>
      </w:r>
      <w:r w:rsidRPr="003024AA">
        <w:rPr>
          <w:i/>
          <w:lang w:val="fr-FR"/>
        </w:rPr>
        <w:t>Pour une distribution normale, le moyen de déterminer la limite inférieure de l’intervalle de tolérance est expliqué à l’étape 3.1.</w:t>
      </w:r>
    </w:p>
    <w:p w14:paraId="7977ACC9" w14:textId="77777777" w:rsidR="00342D08" w:rsidRPr="003024AA" w:rsidRDefault="00342D08" w:rsidP="00342D08">
      <w:pPr>
        <w:pStyle w:val="SingleTxtG"/>
        <w:rPr>
          <w:i/>
          <w:lang w:val="fr-FR"/>
        </w:rPr>
      </w:pPr>
      <w:r w:rsidRPr="003024AA">
        <w:rPr>
          <w:lang w:val="fr-FR"/>
        </w:rPr>
        <w:t>-</w:t>
      </w:r>
      <w:r w:rsidRPr="003024AA">
        <w:rPr>
          <w:lang w:val="fr-FR"/>
        </w:rPr>
        <w:tab/>
      </w:r>
      <w:r w:rsidRPr="003024AA">
        <w:rPr>
          <w:i/>
          <w:lang w:val="fr-FR"/>
        </w:rPr>
        <w:t>Pour une distribution non-normale, le moyen de déterminer la limite inférieure de l’intervalle de tolérance est expliqué à l’étape 3.2.</w:t>
      </w:r>
    </w:p>
    <w:p w14:paraId="7F2C91B4" w14:textId="77777777" w:rsidR="00342D08" w:rsidRPr="003024AA" w:rsidRDefault="00342D08" w:rsidP="00342D08">
      <w:pPr>
        <w:pStyle w:val="SingleTxtG"/>
        <w:rPr>
          <w:i/>
          <w:lang w:val="fr-FR"/>
        </w:rPr>
      </w:pPr>
      <w:r w:rsidRPr="003024AA">
        <w:rPr>
          <w:i/>
          <w:lang w:val="fr-FR"/>
        </w:rPr>
        <w:t>Étape 3.1 : Limite inférieure de l’intervalle de tolérance pour les résultats respectant une distribution normale</w:t>
      </w:r>
    </w:p>
    <w:p w14:paraId="6BDE9BCD" w14:textId="77777777" w:rsidR="00342D08" w:rsidRPr="003024AA" w:rsidRDefault="00342D08" w:rsidP="00342D08">
      <w:pPr>
        <w:pStyle w:val="SingleTxtG"/>
        <w:rPr>
          <w:i/>
          <w:lang w:val="fr-FR"/>
        </w:rPr>
      </w:pPr>
      <w:r w:rsidRPr="003024AA">
        <w:rPr>
          <w:i/>
          <w:lang w:val="fr-FR"/>
        </w:rPr>
        <w:t>Conformément à la norme ISO 16269-6:2014 et en considérant que la variance est inconnue, l’intervalle statistique de tolérance unilatéral doit être considéré pour un niveau de confiance de 95 % et une proportion de la population égale à 99,9999 %.</w:t>
      </w:r>
    </w:p>
    <w:p w14:paraId="560BF996" w14:textId="77777777" w:rsidR="00342D08" w:rsidRPr="003024AA" w:rsidRDefault="00342D08" w:rsidP="00342D08">
      <w:pPr>
        <w:pStyle w:val="SingleTxtG"/>
        <w:rPr>
          <w:i/>
          <w:lang w:val="fr-FR"/>
        </w:rPr>
      </w:pPr>
      <w:r w:rsidRPr="003024AA">
        <w:rPr>
          <w:i/>
          <w:lang w:val="fr-FR"/>
        </w:rPr>
        <w:t>Dans le Tableau de Performance des Echantillons, la limite inférieure de l’intervalle de tolérance est représentée par une ligne de taux de survie constant déterminée par la formule suivante :</w:t>
      </w:r>
    </w:p>
    <w:p w14:paraId="2472E1E9" w14:textId="77777777" w:rsidR="00342D08" w:rsidRPr="003024AA" w:rsidRDefault="00B76415" w:rsidP="00342D08">
      <w:pPr>
        <w:pStyle w:val="SingleTxtG"/>
        <w:rPr>
          <w:i/>
          <w:lang w:val="fr-FR"/>
        </w:rPr>
      </w:pPr>
      <m:oMathPara>
        <m:oMath>
          <m:sSub>
            <m:sSubPr>
              <m:ctrlPr>
                <w:rPr>
                  <w:rFonts w:ascii="Cambria Math" w:hAnsi="Cambria Math"/>
                  <w:i/>
                  <w:lang w:val="fr-FR"/>
                </w:rPr>
              </m:ctrlPr>
            </m:sSubPr>
            <m:e>
              <m:r>
                <m:rPr>
                  <m:sty m:val="p"/>
                </m:rPr>
                <w:rPr>
                  <w:rFonts w:ascii="Cambria Math" w:hAnsi="Cambria Math"/>
                  <w:lang w:val="fr-FR"/>
                </w:rPr>
                <m:t>Ω</m:t>
              </m:r>
            </m:e>
            <m:sub>
              <m:r>
                <w:rPr>
                  <w:rFonts w:ascii="Cambria Math" w:hAnsi="Cambria Math"/>
                  <w:lang w:val="fr-FR"/>
                </w:rPr>
                <m:t>m</m:t>
              </m:r>
            </m:sub>
          </m:sSub>
          <m:r>
            <w:rPr>
              <w:rFonts w:ascii="Cambria Math" w:hAnsi="Cambria Math"/>
              <w:lang w:val="fr-FR"/>
            </w:rPr>
            <m:t xml:space="preserve">=1+ </m:t>
          </m:r>
          <m:sSub>
            <m:sSubPr>
              <m:ctrlPr>
                <w:rPr>
                  <w:rFonts w:ascii="Cambria Math" w:hAnsi="Cambria Math"/>
                  <w:lang w:val="fr-FR"/>
                </w:rPr>
              </m:ctrlPr>
            </m:sSubPr>
            <m:e>
              <m:r>
                <m:rPr>
                  <m:sty m:val="p"/>
                </m:rPr>
                <w:rPr>
                  <w:rFonts w:ascii="Cambria Math" w:hAnsi="Cambria Math"/>
                  <w:lang w:val="fr-FR"/>
                </w:rPr>
                <m:t>Ω</m:t>
              </m:r>
            </m:e>
            <m:sub>
              <m:r>
                <w:rPr>
                  <w:rFonts w:ascii="Cambria Math" w:hAnsi="Cambria Math"/>
                  <w:lang w:val="fr-FR"/>
                </w:rPr>
                <m:t>s</m:t>
              </m:r>
            </m:sub>
          </m:sSub>
          <m:r>
            <w:rPr>
              <w:rFonts w:ascii="Cambria Math" w:hAnsi="Cambria Math"/>
              <w:lang w:val="fr-FR"/>
            </w:rPr>
            <m:t xml:space="preserve"> ×k3 (n;p;1-α )</m:t>
          </m:r>
        </m:oMath>
      </m:oMathPara>
    </w:p>
    <w:p w14:paraId="66516921" w14:textId="77777777" w:rsidR="00342D08" w:rsidRPr="003024AA" w:rsidRDefault="00342D08" w:rsidP="00342D08">
      <w:pPr>
        <w:pStyle w:val="SingleTxtG"/>
        <w:rPr>
          <w:i/>
          <w:lang w:val="fr-FR"/>
        </w:rPr>
      </w:pPr>
      <w:r w:rsidRPr="003024AA">
        <w:rPr>
          <w:i/>
          <w:lang w:val="fr-FR"/>
        </w:rPr>
        <w:t>où</w:t>
      </w:r>
    </w:p>
    <w:p w14:paraId="5C3B0DC0" w14:textId="77777777" w:rsidR="00342D08" w:rsidRPr="003024AA" w:rsidRDefault="00342D08" w:rsidP="00342D08">
      <w:pPr>
        <w:pStyle w:val="SingleTxtG"/>
        <w:rPr>
          <w:i/>
          <w:lang w:val="fr-FR"/>
        </w:rPr>
      </w:pPr>
      <w:r w:rsidRPr="003024AA">
        <w:rPr>
          <w:i/>
          <w:lang w:val="fr-FR"/>
        </w:rPr>
        <w:t xml:space="preserve">k3 : facteur fonction de n, p et 1- α ; </w:t>
      </w:r>
    </w:p>
    <w:p w14:paraId="608B54C4" w14:textId="77777777" w:rsidR="00342D08" w:rsidRPr="003024AA" w:rsidRDefault="00342D08" w:rsidP="00342D08">
      <w:pPr>
        <w:pStyle w:val="SingleTxtG"/>
        <w:rPr>
          <w:i/>
          <w:lang w:val="fr-FR"/>
        </w:rPr>
      </w:pPr>
      <w:r w:rsidRPr="003024AA">
        <w:rPr>
          <w:i/>
          <w:lang w:val="fr-FR"/>
        </w:rPr>
        <w:t>p : proportion de la population choisie pour l’intervalle de tolérance (99,9999 %) ;</w:t>
      </w:r>
    </w:p>
    <w:p w14:paraId="5C3FD11F" w14:textId="77777777" w:rsidR="00342D08" w:rsidRPr="003024AA" w:rsidRDefault="00342D08" w:rsidP="00342D08">
      <w:pPr>
        <w:pStyle w:val="SingleTxtG"/>
        <w:rPr>
          <w:i/>
          <w:lang w:val="fr-FR"/>
        </w:rPr>
      </w:pPr>
      <w:r w:rsidRPr="003024AA">
        <w:rPr>
          <w:i/>
          <w:lang w:val="fr-FR"/>
        </w:rPr>
        <w:t>1- α : niveau de confiance (95 %) ;</w:t>
      </w:r>
    </w:p>
    <w:p w14:paraId="17467E03" w14:textId="77777777" w:rsidR="00342D08" w:rsidRPr="003024AA" w:rsidRDefault="00342D08" w:rsidP="00342D08">
      <w:pPr>
        <w:pStyle w:val="SingleTxtG"/>
        <w:rPr>
          <w:i/>
          <w:lang w:val="fr-FR"/>
        </w:rPr>
      </w:pPr>
      <w:r w:rsidRPr="003024AA">
        <w:rPr>
          <w:i/>
          <w:lang w:val="fr-FR"/>
        </w:rPr>
        <w:t>n : taille de l’échantillon.</w:t>
      </w:r>
    </w:p>
    <w:p w14:paraId="065CF436" w14:textId="77777777" w:rsidR="00342D08" w:rsidRPr="003024AA" w:rsidRDefault="00342D08" w:rsidP="00342D08">
      <w:pPr>
        <w:pStyle w:val="SingleTxtG"/>
        <w:rPr>
          <w:i/>
          <w:lang w:val="fr-FR"/>
        </w:rPr>
      </w:pPr>
      <w:r w:rsidRPr="003024AA">
        <w:rPr>
          <w:i/>
          <w:lang w:val="fr-FR"/>
        </w:rPr>
        <w:t>La valeur de k3 correspondant aux distributions normales est donnée dans le tableau à la fin de l’étape 3.</w:t>
      </w:r>
    </w:p>
    <w:p w14:paraId="37117B28" w14:textId="77777777" w:rsidR="00342D08" w:rsidRPr="003024AA" w:rsidRDefault="00342D08" w:rsidP="00342D08">
      <w:pPr>
        <w:pStyle w:val="SingleTxtG"/>
        <w:rPr>
          <w:i/>
          <w:lang w:val="fr-FR"/>
        </w:rPr>
      </w:pPr>
      <w:r w:rsidRPr="003024AA">
        <w:rPr>
          <w:i/>
          <w:lang w:val="fr-FR"/>
        </w:rPr>
        <w:t>Étape 3.2 : Limite inférieure de l’intervalle de tolérance pour les résultats respectant une distribution non-normale</w:t>
      </w:r>
    </w:p>
    <w:p w14:paraId="34AE8892" w14:textId="77777777" w:rsidR="00342D08" w:rsidRPr="003024AA" w:rsidRDefault="00342D08" w:rsidP="00342D08">
      <w:pPr>
        <w:pStyle w:val="SingleTxtG"/>
        <w:rPr>
          <w:i/>
          <w:lang w:val="fr-FR"/>
        </w:rPr>
      </w:pPr>
      <w:r w:rsidRPr="003024AA">
        <w:rPr>
          <w:i/>
          <w:lang w:val="fr-FR"/>
        </w:rPr>
        <w:t>L’intervalle statistique de tolérance unilatéral doit être calculé pour un niveau de confiance de 95 % et une proportion de la population égale à 99,9999 %.</w:t>
      </w:r>
    </w:p>
    <w:p w14:paraId="26BA171E" w14:textId="77777777" w:rsidR="00342D08" w:rsidRPr="003024AA" w:rsidRDefault="00342D08" w:rsidP="00342D08">
      <w:pPr>
        <w:pStyle w:val="SingleTxtG"/>
        <w:rPr>
          <w:i/>
          <w:lang w:val="fr-FR"/>
        </w:rPr>
      </w:pPr>
      <w:r w:rsidRPr="003024AA">
        <w:rPr>
          <w:i/>
          <w:lang w:val="fr-FR"/>
        </w:rPr>
        <w:t>La limite inférieure de tolérance est représentée par une ligne de taux de survie constant déterminée au moyen de la formule donnée à l’étape 3.1 précédente, où les facteurs k3 sont basés et calculés selon les propriétés d’une distribution de Weibull.</w:t>
      </w:r>
    </w:p>
    <w:p w14:paraId="4C1597B7" w14:textId="77777777" w:rsidR="00342D08" w:rsidRPr="003024AA" w:rsidRDefault="00342D08" w:rsidP="00342D08">
      <w:pPr>
        <w:pStyle w:val="SingleTxtG"/>
        <w:rPr>
          <w:i/>
          <w:lang w:val="fr-FR"/>
        </w:rPr>
      </w:pPr>
      <w:r w:rsidRPr="003024AA">
        <w:rPr>
          <w:i/>
          <w:lang w:val="fr-FR"/>
        </w:rPr>
        <w:t>La valeur de k3 correspondant à une distribution de Weibull est donnée dans le tableau suivant à la fin de l’étape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342D08" w:rsidRPr="003024AA" w14:paraId="48B58229" w14:textId="77777777" w:rsidTr="00342D08">
        <w:trPr>
          <w:tblHeader/>
        </w:trPr>
        <w:tc>
          <w:tcPr>
            <w:tcW w:w="7371" w:type="dxa"/>
            <w:gridSpan w:val="3"/>
            <w:tcBorders>
              <w:top w:val="single" w:sz="4" w:space="0" w:color="auto"/>
              <w:left w:val="single" w:sz="4" w:space="0" w:color="auto"/>
              <w:bottom w:val="single" w:sz="4" w:space="0" w:color="auto"/>
              <w:right w:val="single" w:sz="4" w:space="0" w:color="auto"/>
            </w:tcBorders>
            <w:hideMark/>
          </w:tcPr>
          <w:p w14:paraId="736A1BB2" w14:textId="77777777" w:rsidR="00342D08" w:rsidRPr="003024AA" w:rsidRDefault="00342D08">
            <w:pPr>
              <w:pStyle w:val="SingleTxtG"/>
              <w:ind w:left="0" w:right="141"/>
              <w:jc w:val="center"/>
              <w:rPr>
                <w:i/>
                <w:lang w:val="fr-FR"/>
              </w:rPr>
            </w:pPr>
            <w:r w:rsidRPr="003024AA">
              <w:rPr>
                <w:b/>
                <w:i/>
                <w:sz w:val="18"/>
                <w:szCs w:val="18"/>
                <w:lang w:val="fr-FR"/>
              </w:rPr>
              <w:lastRenderedPageBreak/>
              <w:t>Tableau pour k3</w:t>
            </w:r>
            <w:r w:rsidRPr="003024AA">
              <w:rPr>
                <w:b/>
                <w:i/>
                <w:sz w:val="18"/>
                <w:szCs w:val="18"/>
                <w:lang w:val="fr-FR"/>
              </w:rPr>
              <w:br/>
            </w:r>
            <w:r w:rsidRPr="003024AA">
              <w:rPr>
                <w:i/>
                <w:sz w:val="18"/>
                <w:szCs w:val="18"/>
                <w:lang w:val="fr-FR"/>
              </w:rPr>
              <w:t>p = 99,9999 % et (1-α) = 0,95</w:t>
            </w:r>
          </w:p>
        </w:tc>
      </w:tr>
      <w:tr w:rsidR="00342D08" w:rsidRPr="003024AA" w14:paraId="6C2D7BE1" w14:textId="77777777" w:rsidTr="00342D08">
        <w:trPr>
          <w:tblHeader/>
        </w:trPr>
        <w:tc>
          <w:tcPr>
            <w:tcW w:w="2468" w:type="dxa"/>
            <w:tcBorders>
              <w:top w:val="single" w:sz="4" w:space="0" w:color="auto"/>
              <w:left w:val="single" w:sz="4" w:space="0" w:color="auto"/>
              <w:bottom w:val="single" w:sz="4" w:space="0" w:color="auto"/>
              <w:right w:val="single" w:sz="4" w:space="0" w:color="auto"/>
            </w:tcBorders>
            <w:hideMark/>
          </w:tcPr>
          <w:p w14:paraId="764F3A87" w14:textId="77777777" w:rsidR="00342D08" w:rsidRPr="003024AA" w:rsidRDefault="00342D08">
            <w:pPr>
              <w:pStyle w:val="SingleTxtG"/>
              <w:ind w:left="0" w:right="204"/>
              <w:jc w:val="center"/>
              <w:rPr>
                <w:i/>
                <w:lang w:val="fr-FR"/>
              </w:rPr>
            </w:pPr>
            <w:r w:rsidRPr="003024AA">
              <w:rPr>
                <w:b/>
                <w:i/>
                <w:sz w:val="18"/>
                <w:szCs w:val="18"/>
                <w:lang w:val="fr-FR"/>
              </w:rPr>
              <w:t>Taille de l’échantillon</w:t>
            </w:r>
            <w:r w:rsidRPr="003024AA">
              <w:rPr>
                <w:b/>
                <w:i/>
                <w:sz w:val="18"/>
                <w:szCs w:val="18"/>
                <w:lang w:val="fr-FR"/>
              </w:rPr>
              <w:br/>
              <w:t>n</w:t>
            </w:r>
          </w:p>
        </w:tc>
        <w:tc>
          <w:tcPr>
            <w:tcW w:w="2404" w:type="dxa"/>
            <w:tcBorders>
              <w:top w:val="single" w:sz="4" w:space="0" w:color="auto"/>
              <w:left w:val="single" w:sz="4" w:space="0" w:color="auto"/>
              <w:bottom w:val="single" w:sz="4" w:space="0" w:color="auto"/>
              <w:right w:val="single" w:sz="4" w:space="0" w:color="auto"/>
            </w:tcBorders>
            <w:hideMark/>
          </w:tcPr>
          <w:p w14:paraId="588552DD" w14:textId="77777777" w:rsidR="00342D08" w:rsidRPr="003024AA" w:rsidRDefault="00342D08">
            <w:pPr>
              <w:pStyle w:val="SingleTxtG"/>
              <w:ind w:left="0" w:right="55"/>
              <w:jc w:val="center"/>
              <w:rPr>
                <w:i/>
                <w:lang w:val="fr-FR"/>
              </w:rPr>
            </w:pPr>
            <w:r w:rsidRPr="003024AA">
              <w:rPr>
                <w:b/>
                <w:i/>
                <w:sz w:val="18"/>
                <w:szCs w:val="18"/>
                <w:lang w:val="fr-FR"/>
              </w:rPr>
              <w:t>Distribution normale</w:t>
            </w:r>
            <w:r w:rsidRPr="003024AA">
              <w:rPr>
                <w:b/>
                <w:i/>
                <w:sz w:val="18"/>
                <w:szCs w:val="18"/>
                <w:lang w:val="fr-FR"/>
              </w:rPr>
              <w:br/>
              <w:t>k3</w:t>
            </w:r>
          </w:p>
        </w:tc>
        <w:tc>
          <w:tcPr>
            <w:tcW w:w="2499" w:type="dxa"/>
            <w:tcBorders>
              <w:top w:val="single" w:sz="4" w:space="0" w:color="auto"/>
              <w:left w:val="single" w:sz="4" w:space="0" w:color="auto"/>
              <w:bottom w:val="single" w:sz="4" w:space="0" w:color="auto"/>
              <w:right w:val="single" w:sz="4" w:space="0" w:color="auto"/>
            </w:tcBorders>
            <w:hideMark/>
          </w:tcPr>
          <w:p w14:paraId="0DC8D203" w14:textId="77777777" w:rsidR="00342D08" w:rsidRPr="003024AA" w:rsidRDefault="00342D08">
            <w:pPr>
              <w:pStyle w:val="SingleTxtG"/>
              <w:ind w:left="0" w:right="0"/>
              <w:jc w:val="center"/>
              <w:rPr>
                <w:i/>
                <w:lang w:val="fr-FR"/>
              </w:rPr>
            </w:pPr>
            <w:r w:rsidRPr="003024AA">
              <w:rPr>
                <w:b/>
                <w:i/>
                <w:sz w:val="18"/>
                <w:szCs w:val="18"/>
                <w:lang w:val="fr-FR"/>
              </w:rPr>
              <w:t>Distribution de Weibull</w:t>
            </w:r>
            <w:r w:rsidRPr="003024AA">
              <w:rPr>
                <w:b/>
                <w:i/>
                <w:sz w:val="18"/>
                <w:szCs w:val="18"/>
                <w:lang w:val="fr-FR"/>
              </w:rPr>
              <w:br/>
              <w:t>k3</w:t>
            </w:r>
          </w:p>
        </w:tc>
      </w:tr>
      <w:tr w:rsidR="00342D08" w:rsidRPr="003024AA" w14:paraId="037CFEB1"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27F648D2"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20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E54714A"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6,901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788AE4EB"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16,021</w:t>
            </w:r>
          </w:p>
        </w:tc>
      </w:tr>
      <w:tr w:rsidR="00342D08" w:rsidRPr="003024AA" w14:paraId="5C34432F"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6D436E64"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22</w:t>
            </w:r>
          </w:p>
        </w:tc>
        <w:tc>
          <w:tcPr>
            <w:tcW w:w="2404" w:type="dxa"/>
            <w:tcBorders>
              <w:top w:val="single" w:sz="4" w:space="0" w:color="auto"/>
              <w:left w:val="single" w:sz="4" w:space="0" w:color="auto"/>
              <w:bottom w:val="single" w:sz="4" w:space="0" w:color="auto"/>
              <w:right w:val="single" w:sz="4" w:space="0" w:color="auto"/>
            </w:tcBorders>
            <w:vAlign w:val="bottom"/>
            <w:hideMark/>
          </w:tcPr>
          <w:p w14:paraId="4EEEE4F8"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6,765</w:t>
            </w:r>
          </w:p>
        </w:tc>
        <w:tc>
          <w:tcPr>
            <w:tcW w:w="2499" w:type="dxa"/>
            <w:tcBorders>
              <w:top w:val="single" w:sz="4" w:space="0" w:color="auto"/>
              <w:left w:val="single" w:sz="4" w:space="0" w:color="auto"/>
              <w:bottom w:val="single" w:sz="4" w:space="0" w:color="auto"/>
              <w:right w:val="single" w:sz="4" w:space="0" w:color="auto"/>
            </w:tcBorders>
            <w:vAlign w:val="bottom"/>
            <w:hideMark/>
          </w:tcPr>
          <w:p w14:paraId="3DD2D4A3"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15,722</w:t>
            </w:r>
          </w:p>
        </w:tc>
      </w:tr>
      <w:tr w:rsidR="00342D08" w:rsidRPr="003024AA" w14:paraId="71FFE161"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5C025756"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24</w:t>
            </w:r>
          </w:p>
        </w:tc>
        <w:tc>
          <w:tcPr>
            <w:tcW w:w="2404" w:type="dxa"/>
            <w:tcBorders>
              <w:top w:val="single" w:sz="4" w:space="0" w:color="auto"/>
              <w:left w:val="single" w:sz="4" w:space="0" w:color="auto"/>
              <w:bottom w:val="single" w:sz="4" w:space="0" w:color="auto"/>
              <w:right w:val="single" w:sz="4" w:space="0" w:color="auto"/>
            </w:tcBorders>
            <w:vAlign w:val="bottom"/>
            <w:hideMark/>
          </w:tcPr>
          <w:p w14:paraId="60DD6258"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6,651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812BD96"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15,472</w:t>
            </w:r>
          </w:p>
        </w:tc>
      </w:tr>
      <w:tr w:rsidR="00342D08" w:rsidRPr="003024AA" w14:paraId="444BFCD0"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007647CB"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26</w:t>
            </w:r>
          </w:p>
        </w:tc>
        <w:tc>
          <w:tcPr>
            <w:tcW w:w="2404" w:type="dxa"/>
            <w:tcBorders>
              <w:top w:val="single" w:sz="4" w:space="0" w:color="auto"/>
              <w:left w:val="single" w:sz="4" w:space="0" w:color="auto"/>
              <w:bottom w:val="single" w:sz="4" w:space="0" w:color="auto"/>
              <w:right w:val="single" w:sz="4" w:space="0" w:color="auto"/>
            </w:tcBorders>
            <w:vAlign w:val="bottom"/>
            <w:hideMark/>
          </w:tcPr>
          <w:p w14:paraId="54ACEC78"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6,553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8F89A81"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15,258</w:t>
            </w:r>
          </w:p>
        </w:tc>
      </w:tr>
      <w:tr w:rsidR="00342D08" w:rsidRPr="003024AA" w14:paraId="6D3073E6"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322E8903"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28</w:t>
            </w:r>
          </w:p>
        </w:tc>
        <w:tc>
          <w:tcPr>
            <w:tcW w:w="2404" w:type="dxa"/>
            <w:tcBorders>
              <w:top w:val="single" w:sz="4" w:space="0" w:color="auto"/>
              <w:left w:val="single" w:sz="4" w:space="0" w:color="auto"/>
              <w:bottom w:val="single" w:sz="4" w:space="0" w:color="auto"/>
              <w:right w:val="single" w:sz="4" w:space="0" w:color="auto"/>
            </w:tcBorders>
            <w:vAlign w:val="bottom"/>
            <w:hideMark/>
          </w:tcPr>
          <w:p w14:paraId="3E4AFC93"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6,468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5DC86DFD"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15,072</w:t>
            </w:r>
          </w:p>
        </w:tc>
      </w:tr>
      <w:tr w:rsidR="00342D08" w:rsidRPr="003024AA" w14:paraId="208E863B"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76DB3B75"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30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5384EFEA"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6,393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DF4B9F4"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14,909</w:t>
            </w:r>
          </w:p>
        </w:tc>
      </w:tr>
      <w:tr w:rsidR="00342D08" w:rsidRPr="003024AA" w14:paraId="12137BC4"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16C04EF1"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35</w:t>
            </w:r>
          </w:p>
        </w:tc>
        <w:tc>
          <w:tcPr>
            <w:tcW w:w="2404" w:type="dxa"/>
            <w:tcBorders>
              <w:top w:val="single" w:sz="4" w:space="0" w:color="auto"/>
              <w:left w:val="single" w:sz="4" w:space="0" w:color="auto"/>
              <w:bottom w:val="single" w:sz="4" w:space="0" w:color="auto"/>
              <w:right w:val="single" w:sz="4" w:space="0" w:color="auto"/>
            </w:tcBorders>
            <w:vAlign w:val="bottom"/>
            <w:hideMark/>
          </w:tcPr>
          <w:p w14:paraId="6AA12E4B"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6,241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4479DCAC"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14,578</w:t>
            </w:r>
          </w:p>
        </w:tc>
      </w:tr>
      <w:tr w:rsidR="00342D08" w:rsidRPr="003024AA" w14:paraId="02C556EA"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107FDA69"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40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3EA9735"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6,123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9B79469"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14,321</w:t>
            </w:r>
          </w:p>
        </w:tc>
      </w:tr>
      <w:tr w:rsidR="00342D08" w:rsidRPr="003024AA" w14:paraId="1BD7239A"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67A40F85"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45</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BF44A39"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6,028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5D01C37"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14,116</w:t>
            </w:r>
          </w:p>
        </w:tc>
      </w:tr>
      <w:tr w:rsidR="00342D08" w:rsidRPr="003024AA" w14:paraId="68726A79"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277D9893"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852F9C6"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5,949</w:t>
            </w:r>
          </w:p>
        </w:tc>
        <w:tc>
          <w:tcPr>
            <w:tcW w:w="2499" w:type="dxa"/>
            <w:tcBorders>
              <w:top w:val="single" w:sz="4" w:space="0" w:color="auto"/>
              <w:left w:val="single" w:sz="4" w:space="0" w:color="auto"/>
              <w:bottom w:val="single" w:sz="4" w:space="0" w:color="auto"/>
              <w:right w:val="single" w:sz="4" w:space="0" w:color="auto"/>
            </w:tcBorders>
            <w:vAlign w:val="bottom"/>
            <w:hideMark/>
          </w:tcPr>
          <w:p w14:paraId="4244E783"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13,947</w:t>
            </w:r>
          </w:p>
        </w:tc>
      </w:tr>
      <w:tr w:rsidR="00342D08" w:rsidRPr="003024AA" w14:paraId="279D9E6E"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086B94A7"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60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2328557"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5,827</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73216B4"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13,683</w:t>
            </w:r>
          </w:p>
        </w:tc>
      </w:tr>
      <w:tr w:rsidR="00342D08" w:rsidRPr="003024AA" w14:paraId="364078B0"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64D3ADC9"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70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7BEF155"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5,735</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33D0046"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13,485</w:t>
            </w:r>
          </w:p>
        </w:tc>
      </w:tr>
      <w:tr w:rsidR="00342D08" w:rsidRPr="003024AA" w14:paraId="5D4F879A"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6262CA0F"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80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02EE7E4A"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5,662</w:t>
            </w:r>
          </w:p>
        </w:tc>
        <w:tc>
          <w:tcPr>
            <w:tcW w:w="2499" w:type="dxa"/>
            <w:tcBorders>
              <w:top w:val="single" w:sz="4" w:space="0" w:color="auto"/>
              <w:left w:val="single" w:sz="4" w:space="0" w:color="auto"/>
              <w:bottom w:val="single" w:sz="4" w:space="0" w:color="auto"/>
              <w:right w:val="single" w:sz="4" w:space="0" w:color="auto"/>
            </w:tcBorders>
            <w:vAlign w:val="bottom"/>
            <w:hideMark/>
          </w:tcPr>
          <w:p w14:paraId="126F9262"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13,329</w:t>
            </w:r>
          </w:p>
        </w:tc>
      </w:tr>
      <w:tr w:rsidR="00342D08" w:rsidRPr="003024AA" w14:paraId="6E7D66E6"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4F121329"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90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0375DB2C"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5,603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5B65E134"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13,203</w:t>
            </w:r>
          </w:p>
        </w:tc>
      </w:tr>
      <w:tr w:rsidR="00342D08" w:rsidRPr="003024AA" w14:paraId="1B83CBDF"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5BE16BAE"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71ECE23A"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5,554</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7AFBA1E"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13,098</w:t>
            </w:r>
          </w:p>
        </w:tc>
      </w:tr>
      <w:tr w:rsidR="00342D08" w:rsidRPr="003024AA" w14:paraId="6DBE61F8"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2A30DB9E"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150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F65F951"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5,393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761A65C0"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12,754</w:t>
            </w:r>
          </w:p>
        </w:tc>
      </w:tr>
      <w:tr w:rsidR="00342D08" w:rsidRPr="003024AA" w14:paraId="44D6C2AD"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3BC16499"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200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053D2504"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5,300</w:t>
            </w:r>
          </w:p>
        </w:tc>
        <w:tc>
          <w:tcPr>
            <w:tcW w:w="2499" w:type="dxa"/>
            <w:tcBorders>
              <w:top w:val="single" w:sz="4" w:space="0" w:color="auto"/>
              <w:left w:val="single" w:sz="4" w:space="0" w:color="auto"/>
              <w:bottom w:val="single" w:sz="4" w:space="0" w:color="auto"/>
              <w:right w:val="single" w:sz="4" w:space="0" w:color="auto"/>
            </w:tcBorders>
            <w:vAlign w:val="bottom"/>
            <w:hideMark/>
          </w:tcPr>
          <w:p w14:paraId="15C1BF5B"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12,557</w:t>
            </w:r>
          </w:p>
        </w:tc>
      </w:tr>
      <w:tr w:rsidR="00342D08" w:rsidRPr="003024AA" w14:paraId="2E91696F"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7DF73EA9"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250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12BD51B"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5,238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599B1C16"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12,426</w:t>
            </w:r>
          </w:p>
        </w:tc>
      </w:tr>
      <w:tr w:rsidR="00342D08" w:rsidRPr="003024AA" w14:paraId="61EDD1D3"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1B86A151"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300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6E759AD"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5,193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4467ECA2"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12,330</w:t>
            </w:r>
          </w:p>
        </w:tc>
      </w:tr>
      <w:tr w:rsidR="00342D08" w:rsidRPr="003024AA" w14:paraId="0CD6B5C7"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7B9776B9"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400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7CB286B2"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5,131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7E665A7"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12,199</w:t>
            </w:r>
          </w:p>
        </w:tc>
      </w:tr>
      <w:tr w:rsidR="00342D08" w:rsidRPr="003024AA" w14:paraId="1963966D"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24083B4F"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6AD7F906"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5,089</w:t>
            </w:r>
          </w:p>
        </w:tc>
        <w:tc>
          <w:tcPr>
            <w:tcW w:w="2499" w:type="dxa"/>
            <w:tcBorders>
              <w:top w:val="single" w:sz="4" w:space="0" w:color="auto"/>
              <w:left w:val="single" w:sz="4" w:space="0" w:color="auto"/>
              <w:bottom w:val="single" w:sz="4" w:space="0" w:color="auto"/>
              <w:right w:val="single" w:sz="4" w:space="0" w:color="auto"/>
            </w:tcBorders>
            <w:vAlign w:val="bottom"/>
            <w:hideMark/>
          </w:tcPr>
          <w:p w14:paraId="7A794546"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12,111</w:t>
            </w:r>
          </w:p>
        </w:tc>
      </w:tr>
      <w:tr w:rsidR="00342D08" w:rsidRPr="003024AA" w14:paraId="72E2BD88"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1C8EA127"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1000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6C90892"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4,988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95A93BF"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11,897</w:t>
            </w:r>
          </w:p>
        </w:tc>
      </w:tr>
      <w:tr w:rsidR="00342D08" w:rsidRPr="003024AA" w14:paraId="396879F7" w14:textId="77777777" w:rsidTr="00342D08">
        <w:tc>
          <w:tcPr>
            <w:tcW w:w="2468" w:type="dxa"/>
            <w:tcBorders>
              <w:top w:val="single" w:sz="4" w:space="0" w:color="auto"/>
              <w:left w:val="single" w:sz="4" w:space="0" w:color="auto"/>
              <w:bottom w:val="single" w:sz="4" w:space="0" w:color="auto"/>
              <w:right w:val="single" w:sz="4" w:space="0" w:color="auto"/>
            </w:tcBorders>
            <w:hideMark/>
          </w:tcPr>
          <w:p w14:paraId="7F8DFE9E"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w:t>
            </w:r>
          </w:p>
        </w:tc>
        <w:tc>
          <w:tcPr>
            <w:tcW w:w="2404" w:type="dxa"/>
            <w:tcBorders>
              <w:top w:val="single" w:sz="4" w:space="0" w:color="auto"/>
              <w:left w:val="single" w:sz="4" w:space="0" w:color="auto"/>
              <w:bottom w:val="single" w:sz="4" w:space="0" w:color="auto"/>
              <w:right w:val="single" w:sz="4" w:space="0" w:color="auto"/>
            </w:tcBorders>
            <w:vAlign w:val="bottom"/>
            <w:hideMark/>
          </w:tcPr>
          <w:p w14:paraId="056DE91D"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4,753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494BECC" w14:textId="77777777" w:rsidR="00342D08" w:rsidRPr="003024AA" w:rsidRDefault="00342D08">
            <w:pPr>
              <w:suppressAutoHyphens w:val="0"/>
              <w:spacing w:before="40" w:after="80" w:line="200" w:lineRule="atLeast"/>
              <w:ind w:left="113" w:right="113"/>
              <w:jc w:val="center"/>
              <w:rPr>
                <w:i/>
                <w:sz w:val="18"/>
                <w:szCs w:val="18"/>
                <w:lang w:val="fr-FR"/>
              </w:rPr>
            </w:pPr>
            <w:r w:rsidRPr="003024AA">
              <w:rPr>
                <w:i/>
                <w:sz w:val="18"/>
                <w:szCs w:val="18"/>
                <w:lang w:val="fr-FR"/>
              </w:rPr>
              <w:t>11,408</w:t>
            </w:r>
          </w:p>
        </w:tc>
      </w:tr>
    </w:tbl>
    <w:p w14:paraId="781BDB1C" w14:textId="77777777" w:rsidR="00342D08" w:rsidRPr="003024AA" w:rsidRDefault="00342D08" w:rsidP="00342D08">
      <w:pPr>
        <w:pStyle w:val="SingleTxtG"/>
        <w:spacing w:before="120"/>
        <w:rPr>
          <w:i/>
          <w:lang w:val="fr-FR"/>
        </w:rPr>
      </w:pPr>
      <w:r w:rsidRPr="003024AA">
        <w:rPr>
          <w:b/>
          <w:i/>
          <w:lang w:val="fr-FR"/>
        </w:rPr>
        <w:t>NOTA :</w:t>
      </w:r>
      <w:r w:rsidRPr="003024AA">
        <w:rPr>
          <w:i/>
          <w:lang w:val="fr-FR"/>
        </w:rPr>
        <w:t xml:space="preserve"> Si la taille de l’échantillon se situe entre deux valeurs, il faut sélectionner la taille inférieure la plus proche.</w:t>
      </w:r>
    </w:p>
    <w:p w14:paraId="5FB1ADF7" w14:textId="77777777" w:rsidR="00342D08" w:rsidRPr="003024AA" w:rsidRDefault="00342D08" w:rsidP="00342D08">
      <w:pPr>
        <w:pStyle w:val="SingleTxtG"/>
      </w:pPr>
      <w:r w:rsidRPr="003024AA">
        <w:t>h)</w:t>
      </w:r>
      <w:r w:rsidRPr="003024AA">
        <w:tab/>
        <w:t>Mesures à prendre si les critères d’acceptation ne sont pas respectés</w:t>
      </w:r>
    </w:p>
    <w:p w14:paraId="3E6BD30B" w14:textId="77777777" w:rsidR="00342D08" w:rsidRPr="003024AA" w:rsidRDefault="00342D08" w:rsidP="00342D08">
      <w:pPr>
        <w:pStyle w:val="SingleTxtG"/>
        <w:ind w:left="1701"/>
        <w:rPr>
          <w:lang w:val="fr-FR"/>
        </w:rPr>
      </w:pPr>
      <w:r w:rsidRPr="003024AA">
        <w:rPr>
          <w:lang w:val="fr-FR"/>
        </w:rPr>
        <w:t>Si un résultat des essais de rupture, des essais de pelage et corrosion ou des essais d’adhérence ne respecte pas les critères détaillés dans le tableau de l’alinéa g), le propriétaire doit séparer le sous-groupe de bouteilles surmoulées affecté pour examens complémentaires et ces bouteilles ne doivent pas être remplies, présentées au transport ou utilisées.</w:t>
      </w:r>
    </w:p>
    <w:p w14:paraId="498C1F91" w14:textId="77777777" w:rsidR="00342D08" w:rsidRPr="003024AA" w:rsidRDefault="00342D08" w:rsidP="00342D08">
      <w:pPr>
        <w:pStyle w:val="SingleTxtG"/>
        <w:ind w:left="1701"/>
        <w:rPr>
          <w:lang w:val="fr-FR"/>
        </w:rPr>
      </w:pPr>
      <w:r w:rsidRPr="003024AA">
        <w:rPr>
          <w:lang w:val="fr-FR"/>
        </w:rPr>
        <w:t xml:space="preserve">En accord avec l’autorité compétente, ou l’organisme Xa qui a délivré l’agrément de type, de nouveaux essais doivent être effectués pour déterminer la cause première de l’échec. </w:t>
      </w:r>
    </w:p>
    <w:p w14:paraId="1FA3DDF6" w14:textId="77777777" w:rsidR="00342D08" w:rsidRPr="003024AA" w:rsidRDefault="00342D08" w:rsidP="00342D08">
      <w:pPr>
        <w:pStyle w:val="SingleTxtG"/>
        <w:ind w:left="1701"/>
        <w:rPr>
          <w:lang w:val="fr-FR"/>
        </w:rPr>
      </w:pPr>
      <w:r w:rsidRPr="003024AA">
        <w:rPr>
          <w:lang w:val="fr-FR"/>
        </w:rPr>
        <w:t xml:space="preserve">Si la cause première de l’échec ne peut être prouvée comme étant limitée au sous-groupe du propriétaire concerné, l'autorité compétente ou l’organisme Xa doivent </w:t>
      </w:r>
      <w:r w:rsidRPr="003024AA">
        <w:rPr>
          <w:lang w:val="fr-FR"/>
        </w:rPr>
        <w:lastRenderedPageBreak/>
        <w:t>prendre des mesures concernant toute la population de base et éventuellement d'autres années de production.</w:t>
      </w:r>
    </w:p>
    <w:p w14:paraId="6C86E980" w14:textId="77777777" w:rsidR="00342D08" w:rsidRPr="003024AA" w:rsidRDefault="00342D08" w:rsidP="00342D08">
      <w:pPr>
        <w:pStyle w:val="SingleTxtG"/>
        <w:ind w:left="1701"/>
        <w:rPr>
          <w:lang w:val="fr-FR"/>
        </w:rPr>
      </w:pPr>
      <w:r w:rsidRPr="003024AA">
        <w:rPr>
          <w:lang w:val="fr-FR"/>
        </w:rPr>
        <w:t>Si la cause première de l’échec peut être prouvée comme étant limitée à une partie du sous-groupe, l’autorité compétente peut autoriser le retour en service des parties non affectées. Il doit être prouvé qu’aucune bouteille surmoulée individuelle remise en service n'est affectée.</w:t>
      </w:r>
    </w:p>
    <w:p w14:paraId="0EB8CA1D" w14:textId="77777777" w:rsidR="00342D08" w:rsidRPr="003024AA" w:rsidRDefault="00342D08" w:rsidP="00342D08">
      <w:pPr>
        <w:pStyle w:val="SingleTxtG"/>
      </w:pPr>
      <w:r w:rsidRPr="003024AA">
        <w:t>i)</w:t>
      </w:r>
      <w:r w:rsidRPr="003024AA">
        <w:tab/>
        <w:t>Prescriptions applicables aux centres de remplissage</w:t>
      </w:r>
    </w:p>
    <w:p w14:paraId="622E82B0" w14:textId="77777777" w:rsidR="00342D08" w:rsidRPr="003024AA" w:rsidRDefault="00342D08" w:rsidP="00342D08">
      <w:pPr>
        <w:pStyle w:val="SingleTxtG"/>
        <w:ind w:left="1701"/>
        <w:rPr>
          <w:lang w:val="fr-FR"/>
        </w:rPr>
      </w:pPr>
      <w:r w:rsidRPr="003024AA">
        <w:rPr>
          <w:lang w:val="fr-FR"/>
        </w:rPr>
        <w:t>Le propriétaire doit mettre à la disposition de l’autorité compétente la preuve que les centres de remplissage:</w:t>
      </w:r>
    </w:p>
    <w:p w14:paraId="2D589712" w14:textId="77777777" w:rsidR="00342D08" w:rsidRPr="003024AA" w:rsidRDefault="00342D08" w:rsidP="00342D08">
      <w:pPr>
        <w:pStyle w:val="SingleTxtG"/>
        <w:ind w:left="1701"/>
        <w:rPr>
          <w:lang w:val="fr-FR"/>
        </w:rPr>
      </w:pPr>
      <w:r w:rsidRPr="003024AA">
        <w:rPr>
          <w:lang w:val="fr-FR"/>
        </w:rPr>
        <w:t>-</w:t>
      </w:r>
      <w:r w:rsidRPr="003024AA">
        <w:rPr>
          <w:lang w:val="fr-FR"/>
        </w:rPr>
        <w:tab/>
        <w:t>Respectent les dispositions du paragraphe 7) de l’instruction d’emballage P200 du 4.1.4.1 et que les prescriptions de la norme sur les contrôles préalables au remplissage mentionnées au paragraphe 11) de l’instruction d’emballage P200 du 4.1.4.1 sont satisfaites et appliquées correctement ;</w:t>
      </w:r>
    </w:p>
    <w:p w14:paraId="3AA84E0E" w14:textId="77777777" w:rsidR="00342D08" w:rsidRPr="003024AA" w:rsidRDefault="00342D08" w:rsidP="00342D08">
      <w:pPr>
        <w:pStyle w:val="SingleTxtG"/>
        <w:ind w:left="1701"/>
        <w:rPr>
          <w:lang w:val="fr-FR"/>
        </w:rPr>
      </w:pPr>
      <w:r w:rsidRPr="003024AA">
        <w:rPr>
          <w:lang w:val="fr-FR"/>
        </w:rPr>
        <w:t>-</w:t>
      </w:r>
      <w:r w:rsidRPr="003024AA">
        <w:rPr>
          <w:lang w:val="fr-FR"/>
        </w:rPr>
        <w:tab/>
        <w:t>Disposent de moyens appropriés pour identifier les bouteilles surmoulées au moyen du dispositif d’identification électronique ;</w:t>
      </w:r>
    </w:p>
    <w:p w14:paraId="65C7319F" w14:textId="77777777" w:rsidR="00342D08" w:rsidRPr="003024AA" w:rsidRDefault="00342D08" w:rsidP="00342D08">
      <w:pPr>
        <w:pStyle w:val="SingleTxtG"/>
        <w:ind w:left="1701"/>
        <w:rPr>
          <w:lang w:val="fr-FR"/>
        </w:rPr>
      </w:pPr>
      <w:r w:rsidRPr="003024AA">
        <w:rPr>
          <w:lang w:val="fr-FR"/>
        </w:rPr>
        <w:t>-</w:t>
      </w:r>
      <w:r w:rsidRPr="003024AA">
        <w:rPr>
          <w:lang w:val="fr-FR"/>
        </w:rPr>
        <w:tab/>
        <w:t>Ont accès à la base de données telle que définie à l’alinéa d) ;</w:t>
      </w:r>
    </w:p>
    <w:p w14:paraId="25C785FE" w14:textId="77777777" w:rsidR="00342D08" w:rsidRPr="003024AA" w:rsidRDefault="00342D08" w:rsidP="00342D08">
      <w:pPr>
        <w:pStyle w:val="SingleTxtG"/>
        <w:ind w:left="1701"/>
        <w:rPr>
          <w:lang w:val="fr-FR"/>
        </w:rPr>
      </w:pPr>
      <w:r w:rsidRPr="003024AA">
        <w:rPr>
          <w:lang w:val="fr-FR"/>
        </w:rPr>
        <w:t>-</w:t>
      </w:r>
      <w:r w:rsidRPr="003024AA">
        <w:rPr>
          <w:lang w:val="fr-FR"/>
        </w:rPr>
        <w:tab/>
        <w:t>Ont la capacité de mettre à jour la base de données ;</w:t>
      </w:r>
    </w:p>
    <w:p w14:paraId="726C23F5" w14:textId="77777777" w:rsidR="00342D08" w:rsidRPr="003024AA" w:rsidRDefault="00342D08" w:rsidP="00342D08">
      <w:pPr>
        <w:pStyle w:val="SingleTxtG"/>
        <w:ind w:left="1701"/>
        <w:rPr>
          <w:lang w:val="fr-FR"/>
        </w:rPr>
      </w:pPr>
      <w:r w:rsidRPr="003024AA">
        <w:rPr>
          <w:lang w:val="fr-FR"/>
        </w:rPr>
        <w:t>-</w:t>
      </w:r>
      <w:r w:rsidRPr="003024AA">
        <w:rPr>
          <w:lang w:val="fr-FR"/>
        </w:rPr>
        <w:tab/>
        <w:t>Appliquent un système qualité conforme aux normes de la série ISO 9000 ou à des normes équivalentes certifié par un organisme indépendant accrédité et reconnu par l’autorité compétente. ».</w:t>
      </w:r>
    </w:p>
    <w:p w14:paraId="0C18CC57" w14:textId="77777777" w:rsidR="00196C06" w:rsidRPr="006774AA" w:rsidRDefault="00196C06" w:rsidP="00196C06">
      <w:pPr>
        <w:pStyle w:val="H1G"/>
        <w:rPr>
          <w:lang w:val="fr-FR"/>
        </w:rPr>
      </w:pPr>
      <w:r w:rsidRPr="006774AA">
        <w:rPr>
          <w:lang w:val="fr-FR"/>
        </w:rPr>
        <w:tab/>
      </w:r>
      <w:r w:rsidRPr="006774AA">
        <w:rPr>
          <w:lang w:val="fr-FR"/>
        </w:rPr>
        <w:tab/>
        <w:t>Chapitre 4.1</w:t>
      </w:r>
    </w:p>
    <w:p w14:paraId="1D4EE15C" w14:textId="77777777" w:rsidR="007F62A9" w:rsidRPr="006774AA" w:rsidRDefault="007F62A9" w:rsidP="007F62A9">
      <w:pPr>
        <w:pStyle w:val="SingleTxtG"/>
        <w:rPr>
          <w:lang w:val="fr-FR"/>
        </w:rPr>
      </w:pPr>
      <w:r w:rsidRPr="006774AA">
        <w:rPr>
          <w:lang w:val="fr-FR"/>
        </w:rPr>
        <w:t>Sous le titre, ajouter le nouveau Nota suivant:</w:t>
      </w:r>
    </w:p>
    <w:p w14:paraId="76285911" w14:textId="7FDF5C84" w:rsidR="007F62A9" w:rsidRPr="006774AA" w:rsidRDefault="007F62A9" w:rsidP="007F62A9">
      <w:pPr>
        <w:pStyle w:val="SingleTxtG"/>
        <w:rPr>
          <w:lang w:val="fr-FR"/>
        </w:rPr>
      </w:pPr>
      <w:r w:rsidRPr="006774AA">
        <w:rPr>
          <w:lang w:val="fr-FR"/>
        </w:rPr>
        <w:t>«</w:t>
      </w:r>
      <w:r w:rsidR="00632885" w:rsidRPr="006774AA">
        <w:rPr>
          <w:lang w:val="fr-FR"/>
        </w:rPr>
        <w:t> </w:t>
      </w:r>
      <w:r w:rsidRPr="006774AA">
        <w:rPr>
          <w:b/>
          <w:i/>
          <w:lang w:val="fr-FR"/>
        </w:rPr>
        <w:t>NOTA:</w:t>
      </w:r>
      <w:r w:rsidRPr="006774AA">
        <w:rPr>
          <w:i/>
          <w:lang w:val="fr-FR"/>
        </w:rPr>
        <w:tab/>
        <w:t xml:space="preserve">Les emballages, y compris les GRV et les grands emballages, dont les marques correspondent au 6.1.3, 6.2.2.7, 6.2.2.8, 6.3.1, 6.5.2 ou 6.6.3, mais qui ont été agréés dans un pays </w:t>
      </w:r>
      <w:r w:rsidRPr="006774AA">
        <w:rPr>
          <w:bCs/>
          <w:i/>
          <w:lang w:val="fr-FR"/>
        </w:rPr>
        <w:t xml:space="preserve">n’étant pas </w:t>
      </w:r>
      <w:r w:rsidRPr="006774AA">
        <w:rPr>
          <w:i/>
          <w:lang w:val="fr-FR"/>
        </w:rPr>
        <w:t>Partie contractante à l'ADR, peuvent également être utilisés pour le transport selon l'ADR.</w:t>
      </w:r>
      <w:r w:rsidR="00632885" w:rsidRPr="006774AA">
        <w:rPr>
          <w:i/>
          <w:lang w:val="fr-FR"/>
        </w:rPr>
        <w:t> </w:t>
      </w:r>
      <w:r w:rsidRPr="006774AA">
        <w:rPr>
          <w:lang w:val="fr-FR"/>
        </w:rPr>
        <w:t>».</w:t>
      </w:r>
    </w:p>
    <w:p w14:paraId="75EEF60F" w14:textId="14B37D56" w:rsidR="00196C06" w:rsidRPr="00113683" w:rsidRDefault="005C3A8A" w:rsidP="005C3A8A">
      <w:pPr>
        <w:pStyle w:val="SingleTxtG"/>
        <w:tabs>
          <w:tab w:val="left" w:pos="2268"/>
        </w:tabs>
        <w:rPr>
          <w:lang w:val="fr-FR"/>
        </w:rPr>
      </w:pPr>
      <w:r>
        <w:rPr>
          <w:lang w:val="fr-FR"/>
        </w:rPr>
        <w:t>4.1.1.11</w:t>
      </w:r>
      <w:r w:rsidR="00196C06" w:rsidRPr="00113683">
        <w:rPr>
          <w:lang w:val="fr-FR"/>
        </w:rPr>
        <w:tab/>
        <w:t>À la fin, remplacer «</w:t>
      </w:r>
      <w:r w:rsidR="009F4509" w:rsidRPr="00113683">
        <w:rPr>
          <w:lang w:val="fr-FR"/>
        </w:rPr>
        <w:t> </w:t>
      </w:r>
      <w:r w:rsidR="00196C06" w:rsidRPr="00113683">
        <w:rPr>
          <w:lang w:val="fr-FR"/>
        </w:rPr>
        <w:t>risque</w:t>
      </w:r>
      <w:r w:rsidR="009F4509" w:rsidRPr="00113683">
        <w:rPr>
          <w:lang w:val="fr-FR"/>
        </w:rPr>
        <w:t> </w:t>
      </w:r>
      <w:r w:rsidR="00196C06" w:rsidRPr="00113683">
        <w:rPr>
          <w:lang w:val="fr-FR"/>
        </w:rPr>
        <w:t>» par «</w:t>
      </w:r>
      <w:r w:rsidR="009F4509" w:rsidRPr="00113683">
        <w:rPr>
          <w:lang w:val="fr-FR"/>
        </w:rPr>
        <w:t> </w:t>
      </w:r>
      <w:r w:rsidR="00196C06" w:rsidRPr="00113683">
        <w:rPr>
          <w:lang w:val="fr-FR"/>
        </w:rPr>
        <w:t>danger</w:t>
      </w:r>
      <w:r w:rsidR="009F4509" w:rsidRPr="00113683">
        <w:rPr>
          <w:lang w:val="fr-FR"/>
        </w:rPr>
        <w:t> </w:t>
      </w:r>
      <w:r w:rsidR="00196C06" w:rsidRPr="00113683">
        <w:rPr>
          <w:lang w:val="fr-FR"/>
        </w:rPr>
        <w:t>».</w:t>
      </w:r>
    </w:p>
    <w:p w14:paraId="0BC9BDA3" w14:textId="781E6AFB" w:rsidR="007F62A9" w:rsidRPr="006774AA" w:rsidRDefault="007F62A9" w:rsidP="007F62A9">
      <w:pPr>
        <w:pStyle w:val="SingleTxtG"/>
        <w:rPr>
          <w:lang w:val="fr-FR"/>
        </w:rPr>
      </w:pPr>
      <w:r w:rsidRPr="006774AA">
        <w:rPr>
          <w:lang w:val="fr-FR"/>
        </w:rPr>
        <w:t>4.1.1.17</w:t>
      </w:r>
      <w:r w:rsidRPr="006774AA">
        <w:rPr>
          <w:lang w:val="fr-FR"/>
        </w:rPr>
        <w:tab/>
        <w:t>Supprimer et ajouter</w:t>
      </w:r>
      <w:r w:rsidR="0040504E" w:rsidRPr="006774AA">
        <w:rPr>
          <w:lang w:val="fr-FR"/>
        </w:rPr>
        <w:t> </w:t>
      </w:r>
      <w:r w:rsidRPr="006774AA">
        <w:rPr>
          <w:lang w:val="fr-FR"/>
        </w:rPr>
        <w:t>:</w:t>
      </w:r>
    </w:p>
    <w:p w14:paraId="557CC44B" w14:textId="5A3A2F36" w:rsidR="007F62A9" w:rsidRPr="006774AA" w:rsidRDefault="007F62A9" w:rsidP="007F62A9">
      <w:pPr>
        <w:pStyle w:val="SingleTxtG"/>
        <w:rPr>
          <w:lang w:val="fr-FR"/>
        </w:rPr>
      </w:pPr>
      <w:r w:rsidRPr="006774AA">
        <w:rPr>
          <w:lang w:val="fr-FR"/>
        </w:rPr>
        <w:t>«</w:t>
      </w:r>
      <w:r w:rsidR="0040504E" w:rsidRPr="006774AA">
        <w:rPr>
          <w:lang w:val="fr-FR"/>
        </w:rPr>
        <w:t> </w:t>
      </w:r>
      <w:r w:rsidRPr="006774AA">
        <w:rPr>
          <w:lang w:val="fr-FR"/>
        </w:rPr>
        <w:t>4.1.1.17</w:t>
      </w:r>
      <w:r w:rsidRPr="006774AA">
        <w:rPr>
          <w:lang w:val="fr-FR"/>
        </w:rPr>
        <w:tab/>
      </w:r>
      <w:r w:rsidRPr="006774AA">
        <w:rPr>
          <w:i/>
          <w:lang w:val="fr-FR"/>
        </w:rPr>
        <w:t>(Supprimé)</w:t>
      </w:r>
      <w:r w:rsidR="0040504E" w:rsidRPr="006774AA">
        <w:rPr>
          <w:i/>
          <w:lang w:val="fr-FR"/>
        </w:rPr>
        <w:t> </w:t>
      </w:r>
      <w:r w:rsidRPr="006774AA">
        <w:rPr>
          <w:lang w:val="fr-FR"/>
        </w:rPr>
        <w:t xml:space="preserve">». </w:t>
      </w:r>
    </w:p>
    <w:p w14:paraId="31FDE577" w14:textId="55CC6EDE" w:rsidR="00DB4351" w:rsidRPr="00134782" w:rsidRDefault="00DB4351" w:rsidP="00DB4351">
      <w:pPr>
        <w:pStyle w:val="SingleTxtG"/>
        <w:rPr>
          <w:lang w:val="fr-FR"/>
        </w:rPr>
      </w:pPr>
      <w:r w:rsidRPr="00134782">
        <w:rPr>
          <w:lang w:val="fr-FR"/>
        </w:rPr>
        <w:t>4.1.4.1, instruction d’emballage P001</w:t>
      </w:r>
      <w:r w:rsidRPr="00134782">
        <w:rPr>
          <w:lang w:val="fr-FR"/>
        </w:rPr>
        <w:tab/>
        <w:t>Sous «</w:t>
      </w:r>
      <w:r w:rsidR="009F4509" w:rsidRPr="00134782">
        <w:rPr>
          <w:lang w:val="fr-FR"/>
        </w:rPr>
        <w:t> </w:t>
      </w:r>
      <w:r w:rsidRPr="00134782">
        <w:rPr>
          <w:lang w:val="fr-FR"/>
        </w:rPr>
        <w:t>Emballages composites</w:t>
      </w:r>
      <w:r w:rsidR="009F4509" w:rsidRPr="00134782">
        <w:rPr>
          <w:lang w:val="fr-FR"/>
        </w:rPr>
        <w:t> </w:t>
      </w:r>
      <w:r w:rsidRPr="00134782">
        <w:rPr>
          <w:lang w:val="fr-FR"/>
        </w:rPr>
        <w:t>», dans la première ligne, remplacer «</w:t>
      </w:r>
      <w:r w:rsidR="009F4509" w:rsidRPr="00134782">
        <w:rPr>
          <w:lang w:val="fr-FR"/>
        </w:rPr>
        <w:t> </w:t>
      </w:r>
      <w:r w:rsidRPr="00134782">
        <w:rPr>
          <w:lang w:val="fr-FR"/>
        </w:rPr>
        <w:t>ou en aluminium</w:t>
      </w:r>
      <w:r w:rsidR="009F4509" w:rsidRPr="00134782">
        <w:rPr>
          <w:lang w:val="fr-FR"/>
        </w:rPr>
        <w:t> </w:t>
      </w:r>
      <w:r w:rsidRPr="00134782">
        <w:rPr>
          <w:lang w:val="fr-FR"/>
        </w:rPr>
        <w:t>» par «</w:t>
      </w:r>
      <w:r w:rsidR="009F4509" w:rsidRPr="00134782">
        <w:rPr>
          <w:lang w:val="fr-FR"/>
        </w:rPr>
        <w:t> </w:t>
      </w:r>
      <w:r w:rsidRPr="00134782">
        <w:rPr>
          <w:lang w:val="fr-FR"/>
        </w:rPr>
        <w:t>, en aluminium ou en plastique</w:t>
      </w:r>
      <w:r w:rsidR="009F4509" w:rsidRPr="00134782">
        <w:rPr>
          <w:lang w:val="fr-FR"/>
        </w:rPr>
        <w:t> </w:t>
      </w:r>
      <w:r w:rsidRPr="00134782">
        <w:rPr>
          <w:lang w:val="fr-FR"/>
        </w:rPr>
        <w:t>» et ajouter «</w:t>
      </w:r>
      <w:r w:rsidR="009F4509" w:rsidRPr="00134782">
        <w:rPr>
          <w:lang w:val="fr-FR"/>
        </w:rPr>
        <w:t> </w:t>
      </w:r>
      <w:r w:rsidRPr="00134782">
        <w:rPr>
          <w:lang w:val="fr-FR"/>
        </w:rPr>
        <w:t>, 6HH1</w:t>
      </w:r>
      <w:r w:rsidR="009F4509" w:rsidRPr="00134782">
        <w:rPr>
          <w:lang w:val="fr-FR"/>
        </w:rPr>
        <w:t> </w:t>
      </w:r>
      <w:r w:rsidRPr="00134782">
        <w:rPr>
          <w:lang w:val="fr-FR"/>
        </w:rPr>
        <w:t>» après «</w:t>
      </w:r>
      <w:r w:rsidR="009F4509" w:rsidRPr="00134782">
        <w:rPr>
          <w:lang w:val="fr-FR"/>
        </w:rPr>
        <w:t> </w:t>
      </w:r>
      <w:r w:rsidRPr="00134782">
        <w:rPr>
          <w:lang w:val="fr-FR"/>
        </w:rPr>
        <w:t>6HB1</w:t>
      </w:r>
      <w:r w:rsidR="009F4509" w:rsidRPr="00134782">
        <w:rPr>
          <w:lang w:val="fr-FR"/>
        </w:rPr>
        <w:t> </w:t>
      </w:r>
      <w:r w:rsidRPr="00134782">
        <w:rPr>
          <w:lang w:val="fr-FR"/>
        </w:rPr>
        <w:t>».</w:t>
      </w:r>
    </w:p>
    <w:p w14:paraId="7458D6A0" w14:textId="3CAEA7CD" w:rsidR="00DB4351" w:rsidRPr="00134782" w:rsidRDefault="00DB4351" w:rsidP="009F4509">
      <w:pPr>
        <w:pStyle w:val="SingleTxtG"/>
        <w:rPr>
          <w:lang w:val="fr-FR"/>
        </w:rPr>
      </w:pPr>
      <w:r w:rsidRPr="00134782">
        <w:rPr>
          <w:lang w:val="fr-FR"/>
        </w:rPr>
        <w:t>4.1.4.1, instruction d’emballage P001</w:t>
      </w:r>
      <w:r w:rsidRPr="00134782">
        <w:rPr>
          <w:lang w:val="fr-FR"/>
        </w:rPr>
        <w:tab/>
        <w:t>Sous «</w:t>
      </w:r>
      <w:r w:rsidR="009F4509" w:rsidRPr="00134782">
        <w:rPr>
          <w:lang w:val="fr-FR"/>
        </w:rPr>
        <w:t> </w:t>
      </w:r>
      <w:r w:rsidRPr="00134782">
        <w:rPr>
          <w:lang w:val="fr-FR"/>
        </w:rPr>
        <w:t>Emballages composites</w:t>
      </w:r>
      <w:r w:rsidR="009F4509" w:rsidRPr="00134782">
        <w:rPr>
          <w:lang w:val="fr-FR"/>
        </w:rPr>
        <w:t> </w:t>
      </w:r>
      <w:r w:rsidRPr="00134782">
        <w:rPr>
          <w:lang w:val="fr-FR"/>
        </w:rPr>
        <w:t>», dans la deuxième ligne, remplacer «</w:t>
      </w:r>
      <w:r w:rsidR="009F4509" w:rsidRPr="00134782">
        <w:rPr>
          <w:lang w:val="fr-FR"/>
        </w:rPr>
        <w:t> </w:t>
      </w:r>
      <w:r w:rsidRPr="00134782">
        <w:rPr>
          <w:lang w:val="fr-FR"/>
        </w:rPr>
        <w:t>, en plastique ou en contre-plaqué (6HG1, 6HH1, 6HD1)</w:t>
      </w:r>
      <w:r w:rsidR="009F4509" w:rsidRPr="00134782">
        <w:rPr>
          <w:lang w:val="fr-FR"/>
        </w:rPr>
        <w:t> </w:t>
      </w:r>
      <w:r w:rsidRPr="00134782">
        <w:rPr>
          <w:lang w:val="fr-FR"/>
        </w:rPr>
        <w:t>» par «</w:t>
      </w:r>
      <w:r w:rsidR="009F4509" w:rsidRPr="00134782">
        <w:rPr>
          <w:lang w:val="fr-FR"/>
        </w:rPr>
        <w:t> </w:t>
      </w:r>
      <w:r w:rsidRPr="00134782">
        <w:rPr>
          <w:lang w:val="fr-FR"/>
        </w:rPr>
        <w:t>ou en contre-plaqué (6HG1, 6HD1)</w:t>
      </w:r>
      <w:r w:rsidR="009F4509" w:rsidRPr="00134782">
        <w:rPr>
          <w:lang w:val="fr-FR"/>
        </w:rPr>
        <w:t> </w:t>
      </w:r>
      <w:r w:rsidRPr="00134782">
        <w:rPr>
          <w:lang w:val="fr-FR"/>
        </w:rPr>
        <w:t>».</w:t>
      </w:r>
    </w:p>
    <w:p w14:paraId="169B4DE6" w14:textId="29D85CA8" w:rsidR="009D7EFD" w:rsidRPr="00410EC7" w:rsidRDefault="009D7EFD" w:rsidP="009D7EFD">
      <w:pPr>
        <w:pStyle w:val="SingleTxtG"/>
        <w:rPr>
          <w:bCs/>
          <w:lang w:val="fr-FR"/>
        </w:rPr>
      </w:pPr>
      <w:r w:rsidRPr="00410EC7">
        <w:rPr>
          <w:bCs/>
          <w:lang w:val="fr-FR"/>
        </w:rPr>
        <w:t>4.1.4.</w:t>
      </w:r>
      <w:r w:rsidR="005C3A8A">
        <w:rPr>
          <w:bCs/>
          <w:lang w:val="fr-FR"/>
        </w:rPr>
        <w:t>1, instruction d’emballage P200</w:t>
      </w:r>
      <w:r w:rsidRPr="00410EC7">
        <w:rPr>
          <w:bCs/>
          <w:lang w:val="fr-FR"/>
        </w:rPr>
        <w:tab/>
        <w:t>Au paragraphe 10), dans la disposition spéciale « va », ajouter « ou EN ISO 15996:2017 » après « EN ISO 15996:2005 + A1:2007 » (deux fois).</w:t>
      </w:r>
    </w:p>
    <w:p w14:paraId="0DEFBB24" w14:textId="2950B7CF" w:rsidR="00B415C2" w:rsidRPr="00CF7662" w:rsidRDefault="00B415C2" w:rsidP="00B415C2">
      <w:pPr>
        <w:pStyle w:val="SingleTxtG"/>
        <w:rPr>
          <w:lang w:val="fr-FR"/>
        </w:rPr>
      </w:pPr>
      <w:r w:rsidRPr="00CF7662">
        <w:rPr>
          <w:lang w:val="fr-FR"/>
        </w:rPr>
        <w:t>4.1.4.1, instruction d’emballage P200</w:t>
      </w:r>
      <w:r w:rsidRPr="00CF7662">
        <w:rPr>
          <w:lang w:val="fr-FR"/>
        </w:rPr>
        <w:tab/>
        <w:t>Au paragraphe 11), dans le tableau, supprimer les deux premières lignes (pour EN 1919:2000 et EN 1920:2000) et ajouter la nouvelle ligne suivante</w:t>
      </w:r>
      <w:r w:rsidR="00A06354">
        <w:rPr>
          <w:lang w:val="fr-FR"/>
        </w:rPr>
        <w:t xml:space="preserve"> après la ligne pour </w:t>
      </w:r>
      <w:r w:rsidR="00A06354" w:rsidRPr="00B415C2">
        <w:rPr>
          <w:lang w:val="fr-FR"/>
        </w:rPr>
        <w:t>EN 13365:2002 + A1:2005</w:t>
      </w:r>
      <w:r w:rsidRPr="00CF7662">
        <w:rPr>
          <w:lang w:val="fr-FR"/>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0"/>
        <w:gridCol w:w="1760"/>
        <w:gridCol w:w="5425"/>
      </w:tblGrid>
      <w:tr w:rsidR="00B415C2" w:rsidRPr="00CF7662" w14:paraId="23702DF1" w14:textId="77777777" w:rsidTr="00A06354">
        <w:trPr>
          <w:trHeight w:val="20"/>
        </w:trPr>
        <w:tc>
          <w:tcPr>
            <w:tcW w:w="1320" w:type="dxa"/>
          </w:tcPr>
          <w:p w14:paraId="0EDDB50C" w14:textId="77777777" w:rsidR="00B415C2" w:rsidRPr="00CF7662" w:rsidRDefault="00B415C2" w:rsidP="00A06354">
            <w:pPr>
              <w:keepNext/>
              <w:keepLines/>
              <w:spacing w:before="20" w:after="20"/>
              <w:jc w:val="center"/>
              <w:rPr>
                <w:sz w:val="19"/>
                <w:szCs w:val="19"/>
                <w:lang w:val="fr-FR"/>
              </w:rPr>
            </w:pPr>
            <w:r w:rsidRPr="00CF7662">
              <w:rPr>
                <w:sz w:val="19"/>
                <w:szCs w:val="19"/>
                <w:lang w:val="fr-FR" w:bidi="ar-KW"/>
              </w:rPr>
              <w:lastRenderedPageBreak/>
              <w:t>7)</w:t>
            </w:r>
          </w:p>
        </w:tc>
        <w:tc>
          <w:tcPr>
            <w:tcW w:w="1760" w:type="dxa"/>
          </w:tcPr>
          <w:p w14:paraId="6A773AC4" w14:textId="77777777" w:rsidR="00B415C2" w:rsidRPr="00CF7662" w:rsidRDefault="00B415C2" w:rsidP="00A06354">
            <w:pPr>
              <w:keepNext/>
              <w:keepLines/>
              <w:spacing w:before="20" w:after="20"/>
              <w:jc w:val="center"/>
              <w:rPr>
                <w:sz w:val="19"/>
                <w:szCs w:val="19"/>
                <w:lang w:val="fr-FR"/>
              </w:rPr>
            </w:pPr>
            <w:r w:rsidRPr="00CF7662">
              <w:rPr>
                <w:sz w:val="19"/>
                <w:szCs w:val="19"/>
                <w:lang w:val="fr-FR" w:bidi="ar-KW"/>
              </w:rPr>
              <w:t>EN ISO 24431:2016</w:t>
            </w:r>
          </w:p>
        </w:tc>
        <w:tc>
          <w:tcPr>
            <w:tcW w:w="5425" w:type="dxa"/>
          </w:tcPr>
          <w:p w14:paraId="7B165963" w14:textId="546F9347" w:rsidR="00B415C2" w:rsidRPr="00CF7662" w:rsidRDefault="00B415C2" w:rsidP="00B415C2">
            <w:pPr>
              <w:keepNext/>
              <w:keepLines/>
              <w:spacing w:before="20" w:after="20"/>
              <w:ind w:right="77"/>
              <w:rPr>
                <w:sz w:val="19"/>
                <w:szCs w:val="19"/>
                <w:lang w:val="fr-FR"/>
              </w:rPr>
            </w:pPr>
            <w:r w:rsidRPr="00CF7662">
              <w:rPr>
                <w:lang w:val="fr-FR"/>
              </w:rPr>
              <w:t>Bouteilles à gaz - Bouteilles à gaz comprimés et liquéfiés</w:t>
            </w:r>
            <w:r>
              <w:rPr>
                <w:lang w:val="fr-FR"/>
              </w:rPr>
              <w:t xml:space="preserve"> </w:t>
            </w:r>
            <w:r w:rsidRPr="00CF7662">
              <w:rPr>
                <w:lang w:val="fr-FR"/>
              </w:rPr>
              <w:t>(à l'exception de l'acétylène) sans soudure, soudées et composites  - Contrôle au moment du remplissage</w:t>
            </w:r>
          </w:p>
        </w:tc>
      </w:tr>
    </w:tbl>
    <w:p w14:paraId="5C5B0071" w14:textId="04979492" w:rsidR="003C38A4" w:rsidRPr="00CF7662" w:rsidRDefault="003C38A4" w:rsidP="00882DFF">
      <w:pPr>
        <w:pStyle w:val="SingleTxtG"/>
        <w:spacing w:before="120"/>
        <w:rPr>
          <w:lang w:val="fr-FR"/>
        </w:rPr>
      </w:pPr>
      <w:r w:rsidRPr="00CF7662">
        <w:rPr>
          <w:lang w:val="fr-FR"/>
        </w:rPr>
        <w:t xml:space="preserve">4.1.4.1, </w:t>
      </w:r>
      <w:r w:rsidR="00CF7662" w:rsidRPr="00CF7662">
        <w:rPr>
          <w:lang w:val="fr-FR"/>
        </w:rPr>
        <w:t xml:space="preserve">instruction d’emballage </w:t>
      </w:r>
      <w:r w:rsidRPr="00CF7662">
        <w:rPr>
          <w:lang w:val="fr-FR"/>
        </w:rPr>
        <w:t>P200</w:t>
      </w:r>
      <w:r w:rsidRPr="00CF7662">
        <w:rPr>
          <w:lang w:val="fr-FR"/>
        </w:rPr>
        <w:tab/>
        <w:t xml:space="preserve">Au paragraphe 11), dans le tableau, dans la colonne « Référence », remplacer « EN 1439:2008 </w:t>
      </w:r>
      <w:r w:rsidRPr="00CF7662">
        <w:rPr>
          <w:rFonts w:cs="Arial"/>
          <w:bCs/>
          <w:szCs w:val="18"/>
          <w:lang w:val="fr-FR"/>
        </w:rPr>
        <w:t xml:space="preserve">(sauf 3.5 et Annexe G) » par: </w:t>
      </w:r>
      <w:r w:rsidRPr="00CF7662">
        <w:rPr>
          <w:lang w:val="fr-FR"/>
        </w:rPr>
        <w:t>« EN 1439:2017 ».</w:t>
      </w:r>
    </w:p>
    <w:p w14:paraId="130F8569" w14:textId="2946CE42" w:rsidR="003C38A4" w:rsidRPr="00CF7662" w:rsidRDefault="003C38A4" w:rsidP="003C38A4">
      <w:pPr>
        <w:pStyle w:val="SingleTxtG"/>
        <w:rPr>
          <w:lang w:val="fr-FR"/>
        </w:rPr>
      </w:pPr>
      <w:r w:rsidRPr="00CF7662">
        <w:rPr>
          <w:lang w:val="fr-FR"/>
        </w:rPr>
        <w:t xml:space="preserve">4.1.4.1, </w:t>
      </w:r>
      <w:r w:rsidR="00CF7662" w:rsidRPr="00CF7662">
        <w:rPr>
          <w:lang w:val="fr-FR"/>
        </w:rPr>
        <w:t xml:space="preserve">instruction d’emballage </w:t>
      </w:r>
      <w:r w:rsidRPr="00CF7662">
        <w:rPr>
          <w:lang w:val="fr-FR"/>
        </w:rPr>
        <w:t>P200</w:t>
      </w:r>
      <w:r w:rsidRPr="00CF7662">
        <w:rPr>
          <w:lang w:val="fr-FR"/>
        </w:rPr>
        <w:tab/>
        <w:t>Au paragraphe 11), dans le tableau, après la ligne pour la norme « EN 1439:2017 », insérer la nouvelle ligne suivante :</w:t>
      </w:r>
    </w:p>
    <w:tbl>
      <w:tblPr>
        <w:tblStyle w:val="TableGrid"/>
        <w:tblW w:w="8505" w:type="dxa"/>
        <w:tblInd w:w="1129" w:type="dxa"/>
        <w:tblLook w:val="04A0" w:firstRow="1" w:lastRow="0" w:firstColumn="1" w:lastColumn="0" w:noHBand="0" w:noVBand="1"/>
      </w:tblPr>
      <w:tblGrid>
        <w:gridCol w:w="1282"/>
        <w:gridCol w:w="1644"/>
        <w:gridCol w:w="5579"/>
      </w:tblGrid>
      <w:tr w:rsidR="003C38A4" w:rsidRPr="00CF7662" w14:paraId="40858BBD" w14:textId="77777777" w:rsidTr="00C82BCE">
        <w:tc>
          <w:tcPr>
            <w:tcW w:w="1111" w:type="dxa"/>
            <w:vAlign w:val="center"/>
          </w:tcPr>
          <w:p w14:paraId="557DB6A7" w14:textId="22C9DAC5" w:rsidR="003C38A4" w:rsidRPr="00CF7662" w:rsidRDefault="003C38A4" w:rsidP="00C82BCE">
            <w:pPr>
              <w:spacing w:before="120" w:after="120" w:line="240" w:lineRule="auto"/>
              <w:ind w:left="5"/>
              <w:jc w:val="center"/>
            </w:pPr>
            <w:r w:rsidRPr="00CF7662">
              <w:t>7) et 10) ta b)</w:t>
            </w:r>
          </w:p>
        </w:tc>
        <w:tc>
          <w:tcPr>
            <w:tcW w:w="1425" w:type="dxa"/>
            <w:vAlign w:val="center"/>
          </w:tcPr>
          <w:p w14:paraId="52D516A2" w14:textId="77777777" w:rsidR="003C38A4" w:rsidRPr="00CF7662" w:rsidRDefault="003C38A4" w:rsidP="00C82BCE">
            <w:pPr>
              <w:spacing w:before="120" w:after="120" w:line="240" w:lineRule="auto"/>
              <w:ind w:left="23"/>
              <w:jc w:val="center"/>
            </w:pPr>
            <w:r w:rsidRPr="00CF7662">
              <w:t>EN 13952:2017</w:t>
            </w:r>
          </w:p>
        </w:tc>
        <w:tc>
          <w:tcPr>
            <w:tcW w:w="4835" w:type="dxa"/>
            <w:vAlign w:val="center"/>
          </w:tcPr>
          <w:p w14:paraId="53D22941" w14:textId="5EED347F" w:rsidR="00B415C2" w:rsidRPr="00CF7662" w:rsidRDefault="003C38A4" w:rsidP="007A2A1D">
            <w:pPr>
              <w:spacing w:before="120" w:after="120" w:line="240" w:lineRule="auto"/>
              <w:ind w:left="97"/>
            </w:pPr>
            <w:r w:rsidRPr="00CF7662">
              <w:t xml:space="preserve">Équipement </w:t>
            </w:r>
            <w:r w:rsidR="00B415C2" w:rsidRPr="00B415C2">
              <w:t xml:space="preserve">pour gaz de pétrole liquéfiés </w:t>
            </w:r>
            <w:r w:rsidRPr="00CF7662">
              <w:t xml:space="preserve">et leurs accessoires </w:t>
            </w:r>
            <w:r w:rsidRPr="00CF7662">
              <w:rPr>
                <w:rFonts w:cs="Arial"/>
                <w:bCs/>
              </w:rPr>
              <w:t>−</w:t>
            </w:r>
            <w:r w:rsidRPr="00CF7662">
              <w:t xml:space="preserve"> </w:t>
            </w:r>
            <w:r w:rsidR="00B415C2" w:rsidRPr="00B415C2">
              <w:t xml:space="preserve">Opérations </w:t>
            </w:r>
            <w:r w:rsidRPr="00CF7662">
              <w:t>de remplissage des bouteilles de GPL</w:t>
            </w:r>
          </w:p>
        </w:tc>
      </w:tr>
    </w:tbl>
    <w:p w14:paraId="0A2D49A7" w14:textId="7CC5A9FD" w:rsidR="003C38A4" w:rsidRPr="00CF7662" w:rsidRDefault="003C38A4" w:rsidP="00882DFF">
      <w:pPr>
        <w:pStyle w:val="SingleTxtG"/>
        <w:spacing w:before="120"/>
        <w:rPr>
          <w:lang w:val="fr-FR"/>
        </w:rPr>
      </w:pPr>
      <w:r w:rsidRPr="00CF7662">
        <w:rPr>
          <w:lang w:val="fr-FR"/>
        </w:rPr>
        <w:t xml:space="preserve">4.1.4.1, </w:t>
      </w:r>
      <w:r w:rsidR="00CF7662" w:rsidRPr="00CF7662">
        <w:rPr>
          <w:lang w:val="fr-FR"/>
        </w:rPr>
        <w:t xml:space="preserve">instruction d’emballage </w:t>
      </w:r>
      <w:r w:rsidRPr="00CF7662">
        <w:rPr>
          <w:lang w:val="fr-FR"/>
        </w:rPr>
        <w:t>P200</w:t>
      </w:r>
      <w:r w:rsidRPr="00CF7662">
        <w:rPr>
          <w:lang w:val="fr-FR"/>
        </w:rPr>
        <w:tab/>
        <w:t>Au paragraphe 11), supprimer la ligne pour la norme « EN 12755:2000 ».</w:t>
      </w:r>
    </w:p>
    <w:p w14:paraId="2C892FC2" w14:textId="5E18724B" w:rsidR="003C38A4" w:rsidRPr="00CF7662" w:rsidRDefault="003C38A4" w:rsidP="003C38A4">
      <w:pPr>
        <w:pStyle w:val="SingleTxtG"/>
        <w:rPr>
          <w:rFonts w:cs="Arial"/>
          <w:snapToGrid w:val="0"/>
          <w:szCs w:val="22"/>
          <w:lang w:val="fr-FR"/>
        </w:rPr>
      </w:pPr>
      <w:r w:rsidRPr="00CF7662">
        <w:rPr>
          <w:rFonts w:cs="Arial"/>
          <w:snapToGrid w:val="0"/>
          <w:szCs w:val="22"/>
          <w:lang w:val="fr-FR"/>
        </w:rPr>
        <w:t xml:space="preserve">4.1.4.1, </w:t>
      </w:r>
      <w:r w:rsidR="00CF7662" w:rsidRPr="00CF7662">
        <w:rPr>
          <w:lang w:val="fr-FR"/>
        </w:rPr>
        <w:t xml:space="preserve">instruction d’emballage </w:t>
      </w:r>
      <w:r w:rsidRPr="00CF7662">
        <w:rPr>
          <w:rFonts w:cs="Arial"/>
          <w:snapToGrid w:val="0"/>
          <w:szCs w:val="22"/>
          <w:lang w:val="fr-FR"/>
        </w:rPr>
        <w:t>P200</w:t>
      </w:r>
      <w:r w:rsidRPr="00CF7662">
        <w:rPr>
          <w:rFonts w:cs="Arial"/>
          <w:snapToGrid w:val="0"/>
          <w:szCs w:val="22"/>
          <w:lang w:val="fr-FR"/>
        </w:rPr>
        <w:tab/>
      </w:r>
      <w:r w:rsidRPr="00CF7662">
        <w:rPr>
          <w:lang w:val="fr-FR"/>
        </w:rPr>
        <w:t>Au paragraphe 12), point 2.1, remplacer « dans la norme EN 1439:2008 » par « dans les normes EN 1439:2017 et EN 13952:2017 ».</w:t>
      </w:r>
    </w:p>
    <w:p w14:paraId="7E46CBD3" w14:textId="040687D6" w:rsidR="003C38A4" w:rsidRPr="00CF7662" w:rsidRDefault="003C38A4" w:rsidP="003C38A4">
      <w:pPr>
        <w:pStyle w:val="SingleTxtG"/>
      </w:pPr>
      <w:r w:rsidRPr="00CF7662">
        <w:t xml:space="preserve">4.1.4.1, </w:t>
      </w:r>
      <w:r w:rsidR="00CF7662" w:rsidRPr="00CF7662">
        <w:t xml:space="preserve">instruction d’emballage </w:t>
      </w:r>
      <w:r w:rsidRPr="00CF7662">
        <w:t xml:space="preserve">P200 </w:t>
      </w:r>
      <w:r w:rsidRPr="00CF7662">
        <w:tab/>
        <w:t>Au paragraphe 13), au 2.1, remplacer «</w:t>
      </w:r>
      <w:r w:rsidR="004003B4" w:rsidRPr="00CF7662">
        <w:t> </w:t>
      </w:r>
      <w:r w:rsidRPr="00CF7662">
        <w:t>EN 1919:2000, EN 1920:2000</w:t>
      </w:r>
      <w:r w:rsidR="004003B4" w:rsidRPr="00CF7662">
        <w:t> </w:t>
      </w:r>
      <w:r w:rsidRPr="00CF7662">
        <w:t>» par «</w:t>
      </w:r>
      <w:r w:rsidR="004003B4" w:rsidRPr="00CF7662">
        <w:t> </w:t>
      </w:r>
      <w:r w:rsidRPr="00CF7662">
        <w:t>EN ISO 24431:2016</w:t>
      </w:r>
      <w:r w:rsidR="004003B4" w:rsidRPr="00CF7662">
        <w:t> </w:t>
      </w:r>
      <w:r w:rsidRPr="00CF7662">
        <w:t>».</w:t>
      </w:r>
    </w:p>
    <w:p w14:paraId="3794FB71" w14:textId="762DDE8B" w:rsidR="00196C06" w:rsidRPr="00134782" w:rsidRDefault="00196C06" w:rsidP="00196C06">
      <w:pPr>
        <w:pStyle w:val="SingleTxtG"/>
        <w:rPr>
          <w:lang w:val="fr-FR" w:eastAsia="en-GB"/>
        </w:rPr>
      </w:pPr>
      <w:r w:rsidRPr="00134782">
        <w:rPr>
          <w:lang w:val="fr-FR"/>
        </w:rPr>
        <w:t xml:space="preserve">4.1.4.1, instruction d’emballage P520, disposition supplémentaire 4 </w:t>
      </w:r>
      <w:r w:rsidRPr="00134782">
        <w:rPr>
          <w:lang w:val="fr-FR"/>
        </w:rPr>
        <w:tab/>
      </w:r>
      <w:r w:rsidRPr="00134782">
        <w:rPr>
          <w:lang w:val="fr-FR" w:eastAsia="en-GB"/>
        </w:rPr>
        <w:t>Remplacer «</w:t>
      </w:r>
      <w:r w:rsidR="009F4509" w:rsidRPr="00134782">
        <w:rPr>
          <w:lang w:val="fr-FR"/>
        </w:rPr>
        <w:t> </w:t>
      </w:r>
      <w:r w:rsidRPr="00134782">
        <w:rPr>
          <w:lang w:val="fr-FR" w:eastAsia="en-GB"/>
        </w:rPr>
        <w:t>risque</w:t>
      </w:r>
      <w:r w:rsidR="009F4509" w:rsidRPr="00134782">
        <w:rPr>
          <w:lang w:val="fr-FR"/>
        </w:rPr>
        <w:t> </w:t>
      </w:r>
      <w:r w:rsidRPr="00134782">
        <w:rPr>
          <w:lang w:val="fr-FR" w:eastAsia="en-GB"/>
        </w:rPr>
        <w:t>» par «</w:t>
      </w:r>
      <w:r w:rsidR="009F4509" w:rsidRPr="00134782">
        <w:rPr>
          <w:lang w:val="fr-FR"/>
        </w:rPr>
        <w:t> </w:t>
      </w:r>
      <w:r w:rsidRPr="00134782">
        <w:rPr>
          <w:lang w:val="fr-FR" w:eastAsia="en-GB"/>
        </w:rPr>
        <w:t>danger</w:t>
      </w:r>
      <w:r w:rsidR="009F4509" w:rsidRPr="00134782">
        <w:rPr>
          <w:lang w:val="fr-FR"/>
        </w:rPr>
        <w:t> </w:t>
      </w:r>
      <w:r w:rsidRPr="00134782">
        <w:rPr>
          <w:lang w:val="fr-FR" w:eastAsia="en-GB"/>
        </w:rPr>
        <w:t>».</w:t>
      </w:r>
    </w:p>
    <w:p w14:paraId="5C83D46F" w14:textId="661CACF1" w:rsidR="00C052E4" w:rsidRPr="00134782" w:rsidRDefault="00C052E4" w:rsidP="00C052E4">
      <w:pPr>
        <w:pStyle w:val="SingleTxtG"/>
        <w:rPr>
          <w:lang w:val="fr-FR" w:eastAsia="en-GB"/>
        </w:rPr>
      </w:pPr>
      <w:r w:rsidRPr="00134782">
        <w:rPr>
          <w:lang w:val="fr-FR"/>
        </w:rPr>
        <w:t>4.1.4.1, instruction d’emballage P520</w:t>
      </w:r>
      <w:r w:rsidRPr="00134782">
        <w:rPr>
          <w:lang w:val="fr-FR"/>
        </w:rPr>
        <w:tab/>
        <w:t>Ajouter les nouvelles dispositions spéciales d’emballage suivantes</w:t>
      </w:r>
      <w:r w:rsidR="00125D33" w:rsidRPr="00134782">
        <w:rPr>
          <w:lang w:val="fr-FR"/>
        </w:rPr>
        <w:t> </w:t>
      </w:r>
      <w:r w:rsidRPr="00134782">
        <w:rPr>
          <w:lang w:val="fr-FR"/>
        </w:rPr>
        <w:t>:</w:t>
      </w:r>
    </w:p>
    <w:p w14:paraId="414B4AEF" w14:textId="314FC052" w:rsidR="00C052E4" w:rsidRPr="00134782" w:rsidRDefault="00C052E4" w:rsidP="00C052E4">
      <w:pPr>
        <w:pStyle w:val="SingleTxtG"/>
        <w:rPr>
          <w:rStyle w:val="SingleTxtGChar"/>
          <w:lang w:val="fr-FR"/>
        </w:rPr>
      </w:pPr>
      <w:r w:rsidRPr="00134782">
        <w:rPr>
          <w:rStyle w:val="SingleTxtGChar"/>
          <w:lang w:val="fr-FR"/>
        </w:rPr>
        <w:t>«PP94</w:t>
      </w:r>
      <w:r w:rsidRPr="00134782">
        <w:rPr>
          <w:rStyle w:val="SingleTxtGChar"/>
          <w:lang w:val="fr-FR"/>
        </w:rPr>
        <w:tab/>
        <w:t xml:space="preserve">Les très petites quantités d’échantillons énergétiques </w:t>
      </w:r>
      <w:r w:rsidR="00C82BCE">
        <w:rPr>
          <w:rStyle w:val="SingleTxtGChar"/>
          <w:lang w:val="fr-FR"/>
        </w:rPr>
        <w:t>du</w:t>
      </w:r>
      <w:r w:rsidRPr="00134782">
        <w:rPr>
          <w:rStyle w:val="SingleTxtGChar"/>
          <w:lang w:val="fr-FR"/>
        </w:rPr>
        <w:t> </w:t>
      </w:r>
      <w:r w:rsidR="009360D3" w:rsidRPr="00134782">
        <w:rPr>
          <w:rStyle w:val="SingleTxtGChar"/>
          <w:lang w:val="fr-FR"/>
        </w:rPr>
        <w:t>2.1.4.3</w:t>
      </w:r>
      <w:r w:rsidRPr="00134782">
        <w:rPr>
          <w:rStyle w:val="SingleTxtGChar"/>
          <w:lang w:val="fr-FR"/>
        </w:rPr>
        <w:t xml:space="preserve"> peuvent être transportées sous les Nos ONU 3223 ou 3224</w:t>
      </w:r>
      <w:r w:rsidR="00771312" w:rsidRPr="00134782">
        <w:rPr>
          <w:rStyle w:val="SingleTxtGChar"/>
          <w:lang w:val="fr-FR"/>
        </w:rPr>
        <w:t>, selon le cas, à condition que</w:t>
      </w:r>
      <w:r w:rsidR="00125D33" w:rsidRPr="00134782">
        <w:rPr>
          <w:lang w:val="fr-FR"/>
        </w:rPr>
        <w:t> </w:t>
      </w:r>
      <w:r w:rsidRPr="00134782">
        <w:rPr>
          <w:rStyle w:val="SingleTxtGChar"/>
          <w:lang w:val="fr-FR"/>
        </w:rPr>
        <w:t>:</w:t>
      </w:r>
    </w:p>
    <w:p w14:paraId="00868C25" w14:textId="14FB2100" w:rsidR="00C052E4" w:rsidRPr="00134782" w:rsidRDefault="00C052E4" w:rsidP="00C052E4">
      <w:pPr>
        <w:pStyle w:val="SingleTxtG"/>
        <w:rPr>
          <w:rStyle w:val="SingleTxtGChar"/>
          <w:lang w:val="fr-FR"/>
        </w:rPr>
      </w:pPr>
      <w:r w:rsidRPr="00134782">
        <w:rPr>
          <w:rStyle w:val="SingleTxtGChar"/>
          <w:lang w:val="fr-FR"/>
        </w:rPr>
        <w:t>1.</w:t>
      </w:r>
      <w:r w:rsidRPr="00134782">
        <w:rPr>
          <w:rStyle w:val="SingleTxtGChar"/>
          <w:lang w:val="fr-FR"/>
        </w:rPr>
        <w:tab/>
        <w:t xml:space="preserve">Seuls des emballages combinés dont l’emballage extérieur est </w:t>
      </w:r>
      <w:r w:rsidR="00134782" w:rsidRPr="00134782">
        <w:rPr>
          <w:rStyle w:val="SingleTxtGChar"/>
          <w:lang w:val="fr-FR"/>
        </w:rPr>
        <w:t>une caisse</w:t>
      </w:r>
      <w:r w:rsidRPr="00134782">
        <w:rPr>
          <w:rStyle w:val="SingleTxtGChar"/>
          <w:lang w:val="fr-FR"/>
        </w:rPr>
        <w:t xml:space="preserve"> (4A, 4B, 4N, 4C1, 4C2, 4D, 4F, 4G, 4H1 et 4H2) soient utilisés</w:t>
      </w:r>
      <w:r w:rsidR="00125D33" w:rsidRPr="00134782">
        <w:rPr>
          <w:lang w:val="fr-FR"/>
        </w:rPr>
        <w:t> </w:t>
      </w:r>
      <w:r w:rsidRPr="00134782">
        <w:rPr>
          <w:rStyle w:val="SingleTxtGChar"/>
          <w:lang w:val="fr-FR"/>
        </w:rPr>
        <w:t>;</w:t>
      </w:r>
    </w:p>
    <w:p w14:paraId="44BB0856" w14:textId="03ABB204" w:rsidR="00C052E4" w:rsidRPr="00134782" w:rsidRDefault="00C052E4" w:rsidP="00C052E4">
      <w:pPr>
        <w:pStyle w:val="SingleTxtG"/>
        <w:rPr>
          <w:rStyle w:val="SingleTxtGChar"/>
          <w:lang w:val="fr-FR"/>
        </w:rPr>
      </w:pPr>
      <w:r w:rsidRPr="00134782">
        <w:rPr>
          <w:rStyle w:val="SingleTxtGChar"/>
          <w:lang w:val="fr-FR"/>
        </w:rPr>
        <w:t>2.</w:t>
      </w:r>
      <w:r w:rsidRPr="00134782">
        <w:rPr>
          <w:rStyle w:val="SingleTxtGChar"/>
          <w:lang w:val="fr-FR"/>
        </w:rPr>
        <w:tab/>
        <w:t>Les échantillons soient transportés dans des plaques à réservoirs ou des plaques multiples en plastique, en verre, en porcelaine ou en grès, faisant office d’emballage intérieur</w:t>
      </w:r>
      <w:r w:rsidR="00125D33" w:rsidRPr="00134782">
        <w:rPr>
          <w:lang w:val="fr-FR"/>
        </w:rPr>
        <w:t> </w:t>
      </w:r>
      <w:r w:rsidRPr="00134782">
        <w:rPr>
          <w:rStyle w:val="SingleTxtGChar"/>
          <w:lang w:val="fr-FR"/>
        </w:rPr>
        <w:t>;</w:t>
      </w:r>
    </w:p>
    <w:p w14:paraId="563B9B1E" w14:textId="437755A8" w:rsidR="00C052E4" w:rsidRPr="00134782" w:rsidRDefault="00C052E4" w:rsidP="00C052E4">
      <w:pPr>
        <w:pStyle w:val="SingleTxtG"/>
        <w:rPr>
          <w:rStyle w:val="SingleTxtGChar"/>
          <w:lang w:val="fr-FR"/>
        </w:rPr>
      </w:pPr>
      <w:r w:rsidRPr="00134782">
        <w:rPr>
          <w:rStyle w:val="SingleTxtGChar"/>
          <w:lang w:val="fr-FR"/>
        </w:rPr>
        <w:t>3.</w:t>
      </w:r>
      <w:r w:rsidRPr="00134782">
        <w:rPr>
          <w:rStyle w:val="SingleTxtGChar"/>
          <w:lang w:val="fr-FR"/>
        </w:rPr>
        <w:tab/>
        <w:t>La quantité maximum par cavité interne ne dépasse pas 0,01 g pour les matières solides et 0,01 ml pour les matières liquides</w:t>
      </w:r>
      <w:r w:rsidR="00125D33" w:rsidRPr="00134782">
        <w:rPr>
          <w:lang w:val="fr-FR"/>
        </w:rPr>
        <w:t> </w:t>
      </w:r>
      <w:r w:rsidRPr="00134782">
        <w:rPr>
          <w:rStyle w:val="SingleTxtGChar"/>
          <w:lang w:val="fr-FR"/>
        </w:rPr>
        <w:t>;</w:t>
      </w:r>
    </w:p>
    <w:p w14:paraId="47BAA4F7" w14:textId="798924B9" w:rsidR="00C052E4" w:rsidRPr="00134782" w:rsidRDefault="00C052E4" w:rsidP="00C052E4">
      <w:pPr>
        <w:pStyle w:val="SingleTxtG"/>
        <w:rPr>
          <w:rStyle w:val="SingleTxtGChar"/>
          <w:lang w:val="fr-FR"/>
        </w:rPr>
      </w:pPr>
      <w:r w:rsidRPr="00134782">
        <w:rPr>
          <w:rStyle w:val="SingleTxtGChar"/>
          <w:lang w:val="fr-FR"/>
        </w:rPr>
        <w:t>4.</w:t>
      </w:r>
      <w:r w:rsidRPr="00134782">
        <w:rPr>
          <w:rStyle w:val="SingleTxtGChar"/>
          <w:lang w:val="fr-FR"/>
        </w:rPr>
        <w:tab/>
        <w:t xml:space="preserve">La quantité maximum nette par emballage extérieur </w:t>
      </w:r>
      <w:r w:rsidR="0028758A" w:rsidRPr="00134782">
        <w:rPr>
          <w:rStyle w:val="SingleTxtGChar"/>
          <w:lang w:val="fr-FR"/>
        </w:rPr>
        <w:t xml:space="preserve">soit </w:t>
      </w:r>
      <w:r w:rsidRPr="00134782">
        <w:rPr>
          <w:rStyle w:val="SingleTxtGChar"/>
          <w:lang w:val="fr-FR"/>
        </w:rPr>
        <w:t>égale à 20 g pour les matières solides et à 20 ml pour les matières liquides. Dans le cas d’emballages en commun, la somme de la masse en g et du volume en ml ne doit pas dépasser 20</w:t>
      </w:r>
      <w:r w:rsidR="00125D33" w:rsidRPr="00134782">
        <w:rPr>
          <w:lang w:val="fr-FR"/>
        </w:rPr>
        <w:t> </w:t>
      </w:r>
      <w:r w:rsidRPr="00134782">
        <w:rPr>
          <w:rStyle w:val="SingleTxtGChar"/>
          <w:lang w:val="fr-FR"/>
        </w:rPr>
        <w:t>; et</w:t>
      </w:r>
    </w:p>
    <w:p w14:paraId="5C0E7B50" w14:textId="253C7E3C" w:rsidR="00C052E4" w:rsidRPr="00134782" w:rsidRDefault="00C052E4" w:rsidP="00C052E4">
      <w:pPr>
        <w:pStyle w:val="SingleTxtG"/>
        <w:rPr>
          <w:rStyle w:val="SingleTxtGChar"/>
          <w:lang w:val="fr-FR"/>
        </w:rPr>
      </w:pPr>
      <w:r w:rsidRPr="00134782">
        <w:rPr>
          <w:rStyle w:val="SingleTxtGChar"/>
          <w:lang w:val="fr-FR"/>
        </w:rPr>
        <w:t>5.</w:t>
      </w:r>
      <w:r w:rsidRPr="00134782">
        <w:rPr>
          <w:rStyle w:val="SingleTxtGChar"/>
          <w:lang w:val="fr-FR"/>
        </w:rPr>
        <w:tab/>
        <w:t>Lorsque l’on utilise</w:t>
      </w:r>
      <w:r w:rsidR="00134782" w:rsidRPr="00134782">
        <w:rPr>
          <w:lang w:val="fr-FR"/>
        </w:rPr>
        <w:t>, à titre d’option,</w:t>
      </w:r>
      <w:r w:rsidRPr="00134782">
        <w:rPr>
          <w:rStyle w:val="SingleTxtGChar"/>
          <w:lang w:val="fr-FR"/>
        </w:rPr>
        <w:t xml:space="preserve"> de la neige carbonique ou de l’azote liquide comme réfrigérant en vue d’un contrôle de qualité, les prescriptions du paragraphe 5.5.3 </w:t>
      </w:r>
      <w:r w:rsidR="0028758A" w:rsidRPr="00134782">
        <w:rPr>
          <w:rStyle w:val="SingleTxtGChar"/>
          <w:lang w:val="fr-FR"/>
        </w:rPr>
        <w:t>soient</w:t>
      </w:r>
      <w:r w:rsidRPr="00134782">
        <w:rPr>
          <w:rStyle w:val="SingleTxtGChar"/>
          <w:lang w:val="fr-FR"/>
        </w:rPr>
        <w:t xml:space="preserve"> remplies. Des supports intérieurs doivent être prévus pour que les emballages intérieurs restent dans leur position initiale. Les emballages intérieurs et extérieurs doivent conserver leur intégrité à la température du produit réfrigérant utilisé ainsi qu’aux températures et aux pressions qui découleraient d’un arrêt de la réfrigération.</w:t>
      </w:r>
    </w:p>
    <w:p w14:paraId="600E32AF" w14:textId="4A2247CF" w:rsidR="00C052E4" w:rsidRPr="00134782" w:rsidRDefault="00C052E4" w:rsidP="00C052E4">
      <w:pPr>
        <w:pStyle w:val="SingleTxtG"/>
        <w:rPr>
          <w:rStyle w:val="SingleTxtGChar"/>
          <w:lang w:val="fr-FR"/>
        </w:rPr>
      </w:pPr>
      <w:r w:rsidRPr="00134782">
        <w:rPr>
          <w:lang w:val="fr-FR"/>
        </w:rPr>
        <w:t>PP95</w:t>
      </w:r>
      <w:r w:rsidRPr="00134782">
        <w:rPr>
          <w:lang w:val="fr-FR"/>
        </w:rPr>
        <w:tab/>
        <w:t>L</w:t>
      </w:r>
      <w:r w:rsidRPr="00134782">
        <w:rPr>
          <w:rStyle w:val="SingleTxtGChar"/>
          <w:lang w:val="fr-FR"/>
        </w:rPr>
        <w:t xml:space="preserve">es petites quantités d’échantillons énergétiques </w:t>
      </w:r>
      <w:r w:rsidR="00C82BCE">
        <w:rPr>
          <w:rStyle w:val="SingleTxtGChar"/>
          <w:lang w:val="fr-FR"/>
        </w:rPr>
        <w:t>du</w:t>
      </w:r>
      <w:r w:rsidRPr="00134782">
        <w:rPr>
          <w:rStyle w:val="SingleTxtGChar"/>
          <w:lang w:val="fr-FR"/>
        </w:rPr>
        <w:t> </w:t>
      </w:r>
      <w:r w:rsidR="009360D3" w:rsidRPr="00134782">
        <w:rPr>
          <w:rStyle w:val="SingleTxtGChar"/>
          <w:lang w:val="fr-FR"/>
        </w:rPr>
        <w:t>2.1.4.3</w:t>
      </w:r>
      <w:r w:rsidRPr="00134782">
        <w:rPr>
          <w:rStyle w:val="SingleTxtGChar"/>
          <w:lang w:val="fr-FR"/>
        </w:rPr>
        <w:t xml:space="preserve"> peuvent être transportées sous les Nos ONU 3223 ou 3224, selon le cas, à condition que</w:t>
      </w:r>
      <w:r w:rsidR="00125D33" w:rsidRPr="00134782">
        <w:rPr>
          <w:lang w:val="fr-FR"/>
        </w:rPr>
        <w:t> </w:t>
      </w:r>
      <w:r w:rsidRPr="00134782">
        <w:rPr>
          <w:rStyle w:val="SingleTxtGChar"/>
          <w:lang w:val="fr-FR"/>
        </w:rPr>
        <w:t>:</w:t>
      </w:r>
    </w:p>
    <w:p w14:paraId="1BBB5ACA" w14:textId="3895FD28" w:rsidR="00C052E4" w:rsidRPr="00134782" w:rsidRDefault="00C052E4" w:rsidP="00C052E4">
      <w:pPr>
        <w:pStyle w:val="SingleTxtG"/>
        <w:rPr>
          <w:lang w:val="fr-FR"/>
        </w:rPr>
      </w:pPr>
      <w:r w:rsidRPr="00134782">
        <w:rPr>
          <w:lang w:val="fr-FR"/>
        </w:rPr>
        <w:t>1.</w:t>
      </w:r>
      <w:r w:rsidRPr="00134782">
        <w:rPr>
          <w:lang w:val="fr-FR"/>
        </w:rPr>
        <w:tab/>
        <w:t xml:space="preserve">Les emballages extérieurs </w:t>
      </w:r>
      <w:r w:rsidR="000243E2" w:rsidRPr="00134782">
        <w:rPr>
          <w:lang w:val="fr-FR"/>
        </w:rPr>
        <w:t xml:space="preserve">consistent uniquement en des caisses en carton ondulé de type 4G </w:t>
      </w:r>
      <w:r w:rsidRPr="00134782">
        <w:rPr>
          <w:lang w:val="fr-FR"/>
        </w:rPr>
        <w:t>avec, pour dimensions minimales, une longueur de 60 cm, une largeur de 40,5 cm et une hauteur de 30 cm, et avec une épaisseur de paroi minimale de 1,3 cm</w:t>
      </w:r>
      <w:r w:rsidR="00125D33" w:rsidRPr="00134782">
        <w:rPr>
          <w:lang w:val="fr-FR"/>
        </w:rPr>
        <w:t> </w:t>
      </w:r>
      <w:r w:rsidRPr="00134782">
        <w:rPr>
          <w:lang w:val="fr-FR"/>
        </w:rPr>
        <w:t>;</w:t>
      </w:r>
    </w:p>
    <w:p w14:paraId="7D96AA7B" w14:textId="4304895F" w:rsidR="00C052E4" w:rsidRPr="00134782" w:rsidRDefault="00C052E4" w:rsidP="00C052E4">
      <w:pPr>
        <w:pStyle w:val="SingleTxtG"/>
        <w:rPr>
          <w:lang w:val="fr-FR"/>
        </w:rPr>
      </w:pPr>
      <w:r w:rsidRPr="00134782">
        <w:rPr>
          <w:lang w:val="fr-FR"/>
        </w:rPr>
        <w:lastRenderedPageBreak/>
        <w:t>2.</w:t>
      </w:r>
      <w:r w:rsidRPr="00134782">
        <w:rPr>
          <w:lang w:val="fr-FR"/>
        </w:rPr>
        <w:tab/>
        <w:t>La matière soit contenue dans un emballage intérieur de verre ou de plastique d’une capacité maximum de 30 ml placé dans une matrice expansible en mousse de polyéthylène d'au moins 130 mm d'épaisseur ayant une densité de 18 ± 1 g/</w:t>
      </w:r>
      <w:r w:rsidRPr="00134782">
        <w:rPr>
          <w:i/>
          <w:lang w:val="fr-FR"/>
        </w:rPr>
        <w:t>l</w:t>
      </w:r>
      <w:r w:rsidR="00125D33" w:rsidRPr="00134782">
        <w:rPr>
          <w:lang w:val="fr-FR"/>
        </w:rPr>
        <w:t> </w:t>
      </w:r>
      <w:r w:rsidRPr="00134782">
        <w:rPr>
          <w:lang w:val="fr-FR"/>
        </w:rPr>
        <w:t>;</w:t>
      </w:r>
    </w:p>
    <w:p w14:paraId="18172C3E" w14:textId="6CBA51C5" w:rsidR="00C052E4" w:rsidRPr="00134782" w:rsidRDefault="00C052E4" w:rsidP="00C052E4">
      <w:pPr>
        <w:pStyle w:val="SingleTxtG"/>
        <w:rPr>
          <w:lang w:val="fr-FR"/>
        </w:rPr>
      </w:pPr>
      <w:r w:rsidRPr="00134782">
        <w:rPr>
          <w:lang w:val="fr-FR"/>
        </w:rPr>
        <w:t>3.</w:t>
      </w:r>
      <w:r w:rsidRPr="00134782">
        <w:rPr>
          <w:lang w:val="fr-FR"/>
        </w:rPr>
        <w:tab/>
        <w:t xml:space="preserve">Dans le support de mousse, les emballages intérieurs </w:t>
      </w:r>
      <w:r w:rsidR="0028758A" w:rsidRPr="00134782">
        <w:rPr>
          <w:lang w:val="fr-FR"/>
        </w:rPr>
        <w:t xml:space="preserve">soient </w:t>
      </w:r>
      <w:r w:rsidRPr="00134782">
        <w:rPr>
          <w:lang w:val="fr-FR"/>
        </w:rPr>
        <w:t xml:space="preserve">séparés les uns des autres d'une distance minimale de 40 mm et de la paroi de l'emballage extérieur d'une distance minimale de 70 mm. </w:t>
      </w:r>
      <w:r w:rsidR="00565907" w:rsidRPr="00134782">
        <w:rPr>
          <w:lang w:val="fr-FR"/>
        </w:rPr>
        <w:t>Le colis</w:t>
      </w:r>
      <w:r w:rsidRPr="00134782">
        <w:rPr>
          <w:lang w:val="fr-FR"/>
        </w:rPr>
        <w:t xml:space="preserve"> peut contenir jusqu'à deux couches de telles matrices de mousse, chacune pouvant contenir jusqu'à 28 emballages intérieurs</w:t>
      </w:r>
      <w:r w:rsidR="00125D33" w:rsidRPr="00134782">
        <w:rPr>
          <w:lang w:val="fr-FR"/>
        </w:rPr>
        <w:t> </w:t>
      </w:r>
      <w:r w:rsidRPr="00134782">
        <w:rPr>
          <w:lang w:val="fr-FR"/>
        </w:rPr>
        <w:t>;</w:t>
      </w:r>
    </w:p>
    <w:p w14:paraId="4C090E3B" w14:textId="261B6FB0" w:rsidR="00C052E4" w:rsidRPr="00134782" w:rsidRDefault="00C052E4" w:rsidP="00C052E4">
      <w:pPr>
        <w:pStyle w:val="SingleTxtG"/>
        <w:rPr>
          <w:lang w:val="fr-FR"/>
        </w:rPr>
      </w:pPr>
      <w:r w:rsidRPr="00134782">
        <w:rPr>
          <w:lang w:val="fr-FR"/>
        </w:rPr>
        <w:t>4.</w:t>
      </w:r>
      <w:r w:rsidRPr="00134782">
        <w:rPr>
          <w:lang w:val="fr-FR"/>
        </w:rPr>
        <w:tab/>
        <w:t xml:space="preserve">Chaque emballage intérieur ne </w:t>
      </w:r>
      <w:r w:rsidR="0028758A" w:rsidRPr="00134782">
        <w:rPr>
          <w:lang w:val="fr-FR"/>
        </w:rPr>
        <w:t>contienne pas</w:t>
      </w:r>
      <w:r w:rsidRPr="00134782">
        <w:rPr>
          <w:lang w:val="fr-FR"/>
        </w:rPr>
        <w:t xml:space="preserve"> plus de 1 g pour les solides ou 1 ml pour les liquides</w:t>
      </w:r>
      <w:r w:rsidR="00125D33" w:rsidRPr="00134782">
        <w:rPr>
          <w:lang w:val="fr-FR"/>
        </w:rPr>
        <w:t> </w:t>
      </w:r>
      <w:r w:rsidRPr="00134782">
        <w:rPr>
          <w:lang w:val="fr-FR"/>
        </w:rPr>
        <w:t>;</w:t>
      </w:r>
    </w:p>
    <w:p w14:paraId="1273C0C2" w14:textId="05C02964" w:rsidR="00C052E4" w:rsidRPr="00134782" w:rsidRDefault="00C052E4" w:rsidP="00C052E4">
      <w:pPr>
        <w:pStyle w:val="SingleTxtG"/>
        <w:rPr>
          <w:lang w:val="fr-FR"/>
        </w:rPr>
      </w:pPr>
      <w:r w:rsidRPr="00134782">
        <w:rPr>
          <w:lang w:val="fr-FR"/>
        </w:rPr>
        <w:t>5.</w:t>
      </w:r>
      <w:r w:rsidRPr="00134782">
        <w:rPr>
          <w:lang w:val="fr-FR"/>
        </w:rPr>
        <w:tab/>
      </w:r>
      <w:r w:rsidRPr="00134782">
        <w:rPr>
          <w:rStyle w:val="SingleTxtGChar"/>
          <w:lang w:val="fr-FR"/>
        </w:rPr>
        <w:t xml:space="preserve">La quantité maximum nette par emballage extérieur </w:t>
      </w:r>
      <w:r w:rsidR="0028758A" w:rsidRPr="00134782">
        <w:rPr>
          <w:rStyle w:val="SingleTxtGChar"/>
          <w:lang w:val="fr-FR"/>
        </w:rPr>
        <w:t xml:space="preserve">soit </w:t>
      </w:r>
      <w:r w:rsidRPr="00134782">
        <w:rPr>
          <w:rStyle w:val="SingleTxtGChar"/>
          <w:lang w:val="fr-FR"/>
        </w:rPr>
        <w:t>égale à 56 g pour les matières solides et à 56 ml pour les matières liquides. Dans le cas d’emballages en commun, la somme de la masse en g et du volume en ml ne doit pas dépasser 56</w:t>
      </w:r>
      <w:r w:rsidR="00125D33" w:rsidRPr="00134782">
        <w:rPr>
          <w:lang w:val="fr-FR"/>
        </w:rPr>
        <w:t> </w:t>
      </w:r>
      <w:r w:rsidRPr="00134782">
        <w:rPr>
          <w:rStyle w:val="SingleTxtGChar"/>
          <w:lang w:val="fr-FR"/>
        </w:rPr>
        <w:t>; et</w:t>
      </w:r>
    </w:p>
    <w:p w14:paraId="6ABE0F0A" w14:textId="035B14AC" w:rsidR="00C052E4" w:rsidRPr="00134782" w:rsidRDefault="00C052E4" w:rsidP="00C052E4">
      <w:pPr>
        <w:pStyle w:val="SingleTxtG"/>
        <w:rPr>
          <w:rStyle w:val="SingleTxtGChar"/>
          <w:lang w:val="fr-FR"/>
        </w:rPr>
      </w:pPr>
      <w:r w:rsidRPr="00134782">
        <w:rPr>
          <w:rStyle w:val="SingleTxtGChar"/>
          <w:lang w:val="fr-FR"/>
        </w:rPr>
        <w:t>6.</w:t>
      </w:r>
      <w:r w:rsidRPr="00134782">
        <w:rPr>
          <w:rStyle w:val="SingleTxtGChar"/>
          <w:lang w:val="fr-FR"/>
        </w:rPr>
        <w:tab/>
        <w:t>Lorsque l’on utilise</w:t>
      </w:r>
      <w:r w:rsidR="00134782" w:rsidRPr="00134782">
        <w:rPr>
          <w:lang w:val="fr-FR"/>
        </w:rPr>
        <w:t>, à titre d’option,</w:t>
      </w:r>
      <w:r w:rsidRPr="00134782">
        <w:rPr>
          <w:rStyle w:val="SingleTxtGChar"/>
          <w:lang w:val="fr-FR"/>
        </w:rPr>
        <w:t xml:space="preserve"> de la neige carbonique ou de l’azote liquide comme réfrigérant en vue d’un contrôle de qualité, les prescriptions du paragraphe 5.5.3 </w:t>
      </w:r>
      <w:r w:rsidR="0028758A" w:rsidRPr="00134782">
        <w:rPr>
          <w:rStyle w:val="SingleTxtGChar"/>
          <w:lang w:val="fr-FR"/>
        </w:rPr>
        <w:t>soient</w:t>
      </w:r>
      <w:r w:rsidRPr="00134782">
        <w:rPr>
          <w:rStyle w:val="SingleTxtGChar"/>
          <w:lang w:val="fr-FR"/>
        </w:rPr>
        <w:t xml:space="preserve"> remplies. Des supports intérieurs doivent être prévus pour que les emballages intérieurs restent dans leur position initiale. Les emballages intérieurs et extérieurs doivent conserver leur intégrité à la température du produit réfrigérant utilisé ainsi qu’aux températures et aux pressions qui découleraient d’un arrêt de la réfrigération.</w:t>
      </w:r>
      <w:r w:rsidR="00125D33" w:rsidRPr="00134782">
        <w:rPr>
          <w:lang w:val="fr-FR"/>
        </w:rPr>
        <w:t> </w:t>
      </w:r>
      <w:r w:rsidRPr="00134782">
        <w:rPr>
          <w:rStyle w:val="SingleTxtGChar"/>
          <w:lang w:val="fr-FR"/>
        </w:rPr>
        <w:t>».</w:t>
      </w:r>
    </w:p>
    <w:p w14:paraId="47DBCD48" w14:textId="27743AF3" w:rsidR="004215B9" w:rsidRPr="00134782" w:rsidRDefault="004215B9" w:rsidP="0040504E">
      <w:pPr>
        <w:pStyle w:val="SingleTxtG"/>
        <w:rPr>
          <w:lang w:val="fr-FR"/>
        </w:rPr>
      </w:pPr>
      <w:r w:rsidRPr="00134782">
        <w:rPr>
          <w:rStyle w:val="SingleTxtGChar"/>
          <w:lang w:val="fr-FR"/>
        </w:rPr>
        <w:t>4.1.4.1, instruction d’embal</w:t>
      </w:r>
      <w:r w:rsidR="003F0288" w:rsidRPr="00134782">
        <w:rPr>
          <w:rStyle w:val="SingleTxtGChar"/>
          <w:lang w:val="fr-FR"/>
        </w:rPr>
        <w:t>lage P620</w:t>
      </w:r>
      <w:r w:rsidRPr="00134782">
        <w:rPr>
          <w:rStyle w:val="SingleTxtGChar"/>
          <w:lang w:val="fr-FR"/>
        </w:rPr>
        <w:tab/>
      </w:r>
      <w:r w:rsidR="00EA0411" w:rsidRPr="00134782">
        <w:rPr>
          <w:rStyle w:val="SingleTxtGChar"/>
          <w:lang w:val="fr-FR"/>
        </w:rPr>
        <w:t>Dans la disposition supplémentaire</w:t>
      </w:r>
      <w:r w:rsidRPr="00134782">
        <w:rPr>
          <w:rStyle w:val="SingleTxtGChar"/>
          <w:lang w:val="fr-FR"/>
        </w:rPr>
        <w:t xml:space="preserve"> 3., à la fin, supprimer «</w:t>
      </w:r>
      <w:r w:rsidR="00DA2DF0" w:rsidRPr="00134782">
        <w:rPr>
          <w:rStyle w:val="SingleTxtGChar"/>
          <w:lang w:val="fr-FR"/>
        </w:rPr>
        <w:t> </w:t>
      </w:r>
      <w:r w:rsidRPr="00134782">
        <w:rPr>
          <w:rStyle w:val="SingleTxtGChar"/>
          <w:lang w:val="fr-FR"/>
        </w:rPr>
        <w:t>et à des températures de -40 °C à +55 °C</w:t>
      </w:r>
      <w:r w:rsidR="00DA2DF0" w:rsidRPr="00134782">
        <w:rPr>
          <w:rStyle w:val="SingleTxtGChar"/>
          <w:lang w:val="fr-FR"/>
        </w:rPr>
        <w:t> </w:t>
      </w:r>
      <w:r w:rsidRPr="00134782">
        <w:rPr>
          <w:rStyle w:val="SingleTxtGChar"/>
          <w:lang w:val="fr-FR"/>
        </w:rPr>
        <w:t>»</w:t>
      </w:r>
      <w:r w:rsidRPr="00134782">
        <w:rPr>
          <w:lang w:val="fr-FR"/>
        </w:rPr>
        <w:t xml:space="preserve"> et ajouter la nouvelle phrase suivante</w:t>
      </w:r>
      <w:r w:rsidR="00DA2DF0" w:rsidRPr="00134782">
        <w:rPr>
          <w:lang w:val="fr-FR"/>
        </w:rPr>
        <w:t> </w:t>
      </w:r>
      <w:r w:rsidRPr="00134782">
        <w:rPr>
          <w:lang w:val="fr-FR"/>
        </w:rPr>
        <w:t>: «</w:t>
      </w:r>
      <w:r w:rsidR="00DA2DF0" w:rsidRPr="00134782">
        <w:rPr>
          <w:lang w:val="fr-FR"/>
        </w:rPr>
        <w:t> </w:t>
      </w:r>
      <w:r w:rsidRPr="00134782">
        <w:rPr>
          <w:lang w:val="fr-FR"/>
        </w:rPr>
        <w:t xml:space="preserve">Ce récipient </w:t>
      </w:r>
      <w:r w:rsidR="00856BF5" w:rsidRPr="00134782">
        <w:rPr>
          <w:lang w:val="fr-FR"/>
        </w:rPr>
        <w:t xml:space="preserve">primaire </w:t>
      </w:r>
      <w:r w:rsidRPr="00134782">
        <w:rPr>
          <w:lang w:val="fr-FR"/>
        </w:rPr>
        <w:t xml:space="preserve">ou cet emballage </w:t>
      </w:r>
      <w:r w:rsidR="00856BF5" w:rsidRPr="00134782">
        <w:rPr>
          <w:lang w:val="fr-FR"/>
        </w:rPr>
        <w:t xml:space="preserve">secondaire </w:t>
      </w:r>
      <w:r w:rsidRPr="00134782">
        <w:rPr>
          <w:lang w:val="fr-FR"/>
        </w:rPr>
        <w:t>doit aussi être capable de résister à des températures de -40 °C à +55 °C.</w:t>
      </w:r>
      <w:r w:rsidR="00DA2DF0" w:rsidRPr="00134782">
        <w:rPr>
          <w:lang w:val="fr-FR"/>
        </w:rPr>
        <w:t> </w:t>
      </w:r>
      <w:r w:rsidRPr="00134782">
        <w:rPr>
          <w:lang w:val="fr-FR"/>
        </w:rPr>
        <w:t xml:space="preserve">». </w:t>
      </w:r>
    </w:p>
    <w:p w14:paraId="1CCAF313" w14:textId="0617665E" w:rsidR="00196C06" w:rsidRPr="00134782" w:rsidRDefault="00196C06" w:rsidP="0040504E">
      <w:pPr>
        <w:spacing w:before="120" w:after="120" w:line="240" w:lineRule="auto"/>
        <w:ind w:left="1134" w:right="1134"/>
        <w:jc w:val="both"/>
        <w:rPr>
          <w:lang w:val="fr-FR"/>
        </w:rPr>
      </w:pPr>
      <w:r w:rsidRPr="00134782">
        <w:rPr>
          <w:lang w:val="fr-FR"/>
        </w:rPr>
        <w:t>4.1.4.1, instruction d’emballage P801</w:t>
      </w:r>
      <w:r w:rsidRPr="00134782">
        <w:rPr>
          <w:lang w:val="fr-FR"/>
        </w:rPr>
        <w:tab/>
      </w:r>
      <w:r w:rsidR="00134782" w:rsidRPr="00134782">
        <w:rPr>
          <w:rStyle w:val="SingleTxtGChar"/>
          <w:lang w:val="fr-FR"/>
        </w:rPr>
        <w:t xml:space="preserve">Dans la disposition supplémentaire </w:t>
      </w:r>
      <w:r w:rsidR="00134782">
        <w:rPr>
          <w:rStyle w:val="SingleTxtGChar"/>
          <w:lang w:val="fr-FR"/>
        </w:rPr>
        <w:t>2</w:t>
      </w:r>
      <w:r w:rsidR="00134782" w:rsidRPr="00134782">
        <w:rPr>
          <w:rStyle w:val="SingleTxtGChar"/>
          <w:lang w:val="fr-FR"/>
        </w:rPr>
        <w:t xml:space="preserve">., </w:t>
      </w:r>
      <w:r w:rsidR="00134782">
        <w:rPr>
          <w:lang w:val="fr-FR"/>
        </w:rPr>
        <w:t>a</w:t>
      </w:r>
      <w:r w:rsidRPr="00134782">
        <w:rPr>
          <w:lang w:val="fr-FR"/>
        </w:rPr>
        <w:t>jouter «</w:t>
      </w:r>
      <w:r w:rsidR="00DA2DF0" w:rsidRPr="00134782">
        <w:rPr>
          <w:lang w:val="fr-FR"/>
        </w:rPr>
        <w:t> </w:t>
      </w:r>
      <w:r w:rsidRPr="00134782">
        <w:rPr>
          <w:lang w:val="fr-FR"/>
        </w:rPr>
        <w:t>électrique</w:t>
      </w:r>
      <w:r w:rsidR="00DA2DF0" w:rsidRPr="00134782">
        <w:rPr>
          <w:lang w:val="fr-FR"/>
        </w:rPr>
        <w:t> </w:t>
      </w:r>
      <w:r w:rsidRPr="00134782">
        <w:rPr>
          <w:lang w:val="fr-FR"/>
        </w:rPr>
        <w:t>» après</w:t>
      </w:r>
      <w:r w:rsidR="00DA2DF0" w:rsidRPr="00134782">
        <w:rPr>
          <w:lang w:val="fr-FR"/>
        </w:rPr>
        <w:t xml:space="preserve"> « isolant »</w:t>
      </w:r>
      <w:r w:rsidRPr="00134782">
        <w:rPr>
          <w:lang w:val="fr-FR"/>
        </w:rPr>
        <w:t>.</w:t>
      </w:r>
    </w:p>
    <w:p w14:paraId="7E7988B0" w14:textId="4C87CD82" w:rsidR="00196C06" w:rsidRPr="00C04443" w:rsidRDefault="00196C06" w:rsidP="00196C06">
      <w:pPr>
        <w:spacing w:before="120" w:after="120" w:line="240" w:lineRule="auto"/>
        <w:ind w:left="1134" w:right="1134"/>
        <w:jc w:val="both"/>
        <w:rPr>
          <w:i/>
          <w:iCs/>
          <w:lang w:val="fr-FR"/>
        </w:rPr>
      </w:pPr>
      <w:r w:rsidRPr="00C04443">
        <w:rPr>
          <w:lang w:val="fr-FR"/>
        </w:rPr>
        <w:t>4.1.4.1, instruction d’emballage P901</w:t>
      </w:r>
      <w:r w:rsidR="00EA0411" w:rsidRPr="00C04443">
        <w:rPr>
          <w:lang w:val="fr-FR"/>
        </w:rPr>
        <w:tab/>
      </w:r>
      <w:r w:rsidRPr="00C04443">
        <w:rPr>
          <w:iCs/>
          <w:lang w:val="fr-FR"/>
        </w:rPr>
        <w:t xml:space="preserve">Dans la disposition supplémentaire, </w:t>
      </w:r>
      <w:r w:rsidR="007E3EEB" w:rsidRPr="00C04443">
        <w:rPr>
          <w:iCs/>
          <w:lang w:val="fr-FR"/>
        </w:rPr>
        <w:t>remplacer</w:t>
      </w:r>
      <w:r w:rsidRPr="00C04443">
        <w:rPr>
          <w:iCs/>
          <w:lang w:val="fr-FR"/>
        </w:rPr>
        <w:t xml:space="preserve"> «</w:t>
      </w:r>
      <w:r w:rsidR="00DA2DF0" w:rsidRPr="00C04443">
        <w:rPr>
          <w:lang w:val="fr-FR"/>
        </w:rPr>
        <w:t> </w:t>
      </w:r>
      <w:r w:rsidRPr="00C04443">
        <w:rPr>
          <w:lang w:val="fr-FR"/>
        </w:rPr>
        <w:t>d'une contenance maximale de 250 ml ou 250 g, et</w:t>
      </w:r>
      <w:r w:rsidR="00DA2DF0" w:rsidRPr="00C04443">
        <w:rPr>
          <w:lang w:val="fr-FR"/>
        </w:rPr>
        <w:t> </w:t>
      </w:r>
      <w:r w:rsidRPr="00C04443">
        <w:rPr>
          <w:iCs/>
          <w:lang w:val="fr-FR"/>
        </w:rPr>
        <w:t>»</w:t>
      </w:r>
      <w:r w:rsidR="007E3EEB" w:rsidRPr="00C04443">
        <w:rPr>
          <w:iCs/>
          <w:lang w:val="fr-FR"/>
        </w:rPr>
        <w:t xml:space="preserve"> par «</w:t>
      </w:r>
      <w:r w:rsidR="00DA2DF0" w:rsidRPr="00C04443">
        <w:rPr>
          <w:lang w:val="fr-FR"/>
        </w:rPr>
        <w:t> </w:t>
      </w:r>
      <w:r w:rsidR="007E3EEB" w:rsidRPr="00C04443">
        <w:rPr>
          <w:iCs/>
          <w:lang w:val="fr-FR"/>
        </w:rPr>
        <w:t>qui</w:t>
      </w:r>
      <w:r w:rsidR="00DA2DF0" w:rsidRPr="00C04443">
        <w:rPr>
          <w:lang w:val="fr-FR"/>
        </w:rPr>
        <w:t> </w:t>
      </w:r>
      <w:r w:rsidR="007E3EEB" w:rsidRPr="00C04443">
        <w:rPr>
          <w:iCs/>
          <w:lang w:val="fr-FR"/>
        </w:rPr>
        <w:t>»</w:t>
      </w:r>
      <w:r w:rsidRPr="00C04443">
        <w:rPr>
          <w:iCs/>
          <w:lang w:val="fr-FR"/>
        </w:rPr>
        <w:t>.</w:t>
      </w:r>
    </w:p>
    <w:p w14:paraId="4FB03C09" w14:textId="2C512541" w:rsidR="004215B9" w:rsidRPr="00C04443" w:rsidRDefault="004215B9" w:rsidP="004215B9">
      <w:pPr>
        <w:pStyle w:val="SingleTxtG"/>
        <w:rPr>
          <w:lang w:val="fr-FR"/>
        </w:rPr>
      </w:pPr>
      <w:r w:rsidRPr="00C04443">
        <w:rPr>
          <w:lang w:val="fr-FR"/>
        </w:rPr>
        <w:t>4.1.4.</w:t>
      </w:r>
      <w:r w:rsidR="003F0288" w:rsidRPr="00C04443">
        <w:rPr>
          <w:lang w:val="fr-FR"/>
        </w:rPr>
        <w:t>1, instruction d’emballage P902</w:t>
      </w:r>
      <w:r w:rsidRPr="00C04443">
        <w:rPr>
          <w:lang w:val="fr-FR"/>
        </w:rPr>
        <w:tab/>
        <w:t>Dans le paragraphe sous «</w:t>
      </w:r>
      <w:r w:rsidR="00DA2DF0" w:rsidRPr="00C04443">
        <w:rPr>
          <w:lang w:val="fr-FR"/>
        </w:rPr>
        <w:t> </w:t>
      </w:r>
      <w:r w:rsidRPr="00C04443">
        <w:rPr>
          <w:lang w:val="fr-FR"/>
        </w:rPr>
        <w:t>Objets non emballés:</w:t>
      </w:r>
      <w:r w:rsidR="00DA2DF0" w:rsidRPr="00C04443">
        <w:rPr>
          <w:lang w:val="fr-FR"/>
        </w:rPr>
        <w:t> </w:t>
      </w:r>
      <w:r w:rsidRPr="00C04443">
        <w:rPr>
          <w:lang w:val="fr-FR"/>
        </w:rPr>
        <w:t>», à la fin, ajouter «</w:t>
      </w:r>
      <w:r w:rsidR="00DA2DF0" w:rsidRPr="00C04443">
        <w:rPr>
          <w:lang w:val="fr-FR"/>
        </w:rPr>
        <w:t> </w:t>
      </w:r>
      <w:r w:rsidRPr="00C04443">
        <w:rPr>
          <w:lang w:val="fr-FR"/>
        </w:rPr>
        <w:t>ou vice-versa, y compris lors de trajets faisant intervenir des lieux de manutention intermédiaires</w:t>
      </w:r>
      <w:r w:rsidR="00DA2DF0" w:rsidRPr="00C04443">
        <w:rPr>
          <w:lang w:val="fr-FR"/>
        </w:rPr>
        <w:t> </w:t>
      </w:r>
      <w:r w:rsidRPr="00C04443">
        <w:rPr>
          <w:lang w:val="fr-FR"/>
        </w:rPr>
        <w:t>».</w:t>
      </w:r>
    </w:p>
    <w:p w14:paraId="7AECD88F" w14:textId="717E9EB5" w:rsidR="00196C06" w:rsidRPr="00C04443" w:rsidRDefault="00196C06" w:rsidP="00196C06">
      <w:pPr>
        <w:spacing w:before="120" w:after="120" w:line="240" w:lineRule="auto"/>
        <w:ind w:left="1134" w:right="1134"/>
        <w:jc w:val="both"/>
        <w:rPr>
          <w:i/>
          <w:iCs/>
          <w:lang w:val="fr-FR"/>
        </w:rPr>
      </w:pPr>
      <w:r w:rsidRPr="00C04443">
        <w:rPr>
          <w:lang w:val="fr-FR"/>
        </w:rPr>
        <w:t>4.1.4.1, instruction d’emballage P903</w:t>
      </w:r>
      <w:r w:rsidRPr="00C04443">
        <w:rPr>
          <w:lang w:val="fr-FR"/>
        </w:rPr>
        <w:tab/>
        <w:t>Ajouter la nouvelle phrase suivante au début de la deuxième ligne</w:t>
      </w:r>
      <w:r w:rsidR="00DA2DF0" w:rsidRPr="00C04443">
        <w:rPr>
          <w:lang w:val="fr-FR"/>
        </w:rPr>
        <w:t> </w:t>
      </w:r>
      <w:r w:rsidRPr="00C04443">
        <w:rPr>
          <w:lang w:val="fr-FR"/>
        </w:rPr>
        <w:t>: «</w:t>
      </w:r>
      <w:r w:rsidR="00DA2DF0" w:rsidRPr="00C04443">
        <w:rPr>
          <w:lang w:val="fr-FR"/>
        </w:rPr>
        <w:t> </w:t>
      </w:r>
      <w:r w:rsidRPr="00C04443">
        <w:rPr>
          <w:lang w:val="fr-FR"/>
        </w:rPr>
        <w:t xml:space="preserve">Aux fins de la présente instruction d’emballage, on entend par </w:t>
      </w:r>
      <w:r w:rsidR="00DA2DF0" w:rsidRPr="00C04443">
        <w:rPr>
          <w:lang w:val="fr-FR"/>
        </w:rPr>
        <w:t>"</w:t>
      </w:r>
      <w:r w:rsidRPr="00C04443">
        <w:rPr>
          <w:lang w:val="fr-FR"/>
        </w:rPr>
        <w:t>équipement</w:t>
      </w:r>
      <w:r w:rsidR="00DA2DF0" w:rsidRPr="00C04443">
        <w:rPr>
          <w:lang w:val="fr-FR"/>
        </w:rPr>
        <w:t>"</w:t>
      </w:r>
      <w:r w:rsidRPr="00C04443">
        <w:rPr>
          <w:lang w:val="fr-FR"/>
        </w:rPr>
        <w:t xml:space="preserve"> un appareil alimenté par des piles ou batteries au lithium.</w:t>
      </w:r>
      <w:r w:rsidR="00DA2DF0" w:rsidRPr="00C04443">
        <w:rPr>
          <w:lang w:val="fr-FR"/>
        </w:rPr>
        <w:t> </w:t>
      </w:r>
      <w:r w:rsidRPr="00C04443">
        <w:rPr>
          <w:lang w:val="fr-FR"/>
        </w:rPr>
        <w:t xml:space="preserve">». </w:t>
      </w:r>
    </w:p>
    <w:p w14:paraId="18A42B5F" w14:textId="2350477C" w:rsidR="00196C06" w:rsidRPr="00C04443" w:rsidRDefault="00196C06" w:rsidP="00196C06">
      <w:pPr>
        <w:pStyle w:val="SingleTxtG"/>
        <w:rPr>
          <w:i/>
          <w:iCs/>
          <w:lang w:val="fr-FR"/>
        </w:rPr>
      </w:pPr>
      <w:r w:rsidRPr="00C04443">
        <w:rPr>
          <w:lang w:val="fr-FR"/>
        </w:rPr>
        <w:t>4.1.4.1, in</w:t>
      </w:r>
      <w:r w:rsidR="00882DFF">
        <w:rPr>
          <w:lang w:val="fr-FR"/>
        </w:rPr>
        <w:t>struction d’emballage P903, 3)</w:t>
      </w:r>
      <w:r w:rsidR="00882DFF">
        <w:rPr>
          <w:lang w:val="fr-FR"/>
        </w:rPr>
        <w:tab/>
      </w:r>
      <w:r w:rsidRPr="00C04443">
        <w:rPr>
          <w:lang w:val="fr-FR"/>
        </w:rPr>
        <w:t>Supprimer la dernière phrase.</w:t>
      </w:r>
    </w:p>
    <w:p w14:paraId="1650C39E" w14:textId="1A9C5B09" w:rsidR="00196C06" w:rsidRPr="00C04443" w:rsidRDefault="00196C06" w:rsidP="00196C06">
      <w:pPr>
        <w:pStyle w:val="SingleTxtG"/>
        <w:spacing w:before="120"/>
        <w:rPr>
          <w:lang w:val="fr-FR"/>
        </w:rPr>
      </w:pPr>
      <w:r w:rsidRPr="00C04443">
        <w:rPr>
          <w:lang w:val="fr-FR"/>
        </w:rPr>
        <w:t>4.1.4.1, i</w:t>
      </w:r>
      <w:r w:rsidR="00882DFF">
        <w:rPr>
          <w:lang w:val="fr-FR"/>
        </w:rPr>
        <w:t>nstruction d’emballage P906 2)</w:t>
      </w:r>
      <w:r w:rsidR="00882DFF">
        <w:rPr>
          <w:lang w:val="fr-FR"/>
        </w:rPr>
        <w:tab/>
      </w:r>
      <w:r w:rsidR="0073448C" w:rsidRPr="00C04443">
        <w:rPr>
          <w:lang w:val="fr-FR"/>
        </w:rPr>
        <w:t xml:space="preserve">Dans la phrase d’introduction et dans l’alinéa b), remplacer </w:t>
      </w:r>
      <w:r w:rsidRPr="00C04443">
        <w:rPr>
          <w:lang w:val="fr-FR"/>
        </w:rPr>
        <w:t>«</w:t>
      </w:r>
      <w:r w:rsidR="00DA2DF0" w:rsidRPr="00C04443">
        <w:rPr>
          <w:lang w:val="fr-FR"/>
        </w:rPr>
        <w:t> </w:t>
      </w:r>
      <w:r w:rsidRPr="00C04443">
        <w:rPr>
          <w:lang w:val="fr-FR"/>
        </w:rPr>
        <w:t>appareils</w:t>
      </w:r>
      <w:r w:rsidR="00DA2DF0" w:rsidRPr="00C04443">
        <w:rPr>
          <w:lang w:val="fr-FR"/>
        </w:rPr>
        <w:t> </w:t>
      </w:r>
      <w:r w:rsidRPr="00C04443">
        <w:rPr>
          <w:lang w:val="fr-FR"/>
        </w:rPr>
        <w:t>» par «</w:t>
      </w:r>
      <w:r w:rsidR="00DA2DF0" w:rsidRPr="00C04443">
        <w:rPr>
          <w:lang w:val="fr-FR"/>
        </w:rPr>
        <w:t> </w:t>
      </w:r>
      <w:r w:rsidRPr="00C04443">
        <w:rPr>
          <w:lang w:val="fr-FR"/>
        </w:rPr>
        <w:t>objets</w:t>
      </w:r>
      <w:r w:rsidR="00DA2DF0" w:rsidRPr="00C04443">
        <w:rPr>
          <w:lang w:val="fr-FR"/>
        </w:rPr>
        <w:t> </w:t>
      </w:r>
      <w:r w:rsidRPr="00C04443">
        <w:rPr>
          <w:lang w:val="fr-FR"/>
        </w:rPr>
        <w:t>».</w:t>
      </w:r>
    </w:p>
    <w:p w14:paraId="02444430" w14:textId="06C184AD" w:rsidR="00196C06" w:rsidRPr="00C04443" w:rsidRDefault="00196C06" w:rsidP="00196C06">
      <w:pPr>
        <w:pStyle w:val="SingleTxtG"/>
        <w:rPr>
          <w:lang w:val="fr-FR"/>
        </w:rPr>
      </w:pPr>
      <w:r w:rsidRPr="00C04443">
        <w:rPr>
          <w:lang w:val="fr-FR"/>
        </w:rPr>
        <w:t>4.1.4.1, instruction d’emballage P908</w:t>
      </w:r>
      <w:r w:rsidRPr="00C04443">
        <w:rPr>
          <w:lang w:val="fr-FR"/>
        </w:rPr>
        <w:tab/>
        <w:t>Dans les paragraphes 2 et 4, remplacer «</w:t>
      </w:r>
      <w:r w:rsidR="00DA2DF0" w:rsidRPr="00C04443">
        <w:rPr>
          <w:lang w:val="fr-FR"/>
        </w:rPr>
        <w:t> </w:t>
      </w:r>
      <w:r w:rsidRPr="00C04443">
        <w:rPr>
          <w:lang w:val="fr-FR"/>
        </w:rPr>
        <w:t>non conducteur</w:t>
      </w:r>
      <w:r w:rsidR="00DA2DF0" w:rsidRPr="00C04443">
        <w:rPr>
          <w:lang w:val="fr-FR"/>
        </w:rPr>
        <w:t> </w:t>
      </w:r>
      <w:r w:rsidRPr="00C04443">
        <w:rPr>
          <w:lang w:val="fr-FR"/>
        </w:rPr>
        <w:t>» par «</w:t>
      </w:r>
      <w:r w:rsidR="00DA2DF0" w:rsidRPr="00C04443">
        <w:rPr>
          <w:lang w:val="fr-FR"/>
        </w:rPr>
        <w:t> </w:t>
      </w:r>
      <w:r w:rsidRPr="00C04443">
        <w:rPr>
          <w:lang w:val="fr-FR"/>
        </w:rPr>
        <w:t>non conducteur d’électricité</w:t>
      </w:r>
      <w:r w:rsidR="00DA2DF0" w:rsidRPr="00C04443">
        <w:rPr>
          <w:lang w:val="fr-FR"/>
        </w:rPr>
        <w:t> </w:t>
      </w:r>
      <w:r w:rsidRPr="00C04443">
        <w:rPr>
          <w:lang w:val="fr-FR"/>
        </w:rPr>
        <w:t>».</w:t>
      </w:r>
    </w:p>
    <w:p w14:paraId="4C34FB88" w14:textId="6629FFE6" w:rsidR="00196C06" w:rsidRPr="00C04443" w:rsidRDefault="00196C06" w:rsidP="00196C06">
      <w:pPr>
        <w:pStyle w:val="SingleTxtG"/>
        <w:rPr>
          <w:lang w:val="fr-FR"/>
        </w:rPr>
      </w:pPr>
      <w:r w:rsidRPr="00C04443">
        <w:rPr>
          <w:lang w:val="fr-FR"/>
        </w:rPr>
        <w:t>4.1.4.1, instruction d’emballage P909</w:t>
      </w:r>
      <w:r w:rsidRPr="00C04443">
        <w:rPr>
          <w:lang w:val="fr-FR"/>
        </w:rPr>
        <w:tab/>
        <w:t>Dans l’alinéa c) du paragraphe 1, l’alinéa b) du paragraphe 2, le quatrième tiret de la disposition supplémentaire 2 et la disposition supplémentaire 3, remplacer «</w:t>
      </w:r>
      <w:r w:rsidR="00DA2DF0" w:rsidRPr="00C04443">
        <w:rPr>
          <w:lang w:val="fr-FR"/>
        </w:rPr>
        <w:t> </w:t>
      </w:r>
      <w:r w:rsidRPr="00C04443">
        <w:rPr>
          <w:lang w:val="fr-FR"/>
        </w:rPr>
        <w:t>non conducteur</w:t>
      </w:r>
      <w:r w:rsidR="00DA2DF0" w:rsidRPr="00C04443">
        <w:rPr>
          <w:lang w:val="fr-FR"/>
        </w:rPr>
        <w:t> </w:t>
      </w:r>
      <w:r w:rsidRPr="00C04443">
        <w:rPr>
          <w:lang w:val="fr-FR"/>
        </w:rPr>
        <w:t>» par «</w:t>
      </w:r>
      <w:r w:rsidR="00DA2DF0" w:rsidRPr="00C04443">
        <w:rPr>
          <w:lang w:val="fr-FR"/>
        </w:rPr>
        <w:t> </w:t>
      </w:r>
      <w:r w:rsidRPr="00C04443">
        <w:rPr>
          <w:lang w:val="fr-FR"/>
        </w:rPr>
        <w:t>non conducteur d’électricité</w:t>
      </w:r>
      <w:r w:rsidR="00DA2DF0" w:rsidRPr="00C04443">
        <w:rPr>
          <w:lang w:val="fr-FR"/>
        </w:rPr>
        <w:t> </w:t>
      </w:r>
      <w:r w:rsidRPr="00C04443">
        <w:rPr>
          <w:lang w:val="fr-FR"/>
        </w:rPr>
        <w:t>».</w:t>
      </w:r>
    </w:p>
    <w:p w14:paraId="1C17ECF8" w14:textId="6E75E863" w:rsidR="00196C06" w:rsidRPr="00C04443" w:rsidRDefault="00196C06" w:rsidP="00196C06">
      <w:pPr>
        <w:pStyle w:val="SingleTxtG"/>
        <w:tabs>
          <w:tab w:val="left" w:pos="4536"/>
        </w:tabs>
        <w:rPr>
          <w:lang w:val="fr-FR"/>
        </w:rPr>
      </w:pPr>
      <w:r w:rsidRPr="00C04443">
        <w:rPr>
          <w:lang w:val="fr-FR"/>
        </w:rPr>
        <w:t>4.1.4.1, instruction d’emballage P910</w:t>
      </w:r>
      <w:r w:rsidRPr="00C04443">
        <w:rPr>
          <w:lang w:val="fr-FR"/>
        </w:rPr>
        <w:tab/>
        <w:t>Dans la première phrase, remplacer «</w:t>
      </w:r>
      <w:r w:rsidR="00DA2DF0" w:rsidRPr="00C04443">
        <w:rPr>
          <w:lang w:val="fr-FR"/>
        </w:rPr>
        <w:t> </w:t>
      </w:r>
      <w:r w:rsidRPr="00C04443">
        <w:rPr>
          <w:lang w:val="fr-FR"/>
        </w:rPr>
        <w:t>piles et batteries</w:t>
      </w:r>
      <w:r w:rsidR="00DA2DF0" w:rsidRPr="00C04443">
        <w:rPr>
          <w:lang w:val="fr-FR"/>
        </w:rPr>
        <w:t> </w:t>
      </w:r>
      <w:r w:rsidRPr="00C04443">
        <w:rPr>
          <w:lang w:val="fr-FR"/>
        </w:rPr>
        <w:t>» par «</w:t>
      </w:r>
      <w:r w:rsidR="00DA2DF0" w:rsidRPr="00C04443">
        <w:rPr>
          <w:lang w:val="fr-FR"/>
        </w:rPr>
        <w:t> </w:t>
      </w:r>
      <w:r w:rsidRPr="00C04443">
        <w:rPr>
          <w:lang w:val="fr-FR"/>
        </w:rPr>
        <w:t>piles ou batteries</w:t>
      </w:r>
      <w:r w:rsidR="00DA2DF0" w:rsidRPr="00C04443">
        <w:rPr>
          <w:lang w:val="fr-FR"/>
        </w:rPr>
        <w:t> </w:t>
      </w:r>
      <w:r w:rsidRPr="00C04443">
        <w:rPr>
          <w:lang w:val="fr-FR"/>
        </w:rPr>
        <w:t>» (deux fois).</w:t>
      </w:r>
    </w:p>
    <w:p w14:paraId="2EE729A7" w14:textId="185E9504" w:rsidR="00196C06" w:rsidRPr="00C04443" w:rsidRDefault="00196C06" w:rsidP="00196C06">
      <w:pPr>
        <w:pStyle w:val="SingleTxtG"/>
        <w:tabs>
          <w:tab w:val="left" w:pos="4536"/>
        </w:tabs>
        <w:rPr>
          <w:lang w:val="fr-FR"/>
        </w:rPr>
      </w:pPr>
      <w:r w:rsidRPr="00C04443">
        <w:rPr>
          <w:lang w:val="fr-FR"/>
        </w:rPr>
        <w:t>4.1.4.1, instruction d’emballage P910</w:t>
      </w:r>
      <w:r w:rsidRPr="00C04443">
        <w:rPr>
          <w:lang w:val="fr-FR"/>
        </w:rPr>
        <w:tab/>
        <w:t>Dans les alinéas</w:t>
      </w:r>
      <w:r w:rsidR="00375009" w:rsidRPr="00C04443">
        <w:rPr>
          <w:lang w:val="fr-FR"/>
        </w:rPr>
        <w:t xml:space="preserve"> </w:t>
      </w:r>
      <w:r w:rsidRPr="00C04443">
        <w:rPr>
          <w:lang w:val="fr-FR"/>
        </w:rPr>
        <w:t>c)</w:t>
      </w:r>
      <w:r w:rsidRPr="00C04443">
        <w:rPr>
          <w:i/>
          <w:lang w:val="fr-FR"/>
        </w:rPr>
        <w:t xml:space="preserve"> </w:t>
      </w:r>
      <w:r w:rsidRPr="00C04443">
        <w:rPr>
          <w:lang w:val="fr-FR"/>
        </w:rPr>
        <w:t>et d)</w:t>
      </w:r>
      <w:r w:rsidRPr="00C04443">
        <w:rPr>
          <w:i/>
          <w:lang w:val="fr-FR"/>
        </w:rPr>
        <w:t xml:space="preserve"> </w:t>
      </w:r>
      <w:r w:rsidRPr="00C04443">
        <w:rPr>
          <w:lang w:val="fr-FR"/>
        </w:rPr>
        <w:t>du paragraphe 1, dans l’alinéa</w:t>
      </w:r>
      <w:r w:rsidR="00375009" w:rsidRPr="00C04443">
        <w:rPr>
          <w:lang w:val="fr-FR"/>
        </w:rPr>
        <w:t xml:space="preserve"> </w:t>
      </w:r>
      <w:r w:rsidRPr="00C04443">
        <w:rPr>
          <w:lang w:val="fr-FR"/>
        </w:rPr>
        <w:t>c) du paragraphe 2 et dans le quatrième tiret des dispositions supplémentaires, remplacer «</w:t>
      </w:r>
      <w:r w:rsidR="00DA2DF0" w:rsidRPr="00C04443">
        <w:rPr>
          <w:lang w:val="fr-FR"/>
        </w:rPr>
        <w:t> </w:t>
      </w:r>
      <w:r w:rsidRPr="00C04443">
        <w:rPr>
          <w:lang w:val="fr-FR"/>
        </w:rPr>
        <w:t>non conducteur</w:t>
      </w:r>
      <w:r w:rsidR="00DA2DF0" w:rsidRPr="00C04443">
        <w:rPr>
          <w:lang w:val="fr-FR"/>
        </w:rPr>
        <w:t> </w:t>
      </w:r>
      <w:r w:rsidRPr="00C04443">
        <w:rPr>
          <w:lang w:val="fr-FR"/>
        </w:rPr>
        <w:t>» par «</w:t>
      </w:r>
      <w:r w:rsidR="00DA2DF0" w:rsidRPr="00C04443">
        <w:rPr>
          <w:lang w:val="fr-FR"/>
        </w:rPr>
        <w:t> </w:t>
      </w:r>
      <w:r w:rsidRPr="00C04443">
        <w:rPr>
          <w:lang w:val="fr-FR"/>
        </w:rPr>
        <w:t>non conducteur d’électricité</w:t>
      </w:r>
      <w:r w:rsidR="00DA2DF0" w:rsidRPr="00C04443">
        <w:rPr>
          <w:lang w:val="fr-FR"/>
        </w:rPr>
        <w:t> </w:t>
      </w:r>
      <w:r w:rsidRPr="00C04443">
        <w:rPr>
          <w:lang w:val="fr-FR"/>
        </w:rPr>
        <w:t>».</w:t>
      </w:r>
    </w:p>
    <w:p w14:paraId="7C8F70C4" w14:textId="66CCEA7F" w:rsidR="009360D3" w:rsidRPr="00C04443" w:rsidRDefault="009360D3" w:rsidP="009360D3">
      <w:pPr>
        <w:pStyle w:val="SingleTxtG"/>
        <w:tabs>
          <w:tab w:val="left" w:pos="4536"/>
        </w:tabs>
        <w:rPr>
          <w:lang w:val="fr-FR"/>
        </w:rPr>
      </w:pPr>
      <w:r w:rsidRPr="00C04443">
        <w:rPr>
          <w:lang w:val="fr-FR"/>
        </w:rPr>
        <w:lastRenderedPageBreak/>
        <w:t>4.1.4.1, instruction d’emballage R001</w:t>
      </w:r>
      <w:r w:rsidR="00A54F23" w:rsidRPr="00C04443">
        <w:rPr>
          <w:lang w:val="fr-FR"/>
        </w:rPr>
        <w:tab/>
        <w:t>Dans le Nota 2, remplacer « risque » par « danger ».</w:t>
      </w:r>
    </w:p>
    <w:p w14:paraId="52647A21" w14:textId="64FA2647" w:rsidR="00DB4351" w:rsidRPr="000B1B85" w:rsidRDefault="00DB4351" w:rsidP="00DB4351">
      <w:pPr>
        <w:pStyle w:val="SingleTxtG"/>
        <w:rPr>
          <w:lang w:val="fr-FR"/>
        </w:rPr>
      </w:pPr>
      <w:r w:rsidRPr="000B1B85">
        <w:rPr>
          <w:lang w:val="fr-FR"/>
        </w:rPr>
        <w:t>4.1.4.1</w:t>
      </w:r>
      <w:r w:rsidRPr="000B1B85">
        <w:rPr>
          <w:lang w:val="fr-FR"/>
        </w:rPr>
        <w:tab/>
      </w:r>
      <w:r w:rsidRPr="000B1B85">
        <w:rPr>
          <w:lang w:val="fr-FR"/>
        </w:rPr>
        <w:tab/>
        <w:t>Ajouter la nouvelle instruction d’emballage P006 suivante</w:t>
      </w:r>
      <w:r w:rsidR="00DA2DF0" w:rsidRPr="000B1B85">
        <w:rPr>
          <w:lang w:val="fr-FR"/>
        </w:rPr>
        <w:t> </w:t>
      </w:r>
      <w:r w:rsidRPr="000B1B85">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A074FC" w:rsidRPr="000B1B85" w14:paraId="7CC93E90" w14:textId="77777777" w:rsidTr="008B7736">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73AE1715" w14:textId="77777777" w:rsidR="00DB4351" w:rsidRPr="000B1B8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0B1B85">
              <w:rPr>
                <w:b/>
                <w:lang w:val="fr-FR"/>
              </w:rPr>
              <w:t>P006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78B86B53" w14:textId="77777777" w:rsidR="00DB4351" w:rsidRPr="000B1B8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0B1B85">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5FA422B" w14:textId="77777777" w:rsidR="00DB4351" w:rsidRPr="000B1B8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0B1B85">
              <w:rPr>
                <w:b/>
                <w:iCs/>
                <w:lang w:val="fr-FR"/>
              </w:rPr>
              <w:t>P006</w:t>
            </w:r>
          </w:p>
        </w:tc>
      </w:tr>
      <w:tr w:rsidR="00A074FC" w:rsidRPr="000B1B85" w14:paraId="67E026BB" w14:textId="77777777" w:rsidTr="008B7736">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721D70" w14:textId="60EDD68A" w:rsidR="00DB4351" w:rsidRPr="000B1B85" w:rsidRDefault="00DB4351" w:rsidP="00A54F23">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0B1B85">
              <w:rPr>
                <w:iCs/>
                <w:lang w:val="fr-FR"/>
              </w:rPr>
              <w:t>Cette instruction s’applique aux Nos ONU 3537</w:t>
            </w:r>
            <w:r w:rsidR="00A54F23" w:rsidRPr="000B1B85">
              <w:rPr>
                <w:iCs/>
                <w:lang w:val="fr-FR"/>
              </w:rPr>
              <w:t xml:space="preserve"> à</w:t>
            </w:r>
            <w:r w:rsidRPr="000B1B85">
              <w:rPr>
                <w:iCs/>
                <w:lang w:val="fr-FR"/>
              </w:rPr>
              <w:t xml:space="preserve"> 3548.</w:t>
            </w:r>
          </w:p>
        </w:tc>
      </w:tr>
      <w:tr w:rsidR="00A074FC" w:rsidRPr="000B1B85" w14:paraId="7017EBDD" w14:textId="77777777" w:rsidTr="008B7736">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D3AB3FE" w14:textId="4D700D35" w:rsidR="00DB4351" w:rsidRPr="000B1B85" w:rsidRDefault="001F5C8B" w:rsidP="008B7736">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0B1B85">
              <w:rPr>
                <w:lang w:val="fr-FR"/>
              </w:rPr>
              <w:t>1)</w:t>
            </w:r>
            <w:r w:rsidR="00DB4351" w:rsidRPr="000B1B85">
              <w:rPr>
                <w:lang w:val="fr-FR"/>
              </w:rPr>
              <w:tab/>
            </w:r>
            <w:r w:rsidR="00DB4351" w:rsidRPr="000B1B85">
              <w:rPr>
                <w:iCs/>
                <w:lang w:val="fr-FR"/>
              </w:rPr>
              <w:t>Les emballages suivants sont autorisés s’il est satisfait aux dispositions générales des sections </w:t>
            </w:r>
            <w:r w:rsidR="00DB4351" w:rsidRPr="000B1B85">
              <w:rPr>
                <w:b/>
                <w:iCs/>
                <w:lang w:val="fr-FR"/>
              </w:rPr>
              <w:t>4.1.1</w:t>
            </w:r>
            <w:r w:rsidR="00DB4351" w:rsidRPr="000B1B85">
              <w:rPr>
                <w:iCs/>
                <w:lang w:val="fr-FR"/>
              </w:rPr>
              <w:t xml:space="preserve"> et </w:t>
            </w:r>
            <w:r w:rsidR="00DB4351" w:rsidRPr="000B1B85">
              <w:rPr>
                <w:b/>
                <w:iCs/>
                <w:lang w:val="fr-FR"/>
              </w:rPr>
              <w:t>4.1.3</w:t>
            </w:r>
            <w:r w:rsidR="00DA2DF0" w:rsidRPr="000B1B85">
              <w:rPr>
                <w:lang w:val="fr-FR"/>
              </w:rPr>
              <w:t> </w:t>
            </w:r>
            <w:r w:rsidR="00DB4351" w:rsidRPr="000B1B85">
              <w:rPr>
                <w:iCs/>
                <w:lang w:val="fr-FR"/>
              </w:rPr>
              <w:t>:</w:t>
            </w:r>
          </w:p>
        </w:tc>
      </w:tr>
      <w:tr w:rsidR="00A074FC" w:rsidRPr="000B1B85" w14:paraId="5405514C"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0C08042" w14:textId="00584C75" w:rsidR="00DB4351" w:rsidRPr="000B1B8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en-GB"/>
              </w:rPr>
            </w:pPr>
            <w:r w:rsidRPr="000B1B85">
              <w:rPr>
                <w:iCs/>
                <w:lang w:val="en-GB"/>
              </w:rPr>
              <w:t>Fûts (1A2, 1B2, 1N2, 1H2, 1D, 1G)</w:t>
            </w:r>
            <w:r w:rsidR="00DA2DF0" w:rsidRPr="000B1B85">
              <w:rPr>
                <w:lang w:val="en-GB"/>
              </w:rPr>
              <w:t> </w:t>
            </w:r>
            <w:r w:rsidRPr="000B1B85">
              <w:rPr>
                <w:iCs/>
                <w:lang w:val="en-GB"/>
              </w:rPr>
              <w:t>;</w:t>
            </w:r>
          </w:p>
        </w:tc>
      </w:tr>
      <w:tr w:rsidR="00A074FC" w:rsidRPr="000B1B85" w14:paraId="6007EE8B"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B0CAAF8" w14:textId="72340969" w:rsidR="00DB4351" w:rsidRPr="000B1B8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0B1B85">
              <w:rPr>
                <w:iCs/>
                <w:lang w:val="fr-FR"/>
              </w:rPr>
              <w:t>Caisses (4A, 4B, 4N, 4C1, 4C2, 4D, 4F, 4G, 4H1, 4H2)</w:t>
            </w:r>
            <w:r w:rsidR="00DA2DF0" w:rsidRPr="000B1B85">
              <w:rPr>
                <w:lang w:val="fr-FR"/>
              </w:rPr>
              <w:t> </w:t>
            </w:r>
            <w:r w:rsidRPr="000B1B85">
              <w:rPr>
                <w:iCs/>
                <w:lang w:val="fr-FR"/>
              </w:rPr>
              <w:t>;</w:t>
            </w:r>
          </w:p>
        </w:tc>
      </w:tr>
      <w:tr w:rsidR="00A074FC" w:rsidRPr="000B1B85" w14:paraId="4A787923"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B572D7A" w14:textId="1ECE74C1" w:rsidR="00DB4351" w:rsidRPr="000B1B8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en-GB"/>
              </w:rPr>
            </w:pPr>
            <w:r w:rsidRPr="000B1B85">
              <w:rPr>
                <w:iCs/>
                <w:lang w:val="en-GB"/>
              </w:rPr>
              <w:t>Bidons (jerrican</w:t>
            </w:r>
            <w:r w:rsidR="0028758A" w:rsidRPr="000B1B85">
              <w:rPr>
                <w:iCs/>
                <w:lang w:val="en-GB"/>
              </w:rPr>
              <w:t>e</w:t>
            </w:r>
            <w:r w:rsidRPr="000B1B85">
              <w:rPr>
                <w:iCs/>
                <w:lang w:val="en-GB"/>
              </w:rPr>
              <w:t>s) (3A2, 3B2, 3H2)</w:t>
            </w:r>
            <w:r w:rsidR="00DA2DF0" w:rsidRPr="000B1B85">
              <w:rPr>
                <w:iCs/>
                <w:lang w:val="en-GB"/>
              </w:rPr>
              <w:t>.</w:t>
            </w:r>
          </w:p>
        </w:tc>
      </w:tr>
      <w:tr w:rsidR="00A074FC" w:rsidRPr="000B1B85" w14:paraId="50845A04"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0ACC0910" w14:textId="77777777" w:rsidR="00DB4351" w:rsidRPr="000B1B85" w:rsidRDefault="00DB4351" w:rsidP="008B7736">
            <w:pPr>
              <w:tabs>
                <w:tab w:val="left" w:pos="517"/>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0B1B85">
              <w:rPr>
                <w:lang w:val="en-GB"/>
              </w:rPr>
              <w:tab/>
            </w:r>
            <w:r w:rsidRPr="000B1B85">
              <w:rPr>
                <w:iCs/>
                <w:lang w:val="fr-FR"/>
              </w:rPr>
              <w:t>Les emballages doivent satisfaire au niveau d’épreuve du groupe d’emballage II.</w:t>
            </w:r>
          </w:p>
        </w:tc>
      </w:tr>
      <w:tr w:rsidR="00A074FC" w:rsidRPr="000B1B85" w14:paraId="04E7A336"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07E35EE" w14:textId="79548BFE" w:rsidR="00DB4351" w:rsidRPr="000B1B85"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0B1B85">
              <w:rPr>
                <w:lang w:val="fr-FR"/>
              </w:rPr>
              <w:t>2</w:t>
            </w:r>
            <w:r w:rsidR="001F5C8B" w:rsidRPr="000B1B85">
              <w:rPr>
                <w:lang w:val="fr-FR"/>
              </w:rPr>
              <w:t>)</w:t>
            </w:r>
            <w:r w:rsidRPr="000B1B85">
              <w:rPr>
                <w:lang w:val="fr-FR"/>
              </w:rPr>
              <w:tab/>
              <w:t>En outre, pour les objets robustes, les emballages suivants sont autorisés</w:t>
            </w:r>
            <w:r w:rsidR="00DA2DF0" w:rsidRPr="000B1B85">
              <w:rPr>
                <w:lang w:val="fr-FR"/>
              </w:rPr>
              <w:t> </w:t>
            </w:r>
            <w:r w:rsidRPr="000B1B85">
              <w:rPr>
                <w:lang w:val="fr-FR"/>
              </w:rPr>
              <w:t>:</w:t>
            </w:r>
          </w:p>
        </w:tc>
      </w:tr>
      <w:tr w:rsidR="00A074FC" w:rsidRPr="000B1B85" w14:paraId="02C52694"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56D077D" w14:textId="77777777" w:rsidR="00DB4351" w:rsidRPr="000B1B85" w:rsidRDefault="00DB4351" w:rsidP="008B7736">
            <w:pPr>
              <w:tabs>
                <w:tab w:val="left" w:pos="1418"/>
                <w:tab w:val="left" w:pos="1985"/>
                <w:tab w:val="left" w:pos="2552"/>
                <w:tab w:val="left" w:pos="3119"/>
                <w:tab w:val="left" w:pos="3686"/>
                <w:tab w:val="left" w:pos="4253"/>
                <w:tab w:val="left" w:pos="4820"/>
              </w:tabs>
              <w:suppressAutoHyphens w:val="0"/>
              <w:spacing w:before="30" w:after="30" w:line="240" w:lineRule="auto"/>
              <w:ind w:left="517" w:right="73" w:hanging="426"/>
              <w:jc w:val="both"/>
              <w:rPr>
                <w:lang w:val="fr-FR"/>
              </w:rPr>
            </w:pPr>
            <w:r w:rsidRPr="000B1B85">
              <w:rPr>
                <w:lang w:val="fr-FR"/>
              </w:rPr>
              <w:tab/>
              <w:t>Des emballages extérieurs robustes, construits en matériaux appropriés, et d’une résistance et d’une conception adaptées à la capacité de l’emballage et à l’utilisation prévue. Les emballages doivent satisfaire aux prescriptions des paragraphes 4.1.1.1, 4.1.1.2, 4.1.1.8 et 4.1.3 afin d’aboutir à un niveau de protection au moins équivalent à celui obtenu en appliquant le chapitre 6.1. Les objets peuvent être transportés non emballés ou sur des palettes lorsque les marchandises dangereuses reçoivent une protection équivalente par l’objet qui les contient.</w:t>
            </w:r>
          </w:p>
        </w:tc>
      </w:tr>
      <w:tr w:rsidR="00A074FC" w:rsidRPr="000B1B85" w14:paraId="3A84923B"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065C006" w14:textId="3C0A80EC" w:rsidR="00DB4351" w:rsidRPr="000B1B85"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0B1B85">
              <w:rPr>
                <w:lang w:val="fr-FR"/>
              </w:rPr>
              <w:t>3</w:t>
            </w:r>
            <w:r w:rsidR="001F5C8B" w:rsidRPr="000B1B85">
              <w:rPr>
                <w:lang w:val="fr-FR"/>
              </w:rPr>
              <w:t>)</w:t>
            </w:r>
            <w:r w:rsidRPr="000B1B85">
              <w:rPr>
                <w:lang w:val="fr-FR"/>
              </w:rPr>
              <w:tab/>
              <w:t>De surcroît, les conditions suivantes doivent être remplies</w:t>
            </w:r>
            <w:r w:rsidR="00DA2DF0" w:rsidRPr="000B1B85">
              <w:rPr>
                <w:lang w:val="fr-FR"/>
              </w:rPr>
              <w:t> </w:t>
            </w:r>
            <w:r w:rsidRPr="000B1B85">
              <w:rPr>
                <w:lang w:val="fr-FR"/>
              </w:rPr>
              <w:t>:</w:t>
            </w:r>
          </w:p>
        </w:tc>
      </w:tr>
      <w:tr w:rsidR="00A074FC" w:rsidRPr="000B1B85" w14:paraId="6764BD87"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AEAA912" w14:textId="77462CC6" w:rsidR="00DB4351" w:rsidRPr="000B1B85" w:rsidRDefault="00DB4351" w:rsidP="0084669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0B1B85">
              <w:rPr>
                <w:lang w:val="fr-FR"/>
              </w:rPr>
              <w:t xml:space="preserve">a) </w:t>
            </w:r>
            <w:r w:rsidRPr="000B1B85">
              <w:rPr>
                <w:lang w:val="fr-FR"/>
              </w:rPr>
              <w:tab/>
              <w:t xml:space="preserve">Les récipients contenus dans des objets contenant eux-mêmes des matières liquides ou des matières solides doivent être fabriqués </w:t>
            </w:r>
            <w:r w:rsidR="00846692" w:rsidRPr="000B1B85">
              <w:rPr>
                <w:lang w:val="fr-FR"/>
              </w:rPr>
              <w:t>en</w:t>
            </w:r>
            <w:r w:rsidRPr="000B1B85">
              <w:rPr>
                <w:lang w:val="fr-FR"/>
              </w:rPr>
              <w:t xml:space="preserve"> un matériau approprié et calés dans l’objet de telle façon que, dans des conditions normales de transport, ils ne puissent se briser, se crever ou laisser échapper leur contenu dans l’objet lui-même ou dans l’emballage extérieur</w:t>
            </w:r>
            <w:r w:rsidR="00DA2DF0" w:rsidRPr="000B1B85">
              <w:rPr>
                <w:lang w:val="fr-FR"/>
              </w:rPr>
              <w:t> </w:t>
            </w:r>
            <w:r w:rsidRPr="000B1B85">
              <w:rPr>
                <w:lang w:val="fr-FR"/>
              </w:rPr>
              <w:t>;</w:t>
            </w:r>
          </w:p>
        </w:tc>
      </w:tr>
      <w:tr w:rsidR="00A074FC" w:rsidRPr="000B1B85" w14:paraId="705372B1"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EC7C168" w14:textId="1F53589D" w:rsidR="00DB4351" w:rsidRPr="000B1B85" w:rsidRDefault="00DB4351" w:rsidP="0084669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0B1B85">
              <w:rPr>
                <w:lang w:val="fr-FR"/>
              </w:rPr>
              <w:t xml:space="preserve">b) </w:t>
            </w:r>
            <w:r w:rsidRPr="000B1B85">
              <w:rPr>
                <w:lang w:val="fr-FR"/>
              </w:rPr>
              <w:tab/>
              <w:t xml:space="preserve">Les récipients contenant des matières liquides et équipés </w:t>
            </w:r>
            <w:r w:rsidR="00846692" w:rsidRPr="000B1B85">
              <w:rPr>
                <w:lang w:val="fr-FR"/>
              </w:rPr>
              <w:t>de fermetures</w:t>
            </w:r>
            <w:r w:rsidRPr="000B1B85">
              <w:rPr>
                <w:lang w:val="fr-FR"/>
              </w:rPr>
              <w:t xml:space="preserve"> doivent être emballés de telle sorte que leurs fermetures soient bien orientées. </w:t>
            </w:r>
            <w:r w:rsidR="00A91546" w:rsidRPr="000B1B85">
              <w:rPr>
                <w:lang w:val="fr-FR"/>
              </w:rPr>
              <w:t>L</w:t>
            </w:r>
            <w:r w:rsidRPr="000B1B85">
              <w:rPr>
                <w:lang w:val="fr-FR"/>
              </w:rPr>
              <w:t>es récipients doivent en outre être conformes aux dispositions relatives à l’épreuve de pression interne du 6.1.5.5</w:t>
            </w:r>
            <w:r w:rsidR="00DA2DF0" w:rsidRPr="000B1B85">
              <w:rPr>
                <w:lang w:val="fr-FR"/>
              </w:rPr>
              <w:t> </w:t>
            </w:r>
            <w:r w:rsidRPr="000B1B85">
              <w:rPr>
                <w:lang w:val="fr-FR"/>
              </w:rPr>
              <w:t>;</w:t>
            </w:r>
          </w:p>
        </w:tc>
      </w:tr>
      <w:tr w:rsidR="00A074FC" w:rsidRPr="000B1B85" w14:paraId="30B53A8C"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C63EE2E" w14:textId="0B4CE0DF" w:rsidR="00DB4351" w:rsidRPr="000B1B85" w:rsidRDefault="00DB4351" w:rsidP="008B7736">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0B1B85">
              <w:rPr>
                <w:lang w:val="fr-FR"/>
              </w:rPr>
              <w:t xml:space="preserve">c) </w:t>
            </w:r>
            <w:r w:rsidRPr="000B1B85">
              <w:rPr>
                <w:lang w:val="fr-FR"/>
              </w:rPr>
              <w:tab/>
              <w:t>Les récipients susceptibles de se briser ou de se crever facilement, par exemple les récipients en verre, en porcelaine ou en grès ou encore en certaines matières plastiques doivent être correctement calés. Toute fuite du contenu ne doit pas altérer sensiblement les propriétés protectrices de l’objet ou de son emballage extérieur</w:t>
            </w:r>
            <w:r w:rsidR="00DA2DF0" w:rsidRPr="000B1B85">
              <w:rPr>
                <w:lang w:val="fr-FR"/>
              </w:rPr>
              <w:t> </w:t>
            </w:r>
            <w:r w:rsidRPr="000B1B85">
              <w:rPr>
                <w:lang w:val="fr-FR"/>
              </w:rPr>
              <w:t>;</w:t>
            </w:r>
          </w:p>
        </w:tc>
      </w:tr>
      <w:tr w:rsidR="00A074FC" w:rsidRPr="000B1B85" w14:paraId="481AFFD5"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393CC8D" w14:textId="35466A0D" w:rsidR="00DB4351" w:rsidRPr="000B1B85" w:rsidRDefault="00DB4351"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0B1B85">
              <w:rPr>
                <w:lang w:val="fr-FR"/>
              </w:rPr>
              <w:t xml:space="preserve">d) </w:t>
            </w:r>
            <w:r w:rsidRPr="000B1B85">
              <w:rPr>
                <w:lang w:val="fr-FR"/>
              </w:rPr>
              <w:tab/>
              <w:t xml:space="preserve">Les récipients contenant des gaz placés à l’intérieur d’objets doivent satisfaire aux prescriptions de la section 4.1.6 et du chapitre 6.2, selon le cas, ou offrir un niveau de protection équivalent aux </w:t>
            </w:r>
            <w:r w:rsidR="00A53AD4" w:rsidRPr="000B1B85">
              <w:rPr>
                <w:lang w:val="fr-FR"/>
              </w:rPr>
              <w:t>instructions</w:t>
            </w:r>
            <w:r w:rsidRPr="000B1B85">
              <w:rPr>
                <w:lang w:val="fr-FR"/>
              </w:rPr>
              <w:t xml:space="preserve"> d’emballage P200 ou P208</w:t>
            </w:r>
            <w:r w:rsidR="00DA2DF0" w:rsidRPr="000B1B85">
              <w:rPr>
                <w:lang w:val="fr-FR"/>
              </w:rPr>
              <w:t> </w:t>
            </w:r>
            <w:r w:rsidRPr="000B1B85">
              <w:rPr>
                <w:lang w:val="fr-FR"/>
              </w:rPr>
              <w:t>;</w:t>
            </w:r>
          </w:p>
        </w:tc>
      </w:tr>
      <w:tr w:rsidR="00A074FC" w:rsidRPr="000B1B85" w14:paraId="6ECC3E54" w14:textId="77777777" w:rsidTr="008B773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ED57A93" w14:textId="586FCDB7" w:rsidR="00DB4351" w:rsidRPr="000B1B85" w:rsidRDefault="00DB4351"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0B1B85">
              <w:rPr>
                <w:lang w:val="fr-FR"/>
              </w:rPr>
              <w:t xml:space="preserve">e) </w:t>
            </w:r>
            <w:r w:rsidRPr="000B1B85">
              <w:rPr>
                <w:lang w:val="fr-FR"/>
              </w:rPr>
              <w:tab/>
              <w:t xml:space="preserve">Si l’objet ne contient aucun récipient, il doit renfermer totalement les </w:t>
            </w:r>
            <w:r w:rsidR="00A53AD4" w:rsidRPr="000B1B85">
              <w:rPr>
                <w:lang w:val="fr-FR"/>
              </w:rPr>
              <w:t>matières</w:t>
            </w:r>
            <w:r w:rsidRPr="000B1B85">
              <w:rPr>
                <w:lang w:val="fr-FR"/>
              </w:rPr>
              <w:t xml:space="preserve"> dangereuses qu’il contient et empêcher toute fuite de celles-ci dans des conditions normales de transport.</w:t>
            </w:r>
          </w:p>
        </w:tc>
      </w:tr>
      <w:tr w:rsidR="00A074FC" w:rsidRPr="000B1B85" w14:paraId="47F4C685" w14:textId="77777777" w:rsidTr="0037500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80100E" w14:textId="47D749F2" w:rsidR="00DB4351" w:rsidRPr="000B1B85"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0B1B85">
              <w:rPr>
                <w:lang w:val="fr-FR"/>
              </w:rPr>
              <w:t>4</w:t>
            </w:r>
            <w:r w:rsidR="001F5C8B" w:rsidRPr="000B1B85">
              <w:rPr>
                <w:lang w:val="fr-FR"/>
              </w:rPr>
              <w:t>)</w:t>
            </w:r>
            <w:r w:rsidRPr="000B1B85">
              <w:rPr>
                <w:lang w:val="fr-FR"/>
              </w:rPr>
              <w:tab/>
              <w:t>Les objets doivent être emballés de manière à empêcher tout mouvement des objets et tout fonctionnement accidentel dans des conditions normales de transport.</w:t>
            </w:r>
          </w:p>
        </w:tc>
      </w:tr>
      <w:tr w:rsidR="00A074FC" w:rsidRPr="000B1B85" w14:paraId="7B3EC569" w14:textId="77777777" w:rsidTr="008B773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3196A4D8" w14:textId="77777777" w:rsidR="00375009" w:rsidRPr="000B1B85" w:rsidRDefault="00375009"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p>
        </w:tc>
      </w:tr>
    </w:tbl>
    <w:p w14:paraId="1C7EE8EA" w14:textId="77777777" w:rsidR="00E369F7" w:rsidRDefault="00E369F7" w:rsidP="00D53F01">
      <w:pPr>
        <w:pStyle w:val="SingleTxtG"/>
        <w:spacing w:before="120"/>
        <w:rPr>
          <w:lang w:val="fr-FR"/>
        </w:rPr>
      </w:pPr>
    </w:p>
    <w:p w14:paraId="3A1D4EAD" w14:textId="77777777" w:rsidR="00B76415" w:rsidRDefault="00B76415">
      <w:pPr>
        <w:suppressAutoHyphens w:val="0"/>
        <w:spacing w:line="240" w:lineRule="auto"/>
        <w:rPr>
          <w:lang w:val="fr-FR"/>
        </w:rPr>
      </w:pPr>
      <w:r>
        <w:rPr>
          <w:lang w:val="fr-FR"/>
        </w:rPr>
        <w:br w:type="page"/>
      </w:r>
    </w:p>
    <w:p w14:paraId="2B59128B" w14:textId="2EE59F4E" w:rsidR="00A54F23" w:rsidRPr="000B1B85" w:rsidRDefault="00A54F23" w:rsidP="00D53F01">
      <w:pPr>
        <w:pStyle w:val="SingleTxtG"/>
        <w:spacing w:before="120"/>
        <w:rPr>
          <w:lang w:val="fr-FR"/>
        </w:rPr>
      </w:pPr>
      <w:r w:rsidRPr="000B1B85">
        <w:rPr>
          <w:lang w:val="fr-FR"/>
        </w:rPr>
        <w:lastRenderedPageBreak/>
        <w:t>4.1.4.1</w:t>
      </w:r>
      <w:r w:rsidRPr="000B1B85">
        <w:rPr>
          <w:lang w:val="fr-FR"/>
        </w:rPr>
        <w:tab/>
      </w:r>
      <w:r w:rsidRPr="000B1B85">
        <w:rPr>
          <w:lang w:val="fr-FR"/>
        </w:rPr>
        <w:tab/>
        <w:t>Ajouter la nouvelle instruction d’emballage P907 suivante</w:t>
      </w:r>
      <w:r w:rsidR="00DA2DF0" w:rsidRPr="000B1B85">
        <w:rPr>
          <w:lang w:val="fr-FR"/>
        </w:rPr>
        <w:t> </w:t>
      </w:r>
      <w:r w:rsidRPr="000B1B85">
        <w:rPr>
          <w:lang w:val="fr-FR"/>
        </w:rPr>
        <w:t>:</w:t>
      </w:r>
    </w:p>
    <w:tbl>
      <w:tblPr>
        <w:tblW w:w="9643" w:type="dxa"/>
        <w:tblInd w:w="54" w:type="dxa"/>
        <w:tblLayout w:type="fixed"/>
        <w:tblCellMar>
          <w:left w:w="56" w:type="dxa"/>
          <w:right w:w="56" w:type="dxa"/>
        </w:tblCellMar>
        <w:tblLook w:val="04A0" w:firstRow="1" w:lastRow="0" w:firstColumn="1" w:lastColumn="0" w:noHBand="0" w:noVBand="1"/>
      </w:tblPr>
      <w:tblGrid>
        <w:gridCol w:w="855"/>
        <w:gridCol w:w="7938"/>
        <w:gridCol w:w="850"/>
      </w:tblGrid>
      <w:tr w:rsidR="00A074FC" w:rsidRPr="000B1B85" w14:paraId="315C3CB1" w14:textId="77777777" w:rsidTr="00A54F23">
        <w:tc>
          <w:tcPr>
            <w:tcW w:w="855" w:type="dxa"/>
            <w:tcBorders>
              <w:top w:val="single" w:sz="8" w:space="0" w:color="000000"/>
              <w:left w:val="single" w:sz="8" w:space="0" w:color="000000"/>
              <w:bottom w:val="single" w:sz="8" w:space="0" w:color="000000"/>
              <w:right w:val="nil"/>
            </w:tcBorders>
            <w:hideMark/>
          </w:tcPr>
          <w:p w14:paraId="17BF9A9C" w14:textId="77777777" w:rsidR="00A54F23" w:rsidRPr="000B1B85" w:rsidRDefault="00A54F23" w:rsidP="00B76415">
            <w:pPr>
              <w:spacing w:before="24" w:after="24"/>
              <w:rPr>
                <w:b/>
                <w:bCs/>
                <w:lang w:val="fr-FR"/>
              </w:rPr>
            </w:pPr>
            <w:r w:rsidRPr="000B1B85">
              <w:rPr>
                <w:b/>
                <w:lang w:val="fr-FR"/>
              </w:rPr>
              <w:t>P907</w:t>
            </w:r>
          </w:p>
        </w:tc>
        <w:tc>
          <w:tcPr>
            <w:tcW w:w="7938" w:type="dxa"/>
            <w:tcBorders>
              <w:top w:val="single" w:sz="8" w:space="0" w:color="000000"/>
              <w:left w:val="nil"/>
              <w:bottom w:val="single" w:sz="8" w:space="0" w:color="000000"/>
              <w:right w:val="nil"/>
            </w:tcBorders>
            <w:hideMark/>
          </w:tcPr>
          <w:p w14:paraId="2C9B00AE" w14:textId="45CF47D4" w:rsidR="00A54F23" w:rsidRPr="000B1B85" w:rsidRDefault="00A54F23" w:rsidP="00B76415">
            <w:pPr>
              <w:pStyle w:val="Heading7"/>
              <w:spacing w:before="24" w:after="24"/>
              <w:jc w:val="center"/>
              <w:rPr>
                <w:b/>
                <w:bCs/>
                <w:lang w:val="fr-FR"/>
              </w:rPr>
            </w:pPr>
            <w:r w:rsidRPr="000B1B85">
              <w:rPr>
                <w:b/>
                <w:lang w:val="fr-FR"/>
              </w:rPr>
              <w:t>INSTRUCTION D'EMBALLAGE</w:t>
            </w:r>
          </w:p>
        </w:tc>
        <w:tc>
          <w:tcPr>
            <w:tcW w:w="850" w:type="dxa"/>
            <w:tcBorders>
              <w:top w:val="single" w:sz="8" w:space="0" w:color="000000"/>
              <w:left w:val="nil"/>
              <w:bottom w:val="single" w:sz="8" w:space="0" w:color="000000"/>
              <w:right w:val="single" w:sz="8" w:space="0" w:color="000000"/>
            </w:tcBorders>
            <w:hideMark/>
          </w:tcPr>
          <w:p w14:paraId="5175DAEB" w14:textId="77777777" w:rsidR="00A54F23" w:rsidRPr="000B1B85" w:rsidRDefault="00A54F23" w:rsidP="00B76415">
            <w:pPr>
              <w:pStyle w:val="Heading9"/>
              <w:spacing w:before="24" w:after="24" w:line="240" w:lineRule="auto"/>
              <w:jc w:val="right"/>
              <w:rPr>
                <w:b/>
                <w:bCs/>
                <w:lang w:val="fr-FR"/>
              </w:rPr>
            </w:pPr>
            <w:r w:rsidRPr="000B1B85">
              <w:rPr>
                <w:b/>
                <w:lang w:val="fr-FR"/>
              </w:rPr>
              <w:t>P907</w:t>
            </w:r>
          </w:p>
        </w:tc>
      </w:tr>
      <w:tr w:rsidR="00A074FC" w:rsidRPr="000B1B85" w14:paraId="5592658B" w14:textId="77777777" w:rsidTr="00A54F23">
        <w:trPr>
          <w:trHeight w:val="131"/>
        </w:trPr>
        <w:tc>
          <w:tcPr>
            <w:tcW w:w="9643" w:type="dxa"/>
            <w:gridSpan w:val="3"/>
            <w:tcBorders>
              <w:top w:val="single" w:sz="8" w:space="0" w:color="000000"/>
              <w:left w:val="single" w:sz="8" w:space="0" w:color="000000"/>
              <w:bottom w:val="single" w:sz="8" w:space="0" w:color="000000"/>
              <w:right w:val="single" w:sz="8" w:space="0" w:color="000000"/>
            </w:tcBorders>
            <w:tcMar>
              <w:top w:w="113" w:type="dxa"/>
              <w:left w:w="120" w:type="dxa"/>
              <w:bottom w:w="113" w:type="dxa"/>
              <w:right w:w="120" w:type="dxa"/>
            </w:tcMar>
          </w:tcPr>
          <w:p w14:paraId="05ACE9CF" w14:textId="7AA33317" w:rsidR="00A54F23" w:rsidRPr="000B1B85" w:rsidRDefault="00A54F23" w:rsidP="00A54F23">
            <w:pPr>
              <w:rPr>
                <w:lang w:val="fr-FR"/>
              </w:rPr>
            </w:pPr>
            <w:r w:rsidRPr="000B1B85">
              <w:rPr>
                <w:iCs/>
                <w:lang w:val="fr-FR"/>
              </w:rPr>
              <w:t>Cette instruction s’applique au No ONU 3363.</w:t>
            </w:r>
          </w:p>
        </w:tc>
      </w:tr>
      <w:tr w:rsidR="00A074FC" w:rsidRPr="000B1B85" w14:paraId="01B894FA" w14:textId="77777777" w:rsidTr="00A54F23">
        <w:trPr>
          <w:trHeight w:val="2339"/>
        </w:trPr>
        <w:tc>
          <w:tcPr>
            <w:tcW w:w="9643" w:type="dxa"/>
            <w:gridSpan w:val="3"/>
            <w:tcBorders>
              <w:top w:val="single" w:sz="8" w:space="0" w:color="000000"/>
              <w:left w:val="single" w:sz="8" w:space="0" w:color="000000"/>
              <w:bottom w:val="single" w:sz="8" w:space="0" w:color="000000"/>
              <w:right w:val="single" w:sz="8" w:space="0" w:color="000000"/>
            </w:tcBorders>
            <w:tcMar>
              <w:top w:w="113" w:type="dxa"/>
              <w:left w:w="120" w:type="dxa"/>
              <w:bottom w:w="113" w:type="dxa"/>
              <w:right w:w="120" w:type="dxa"/>
            </w:tcMar>
          </w:tcPr>
          <w:p w14:paraId="3A912B8B" w14:textId="77777777" w:rsidR="00A54F23" w:rsidRPr="000B1B85" w:rsidRDefault="00A54F23" w:rsidP="008F7CBA">
            <w:pPr>
              <w:spacing w:after="120"/>
              <w:jc w:val="both"/>
              <w:rPr>
                <w:lang w:val="fr-FR"/>
              </w:rPr>
            </w:pPr>
            <w:r w:rsidRPr="000B1B85">
              <w:rPr>
                <w:lang w:val="fr-FR"/>
              </w:rPr>
              <w:t>Si les machines ou appareils sont construits et conçus de façon telle que les récipients contenant des marchandises dangereuses soient suffisamment protégés, un emballage extérieur n'est pas exigé. Dans les autres cas, les marchandises dangereuses contenues dans des machines ou des appareils doivent être emballées dans des emballages extérieurs fabriqués en un matériau approprié, présentant une résistance suffisante et conçus en fonction de leur contenance et de l'usage auquel ils sont destinés, et satisfaisant aux prescriptions applicables du 4.1.1.1.</w:t>
            </w:r>
          </w:p>
          <w:p w14:paraId="300F7A04" w14:textId="2E6511D1" w:rsidR="00A54F23" w:rsidRPr="000B1B85" w:rsidRDefault="00A54F23" w:rsidP="008F7CBA">
            <w:pPr>
              <w:spacing w:after="120"/>
              <w:jc w:val="both"/>
              <w:rPr>
                <w:lang w:val="fr-FR"/>
              </w:rPr>
            </w:pPr>
            <w:r w:rsidRPr="000B1B85">
              <w:rPr>
                <w:lang w:val="fr-FR"/>
              </w:rPr>
              <w:t xml:space="preserve">Les récipients contenant des marchandises dangereuses doivent satisfaire aux dispositions générales énoncées au 4.1.1, à l'exception des 4.1.1.3, 4.1.1.4, 4.1.1.12 et 4.1.1.14. Dans le cas des gaz </w:t>
            </w:r>
            <w:r w:rsidR="00FF37C3" w:rsidRPr="000B1B85">
              <w:rPr>
                <w:lang w:val="fr-FR"/>
              </w:rPr>
              <w:t>ininflammables, non toxiques</w:t>
            </w:r>
            <w:r w:rsidRPr="000B1B85">
              <w:rPr>
                <w:lang w:val="fr-FR"/>
              </w:rPr>
              <w:t xml:space="preserve">, la bouteille à gaz ou le récipient intérieur, leur contenu et leur </w:t>
            </w:r>
            <w:r w:rsidR="000B1B85" w:rsidRPr="00154472">
              <w:rPr>
                <w:lang w:val="fr-FR"/>
              </w:rPr>
              <w:t xml:space="preserve">taux </w:t>
            </w:r>
            <w:r w:rsidRPr="000B1B85">
              <w:rPr>
                <w:lang w:val="fr-FR"/>
              </w:rPr>
              <w:t>de remplissage doivent être approuvés par l'autorité compétente du pays dans lequel ils ont été remplis.</w:t>
            </w:r>
          </w:p>
          <w:p w14:paraId="1B17F902" w14:textId="77777777" w:rsidR="00A54F23" w:rsidRPr="000B1B85" w:rsidRDefault="00A54F23" w:rsidP="008F7CBA">
            <w:pPr>
              <w:spacing w:after="120"/>
              <w:jc w:val="both"/>
              <w:rPr>
                <w:lang w:val="fr-FR"/>
              </w:rPr>
            </w:pPr>
            <w:r w:rsidRPr="000B1B85">
              <w:rPr>
                <w:lang w:val="fr-FR"/>
              </w:rPr>
              <w:t>En outre, les récipients doivent être contenus et maintenus dans la machine ou dans l'appareil transporté, de telle manière que dans les conditions normales de transport, les risques d'avarie aux récipients soient faibles, et qu'en cas d'avarie à des récipients contenant des marchandises dangereuses solides ou liquides, il n'y ait pas de risque de fuite de marchandises dangereuses en dehors de la machine ou de l'appareil (il peut être utilisé une doublure étanche pour satisfaire à cette prescription). Les récipients contenant des marchandises dangereuses doivent être installés, maintenus et calés avec du rembourrage pour éviter une rupture ou une fuite et de manière à contrôler leur déplacement à l'intérieur de la machine ou de l'appareil dans les conditions normales de transport. Le matériau de rembourrage ne doit pas réagir dangereusement avec le contenu des récipients. Une fuite éventuelle du contenu ne doit pas affecter totalement les propriétés protectrices du matériau de rembourrage.</w:t>
            </w:r>
          </w:p>
        </w:tc>
      </w:tr>
    </w:tbl>
    <w:p w14:paraId="74A39B9F" w14:textId="77777777" w:rsidR="00E369F7" w:rsidRDefault="00E369F7" w:rsidP="00E84D05">
      <w:pPr>
        <w:pStyle w:val="SingleTxtG"/>
        <w:spacing w:before="120"/>
        <w:rPr>
          <w:lang w:val="fr-FR"/>
        </w:rPr>
      </w:pPr>
    </w:p>
    <w:p w14:paraId="0E0F2AFF" w14:textId="77777777" w:rsidR="009C2E03" w:rsidRDefault="009C2E03">
      <w:pPr>
        <w:suppressAutoHyphens w:val="0"/>
        <w:spacing w:line="240" w:lineRule="auto"/>
        <w:rPr>
          <w:lang w:val="fr-FR"/>
        </w:rPr>
      </w:pPr>
      <w:r>
        <w:rPr>
          <w:lang w:val="fr-FR"/>
        </w:rPr>
        <w:br w:type="page"/>
      </w:r>
    </w:p>
    <w:p w14:paraId="28999869" w14:textId="6A746337" w:rsidR="00E93B06" w:rsidRPr="00C55413" w:rsidRDefault="00E93B06" w:rsidP="00E84D05">
      <w:pPr>
        <w:pStyle w:val="SingleTxtG"/>
        <w:spacing w:before="120"/>
        <w:rPr>
          <w:lang w:val="fr-FR"/>
        </w:rPr>
      </w:pPr>
      <w:r w:rsidRPr="00C55413">
        <w:rPr>
          <w:lang w:val="fr-FR"/>
        </w:rPr>
        <w:lastRenderedPageBreak/>
        <w:t>4.1.4.1</w:t>
      </w:r>
      <w:r w:rsidRPr="00C55413">
        <w:rPr>
          <w:lang w:val="fr-FR"/>
        </w:rPr>
        <w:tab/>
      </w:r>
      <w:r w:rsidRPr="00C55413">
        <w:rPr>
          <w:lang w:val="fr-FR"/>
        </w:rPr>
        <w:tab/>
        <w:t>Ajouter la nouvelle instruction d’emballage P911 suivante</w:t>
      </w:r>
      <w:r w:rsidR="00DA2DF0" w:rsidRPr="00C55413">
        <w:rPr>
          <w:lang w:val="fr-FR"/>
        </w:rPr>
        <w:t> </w:t>
      </w:r>
      <w:r w:rsidRPr="00C55413">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704"/>
        <w:gridCol w:w="8222"/>
        <w:gridCol w:w="719"/>
      </w:tblGrid>
      <w:tr w:rsidR="00A074FC" w:rsidRPr="00C55413" w14:paraId="26F402BE" w14:textId="77777777" w:rsidTr="00FC7059">
        <w:trPr>
          <w:cantSplit/>
          <w:tblHeader/>
          <w:jc w:val="center"/>
        </w:trPr>
        <w:tc>
          <w:tcPr>
            <w:tcW w:w="704"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778CE6F" w14:textId="77777777"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C55413">
              <w:rPr>
                <w:b/>
                <w:lang w:val="fr-FR"/>
              </w:rPr>
              <w:t>P911</w:t>
            </w:r>
          </w:p>
        </w:tc>
        <w:tc>
          <w:tcPr>
            <w:tcW w:w="8222"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60944D71" w14:textId="77777777"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C55413">
              <w:rPr>
                <w:b/>
                <w:iCs/>
                <w:lang w:val="fr-FR"/>
              </w:rPr>
              <w:t>INSTRUCTION D’EMBALLAGE</w:t>
            </w:r>
          </w:p>
        </w:tc>
        <w:tc>
          <w:tcPr>
            <w:tcW w:w="71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46BCF14" w14:textId="77777777"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C55413">
              <w:rPr>
                <w:b/>
                <w:iCs/>
                <w:lang w:val="fr-FR"/>
              </w:rPr>
              <w:t>P911</w:t>
            </w:r>
          </w:p>
        </w:tc>
      </w:tr>
      <w:tr w:rsidR="00A074FC" w:rsidRPr="00C55413" w14:paraId="4F2548BD" w14:textId="77777777"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19E9A5" w14:textId="77777777"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C55413">
              <w:rPr>
                <w:iCs/>
                <w:lang w:val="fr-FR"/>
              </w:rPr>
              <w:t xml:space="preserve">Cette instruction s’applique aux piles et batteries endommagées ou défectueuses, des Nos ONU 3090, 3091, 3480 et 3481, </w:t>
            </w:r>
            <w:r w:rsidRPr="00C55413">
              <w:rPr>
                <w:lang w:val="fr-FR"/>
              </w:rPr>
              <w:t>susceptibles de se démonter rapidement, de réagir dangereusement, de produire une flamme ou un dangereux dégagement de chaleur ou une émission de gaz ou de vapeur toxiques, corrosifs ou inflammables, dans les conditions normales de transport.</w:t>
            </w:r>
          </w:p>
        </w:tc>
      </w:tr>
      <w:tr w:rsidR="00A074FC" w:rsidRPr="00C55413" w14:paraId="7AC7E49D" w14:textId="77777777"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46466C8" w14:textId="41FCD7EE"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C55413">
              <w:rPr>
                <w:iCs/>
                <w:lang w:val="fr-FR"/>
              </w:rPr>
              <w:t>Les emballages suivants sont autorisés s’il est satisfait aux dispositions générales des sections </w:t>
            </w:r>
            <w:r w:rsidRPr="00C55413">
              <w:rPr>
                <w:b/>
                <w:iCs/>
                <w:lang w:val="fr-FR"/>
              </w:rPr>
              <w:t>4.1.1</w:t>
            </w:r>
            <w:r w:rsidRPr="00C55413">
              <w:rPr>
                <w:iCs/>
                <w:lang w:val="fr-FR"/>
              </w:rPr>
              <w:t xml:space="preserve"> et </w:t>
            </w:r>
            <w:r w:rsidRPr="00C55413">
              <w:rPr>
                <w:b/>
                <w:iCs/>
                <w:lang w:val="fr-FR"/>
              </w:rPr>
              <w:t>4.1.3</w:t>
            </w:r>
            <w:r w:rsidR="00DA2DF0" w:rsidRPr="00C55413">
              <w:rPr>
                <w:lang w:val="fr-FR"/>
              </w:rPr>
              <w:t> </w:t>
            </w:r>
            <w:r w:rsidRPr="00C55413">
              <w:rPr>
                <w:iCs/>
                <w:lang w:val="fr-FR"/>
              </w:rPr>
              <w:t>:</w:t>
            </w:r>
          </w:p>
        </w:tc>
      </w:tr>
      <w:tr w:rsidR="00A074FC" w:rsidRPr="00C55413" w14:paraId="786353A6"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19A52B2" w14:textId="5F27EF0A"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C55413">
              <w:rPr>
                <w:bCs/>
                <w:iCs/>
                <w:lang w:val="fr-FR"/>
              </w:rPr>
              <w:t>Pour les piles et batteries et pour les équipements contenant des piles et des batteries</w:t>
            </w:r>
            <w:r w:rsidR="00DA2DF0" w:rsidRPr="00C55413">
              <w:rPr>
                <w:lang w:val="fr-FR"/>
              </w:rPr>
              <w:t> </w:t>
            </w:r>
            <w:r w:rsidRPr="00C55413">
              <w:rPr>
                <w:bCs/>
                <w:iCs/>
                <w:lang w:val="fr-FR"/>
              </w:rPr>
              <w:t xml:space="preserve">: </w:t>
            </w:r>
          </w:p>
        </w:tc>
      </w:tr>
      <w:tr w:rsidR="00A074FC" w:rsidRPr="00C55413" w14:paraId="5B0A5E91"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58CF11B" w14:textId="77777777"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en-GB"/>
              </w:rPr>
            </w:pPr>
            <w:r w:rsidRPr="00C55413">
              <w:rPr>
                <w:iCs/>
                <w:lang w:val="en-GB"/>
              </w:rPr>
              <w:t>Fûts (1A2, 1B2, 1N2, 1H2, 1D, 1G);</w:t>
            </w:r>
          </w:p>
        </w:tc>
      </w:tr>
      <w:tr w:rsidR="00A074FC" w:rsidRPr="00C55413" w14:paraId="5DD0448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37DABEA3" w14:textId="77777777"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C55413">
              <w:rPr>
                <w:iCs/>
                <w:lang w:val="fr-FR"/>
              </w:rPr>
              <w:t>Caisses (4A, 4B, 4N, 4C1, 4C2, 4D, 4F, 4G, 4H1, 4H2);</w:t>
            </w:r>
          </w:p>
        </w:tc>
      </w:tr>
      <w:tr w:rsidR="00A074FC" w:rsidRPr="00C55413" w14:paraId="6F5B3B54"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E13281" w14:textId="2E389BA9"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en-GB"/>
              </w:rPr>
            </w:pPr>
            <w:r w:rsidRPr="00C55413">
              <w:rPr>
                <w:iCs/>
                <w:lang w:val="en-GB"/>
              </w:rPr>
              <w:t>Bidons (</w:t>
            </w:r>
            <w:r w:rsidR="0028758A" w:rsidRPr="00C55413">
              <w:rPr>
                <w:iCs/>
                <w:lang w:val="en-GB"/>
              </w:rPr>
              <w:t>jerricanes</w:t>
            </w:r>
            <w:r w:rsidRPr="00C55413">
              <w:rPr>
                <w:iCs/>
                <w:lang w:val="en-GB"/>
              </w:rPr>
              <w:t>) (3A2, 3B2, 3H2)</w:t>
            </w:r>
            <w:r w:rsidR="00DA2DF0" w:rsidRPr="00C55413">
              <w:rPr>
                <w:iCs/>
                <w:lang w:val="en-GB"/>
              </w:rPr>
              <w:t>.</w:t>
            </w:r>
          </w:p>
        </w:tc>
      </w:tr>
      <w:tr w:rsidR="00A074FC" w:rsidRPr="00C55413" w14:paraId="0B83F13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FFF5C3" w14:textId="77777777"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C55413">
              <w:rPr>
                <w:iCs/>
                <w:lang w:val="fr-FR"/>
              </w:rPr>
              <w:t>Les emballages doivent satisfaire au niveau d’épreuve du groupe d’emballage I.</w:t>
            </w:r>
          </w:p>
        </w:tc>
      </w:tr>
      <w:tr w:rsidR="00A074FC" w:rsidRPr="00C55413" w14:paraId="515B30C9"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FC9875F" w14:textId="767EA3DC" w:rsidR="00E93B06" w:rsidRPr="00C55413" w:rsidRDefault="00E93B06"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C55413">
              <w:rPr>
                <w:lang w:val="fr-FR"/>
              </w:rPr>
              <w:t>1</w:t>
            </w:r>
            <w:r w:rsidR="00154C17" w:rsidRPr="00C55413">
              <w:rPr>
                <w:lang w:val="fr-FR"/>
              </w:rPr>
              <w:t>)</w:t>
            </w:r>
            <w:r w:rsidRPr="00C55413">
              <w:rPr>
                <w:lang w:val="fr-FR"/>
              </w:rPr>
              <w:tab/>
              <w:t>L’emballage doit pouvoir satisfaire aux prescriptions supplémentaires suivantes en matière de performance dans les cas où les piles et batteries se démontent rapidement, réagissent dangereusement, produisent une flamme ou un dangereux dégagement de chaleur ou une émission de gaz ou de vapeur toxiques, corrosifs ou inflammables</w:t>
            </w:r>
            <w:r w:rsidR="00DA2DF0" w:rsidRPr="00C55413">
              <w:rPr>
                <w:lang w:val="fr-FR"/>
              </w:rPr>
              <w:t> </w:t>
            </w:r>
            <w:r w:rsidRPr="00C55413">
              <w:rPr>
                <w:lang w:val="fr-FR"/>
              </w:rPr>
              <w:t>:</w:t>
            </w:r>
          </w:p>
        </w:tc>
      </w:tr>
      <w:tr w:rsidR="00A074FC" w:rsidRPr="00C55413" w14:paraId="5ED0640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26B70BA" w14:textId="205E94A0"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C55413">
              <w:rPr>
                <w:lang w:val="fr-FR"/>
              </w:rPr>
              <w:t>a)</w:t>
            </w:r>
            <w:r w:rsidRPr="00C55413">
              <w:rPr>
                <w:lang w:val="fr-FR"/>
              </w:rPr>
              <w:tab/>
              <w:t xml:space="preserve">La température de la surface extérieure du colis </w:t>
            </w:r>
            <w:r w:rsidR="00A53AD4" w:rsidRPr="00C55413">
              <w:rPr>
                <w:lang w:val="fr-FR"/>
              </w:rPr>
              <w:t xml:space="preserve">complet </w:t>
            </w:r>
            <w:r w:rsidRPr="00C55413">
              <w:rPr>
                <w:lang w:val="fr-FR"/>
              </w:rPr>
              <w:t>ne doit pas être supérieure à 100 °C. Une pointe momentanée de température atteignant 200 °C est acceptable</w:t>
            </w:r>
            <w:r w:rsidR="00DA2DF0" w:rsidRPr="00C55413">
              <w:rPr>
                <w:lang w:val="fr-FR"/>
              </w:rPr>
              <w:t> </w:t>
            </w:r>
            <w:r w:rsidRPr="00C55413">
              <w:rPr>
                <w:lang w:val="fr-FR"/>
              </w:rPr>
              <w:t>;</w:t>
            </w:r>
          </w:p>
        </w:tc>
      </w:tr>
      <w:tr w:rsidR="00A074FC" w:rsidRPr="00C55413" w14:paraId="53D30D30"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B99BC20" w14:textId="72573779"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C55413">
              <w:rPr>
                <w:lang w:val="fr-FR"/>
              </w:rPr>
              <w:t xml:space="preserve">b) </w:t>
            </w:r>
            <w:r w:rsidRPr="00C55413">
              <w:rPr>
                <w:lang w:val="fr-FR"/>
              </w:rPr>
              <w:tab/>
              <w:t>Aucune flamme dangereuse ne doit se produire à l’extérieur du colis</w:t>
            </w:r>
            <w:r w:rsidR="00DA2DF0" w:rsidRPr="00C55413">
              <w:rPr>
                <w:lang w:val="fr-FR"/>
              </w:rPr>
              <w:t> </w:t>
            </w:r>
            <w:r w:rsidRPr="00C55413">
              <w:rPr>
                <w:lang w:val="fr-FR"/>
              </w:rPr>
              <w:t>;</w:t>
            </w:r>
          </w:p>
        </w:tc>
      </w:tr>
      <w:tr w:rsidR="00A074FC" w:rsidRPr="00C55413" w14:paraId="3F49E9B9"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2ADC420" w14:textId="5861E178"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C55413">
              <w:rPr>
                <w:lang w:val="fr-FR"/>
              </w:rPr>
              <w:t xml:space="preserve">c) </w:t>
            </w:r>
            <w:r w:rsidRPr="00C55413">
              <w:rPr>
                <w:lang w:val="fr-FR"/>
              </w:rPr>
              <w:tab/>
              <w:t>Aucun fragment dangereux ne doit être projeté à l’extérieur du colis</w:t>
            </w:r>
            <w:r w:rsidR="00DA2DF0" w:rsidRPr="00C55413">
              <w:rPr>
                <w:lang w:val="fr-FR"/>
              </w:rPr>
              <w:t> </w:t>
            </w:r>
            <w:r w:rsidRPr="00C55413">
              <w:rPr>
                <w:lang w:val="fr-FR"/>
              </w:rPr>
              <w:t>;</w:t>
            </w:r>
          </w:p>
        </w:tc>
      </w:tr>
      <w:tr w:rsidR="00A074FC" w:rsidRPr="00C55413" w14:paraId="18D5E896"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983FD7" w14:textId="1F545D7E" w:rsidR="00E93B06" w:rsidRPr="00C55413" w:rsidRDefault="00E93B06"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C55413">
              <w:rPr>
                <w:lang w:val="fr-FR"/>
              </w:rPr>
              <w:t xml:space="preserve">d) </w:t>
            </w:r>
            <w:r w:rsidRPr="00C55413">
              <w:rPr>
                <w:lang w:val="fr-FR"/>
              </w:rPr>
              <w:tab/>
              <w:t xml:space="preserve">L’intégrité structurelle </w:t>
            </w:r>
            <w:r w:rsidR="00A53AD4" w:rsidRPr="00C55413">
              <w:rPr>
                <w:lang w:val="fr-FR"/>
              </w:rPr>
              <w:t>du colis</w:t>
            </w:r>
            <w:r w:rsidRPr="00C55413">
              <w:rPr>
                <w:lang w:val="fr-FR"/>
              </w:rPr>
              <w:t xml:space="preserve"> doit être conservée</w:t>
            </w:r>
            <w:r w:rsidR="00DA2DF0" w:rsidRPr="00C55413">
              <w:rPr>
                <w:lang w:val="fr-FR"/>
              </w:rPr>
              <w:t> </w:t>
            </w:r>
            <w:r w:rsidR="009610A9" w:rsidRPr="00C55413">
              <w:rPr>
                <w:lang w:val="fr-FR"/>
              </w:rPr>
              <w:t>; et</w:t>
            </w:r>
          </w:p>
        </w:tc>
      </w:tr>
      <w:tr w:rsidR="00A074FC" w:rsidRPr="00C55413" w14:paraId="32D448EC"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1486EEC" w14:textId="77777777"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C55413">
              <w:rPr>
                <w:lang w:val="fr-FR"/>
              </w:rPr>
              <w:t xml:space="preserve">e) </w:t>
            </w:r>
            <w:r w:rsidRPr="00C55413">
              <w:rPr>
                <w:lang w:val="fr-FR"/>
              </w:rPr>
              <w:tab/>
              <w:t>Les emballages doivent disposer d’un système de gestion des flux de gaz (par exemple, dispositif de filtration, de ventilation, de confinement des gaz, d’étanchéisation, etc.) selon le cas.</w:t>
            </w:r>
          </w:p>
        </w:tc>
      </w:tr>
      <w:tr w:rsidR="00A074FC" w:rsidRPr="00C55413" w14:paraId="7E23D661"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4FE62E0" w14:textId="3CA73EB9" w:rsidR="00E93B06" w:rsidRPr="00C55413" w:rsidRDefault="00E93B06" w:rsidP="009E7F1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C55413">
              <w:rPr>
                <w:lang w:val="fr-FR"/>
              </w:rPr>
              <w:t>2</w:t>
            </w:r>
            <w:r w:rsidR="00154C17" w:rsidRPr="00C55413">
              <w:rPr>
                <w:lang w:val="fr-FR"/>
              </w:rPr>
              <w:t>)</w:t>
            </w:r>
            <w:r w:rsidRPr="00C55413">
              <w:rPr>
                <w:lang w:val="fr-FR"/>
              </w:rPr>
              <w:t xml:space="preserve"> </w:t>
            </w:r>
            <w:r w:rsidRPr="00C55413">
              <w:rPr>
                <w:lang w:val="fr-FR"/>
              </w:rPr>
              <w:tab/>
            </w:r>
            <w:r w:rsidR="00C55413" w:rsidRPr="00154472">
              <w:rPr>
                <w:lang w:val="fr-FR"/>
              </w:rPr>
              <w:t>Les prescriptions supplémentaires en matière de performance doivent être vérifiées par des épreuves comme spécifié par l’autorité compétente de toute Partie contractante à l’ADR qui peut également reconnaître les épreuves spécifiées par l’autorité compétente d’un pays qui ne serait pas Partie contractante à l’ADR à condition que ces épreuves aient été spécifiées conformément aux procédures applicables selon le RID, l’ADR, l’ADN, le Code IMDG ou les prescriptions techniques de</w:t>
            </w:r>
            <w:r w:rsidR="009610A9" w:rsidRPr="00C55413">
              <w:rPr>
                <w:lang w:val="fr-FR"/>
              </w:rPr>
              <w:t xml:space="preserve"> l’OACI</w:t>
            </w:r>
            <w:r w:rsidRPr="00C55413">
              <w:rPr>
                <w:b/>
                <w:vertAlign w:val="superscript"/>
                <w:lang w:val="fr-FR"/>
              </w:rPr>
              <w:t xml:space="preserve"> a</w:t>
            </w:r>
            <w:r w:rsidRPr="00C55413">
              <w:rPr>
                <w:lang w:val="fr-FR"/>
              </w:rPr>
              <w:t xml:space="preserve">. </w:t>
            </w:r>
          </w:p>
        </w:tc>
      </w:tr>
      <w:tr w:rsidR="00A074FC" w:rsidRPr="00C55413" w14:paraId="3516BA7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FE4517B" w14:textId="31DAE6BC" w:rsidR="00E93B06" w:rsidRPr="00C55413" w:rsidRDefault="00E93B06" w:rsidP="00A53AD4">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C55413">
              <w:rPr>
                <w:lang w:val="fr-FR"/>
              </w:rPr>
              <w:tab/>
              <w:t>Un rapport établi à l’issue de la vérification</w:t>
            </w:r>
            <w:r w:rsidR="00A53AD4" w:rsidRPr="00C55413">
              <w:rPr>
                <w:lang w:val="fr-FR"/>
              </w:rPr>
              <w:t xml:space="preserve"> doit </w:t>
            </w:r>
            <w:r w:rsidRPr="00C55413">
              <w:rPr>
                <w:lang w:val="fr-FR"/>
              </w:rPr>
              <w:t xml:space="preserve">être </w:t>
            </w:r>
            <w:r w:rsidR="00A53AD4" w:rsidRPr="00C55413">
              <w:rPr>
                <w:lang w:val="fr-FR"/>
              </w:rPr>
              <w:t>disponible</w:t>
            </w:r>
            <w:r w:rsidRPr="00C55413">
              <w:rPr>
                <w:lang w:val="fr-FR"/>
              </w:rPr>
              <w:t xml:space="preserve"> à la demande. Doivent y être énumérés, au minimum, le nom de la pile ou de la batterie, son numéro, sa masse, son type, </w:t>
            </w:r>
            <w:r w:rsidR="00A53AD4" w:rsidRPr="00C55413">
              <w:rPr>
                <w:lang w:val="fr-FR"/>
              </w:rPr>
              <w:t>son contenu énergétique</w:t>
            </w:r>
            <w:r w:rsidRPr="00C55413">
              <w:rPr>
                <w:lang w:val="fr-FR"/>
              </w:rPr>
              <w:t>, le numéro d’identification de l’emballage et les données d’épreuves, selon la méthode de vérification spécifiée par l’autorité compétente.</w:t>
            </w:r>
          </w:p>
        </w:tc>
      </w:tr>
      <w:tr w:rsidR="00A074FC" w:rsidRPr="00C55413" w14:paraId="43CE4DD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3FC5ED1" w14:textId="66EBBCFD" w:rsidR="00E93B06" w:rsidRPr="00C55413" w:rsidRDefault="00E93B06"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C55413">
              <w:rPr>
                <w:lang w:val="fr-FR"/>
              </w:rPr>
              <w:t>3</w:t>
            </w:r>
            <w:r w:rsidR="00154C17" w:rsidRPr="00C55413">
              <w:rPr>
                <w:lang w:val="fr-FR"/>
              </w:rPr>
              <w:t>)</w:t>
            </w:r>
            <w:r w:rsidRPr="00C55413">
              <w:rPr>
                <w:lang w:val="fr-FR"/>
              </w:rPr>
              <w:tab/>
              <w:t>Dans les cas où on utilise de la neige carbonique ou de l’azote liquide comme réfrigérant, les prescriptions du 5.5.3 s’appliquent. Les emballages intérieur et extérieur doivent conserver leur intégrité à la température du réfrigérant utilisé ainsi qu’aux températures et pressions qui pourraient être atteintes en cas de disparition de l’agent de refroidissement.</w:t>
            </w:r>
          </w:p>
        </w:tc>
      </w:tr>
      <w:tr w:rsidR="00A074FC" w:rsidRPr="00C55413" w14:paraId="541EF173"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5C8E2499" w14:textId="77777777"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fr-FR"/>
              </w:rPr>
            </w:pPr>
            <w:r w:rsidRPr="00C55413">
              <w:rPr>
                <w:b/>
                <w:iCs/>
                <w:lang w:val="fr-FR"/>
              </w:rPr>
              <w:t>Disposition supplémentaire:</w:t>
            </w:r>
          </w:p>
        </w:tc>
      </w:tr>
      <w:tr w:rsidR="00A074FC" w:rsidRPr="00C55413" w14:paraId="207F2C87" w14:textId="77777777"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4221A9E2" w14:textId="77777777" w:rsidR="00E93B06" w:rsidRPr="00C5541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C55413">
              <w:rPr>
                <w:iCs/>
                <w:lang w:val="fr-FR"/>
              </w:rPr>
              <w:t>Les piles ou batteries doivent être protégées contre les courts-circuits.</w:t>
            </w:r>
          </w:p>
        </w:tc>
      </w:tr>
      <w:tr w:rsidR="00A074FC" w:rsidRPr="00C55413" w14:paraId="18053C5B"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49DC0053" w14:textId="77777777" w:rsidR="00E93B06" w:rsidRPr="00C55413" w:rsidRDefault="00E93B06" w:rsidP="006201FD">
            <w:pPr>
              <w:tabs>
                <w:tab w:val="left" w:pos="366"/>
                <w:tab w:val="left" w:pos="1985"/>
                <w:tab w:val="left" w:pos="2552"/>
                <w:tab w:val="left" w:pos="3119"/>
                <w:tab w:val="left" w:pos="3686"/>
                <w:tab w:val="left" w:pos="4253"/>
                <w:tab w:val="left" w:pos="4820"/>
              </w:tabs>
              <w:suppressAutoHyphens w:val="0"/>
              <w:spacing w:before="60" w:after="60" w:line="240" w:lineRule="auto"/>
              <w:jc w:val="both"/>
              <w:rPr>
                <w:i/>
                <w:lang w:val="fr-FR"/>
              </w:rPr>
            </w:pPr>
            <w:r w:rsidRPr="00C55413">
              <w:rPr>
                <w:b/>
                <w:vertAlign w:val="superscript"/>
                <w:lang w:val="fr-FR"/>
              </w:rPr>
              <w:t>a</w:t>
            </w:r>
            <w:r w:rsidRPr="00C55413">
              <w:rPr>
                <w:i/>
                <w:lang w:val="fr-FR"/>
              </w:rPr>
              <w:tab/>
              <w:t>Les critères suivants, selon le cas, peuvent être pris en compte pour évaluer la performance de l'emballage:</w:t>
            </w:r>
          </w:p>
        </w:tc>
      </w:tr>
      <w:tr w:rsidR="00A074FC" w:rsidRPr="00C55413" w14:paraId="5E0EE334"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BE93E7C" w14:textId="693DF905" w:rsidR="00E93B06" w:rsidRPr="00C55413" w:rsidRDefault="00E93B06" w:rsidP="009610A9">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lang w:val="fr-FR"/>
              </w:rPr>
            </w:pPr>
            <w:r w:rsidRPr="00C55413">
              <w:rPr>
                <w:i/>
                <w:lang w:val="fr-FR"/>
              </w:rPr>
              <w:tab/>
              <w:t xml:space="preserve">a) </w:t>
            </w:r>
            <w:r w:rsidRPr="00C55413">
              <w:rPr>
                <w:i/>
                <w:lang w:val="fr-FR"/>
              </w:rPr>
              <w:tab/>
              <w:t xml:space="preserve">L’évaluation doit être effectuée dans le cadre d’un système de gestion de la qualité (tel que le programme décrit au </w:t>
            </w:r>
            <w:r w:rsidR="009610A9" w:rsidRPr="00C55413">
              <w:rPr>
                <w:i/>
                <w:lang w:val="fr-FR"/>
              </w:rPr>
              <w:t>2.2.9.1.7</w:t>
            </w:r>
            <w:r w:rsidRPr="00C55413">
              <w:rPr>
                <w:i/>
                <w:lang w:val="fr-FR"/>
              </w:rPr>
              <w:t xml:space="preserve"> e)) permettant d’assurer la traçabilité des résultats des épreuves, des données de référence ainsi que des modèles de caractérisation utilisés;</w:t>
            </w:r>
          </w:p>
        </w:tc>
      </w:tr>
      <w:tr w:rsidR="00A074FC" w:rsidRPr="00C55413" w14:paraId="35D1CBE9"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C2F18A7" w14:textId="6AB91E07" w:rsidR="00E93B06" w:rsidRPr="00C55413"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C55413">
              <w:rPr>
                <w:i/>
                <w:lang w:val="fr-FR"/>
              </w:rPr>
              <w:lastRenderedPageBreak/>
              <w:tab/>
              <w:t xml:space="preserve">b) </w:t>
            </w:r>
            <w:r w:rsidRPr="00C55413">
              <w:rPr>
                <w:i/>
                <w:lang w:val="fr-FR"/>
              </w:rPr>
              <w:tab/>
              <w:t xml:space="preserve">Les dangers attendus en cas d’emballement thermique pour le type de pile ou batterie transportée, dans les conditions de transport prévues (par exemple, l’utilisation d’un emballage intérieur, le niveau de charge, l’utilisation d’un rembourrage non combustible, non conducteur d’électricité et absorbant suffisant etc.), doivent être clairement définis et quantifiés; la liste de référence des dangers possibles pour les piles </w:t>
            </w:r>
            <w:r w:rsidR="00A53AD4" w:rsidRPr="00C55413">
              <w:rPr>
                <w:i/>
                <w:lang w:val="fr-FR"/>
              </w:rPr>
              <w:t xml:space="preserve">ou </w:t>
            </w:r>
            <w:r w:rsidRPr="00C55413">
              <w:rPr>
                <w:i/>
                <w:lang w:val="fr-FR"/>
              </w:rPr>
              <w:t xml:space="preserve">batteries au lithium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w:t>
            </w:r>
            <w:r w:rsidR="00A53AD4" w:rsidRPr="00C55413">
              <w:rPr>
                <w:i/>
                <w:lang w:val="fr-FR"/>
              </w:rPr>
              <w:t>la littérature scientifique disponible</w:t>
            </w:r>
            <w:r w:rsidRPr="00C55413">
              <w:rPr>
                <w:i/>
                <w:lang w:val="fr-FR"/>
              </w:rPr>
              <w:t>;</w:t>
            </w:r>
          </w:p>
        </w:tc>
      </w:tr>
      <w:tr w:rsidR="00A074FC" w:rsidRPr="00C55413" w14:paraId="28ADE5D0"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C886C41" w14:textId="08811BC9" w:rsidR="00E93B06" w:rsidRPr="00C55413"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C55413">
              <w:rPr>
                <w:i/>
                <w:lang w:val="fr-FR"/>
              </w:rPr>
              <w:tab/>
              <w:t xml:space="preserve">c) </w:t>
            </w:r>
            <w:r w:rsidRPr="00C55413">
              <w:rPr>
                <w:i/>
                <w:lang w:val="fr-FR"/>
              </w:rPr>
              <w:tab/>
              <w:t>Les effets d’atténuation de ces dangers, propres à l’emballage, doivent être déterminés et caractérisés, en fonction du type de protection offerte par celui-ci et des propriétés des matériaux qui le constituent. Cette évaluation doit être accompagnée d’une liste des caractéristiques techniques et de schémas techniques (densité [kg·m</w:t>
            </w:r>
            <w:r w:rsidRPr="00C55413">
              <w:rPr>
                <w:i/>
                <w:vertAlign w:val="superscript"/>
                <w:lang w:val="fr-FR"/>
              </w:rPr>
              <w:t>-</w:t>
            </w:r>
            <w:r w:rsidRPr="00C55413">
              <w:rPr>
                <w:i/>
                <w:lang w:val="fr-FR"/>
              </w:rPr>
              <w:t>³], capacité calorifique [J·kg</w:t>
            </w:r>
            <w:r w:rsidRPr="00C55413">
              <w:rPr>
                <w:i/>
                <w:vertAlign w:val="superscript"/>
                <w:lang w:val="fr-FR"/>
              </w:rPr>
              <w:t>-1</w:t>
            </w:r>
            <w:r w:rsidRPr="00C55413">
              <w:rPr>
                <w:i/>
                <w:lang w:val="fr-FR"/>
              </w:rPr>
              <w:t>·K</w:t>
            </w:r>
            <w:r w:rsidRPr="00C55413">
              <w:rPr>
                <w:i/>
                <w:vertAlign w:val="superscript"/>
                <w:lang w:val="fr-FR"/>
              </w:rPr>
              <w:t>-1</w:t>
            </w:r>
            <w:r w:rsidRPr="00C55413">
              <w:rPr>
                <w:i/>
                <w:lang w:val="fr-FR"/>
              </w:rPr>
              <w:t>], pouvoir calorifique [</w:t>
            </w:r>
            <w:r w:rsidR="00A53AD4" w:rsidRPr="00C55413">
              <w:rPr>
                <w:i/>
                <w:lang w:val="fr-FR"/>
              </w:rPr>
              <w:t>k</w:t>
            </w:r>
            <w:r w:rsidRPr="00C55413">
              <w:rPr>
                <w:i/>
                <w:lang w:val="fr-FR"/>
              </w:rPr>
              <w:t>J·kg</w:t>
            </w:r>
            <w:r w:rsidRPr="00C55413">
              <w:rPr>
                <w:i/>
                <w:vertAlign w:val="superscript"/>
                <w:lang w:val="fr-FR"/>
              </w:rPr>
              <w:t>-1</w:t>
            </w:r>
            <w:r w:rsidRPr="00C55413">
              <w:rPr>
                <w:i/>
                <w:lang w:val="fr-FR"/>
              </w:rPr>
              <w:t>], conductivité thermique [W·m</w:t>
            </w:r>
            <w:r w:rsidRPr="00C55413">
              <w:rPr>
                <w:i/>
                <w:vertAlign w:val="superscript"/>
                <w:lang w:val="fr-FR"/>
              </w:rPr>
              <w:t>-1</w:t>
            </w:r>
            <w:r w:rsidRPr="00C55413">
              <w:rPr>
                <w:i/>
                <w:lang w:val="fr-FR"/>
              </w:rPr>
              <w:t>·K</w:t>
            </w:r>
            <w:r w:rsidRPr="00C55413">
              <w:rPr>
                <w:i/>
                <w:vertAlign w:val="superscript"/>
                <w:lang w:val="fr-FR"/>
              </w:rPr>
              <w:t>-1</w:t>
            </w:r>
            <w:r w:rsidRPr="00C55413">
              <w:rPr>
                <w:i/>
                <w:lang w:val="fr-FR"/>
              </w:rPr>
              <w:t>], température de fusion et température d’inflammation [K], coefficient de transmission thermique de l’emballage extérieur [W·m</w:t>
            </w:r>
            <w:r w:rsidRPr="00C55413">
              <w:rPr>
                <w:i/>
                <w:vertAlign w:val="superscript"/>
                <w:lang w:val="fr-FR"/>
              </w:rPr>
              <w:t>-2</w:t>
            </w:r>
            <w:r w:rsidRPr="00C55413">
              <w:rPr>
                <w:i/>
                <w:lang w:val="fr-FR"/>
              </w:rPr>
              <w:t>·K</w:t>
            </w:r>
            <w:r w:rsidRPr="00C55413">
              <w:rPr>
                <w:i/>
                <w:vertAlign w:val="superscript"/>
                <w:lang w:val="fr-FR"/>
              </w:rPr>
              <w:t>-1</w:t>
            </w:r>
            <w:r w:rsidRPr="00C55413">
              <w:rPr>
                <w:i/>
                <w:lang w:val="fr-FR"/>
              </w:rPr>
              <w:t>], …);</w:t>
            </w:r>
          </w:p>
        </w:tc>
      </w:tr>
      <w:tr w:rsidR="00A074FC" w:rsidRPr="00C55413" w14:paraId="2C5B8E2A"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2561B21" w14:textId="3BBC73F5" w:rsidR="00E93B06" w:rsidRPr="00C55413"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C55413">
              <w:rPr>
                <w:i/>
                <w:lang w:val="fr-FR"/>
              </w:rPr>
              <w:tab/>
              <w:t xml:space="preserve">d) </w:t>
            </w:r>
            <w:r w:rsidRPr="00C55413">
              <w:rPr>
                <w:i/>
                <w:lang w:val="fr-FR"/>
              </w:rPr>
              <w:tab/>
              <w:t>L’épreuve et tous calculs justificatifs doivent évaluer le résultat de l’emballement thermique de la pile ou batterie à l’intérieur de l’emballage, dans des conditions</w:t>
            </w:r>
            <w:r w:rsidR="00A53AD4" w:rsidRPr="00C55413">
              <w:rPr>
                <w:i/>
                <w:lang w:val="fr-FR"/>
              </w:rPr>
              <w:t xml:space="preserve"> normales</w:t>
            </w:r>
            <w:r w:rsidRPr="00C55413">
              <w:rPr>
                <w:i/>
                <w:lang w:val="fr-FR"/>
              </w:rPr>
              <w:t xml:space="preserve"> de transport;</w:t>
            </w:r>
          </w:p>
        </w:tc>
      </w:tr>
      <w:tr w:rsidR="00A074FC" w:rsidRPr="00C55413" w14:paraId="26BFB9CF"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F69BE8B" w14:textId="1FC902E0" w:rsidR="00E93B06" w:rsidRPr="00C55413"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C55413">
              <w:rPr>
                <w:i/>
                <w:lang w:val="fr-FR"/>
              </w:rPr>
              <w:tab/>
              <w:t xml:space="preserve">e) </w:t>
            </w:r>
            <w:r w:rsidRPr="00C55413">
              <w:rPr>
                <w:i/>
                <w:lang w:val="fr-FR"/>
              </w:rPr>
              <w:tab/>
              <w:t>Dans les cas où le niveau de charge de la pile ou batterie est inconnu, l’évaluation doit être faite avec</w:t>
            </w:r>
            <w:r w:rsidR="00A53AD4" w:rsidRPr="00C55413">
              <w:rPr>
                <w:i/>
                <w:lang w:val="fr-FR"/>
              </w:rPr>
              <w:t xml:space="preserve"> le</w:t>
            </w:r>
            <w:r w:rsidRPr="00C55413">
              <w:rPr>
                <w:i/>
                <w:lang w:val="fr-FR"/>
              </w:rPr>
              <w:t xml:space="preserve"> niveau de charge </w:t>
            </w:r>
            <w:r w:rsidR="00A53AD4" w:rsidRPr="00C55413">
              <w:rPr>
                <w:i/>
                <w:lang w:val="fr-FR"/>
              </w:rPr>
              <w:t xml:space="preserve">le plus haut </w:t>
            </w:r>
            <w:r w:rsidRPr="00C55413">
              <w:rPr>
                <w:i/>
                <w:lang w:val="fr-FR"/>
              </w:rPr>
              <w:t>possible correspondant aux conditions d’utilisation de la pile ou batterie;</w:t>
            </w:r>
          </w:p>
        </w:tc>
      </w:tr>
      <w:tr w:rsidR="00A074FC" w:rsidRPr="00C55413" w14:paraId="76BAD46A"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447EF7A" w14:textId="77777777" w:rsidR="00E93B06" w:rsidRPr="00C55413"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C55413">
              <w:rPr>
                <w:i/>
                <w:lang w:val="fr-FR"/>
              </w:rPr>
              <w:tab/>
              <w:t xml:space="preserve">f) </w:t>
            </w:r>
            <w:r w:rsidRPr="00C55413">
              <w:rPr>
                <w:i/>
                <w:lang w:val="fr-FR"/>
              </w:rPr>
              <w:tab/>
              <w:t>Les conditions environnantes dans lesquelles l’emballage peut être utilisé et transporté doivent être décrites (y compris pour les conséquences possibles d’émissions de gaz ou de fumées sur l’environnement telles que ventilation ou autres méthode) en relation avec le système de gestion des flux de gaz de l’emballage;</w:t>
            </w:r>
          </w:p>
        </w:tc>
      </w:tr>
      <w:tr w:rsidR="00A074FC" w:rsidRPr="00C55413" w14:paraId="0E028CEC"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873D014" w14:textId="7D80EBED" w:rsidR="00E93B06" w:rsidRPr="00C55413"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C55413">
              <w:rPr>
                <w:i/>
                <w:lang w:val="fr-FR"/>
              </w:rPr>
              <w:tab/>
              <w:t xml:space="preserve">g) </w:t>
            </w:r>
            <w:r w:rsidRPr="00C55413">
              <w:rPr>
                <w:i/>
                <w:lang w:val="fr-FR"/>
              </w:rPr>
              <w:tab/>
              <w:t xml:space="preserve">Les épreuves ou le calcul type doivent reposer sur l’hypothèse la plus pessimiste en ce qui concerne le déclenchement de l’emballement thermique et sa propagation à l’intérieur de la pile ou batterie, en postulant la pire défaillance possible au niveau des conditions </w:t>
            </w:r>
            <w:r w:rsidR="002324D3" w:rsidRPr="00C55413">
              <w:rPr>
                <w:i/>
                <w:lang w:val="fr-FR"/>
              </w:rPr>
              <w:t xml:space="preserve">normales </w:t>
            </w:r>
            <w:r w:rsidRPr="00C55413">
              <w:rPr>
                <w:i/>
                <w:lang w:val="fr-FR"/>
              </w:rPr>
              <w:t>de transport, ainsi que les niveaux de chaleur et d’émission de flammes les plus élevés, afin d’évaluer les possibilités de propagation de la réaction;</w:t>
            </w:r>
          </w:p>
        </w:tc>
      </w:tr>
      <w:tr w:rsidR="00A074FC" w:rsidRPr="00C55413" w14:paraId="76F399AD" w14:textId="77777777" w:rsidTr="00FC7059">
        <w:trPr>
          <w:cantSplit/>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12E504BE" w14:textId="200D34E4" w:rsidR="00E93B06" w:rsidRPr="00C55413" w:rsidRDefault="00E93B06" w:rsidP="006201FD">
            <w:pPr>
              <w:tabs>
                <w:tab w:val="left" w:pos="791"/>
              </w:tabs>
              <w:suppressAutoHyphens w:val="0"/>
              <w:spacing w:before="60" w:after="60" w:line="240" w:lineRule="auto"/>
              <w:ind w:left="366" w:hanging="426"/>
              <w:jc w:val="both"/>
              <w:rPr>
                <w:i/>
                <w:lang w:val="fr-FR"/>
              </w:rPr>
            </w:pPr>
            <w:r w:rsidRPr="00C55413">
              <w:rPr>
                <w:i/>
                <w:lang w:val="fr-FR"/>
              </w:rPr>
              <w:tab/>
              <w:t xml:space="preserve">h) </w:t>
            </w:r>
            <w:r w:rsidRPr="00C55413">
              <w:rPr>
                <w:i/>
                <w:lang w:val="fr-FR"/>
              </w:rPr>
              <w:tab/>
            </w:r>
            <w:r w:rsidR="009610A9" w:rsidRPr="00C55413">
              <w:rPr>
                <w:i/>
                <w:lang w:val="fr-FR"/>
              </w:rPr>
              <w:t>Ces scénarios doivent être évalués sur une période suffisamment longue pour permettre l'apparition de toutes les conséquences possibles (par exemple, 24 heures).</w:t>
            </w:r>
          </w:p>
        </w:tc>
      </w:tr>
    </w:tbl>
    <w:p w14:paraId="2C55F181" w14:textId="5475ABAB" w:rsidR="00C55413" w:rsidRPr="00154472" w:rsidRDefault="00C55413" w:rsidP="00C55413">
      <w:pPr>
        <w:spacing w:before="120" w:after="120" w:line="240" w:lineRule="auto"/>
        <w:ind w:left="1134" w:right="1134"/>
        <w:jc w:val="both"/>
        <w:rPr>
          <w:lang w:val="fr-FR"/>
        </w:rPr>
      </w:pPr>
      <w:r w:rsidRPr="00154472">
        <w:rPr>
          <w:lang w:val="fr-FR"/>
        </w:rPr>
        <w:t>4.1.4.2, instruction d’emballage IBC520</w:t>
      </w:r>
      <w:r w:rsidRPr="00154472">
        <w:rPr>
          <w:lang w:val="fr-FR"/>
        </w:rPr>
        <w:tab/>
        <w:t>Dans la deuxième ligne, après « 4.1.7.2. », ajouter la nouvelle phrase suivante : « Les préparations énumérées ci-après peuvent également être transportées emballées conformément à la méthode d’emballage OP8 de l’instruction d’emballage P520 du 4.1.4.1, avec les mêmes températures de régulation et critiques, le cas échéant. ».</w:t>
      </w:r>
    </w:p>
    <w:p w14:paraId="68128E42" w14:textId="128B8B13" w:rsidR="00196C06" w:rsidRPr="00C55413" w:rsidRDefault="00196C06" w:rsidP="00196C06">
      <w:pPr>
        <w:pStyle w:val="SingleTxtG"/>
        <w:rPr>
          <w:lang w:val="fr-FR"/>
        </w:rPr>
      </w:pPr>
      <w:r w:rsidRPr="00C55413">
        <w:rPr>
          <w:lang w:val="fr-FR"/>
        </w:rPr>
        <w:t>4.1.4.2, instruction d’emballage IBC520</w:t>
      </w:r>
      <w:r w:rsidRPr="00C55413">
        <w:rPr>
          <w:lang w:val="fr-FR"/>
        </w:rPr>
        <w:tab/>
        <w:t>Pour le No ONU 3109, sous la rubrique «</w:t>
      </w:r>
      <w:r w:rsidR="00DA2DF0" w:rsidRPr="00C55413">
        <w:rPr>
          <w:lang w:val="fr-FR"/>
        </w:rPr>
        <w:t> </w:t>
      </w:r>
      <w:r w:rsidRPr="00C55413">
        <w:rPr>
          <w:lang w:val="fr-FR"/>
        </w:rPr>
        <w:t>Hydroperoxyde de tert-butyle, à 72 % au plus dans l’eau</w:t>
      </w:r>
      <w:r w:rsidR="00DA2DF0" w:rsidRPr="00C55413">
        <w:rPr>
          <w:lang w:val="fr-FR"/>
        </w:rPr>
        <w:t> </w:t>
      </w:r>
      <w:r w:rsidRPr="00C55413">
        <w:rPr>
          <w:lang w:val="fr-FR"/>
        </w:rPr>
        <w:t>» ajouter une nouvelle ligne pour lire comme suit</w:t>
      </w:r>
      <w:r w:rsidR="00DA2DF0" w:rsidRPr="00C55413">
        <w:rPr>
          <w:lang w:val="fr-FR"/>
        </w:rPr>
        <w:t> </w:t>
      </w:r>
      <w:r w:rsidRPr="00C55413">
        <w:rPr>
          <w:lang w:val="fr-FR"/>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2"/>
        <w:gridCol w:w="1843"/>
        <w:gridCol w:w="1843"/>
        <w:gridCol w:w="1843"/>
      </w:tblGrid>
      <w:tr w:rsidR="00A074FC" w:rsidRPr="00C55413" w14:paraId="5E089040" w14:textId="77777777" w:rsidTr="006201FD">
        <w:tc>
          <w:tcPr>
            <w:tcW w:w="1842" w:type="dxa"/>
            <w:tcBorders>
              <w:top w:val="single" w:sz="4" w:space="0" w:color="auto"/>
              <w:bottom w:val="single" w:sz="12" w:space="0" w:color="auto"/>
            </w:tcBorders>
            <w:shd w:val="clear" w:color="auto" w:fill="auto"/>
            <w:vAlign w:val="bottom"/>
          </w:tcPr>
          <w:p w14:paraId="2AE87A2E" w14:textId="77777777" w:rsidR="00196C06" w:rsidRPr="00C55413" w:rsidRDefault="00196C06" w:rsidP="006201FD">
            <w:pPr>
              <w:spacing w:before="80" w:after="80" w:line="200" w:lineRule="exact"/>
              <w:ind w:right="113"/>
              <w:rPr>
                <w:i/>
                <w:sz w:val="16"/>
                <w:lang w:val="fr-FR"/>
              </w:rPr>
            </w:pPr>
            <w:r w:rsidRPr="00C55413">
              <w:rPr>
                <w:i/>
                <w:sz w:val="16"/>
                <w:lang w:val="fr-FR"/>
              </w:rPr>
              <w:t>Type de GRV</w:t>
            </w:r>
          </w:p>
        </w:tc>
        <w:tc>
          <w:tcPr>
            <w:tcW w:w="1843" w:type="dxa"/>
            <w:tcBorders>
              <w:top w:val="single" w:sz="4" w:space="0" w:color="auto"/>
              <w:bottom w:val="single" w:sz="12" w:space="0" w:color="auto"/>
            </w:tcBorders>
            <w:shd w:val="clear" w:color="auto" w:fill="auto"/>
          </w:tcPr>
          <w:p w14:paraId="33A40862" w14:textId="77777777" w:rsidR="00196C06" w:rsidRPr="00C55413" w:rsidRDefault="00196C06" w:rsidP="006201FD">
            <w:pPr>
              <w:spacing w:before="80" w:after="80" w:line="200" w:lineRule="exact"/>
              <w:ind w:right="113"/>
              <w:rPr>
                <w:i/>
                <w:sz w:val="16"/>
                <w:lang w:val="fr-FR"/>
              </w:rPr>
            </w:pPr>
            <w:r w:rsidRPr="00C55413">
              <w:rPr>
                <w:i/>
                <w:sz w:val="16"/>
                <w:lang w:val="fr-FR"/>
              </w:rPr>
              <w:t>Quantité maximale (litres)</w:t>
            </w:r>
          </w:p>
        </w:tc>
        <w:tc>
          <w:tcPr>
            <w:tcW w:w="1843" w:type="dxa"/>
            <w:tcBorders>
              <w:top w:val="single" w:sz="4" w:space="0" w:color="auto"/>
              <w:bottom w:val="single" w:sz="12" w:space="0" w:color="auto"/>
            </w:tcBorders>
            <w:shd w:val="clear" w:color="auto" w:fill="auto"/>
          </w:tcPr>
          <w:p w14:paraId="36E270FE" w14:textId="41B39CAF" w:rsidR="00196C06" w:rsidRPr="00C55413" w:rsidRDefault="00196C06" w:rsidP="006201FD">
            <w:pPr>
              <w:spacing w:before="80" w:after="80" w:line="200" w:lineRule="exact"/>
              <w:ind w:right="113"/>
              <w:rPr>
                <w:i/>
                <w:sz w:val="16"/>
                <w:lang w:val="fr-FR"/>
              </w:rPr>
            </w:pPr>
            <w:r w:rsidRPr="00C55413">
              <w:rPr>
                <w:i/>
                <w:sz w:val="16"/>
                <w:lang w:val="fr-FR"/>
              </w:rPr>
              <w:t>Temp. de régulation</w:t>
            </w:r>
          </w:p>
        </w:tc>
        <w:tc>
          <w:tcPr>
            <w:tcW w:w="1843" w:type="dxa"/>
            <w:tcBorders>
              <w:top w:val="single" w:sz="4" w:space="0" w:color="auto"/>
              <w:bottom w:val="single" w:sz="12" w:space="0" w:color="auto"/>
            </w:tcBorders>
            <w:shd w:val="clear" w:color="auto" w:fill="auto"/>
          </w:tcPr>
          <w:p w14:paraId="28158E80" w14:textId="54454C52" w:rsidR="00196C06" w:rsidRPr="00C55413" w:rsidRDefault="00196C06" w:rsidP="006201FD">
            <w:pPr>
              <w:spacing w:before="80" w:after="80" w:line="200" w:lineRule="exact"/>
              <w:ind w:right="113"/>
              <w:rPr>
                <w:i/>
                <w:sz w:val="16"/>
                <w:lang w:val="fr-FR"/>
              </w:rPr>
            </w:pPr>
            <w:r w:rsidRPr="00C55413">
              <w:rPr>
                <w:i/>
                <w:sz w:val="16"/>
                <w:lang w:val="fr-FR"/>
              </w:rPr>
              <w:t>Temp. critique</w:t>
            </w:r>
          </w:p>
        </w:tc>
      </w:tr>
      <w:tr w:rsidR="00A074FC" w:rsidRPr="00C55413" w14:paraId="4AA74D23" w14:textId="77777777" w:rsidTr="006201FD">
        <w:tc>
          <w:tcPr>
            <w:tcW w:w="1842" w:type="dxa"/>
            <w:tcBorders>
              <w:bottom w:val="single" w:sz="12" w:space="0" w:color="auto"/>
            </w:tcBorders>
            <w:shd w:val="clear" w:color="auto" w:fill="auto"/>
          </w:tcPr>
          <w:p w14:paraId="0992D998" w14:textId="77777777" w:rsidR="00196C06" w:rsidRPr="00C55413" w:rsidRDefault="00196C06" w:rsidP="006201FD">
            <w:pPr>
              <w:spacing w:before="40" w:after="120"/>
              <w:ind w:right="113"/>
              <w:rPr>
                <w:sz w:val="18"/>
                <w:szCs w:val="18"/>
                <w:lang w:val="fr-FR"/>
              </w:rPr>
            </w:pPr>
            <w:r w:rsidRPr="00C55413">
              <w:rPr>
                <w:sz w:val="18"/>
                <w:szCs w:val="18"/>
                <w:lang w:val="fr-FR"/>
              </w:rPr>
              <w:t>31HA1</w:t>
            </w:r>
          </w:p>
        </w:tc>
        <w:tc>
          <w:tcPr>
            <w:tcW w:w="1843" w:type="dxa"/>
            <w:tcBorders>
              <w:bottom w:val="single" w:sz="12" w:space="0" w:color="auto"/>
            </w:tcBorders>
            <w:shd w:val="clear" w:color="auto" w:fill="auto"/>
          </w:tcPr>
          <w:p w14:paraId="61B256BC" w14:textId="77777777" w:rsidR="00196C06" w:rsidRPr="00C55413" w:rsidRDefault="00196C06" w:rsidP="006201FD">
            <w:pPr>
              <w:spacing w:before="40" w:after="120"/>
              <w:ind w:right="113"/>
              <w:rPr>
                <w:sz w:val="18"/>
                <w:szCs w:val="18"/>
                <w:lang w:val="fr-FR"/>
              </w:rPr>
            </w:pPr>
            <w:r w:rsidRPr="00C55413">
              <w:rPr>
                <w:sz w:val="18"/>
                <w:szCs w:val="18"/>
                <w:lang w:val="fr-FR"/>
              </w:rPr>
              <w:t>1 000</w:t>
            </w:r>
          </w:p>
        </w:tc>
        <w:tc>
          <w:tcPr>
            <w:tcW w:w="1843" w:type="dxa"/>
            <w:tcBorders>
              <w:bottom w:val="single" w:sz="12" w:space="0" w:color="auto"/>
            </w:tcBorders>
            <w:shd w:val="clear" w:color="auto" w:fill="auto"/>
          </w:tcPr>
          <w:p w14:paraId="11B6652F" w14:textId="77777777" w:rsidR="00196C06" w:rsidRPr="00C55413" w:rsidRDefault="00196C06" w:rsidP="006201FD">
            <w:pPr>
              <w:spacing w:before="40" w:after="120"/>
              <w:ind w:right="113"/>
              <w:rPr>
                <w:sz w:val="18"/>
                <w:szCs w:val="18"/>
                <w:lang w:val="fr-FR"/>
              </w:rPr>
            </w:pPr>
          </w:p>
        </w:tc>
        <w:tc>
          <w:tcPr>
            <w:tcW w:w="1843" w:type="dxa"/>
            <w:tcBorders>
              <w:bottom w:val="single" w:sz="12" w:space="0" w:color="auto"/>
            </w:tcBorders>
            <w:shd w:val="clear" w:color="auto" w:fill="auto"/>
          </w:tcPr>
          <w:p w14:paraId="1D546B5B" w14:textId="77777777" w:rsidR="00196C06" w:rsidRPr="00C55413" w:rsidRDefault="00196C06" w:rsidP="006201FD">
            <w:pPr>
              <w:spacing w:before="40" w:after="120"/>
              <w:ind w:right="113"/>
              <w:rPr>
                <w:sz w:val="18"/>
                <w:szCs w:val="18"/>
                <w:lang w:val="fr-FR"/>
              </w:rPr>
            </w:pPr>
          </w:p>
        </w:tc>
      </w:tr>
    </w:tbl>
    <w:p w14:paraId="347F0600" w14:textId="7E59F511" w:rsidR="00196C06" w:rsidRPr="00C55413" w:rsidRDefault="00196C06" w:rsidP="00196C06">
      <w:pPr>
        <w:pStyle w:val="SingleTxtG"/>
        <w:spacing w:before="120"/>
        <w:rPr>
          <w:lang w:val="fr-FR"/>
        </w:rPr>
      </w:pPr>
      <w:r w:rsidRPr="00C55413">
        <w:rPr>
          <w:lang w:val="fr-FR"/>
        </w:rPr>
        <w:t>4.1.4.2, i</w:t>
      </w:r>
      <w:r w:rsidR="001A6331" w:rsidRPr="00C55413">
        <w:rPr>
          <w:lang w:val="fr-FR"/>
        </w:rPr>
        <w:t>nstruction d’emballage IBC520</w:t>
      </w:r>
      <w:r w:rsidRPr="00C55413">
        <w:rPr>
          <w:lang w:val="fr-FR"/>
        </w:rPr>
        <w:tab/>
        <w:t>Insérer les nouvelles rubriques suivantes: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0"/>
        <w:gridCol w:w="2412"/>
        <w:gridCol w:w="1606"/>
        <w:gridCol w:w="1607"/>
        <w:gridCol w:w="1607"/>
        <w:gridCol w:w="1607"/>
      </w:tblGrid>
      <w:tr w:rsidR="00A074FC" w:rsidRPr="00C55413" w14:paraId="7DA46A52" w14:textId="77777777" w:rsidTr="006201FD">
        <w:trPr>
          <w:cantSplit/>
          <w:tblHeader/>
        </w:trPr>
        <w:tc>
          <w:tcPr>
            <w:tcW w:w="800" w:type="dxa"/>
            <w:tcBorders>
              <w:top w:val="single" w:sz="4" w:space="0" w:color="auto"/>
              <w:bottom w:val="single" w:sz="12" w:space="0" w:color="auto"/>
            </w:tcBorders>
            <w:shd w:val="clear" w:color="auto" w:fill="auto"/>
            <w:vAlign w:val="bottom"/>
          </w:tcPr>
          <w:p w14:paraId="0815FF27" w14:textId="77777777" w:rsidR="00196C06" w:rsidRPr="00C55413" w:rsidRDefault="00196C06" w:rsidP="006201FD">
            <w:pPr>
              <w:spacing w:before="80" w:after="80" w:line="200" w:lineRule="exact"/>
              <w:ind w:right="113"/>
              <w:rPr>
                <w:i/>
                <w:sz w:val="16"/>
                <w:lang w:val="fr-FR"/>
              </w:rPr>
            </w:pPr>
            <w:r w:rsidRPr="00C55413">
              <w:rPr>
                <w:i/>
                <w:sz w:val="16"/>
                <w:lang w:val="fr-FR"/>
              </w:rPr>
              <w:t>No ONU</w:t>
            </w:r>
          </w:p>
        </w:tc>
        <w:tc>
          <w:tcPr>
            <w:tcW w:w="2412" w:type="dxa"/>
            <w:tcBorders>
              <w:top w:val="single" w:sz="4" w:space="0" w:color="auto"/>
              <w:bottom w:val="single" w:sz="12" w:space="0" w:color="auto"/>
            </w:tcBorders>
            <w:shd w:val="clear" w:color="auto" w:fill="auto"/>
            <w:vAlign w:val="bottom"/>
          </w:tcPr>
          <w:p w14:paraId="4EEA23C7" w14:textId="77777777" w:rsidR="00196C06" w:rsidRPr="00C55413" w:rsidRDefault="00196C06" w:rsidP="006201FD">
            <w:pPr>
              <w:spacing w:before="80" w:after="80" w:line="200" w:lineRule="exact"/>
              <w:ind w:right="113"/>
              <w:rPr>
                <w:i/>
                <w:sz w:val="16"/>
                <w:lang w:val="fr-FR"/>
              </w:rPr>
            </w:pPr>
            <w:r w:rsidRPr="00C55413">
              <w:rPr>
                <w:i/>
                <w:sz w:val="16"/>
                <w:lang w:val="fr-FR"/>
              </w:rPr>
              <w:t>Peroxyde organique</w:t>
            </w:r>
          </w:p>
        </w:tc>
        <w:tc>
          <w:tcPr>
            <w:tcW w:w="1606" w:type="dxa"/>
            <w:tcBorders>
              <w:top w:val="single" w:sz="4" w:space="0" w:color="auto"/>
              <w:bottom w:val="single" w:sz="12" w:space="0" w:color="auto"/>
            </w:tcBorders>
            <w:shd w:val="clear" w:color="auto" w:fill="auto"/>
            <w:vAlign w:val="bottom"/>
          </w:tcPr>
          <w:p w14:paraId="076B745F" w14:textId="77777777" w:rsidR="00196C06" w:rsidRPr="00C55413" w:rsidRDefault="00196C06" w:rsidP="006201FD">
            <w:pPr>
              <w:spacing w:before="80" w:after="80" w:line="200" w:lineRule="exact"/>
              <w:ind w:right="113"/>
              <w:rPr>
                <w:i/>
                <w:sz w:val="16"/>
                <w:lang w:val="fr-FR"/>
              </w:rPr>
            </w:pPr>
            <w:r w:rsidRPr="00C55413">
              <w:rPr>
                <w:i/>
                <w:sz w:val="16"/>
                <w:lang w:val="fr-FR"/>
              </w:rPr>
              <w:t>Type de GRV</w:t>
            </w:r>
          </w:p>
        </w:tc>
        <w:tc>
          <w:tcPr>
            <w:tcW w:w="1607" w:type="dxa"/>
            <w:tcBorders>
              <w:top w:val="single" w:sz="4" w:space="0" w:color="auto"/>
              <w:bottom w:val="single" w:sz="12" w:space="0" w:color="auto"/>
            </w:tcBorders>
            <w:shd w:val="clear" w:color="auto" w:fill="auto"/>
            <w:vAlign w:val="bottom"/>
          </w:tcPr>
          <w:p w14:paraId="405C0347" w14:textId="77777777" w:rsidR="00196C06" w:rsidRPr="00C55413" w:rsidRDefault="00196C06" w:rsidP="006201FD">
            <w:pPr>
              <w:spacing w:before="80" w:after="80" w:line="200" w:lineRule="exact"/>
              <w:ind w:right="113"/>
              <w:rPr>
                <w:i/>
                <w:sz w:val="16"/>
                <w:lang w:val="fr-FR"/>
              </w:rPr>
            </w:pPr>
            <w:r w:rsidRPr="00C55413">
              <w:rPr>
                <w:i/>
                <w:sz w:val="16"/>
                <w:lang w:val="fr-FR"/>
              </w:rPr>
              <w:t>Quantité maximale (litres)</w:t>
            </w:r>
          </w:p>
        </w:tc>
        <w:tc>
          <w:tcPr>
            <w:tcW w:w="1607" w:type="dxa"/>
            <w:tcBorders>
              <w:top w:val="single" w:sz="4" w:space="0" w:color="auto"/>
              <w:bottom w:val="single" w:sz="12" w:space="0" w:color="auto"/>
            </w:tcBorders>
            <w:shd w:val="clear" w:color="auto" w:fill="auto"/>
            <w:vAlign w:val="bottom"/>
          </w:tcPr>
          <w:p w14:paraId="24F69F6C" w14:textId="77777777" w:rsidR="00196C06" w:rsidRPr="00C55413" w:rsidRDefault="00196C06" w:rsidP="006201FD">
            <w:pPr>
              <w:spacing w:before="80" w:after="80" w:line="200" w:lineRule="exact"/>
              <w:ind w:right="113"/>
              <w:rPr>
                <w:i/>
                <w:sz w:val="16"/>
                <w:lang w:val="fr-FR"/>
              </w:rPr>
            </w:pPr>
            <w:r w:rsidRPr="00C55413">
              <w:rPr>
                <w:i/>
                <w:sz w:val="16"/>
                <w:lang w:val="fr-FR"/>
              </w:rPr>
              <w:t>Temp. de régulation</w:t>
            </w:r>
          </w:p>
        </w:tc>
        <w:tc>
          <w:tcPr>
            <w:tcW w:w="1607" w:type="dxa"/>
            <w:tcBorders>
              <w:top w:val="single" w:sz="4" w:space="0" w:color="auto"/>
              <w:bottom w:val="single" w:sz="12" w:space="0" w:color="auto"/>
            </w:tcBorders>
            <w:shd w:val="clear" w:color="auto" w:fill="auto"/>
            <w:vAlign w:val="bottom"/>
          </w:tcPr>
          <w:p w14:paraId="244EC9E7" w14:textId="77777777" w:rsidR="00196C06" w:rsidRPr="00C55413" w:rsidRDefault="00196C06" w:rsidP="006201FD">
            <w:pPr>
              <w:spacing w:before="80" w:after="80" w:line="200" w:lineRule="exact"/>
              <w:ind w:right="113"/>
              <w:rPr>
                <w:i/>
                <w:sz w:val="16"/>
                <w:lang w:val="fr-FR"/>
              </w:rPr>
            </w:pPr>
            <w:r w:rsidRPr="00C55413">
              <w:rPr>
                <w:i/>
                <w:sz w:val="16"/>
                <w:lang w:val="fr-FR"/>
              </w:rPr>
              <w:t>Temp. critique</w:t>
            </w:r>
          </w:p>
        </w:tc>
      </w:tr>
      <w:tr w:rsidR="00A074FC" w:rsidRPr="00C55413" w14:paraId="3CDE1C50" w14:textId="77777777" w:rsidTr="006201FD">
        <w:tc>
          <w:tcPr>
            <w:tcW w:w="800" w:type="dxa"/>
            <w:tcBorders>
              <w:top w:val="single" w:sz="12" w:space="0" w:color="auto"/>
            </w:tcBorders>
            <w:shd w:val="clear" w:color="auto" w:fill="auto"/>
          </w:tcPr>
          <w:p w14:paraId="278FCFF7" w14:textId="77777777" w:rsidR="00196C06" w:rsidRPr="00C55413" w:rsidRDefault="00196C06" w:rsidP="006201FD">
            <w:pPr>
              <w:spacing w:before="40" w:after="120"/>
              <w:ind w:right="113"/>
              <w:rPr>
                <w:sz w:val="18"/>
                <w:szCs w:val="18"/>
                <w:lang w:val="fr-FR"/>
              </w:rPr>
            </w:pPr>
            <w:r w:rsidRPr="00C55413">
              <w:rPr>
                <w:sz w:val="18"/>
                <w:szCs w:val="18"/>
                <w:lang w:val="fr-FR"/>
              </w:rPr>
              <w:t>3109</w:t>
            </w:r>
          </w:p>
        </w:tc>
        <w:tc>
          <w:tcPr>
            <w:tcW w:w="2412" w:type="dxa"/>
            <w:tcBorders>
              <w:top w:val="single" w:sz="12" w:space="0" w:color="auto"/>
            </w:tcBorders>
            <w:shd w:val="clear" w:color="auto" w:fill="auto"/>
          </w:tcPr>
          <w:p w14:paraId="5329FA17" w14:textId="77777777" w:rsidR="00196C06" w:rsidRPr="00C55413" w:rsidRDefault="00196C06" w:rsidP="006201FD">
            <w:pPr>
              <w:tabs>
                <w:tab w:val="left" w:pos="288"/>
                <w:tab w:val="left" w:pos="576"/>
                <w:tab w:val="left" w:pos="864"/>
                <w:tab w:val="left" w:pos="1152"/>
              </w:tabs>
              <w:spacing w:before="40" w:after="120"/>
              <w:ind w:left="144" w:right="43"/>
              <w:rPr>
                <w:lang w:val="fr-FR"/>
              </w:rPr>
            </w:pPr>
            <w:r w:rsidRPr="00C55413">
              <w:rPr>
                <w:lang w:val="fr-FR"/>
              </w:rPr>
              <w:t>Diméthyl-2,5-bis (tert-butylperoxy)-2,5 hexane, à 52 % au plus dans un diluant de type A</w:t>
            </w:r>
          </w:p>
        </w:tc>
        <w:tc>
          <w:tcPr>
            <w:tcW w:w="1606" w:type="dxa"/>
            <w:tcBorders>
              <w:top w:val="single" w:sz="12" w:space="0" w:color="auto"/>
            </w:tcBorders>
            <w:shd w:val="clear" w:color="auto" w:fill="auto"/>
          </w:tcPr>
          <w:p w14:paraId="0C6C2983" w14:textId="77777777" w:rsidR="00196C06" w:rsidRPr="00C55413" w:rsidRDefault="00196C06" w:rsidP="006201FD">
            <w:pPr>
              <w:tabs>
                <w:tab w:val="left" w:pos="288"/>
                <w:tab w:val="left" w:pos="576"/>
                <w:tab w:val="left" w:pos="864"/>
                <w:tab w:val="left" w:pos="1152"/>
              </w:tabs>
              <w:spacing w:before="40" w:after="120"/>
              <w:ind w:left="144" w:right="43"/>
              <w:jc w:val="center"/>
              <w:rPr>
                <w:lang w:val="fr-FR"/>
              </w:rPr>
            </w:pPr>
            <w:r w:rsidRPr="00C55413">
              <w:rPr>
                <w:lang w:val="fr-FR"/>
              </w:rPr>
              <w:t>31HA1</w:t>
            </w:r>
          </w:p>
        </w:tc>
        <w:tc>
          <w:tcPr>
            <w:tcW w:w="1607" w:type="dxa"/>
            <w:tcBorders>
              <w:top w:val="single" w:sz="12" w:space="0" w:color="auto"/>
            </w:tcBorders>
            <w:shd w:val="clear" w:color="auto" w:fill="auto"/>
          </w:tcPr>
          <w:p w14:paraId="2C81424F" w14:textId="77777777" w:rsidR="00196C06" w:rsidRPr="00C55413" w:rsidRDefault="00196C06" w:rsidP="006201FD">
            <w:pPr>
              <w:tabs>
                <w:tab w:val="left" w:pos="288"/>
                <w:tab w:val="left" w:pos="576"/>
                <w:tab w:val="left" w:pos="864"/>
                <w:tab w:val="left" w:pos="1152"/>
              </w:tabs>
              <w:spacing w:before="40" w:after="120"/>
              <w:ind w:left="144" w:right="43"/>
              <w:jc w:val="center"/>
              <w:rPr>
                <w:lang w:val="fr-FR"/>
              </w:rPr>
            </w:pPr>
            <w:r w:rsidRPr="00C55413">
              <w:rPr>
                <w:lang w:val="fr-FR"/>
              </w:rPr>
              <w:t>1000</w:t>
            </w:r>
          </w:p>
        </w:tc>
        <w:tc>
          <w:tcPr>
            <w:tcW w:w="1607" w:type="dxa"/>
            <w:tcBorders>
              <w:top w:val="single" w:sz="12" w:space="0" w:color="auto"/>
            </w:tcBorders>
            <w:shd w:val="clear" w:color="auto" w:fill="auto"/>
          </w:tcPr>
          <w:p w14:paraId="75D9A19E" w14:textId="77777777" w:rsidR="00196C06" w:rsidRPr="00C55413" w:rsidRDefault="00196C06" w:rsidP="006201FD">
            <w:pPr>
              <w:tabs>
                <w:tab w:val="left" w:pos="288"/>
                <w:tab w:val="left" w:pos="576"/>
                <w:tab w:val="left" w:pos="864"/>
                <w:tab w:val="left" w:pos="1152"/>
              </w:tabs>
              <w:spacing w:before="40" w:after="120"/>
              <w:ind w:left="144" w:right="43"/>
              <w:jc w:val="center"/>
              <w:rPr>
                <w:lang w:val="fr-FR"/>
              </w:rPr>
            </w:pPr>
          </w:p>
        </w:tc>
        <w:tc>
          <w:tcPr>
            <w:tcW w:w="1607" w:type="dxa"/>
            <w:tcBorders>
              <w:top w:val="single" w:sz="12" w:space="0" w:color="auto"/>
            </w:tcBorders>
            <w:shd w:val="clear" w:color="auto" w:fill="auto"/>
          </w:tcPr>
          <w:p w14:paraId="391A3132" w14:textId="77777777" w:rsidR="00196C06" w:rsidRPr="00C55413" w:rsidRDefault="00196C06" w:rsidP="006201FD">
            <w:pPr>
              <w:tabs>
                <w:tab w:val="left" w:pos="288"/>
                <w:tab w:val="left" w:pos="576"/>
                <w:tab w:val="left" w:pos="864"/>
                <w:tab w:val="left" w:pos="1152"/>
              </w:tabs>
              <w:spacing w:before="40" w:after="120"/>
              <w:ind w:left="144" w:right="43"/>
              <w:jc w:val="center"/>
              <w:rPr>
                <w:lang w:val="fr-FR"/>
              </w:rPr>
            </w:pPr>
          </w:p>
        </w:tc>
      </w:tr>
      <w:tr w:rsidR="00A074FC" w:rsidRPr="00C55413" w14:paraId="0BFA2A7C" w14:textId="77777777" w:rsidTr="006201FD">
        <w:tc>
          <w:tcPr>
            <w:tcW w:w="800" w:type="dxa"/>
            <w:shd w:val="clear" w:color="auto" w:fill="auto"/>
          </w:tcPr>
          <w:p w14:paraId="2FF0F80A" w14:textId="77777777" w:rsidR="00196C06" w:rsidRPr="00C55413" w:rsidRDefault="00196C06" w:rsidP="006201FD">
            <w:pPr>
              <w:spacing w:before="40" w:after="120"/>
              <w:ind w:right="113"/>
              <w:rPr>
                <w:sz w:val="18"/>
                <w:szCs w:val="18"/>
                <w:lang w:val="fr-FR"/>
              </w:rPr>
            </w:pPr>
            <w:r w:rsidRPr="00C55413">
              <w:rPr>
                <w:sz w:val="18"/>
                <w:szCs w:val="18"/>
                <w:lang w:val="fr-FR"/>
              </w:rPr>
              <w:lastRenderedPageBreak/>
              <w:t>3109</w:t>
            </w:r>
          </w:p>
        </w:tc>
        <w:tc>
          <w:tcPr>
            <w:tcW w:w="2412" w:type="dxa"/>
            <w:shd w:val="clear" w:color="auto" w:fill="auto"/>
          </w:tcPr>
          <w:p w14:paraId="4A685C57" w14:textId="77777777" w:rsidR="00196C06" w:rsidRPr="00C55413" w:rsidRDefault="00196C06" w:rsidP="006201FD">
            <w:pPr>
              <w:tabs>
                <w:tab w:val="left" w:pos="288"/>
                <w:tab w:val="left" w:pos="576"/>
                <w:tab w:val="left" w:pos="864"/>
                <w:tab w:val="left" w:pos="1152"/>
              </w:tabs>
              <w:spacing w:before="40" w:after="120"/>
              <w:ind w:left="144" w:right="43"/>
              <w:rPr>
                <w:lang w:val="fr-FR"/>
              </w:rPr>
            </w:pPr>
            <w:r w:rsidRPr="00C55413">
              <w:rPr>
                <w:lang w:val="fr-FR"/>
              </w:rPr>
              <w:t>Triéthyl-3,6,9 triméthyl-3,6,9 triperoxonane-1,4,7 à 27 % au plus dans un diluant de type A</w:t>
            </w:r>
          </w:p>
        </w:tc>
        <w:tc>
          <w:tcPr>
            <w:tcW w:w="1606" w:type="dxa"/>
            <w:shd w:val="clear" w:color="auto" w:fill="auto"/>
          </w:tcPr>
          <w:p w14:paraId="20AB651A" w14:textId="77777777" w:rsidR="00196C06" w:rsidRPr="00C55413" w:rsidRDefault="00196C06" w:rsidP="006201FD">
            <w:pPr>
              <w:tabs>
                <w:tab w:val="left" w:pos="288"/>
                <w:tab w:val="left" w:pos="576"/>
                <w:tab w:val="left" w:pos="864"/>
                <w:tab w:val="left" w:pos="1152"/>
              </w:tabs>
              <w:spacing w:before="40" w:after="120"/>
              <w:ind w:left="144" w:right="43"/>
              <w:jc w:val="center"/>
              <w:rPr>
                <w:lang w:val="fr-FR"/>
              </w:rPr>
            </w:pPr>
            <w:r w:rsidRPr="00C55413">
              <w:rPr>
                <w:lang w:val="fr-FR"/>
              </w:rPr>
              <w:t>31HA1</w:t>
            </w:r>
          </w:p>
        </w:tc>
        <w:tc>
          <w:tcPr>
            <w:tcW w:w="1607" w:type="dxa"/>
            <w:shd w:val="clear" w:color="auto" w:fill="auto"/>
          </w:tcPr>
          <w:p w14:paraId="6A5254B5" w14:textId="77777777" w:rsidR="00196C06" w:rsidRPr="00C55413" w:rsidRDefault="00196C06" w:rsidP="006201FD">
            <w:pPr>
              <w:tabs>
                <w:tab w:val="left" w:pos="288"/>
                <w:tab w:val="left" w:pos="576"/>
                <w:tab w:val="left" w:pos="864"/>
                <w:tab w:val="left" w:pos="1152"/>
              </w:tabs>
              <w:spacing w:before="40" w:after="120"/>
              <w:ind w:left="144" w:right="43"/>
              <w:jc w:val="center"/>
              <w:rPr>
                <w:lang w:val="fr-FR"/>
              </w:rPr>
            </w:pPr>
            <w:r w:rsidRPr="00C55413">
              <w:rPr>
                <w:lang w:val="fr-FR"/>
              </w:rPr>
              <w:t>1000</w:t>
            </w:r>
          </w:p>
        </w:tc>
        <w:tc>
          <w:tcPr>
            <w:tcW w:w="1607" w:type="dxa"/>
            <w:shd w:val="clear" w:color="auto" w:fill="auto"/>
          </w:tcPr>
          <w:p w14:paraId="7388A1C8" w14:textId="77777777" w:rsidR="00196C06" w:rsidRPr="00C55413" w:rsidRDefault="00196C06" w:rsidP="006201FD">
            <w:pPr>
              <w:tabs>
                <w:tab w:val="left" w:pos="288"/>
                <w:tab w:val="left" w:pos="576"/>
                <w:tab w:val="left" w:pos="864"/>
                <w:tab w:val="left" w:pos="1152"/>
              </w:tabs>
              <w:spacing w:before="40" w:after="120"/>
              <w:ind w:left="144" w:right="43"/>
              <w:jc w:val="center"/>
              <w:rPr>
                <w:lang w:val="fr-FR"/>
              </w:rPr>
            </w:pPr>
          </w:p>
        </w:tc>
        <w:tc>
          <w:tcPr>
            <w:tcW w:w="1607" w:type="dxa"/>
            <w:shd w:val="clear" w:color="auto" w:fill="auto"/>
          </w:tcPr>
          <w:p w14:paraId="5BB3636D" w14:textId="77777777" w:rsidR="00196C06" w:rsidRPr="00C55413" w:rsidRDefault="00196C06" w:rsidP="006201FD">
            <w:pPr>
              <w:tabs>
                <w:tab w:val="left" w:pos="288"/>
                <w:tab w:val="left" w:pos="576"/>
                <w:tab w:val="left" w:pos="864"/>
                <w:tab w:val="left" w:pos="1152"/>
              </w:tabs>
              <w:spacing w:before="40" w:after="120"/>
              <w:ind w:left="144" w:right="43"/>
              <w:jc w:val="center"/>
              <w:rPr>
                <w:lang w:val="fr-FR"/>
              </w:rPr>
            </w:pPr>
          </w:p>
        </w:tc>
      </w:tr>
      <w:tr w:rsidR="00A074FC" w:rsidRPr="00C55413" w14:paraId="04A05E85" w14:textId="77777777" w:rsidTr="006201FD">
        <w:tc>
          <w:tcPr>
            <w:tcW w:w="800" w:type="dxa"/>
            <w:tcBorders>
              <w:bottom w:val="single" w:sz="12" w:space="0" w:color="auto"/>
            </w:tcBorders>
            <w:shd w:val="clear" w:color="auto" w:fill="auto"/>
          </w:tcPr>
          <w:p w14:paraId="173CA161" w14:textId="77777777" w:rsidR="00196C06" w:rsidRPr="00C55413" w:rsidRDefault="00196C06" w:rsidP="006201FD">
            <w:pPr>
              <w:spacing w:before="40" w:after="120"/>
              <w:ind w:right="113"/>
              <w:rPr>
                <w:sz w:val="18"/>
                <w:szCs w:val="18"/>
                <w:lang w:val="fr-FR"/>
              </w:rPr>
            </w:pPr>
            <w:r w:rsidRPr="00C55413">
              <w:rPr>
                <w:sz w:val="18"/>
                <w:szCs w:val="18"/>
                <w:lang w:val="fr-FR"/>
              </w:rPr>
              <w:t>3119</w:t>
            </w:r>
          </w:p>
        </w:tc>
        <w:tc>
          <w:tcPr>
            <w:tcW w:w="2412" w:type="dxa"/>
            <w:tcBorders>
              <w:bottom w:val="single" w:sz="12" w:space="0" w:color="auto"/>
            </w:tcBorders>
            <w:shd w:val="clear" w:color="auto" w:fill="auto"/>
          </w:tcPr>
          <w:p w14:paraId="0C07C0E9" w14:textId="77777777" w:rsidR="00196C06" w:rsidRPr="00C55413" w:rsidRDefault="00196C06" w:rsidP="006201FD">
            <w:pPr>
              <w:tabs>
                <w:tab w:val="left" w:pos="288"/>
                <w:tab w:val="left" w:pos="576"/>
                <w:tab w:val="left" w:pos="864"/>
                <w:tab w:val="left" w:pos="1152"/>
              </w:tabs>
              <w:spacing w:before="40" w:after="120"/>
              <w:ind w:left="144" w:right="43"/>
              <w:rPr>
                <w:lang w:val="fr-FR"/>
              </w:rPr>
            </w:pPr>
            <w:r w:rsidRPr="00C55413">
              <w:rPr>
                <w:lang w:val="fr-FR"/>
              </w:rPr>
              <w:t>Ethyl-2 peroxyhexanoate de tert-amyle, à 62 % au plus dans un diluant du type A</w:t>
            </w:r>
          </w:p>
        </w:tc>
        <w:tc>
          <w:tcPr>
            <w:tcW w:w="1606" w:type="dxa"/>
            <w:tcBorders>
              <w:bottom w:val="single" w:sz="12" w:space="0" w:color="auto"/>
            </w:tcBorders>
            <w:shd w:val="clear" w:color="auto" w:fill="auto"/>
          </w:tcPr>
          <w:p w14:paraId="208066BD" w14:textId="77777777" w:rsidR="00196C06" w:rsidRPr="00C55413" w:rsidRDefault="00196C06" w:rsidP="006201FD">
            <w:pPr>
              <w:tabs>
                <w:tab w:val="left" w:pos="288"/>
                <w:tab w:val="left" w:pos="576"/>
                <w:tab w:val="left" w:pos="864"/>
                <w:tab w:val="left" w:pos="1152"/>
              </w:tabs>
              <w:spacing w:before="40" w:after="120"/>
              <w:ind w:left="144" w:right="43"/>
              <w:jc w:val="center"/>
              <w:rPr>
                <w:lang w:val="fr-FR"/>
              </w:rPr>
            </w:pPr>
            <w:r w:rsidRPr="00C55413">
              <w:rPr>
                <w:lang w:val="fr-FR"/>
              </w:rPr>
              <w:t>31HA1</w:t>
            </w:r>
          </w:p>
        </w:tc>
        <w:tc>
          <w:tcPr>
            <w:tcW w:w="1607" w:type="dxa"/>
            <w:tcBorders>
              <w:bottom w:val="single" w:sz="12" w:space="0" w:color="auto"/>
            </w:tcBorders>
            <w:shd w:val="clear" w:color="auto" w:fill="auto"/>
          </w:tcPr>
          <w:p w14:paraId="78F22E0F" w14:textId="77777777" w:rsidR="00196C06" w:rsidRPr="00C55413" w:rsidRDefault="00196C06" w:rsidP="006201FD">
            <w:pPr>
              <w:tabs>
                <w:tab w:val="left" w:pos="288"/>
                <w:tab w:val="left" w:pos="576"/>
                <w:tab w:val="left" w:pos="864"/>
                <w:tab w:val="left" w:pos="1152"/>
              </w:tabs>
              <w:spacing w:before="40" w:after="120"/>
              <w:ind w:left="144" w:right="43"/>
              <w:jc w:val="center"/>
              <w:rPr>
                <w:lang w:val="fr-FR"/>
              </w:rPr>
            </w:pPr>
            <w:r w:rsidRPr="00C55413">
              <w:rPr>
                <w:lang w:val="fr-FR"/>
              </w:rPr>
              <w:t>1000</w:t>
            </w:r>
          </w:p>
        </w:tc>
        <w:tc>
          <w:tcPr>
            <w:tcW w:w="1607" w:type="dxa"/>
            <w:tcBorders>
              <w:bottom w:val="single" w:sz="12" w:space="0" w:color="auto"/>
            </w:tcBorders>
            <w:shd w:val="clear" w:color="auto" w:fill="auto"/>
          </w:tcPr>
          <w:p w14:paraId="7DDDE7A3" w14:textId="56CD9932" w:rsidR="00196C06" w:rsidRPr="00C55413" w:rsidRDefault="00196C06" w:rsidP="006201FD">
            <w:pPr>
              <w:tabs>
                <w:tab w:val="left" w:pos="288"/>
                <w:tab w:val="left" w:pos="576"/>
                <w:tab w:val="left" w:pos="864"/>
                <w:tab w:val="left" w:pos="1152"/>
              </w:tabs>
              <w:spacing w:before="40" w:after="120"/>
              <w:ind w:left="144" w:right="43"/>
              <w:jc w:val="center"/>
              <w:rPr>
                <w:lang w:val="fr-FR"/>
              </w:rPr>
            </w:pPr>
            <w:r w:rsidRPr="00C55413">
              <w:rPr>
                <w:lang w:val="fr-FR"/>
              </w:rPr>
              <w:t>+15 </w:t>
            </w:r>
            <w:r w:rsidR="002D378C" w:rsidRPr="00C55413">
              <w:rPr>
                <w:lang w:val="fr-FR"/>
              </w:rPr>
              <w:t>°</w:t>
            </w:r>
            <w:r w:rsidRPr="00C55413">
              <w:rPr>
                <w:lang w:val="fr-FR"/>
              </w:rPr>
              <w:t>C</w:t>
            </w:r>
          </w:p>
        </w:tc>
        <w:tc>
          <w:tcPr>
            <w:tcW w:w="1607" w:type="dxa"/>
            <w:tcBorders>
              <w:bottom w:val="single" w:sz="12" w:space="0" w:color="auto"/>
            </w:tcBorders>
            <w:shd w:val="clear" w:color="auto" w:fill="auto"/>
          </w:tcPr>
          <w:p w14:paraId="450C5186" w14:textId="6E517C0A" w:rsidR="00196C06" w:rsidRPr="00C55413" w:rsidRDefault="00196C06" w:rsidP="006201FD">
            <w:pPr>
              <w:tabs>
                <w:tab w:val="left" w:pos="288"/>
                <w:tab w:val="left" w:pos="576"/>
                <w:tab w:val="left" w:pos="864"/>
                <w:tab w:val="left" w:pos="1152"/>
              </w:tabs>
              <w:spacing w:before="40" w:after="120"/>
              <w:ind w:left="144" w:right="43"/>
              <w:jc w:val="center"/>
              <w:rPr>
                <w:lang w:val="fr-FR"/>
              </w:rPr>
            </w:pPr>
            <w:r w:rsidRPr="00C55413">
              <w:rPr>
                <w:lang w:val="fr-FR"/>
              </w:rPr>
              <w:t>+20 </w:t>
            </w:r>
            <w:r w:rsidR="002D378C" w:rsidRPr="00C55413">
              <w:rPr>
                <w:lang w:val="fr-FR"/>
              </w:rPr>
              <w:t>°</w:t>
            </w:r>
            <w:r w:rsidRPr="00C55413">
              <w:rPr>
                <w:lang w:val="fr-FR"/>
              </w:rPr>
              <w:t>C</w:t>
            </w:r>
          </w:p>
        </w:tc>
      </w:tr>
    </w:tbl>
    <w:p w14:paraId="28C69197" w14:textId="71D2AD6A" w:rsidR="00196C06" w:rsidRPr="00C55413" w:rsidRDefault="00196C06" w:rsidP="00196C06">
      <w:pPr>
        <w:pStyle w:val="SingleTxtG"/>
        <w:spacing w:before="120"/>
        <w:rPr>
          <w:lang w:val="fr-FR"/>
        </w:rPr>
      </w:pPr>
      <w:r w:rsidRPr="00C55413">
        <w:rPr>
          <w:lang w:val="fr-FR"/>
        </w:rPr>
        <w:t>4.1.4.3</w:t>
      </w:r>
      <w:r w:rsidRPr="00C55413">
        <w:rPr>
          <w:lang w:val="fr-FR"/>
        </w:rPr>
        <w:tab/>
        <w:t>, instruction d’emballage LP902</w:t>
      </w:r>
      <w:r w:rsidRPr="00C55413">
        <w:rPr>
          <w:lang w:val="fr-FR"/>
        </w:rPr>
        <w:tab/>
        <w:t>Sous «</w:t>
      </w:r>
      <w:r w:rsidR="00DA2DF0" w:rsidRPr="00C55413">
        <w:rPr>
          <w:lang w:val="fr-FR"/>
        </w:rPr>
        <w:t> </w:t>
      </w:r>
      <w:r w:rsidRPr="00C55413">
        <w:rPr>
          <w:lang w:val="fr-FR"/>
        </w:rPr>
        <w:t>Objets emballés</w:t>
      </w:r>
      <w:r w:rsidR="00DA2DF0" w:rsidRPr="00C55413">
        <w:rPr>
          <w:lang w:val="fr-FR"/>
        </w:rPr>
        <w:t> </w:t>
      </w:r>
      <w:r w:rsidRPr="00C55413">
        <w:rPr>
          <w:lang w:val="fr-FR"/>
        </w:rPr>
        <w:t>», remplacer «</w:t>
      </w:r>
      <w:r w:rsidR="00DA2DF0" w:rsidRPr="00C55413">
        <w:rPr>
          <w:lang w:val="fr-FR"/>
        </w:rPr>
        <w:t> </w:t>
      </w:r>
      <w:r w:rsidRPr="00C55413">
        <w:rPr>
          <w:lang w:val="fr-FR"/>
        </w:rPr>
        <w:t>Emballage satisfaisant au niveau d’épreuve du groupe d’emballage III.</w:t>
      </w:r>
      <w:r w:rsidR="00DA2DF0" w:rsidRPr="00C55413">
        <w:rPr>
          <w:lang w:val="fr-FR"/>
        </w:rPr>
        <w:t> </w:t>
      </w:r>
      <w:r w:rsidRPr="00C55413">
        <w:rPr>
          <w:lang w:val="fr-FR"/>
        </w:rPr>
        <w:t>» par</w:t>
      </w:r>
      <w:r w:rsidR="00DA2DF0" w:rsidRPr="00C55413">
        <w:rPr>
          <w:lang w:val="fr-FR"/>
        </w:rPr>
        <w:t> </w:t>
      </w:r>
      <w:r w:rsidRPr="00C55413">
        <w:rPr>
          <w:lang w:val="fr-FR"/>
        </w:rPr>
        <w:t>:</w:t>
      </w:r>
    </w:p>
    <w:p w14:paraId="64CC1D21" w14:textId="00196FF5" w:rsidR="00196C06" w:rsidRPr="00C55413" w:rsidRDefault="00196C06" w:rsidP="00196C06">
      <w:pPr>
        <w:pStyle w:val="SingleTxtG"/>
        <w:spacing w:before="120"/>
        <w:rPr>
          <w:lang w:val="fr-FR"/>
        </w:rPr>
      </w:pPr>
      <w:r w:rsidRPr="00C55413">
        <w:rPr>
          <w:lang w:val="fr-FR"/>
        </w:rPr>
        <w:t>«</w:t>
      </w:r>
      <w:r w:rsidR="00DA2DF0" w:rsidRPr="00C55413">
        <w:rPr>
          <w:lang w:val="fr-FR"/>
        </w:rPr>
        <w:t> </w:t>
      </w:r>
      <w:r w:rsidRPr="00C55413">
        <w:rPr>
          <w:lang w:val="fr-FR"/>
        </w:rPr>
        <w:t>Grands emballages rigides satisfaisant au niveau d’épreuve du groupe d’emballage III, en</w:t>
      </w:r>
      <w:r w:rsidR="00DA2DF0" w:rsidRPr="00C55413">
        <w:rPr>
          <w:lang w:val="fr-FR"/>
        </w:rPr>
        <w:t> </w:t>
      </w:r>
      <w:r w:rsidRPr="00C55413">
        <w:rPr>
          <w:lang w:val="fr-FR"/>
        </w:rPr>
        <w:t xml:space="preserve">: </w:t>
      </w:r>
    </w:p>
    <w:p w14:paraId="05865B93" w14:textId="07782AD5" w:rsidR="00196C06" w:rsidRPr="00C55413" w:rsidRDefault="00196C06" w:rsidP="00196C06">
      <w:pPr>
        <w:pStyle w:val="SingleTxtG"/>
        <w:spacing w:after="0"/>
        <w:ind w:left="1699" w:right="1138"/>
        <w:rPr>
          <w:lang w:val="fr-FR"/>
        </w:rPr>
      </w:pPr>
      <w:r w:rsidRPr="00C55413">
        <w:rPr>
          <w:lang w:val="fr-FR"/>
        </w:rPr>
        <w:t>Acier (50A)</w:t>
      </w:r>
      <w:r w:rsidR="00DA2DF0" w:rsidRPr="00C55413">
        <w:rPr>
          <w:lang w:val="fr-FR"/>
        </w:rPr>
        <w:t> </w:t>
      </w:r>
      <w:r w:rsidR="00641080" w:rsidRPr="00C55413">
        <w:rPr>
          <w:lang w:val="fr-FR"/>
        </w:rPr>
        <w:t>;</w:t>
      </w:r>
    </w:p>
    <w:p w14:paraId="0E73CF0D" w14:textId="11A98F33" w:rsidR="00196C06" w:rsidRPr="00C55413" w:rsidRDefault="00196C06" w:rsidP="00196C06">
      <w:pPr>
        <w:pStyle w:val="SingleTxtG"/>
        <w:spacing w:after="0"/>
        <w:ind w:left="1699" w:right="1138"/>
        <w:rPr>
          <w:lang w:val="fr-FR"/>
        </w:rPr>
      </w:pPr>
      <w:r w:rsidRPr="00C55413">
        <w:rPr>
          <w:lang w:val="fr-FR"/>
        </w:rPr>
        <w:t>Aluminium (50B)</w:t>
      </w:r>
      <w:r w:rsidR="00DA2DF0" w:rsidRPr="00C55413">
        <w:rPr>
          <w:lang w:val="fr-FR"/>
        </w:rPr>
        <w:t> </w:t>
      </w:r>
      <w:r w:rsidR="00641080" w:rsidRPr="00C55413">
        <w:rPr>
          <w:lang w:val="fr-FR"/>
        </w:rPr>
        <w:t>;</w:t>
      </w:r>
    </w:p>
    <w:p w14:paraId="0BDAE57D" w14:textId="2EF54C5C" w:rsidR="00196C06" w:rsidRPr="00C55413" w:rsidRDefault="00196C06" w:rsidP="00196C06">
      <w:pPr>
        <w:pStyle w:val="SingleTxtG"/>
        <w:spacing w:after="0"/>
        <w:ind w:left="1699" w:right="1138"/>
        <w:rPr>
          <w:lang w:val="fr-FR"/>
        </w:rPr>
      </w:pPr>
      <w:r w:rsidRPr="00C55413">
        <w:rPr>
          <w:lang w:val="fr-FR"/>
        </w:rPr>
        <w:t>Métal autre que l’acier ou l’aluminium (50N)</w:t>
      </w:r>
      <w:r w:rsidR="00DA2DF0" w:rsidRPr="00C55413">
        <w:rPr>
          <w:lang w:val="fr-FR"/>
        </w:rPr>
        <w:t> </w:t>
      </w:r>
      <w:r w:rsidR="00641080" w:rsidRPr="00C55413">
        <w:rPr>
          <w:lang w:val="fr-FR"/>
        </w:rPr>
        <w:t>;</w:t>
      </w:r>
    </w:p>
    <w:p w14:paraId="67A2B5FD" w14:textId="433C0DBD" w:rsidR="00196C06" w:rsidRPr="00C55413" w:rsidRDefault="00196C06" w:rsidP="00196C06">
      <w:pPr>
        <w:pStyle w:val="SingleTxtG"/>
        <w:spacing w:after="0"/>
        <w:ind w:left="1699" w:right="1138"/>
        <w:rPr>
          <w:lang w:val="fr-FR"/>
        </w:rPr>
      </w:pPr>
      <w:r w:rsidRPr="00C55413">
        <w:rPr>
          <w:lang w:val="fr-FR"/>
        </w:rPr>
        <w:t>Plastique rigide (50H)</w:t>
      </w:r>
      <w:r w:rsidR="00DA2DF0" w:rsidRPr="00C55413">
        <w:rPr>
          <w:lang w:val="fr-FR"/>
        </w:rPr>
        <w:t> </w:t>
      </w:r>
      <w:r w:rsidR="00641080" w:rsidRPr="00C55413">
        <w:rPr>
          <w:lang w:val="fr-FR"/>
        </w:rPr>
        <w:t>;</w:t>
      </w:r>
    </w:p>
    <w:p w14:paraId="682C92FC" w14:textId="1992DF35" w:rsidR="00196C06" w:rsidRPr="00C55413" w:rsidRDefault="00196C06" w:rsidP="00196C06">
      <w:pPr>
        <w:pStyle w:val="SingleTxtG"/>
        <w:spacing w:after="0"/>
        <w:ind w:left="1699" w:right="1138"/>
        <w:rPr>
          <w:lang w:val="fr-FR"/>
        </w:rPr>
      </w:pPr>
      <w:r w:rsidRPr="00C55413">
        <w:rPr>
          <w:lang w:val="fr-FR"/>
        </w:rPr>
        <w:t>Bois naturel (50C)</w:t>
      </w:r>
      <w:r w:rsidR="00DA2DF0" w:rsidRPr="00C55413">
        <w:rPr>
          <w:lang w:val="fr-FR"/>
        </w:rPr>
        <w:t> ;</w:t>
      </w:r>
    </w:p>
    <w:p w14:paraId="110FB2DA" w14:textId="1340F4BF" w:rsidR="00196C06" w:rsidRPr="00C55413" w:rsidRDefault="00196C06" w:rsidP="00641080">
      <w:pPr>
        <w:pStyle w:val="SingleTxtG"/>
        <w:spacing w:after="0"/>
        <w:ind w:left="1699" w:right="1138"/>
        <w:rPr>
          <w:lang w:val="fr-FR"/>
        </w:rPr>
      </w:pPr>
      <w:r w:rsidRPr="00C55413">
        <w:rPr>
          <w:lang w:val="fr-FR"/>
        </w:rPr>
        <w:t>Contre-plaqué (50D)</w:t>
      </w:r>
      <w:r w:rsidR="00DA2DF0" w:rsidRPr="00C55413">
        <w:rPr>
          <w:lang w:val="fr-FR"/>
        </w:rPr>
        <w:t> ;</w:t>
      </w:r>
    </w:p>
    <w:p w14:paraId="224D1EDA" w14:textId="4C686744" w:rsidR="00196C06" w:rsidRPr="00C55413" w:rsidRDefault="00196C06" w:rsidP="00196C06">
      <w:pPr>
        <w:pStyle w:val="SingleTxtG"/>
        <w:spacing w:after="0"/>
        <w:ind w:left="1699" w:right="1138"/>
        <w:rPr>
          <w:lang w:val="fr-FR"/>
        </w:rPr>
      </w:pPr>
      <w:r w:rsidRPr="00C55413">
        <w:rPr>
          <w:lang w:val="fr-FR"/>
        </w:rPr>
        <w:t>Bois reconstitué (50F)</w:t>
      </w:r>
      <w:r w:rsidR="00DA2DF0" w:rsidRPr="00C55413">
        <w:rPr>
          <w:lang w:val="fr-FR"/>
        </w:rPr>
        <w:t> ;</w:t>
      </w:r>
    </w:p>
    <w:p w14:paraId="03A559E1" w14:textId="65C59F09" w:rsidR="00196C06" w:rsidRPr="00C55413" w:rsidRDefault="00196C06" w:rsidP="00196C06">
      <w:pPr>
        <w:pStyle w:val="SingleTxtG"/>
        <w:ind w:left="1699" w:right="1138"/>
        <w:rPr>
          <w:b/>
          <w:lang w:val="fr-FR"/>
        </w:rPr>
      </w:pPr>
      <w:r w:rsidRPr="00C55413">
        <w:rPr>
          <w:lang w:val="fr-FR"/>
        </w:rPr>
        <w:t>Carton rigide (50G)</w:t>
      </w:r>
      <w:r w:rsidR="00DA2DF0" w:rsidRPr="00C55413">
        <w:rPr>
          <w:lang w:val="fr-FR"/>
        </w:rPr>
        <w:t>.</w:t>
      </w:r>
      <w:r w:rsidR="005C3B29">
        <w:rPr>
          <w:lang w:val="fr-FR"/>
        </w:rPr>
        <w:t> </w:t>
      </w:r>
      <w:r w:rsidRPr="00C55413">
        <w:rPr>
          <w:lang w:val="fr-FR"/>
        </w:rPr>
        <w:t>».</w:t>
      </w:r>
    </w:p>
    <w:p w14:paraId="367582FB" w14:textId="63AB3C7B" w:rsidR="004215B9" w:rsidRPr="00C55413" w:rsidRDefault="004215B9" w:rsidP="004215B9">
      <w:pPr>
        <w:pStyle w:val="SingleTxtG"/>
        <w:rPr>
          <w:lang w:val="fr-FR"/>
        </w:rPr>
      </w:pPr>
      <w:r w:rsidRPr="00C55413">
        <w:rPr>
          <w:lang w:val="fr-FR"/>
        </w:rPr>
        <w:t>4.1.4.3, instruction d’emballage LP902</w:t>
      </w:r>
      <w:r w:rsidRPr="00C55413">
        <w:rPr>
          <w:lang w:val="fr-FR"/>
        </w:rPr>
        <w:tab/>
        <w:t>Dans le paragraphe sous «</w:t>
      </w:r>
      <w:r w:rsidR="00DA2DF0" w:rsidRPr="00C55413">
        <w:rPr>
          <w:lang w:val="fr-FR"/>
        </w:rPr>
        <w:t> </w:t>
      </w:r>
      <w:r w:rsidRPr="00C55413">
        <w:rPr>
          <w:lang w:val="fr-FR"/>
        </w:rPr>
        <w:t>Objets non emballés:</w:t>
      </w:r>
      <w:r w:rsidR="00DA2DF0" w:rsidRPr="00C55413">
        <w:rPr>
          <w:lang w:val="fr-FR"/>
        </w:rPr>
        <w:t> </w:t>
      </w:r>
      <w:r w:rsidRPr="00C55413">
        <w:rPr>
          <w:lang w:val="fr-FR"/>
        </w:rPr>
        <w:t>», à la fin, ajouter «</w:t>
      </w:r>
      <w:r w:rsidR="00DA2DF0" w:rsidRPr="00C55413">
        <w:rPr>
          <w:lang w:val="fr-FR"/>
        </w:rPr>
        <w:t> </w:t>
      </w:r>
      <w:r w:rsidRPr="00C55413">
        <w:rPr>
          <w:lang w:val="fr-FR"/>
        </w:rPr>
        <w:t>ou vice-versa, y compris lors de trajets faisant intervenir des lieux de manutention intermédiaires</w:t>
      </w:r>
      <w:r w:rsidR="00DA2DF0" w:rsidRPr="00C55413">
        <w:rPr>
          <w:lang w:val="fr-FR"/>
        </w:rPr>
        <w:t> </w:t>
      </w:r>
      <w:r w:rsidRPr="00C55413">
        <w:rPr>
          <w:lang w:val="fr-FR"/>
        </w:rPr>
        <w:t>».</w:t>
      </w:r>
    </w:p>
    <w:p w14:paraId="1C0EE8D5" w14:textId="627F3128" w:rsidR="004215B9" w:rsidRPr="00C55413" w:rsidRDefault="004215B9" w:rsidP="004215B9">
      <w:pPr>
        <w:pStyle w:val="SingleTxtG"/>
        <w:rPr>
          <w:lang w:val="fr-FR"/>
        </w:rPr>
      </w:pPr>
      <w:r w:rsidRPr="00C55413">
        <w:rPr>
          <w:lang w:val="fr-FR"/>
        </w:rPr>
        <w:t>4.1.4.3, instruction d’emballage LP903</w:t>
      </w:r>
      <w:r w:rsidR="00DD1250" w:rsidRPr="00C55413">
        <w:rPr>
          <w:lang w:val="fr-FR"/>
        </w:rPr>
        <w:tab/>
      </w:r>
      <w:r w:rsidRPr="00C55413">
        <w:rPr>
          <w:lang w:val="fr-FR"/>
        </w:rPr>
        <w:t>Dans la deuxième phrase, remplacer «</w:t>
      </w:r>
      <w:r w:rsidR="00DA2DF0" w:rsidRPr="00C55413">
        <w:rPr>
          <w:lang w:val="fr-FR"/>
        </w:rPr>
        <w:t> </w:t>
      </w:r>
      <w:r w:rsidRPr="00C55413">
        <w:rPr>
          <w:lang w:val="fr-FR"/>
        </w:rPr>
        <w:t>, y compris pour une batterie contenue dans un équipement</w:t>
      </w:r>
      <w:r w:rsidR="00DA2DF0" w:rsidRPr="00C55413">
        <w:rPr>
          <w:lang w:val="fr-FR"/>
        </w:rPr>
        <w:t> </w:t>
      </w:r>
      <w:r w:rsidRPr="00C55413">
        <w:rPr>
          <w:lang w:val="fr-FR"/>
        </w:rPr>
        <w:t>» par «</w:t>
      </w:r>
      <w:r w:rsidR="00DA2DF0" w:rsidRPr="00C55413">
        <w:rPr>
          <w:lang w:val="fr-FR"/>
        </w:rPr>
        <w:t> </w:t>
      </w:r>
      <w:r w:rsidRPr="00C55413">
        <w:rPr>
          <w:lang w:val="fr-FR"/>
        </w:rPr>
        <w:t>et pour un équipement</w:t>
      </w:r>
      <w:r w:rsidR="00695AA0" w:rsidRPr="00C55413">
        <w:rPr>
          <w:lang w:val="fr-FR"/>
        </w:rPr>
        <w:t xml:space="preserve"> </w:t>
      </w:r>
      <w:r w:rsidR="00BD3F6A" w:rsidRPr="00C55413">
        <w:rPr>
          <w:lang w:val="fr-FR"/>
        </w:rPr>
        <w:t xml:space="preserve">seul </w:t>
      </w:r>
      <w:r w:rsidR="007A064D" w:rsidRPr="00C55413">
        <w:rPr>
          <w:lang w:val="fr-FR"/>
        </w:rPr>
        <w:t>contenant des batteries</w:t>
      </w:r>
      <w:r w:rsidRPr="00C55413">
        <w:rPr>
          <w:lang w:val="fr-FR"/>
        </w:rPr>
        <w:t>,</w:t>
      </w:r>
      <w:r w:rsidR="00DA2DF0" w:rsidRPr="00C55413">
        <w:rPr>
          <w:lang w:val="fr-FR"/>
        </w:rPr>
        <w:t> </w:t>
      </w:r>
      <w:r w:rsidRPr="00C55413">
        <w:rPr>
          <w:lang w:val="fr-FR"/>
        </w:rPr>
        <w:t>». Modifier la dernière phrase avant la disposition supplémentaire, pour lire comme suit «</w:t>
      </w:r>
      <w:r w:rsidR="00DA2DF0" w:rsidRPr="00C55413">
        <w:rPr>
          <w:lang w:val="fr-FR"/>
        </w:rPr>
        <w:t> </w:t>
      </w:r>
      <w:r w:rsidRPr="00C55413">
        <w:rPr>
          <w:lang w:val="fr-FR"/>
        </w:rPr>
        <w:t>La batterie ou l’équipement doit être emballé de manière à être protégé contre les dommages qui pourraient être causés par son mouvement ou son placement dans le grand emballage.</w:t>
      </w:r>
      <w:r w:rsidR="00DA2DF0" w:rsidRPr="00C55413">
        <w:rPr>
          <w:lang w:val="fr-FR"/>
        </w:rPr>
        <w:t> </w:t>
      </w:r>
      <w:r w:rsidRPr="00C55413">
        <w:rPr>
          <w:lang w:val="fr-FR"/>
        </w:rPr>
        <w:t>».</w:t>
      </w:r>
    </w:p>
    <w:p w14:paraId="3BB36725" w14:textId="2C7F8814" w:rsidR="004215B9" w:rsidRPr="0016259D" w:rsidRDefault="004215B9" w:rsidP="004215B9">
      <w:pPr>
        <w:pStyle w:val="SingleTxtG"/>
        <w:rPr>
          <w:lang w:val="fr-FR"/>
        </w:rPr>
      </w:pPr>
      <w:r w:rsidRPr="0016259D">
        <w:rPr>
          <w:lang w:val="fr-FR"/>
        </w:rPr>
        <w:t>4.1.4.3, instruction d’emballage LP904</w:t>
      </w:r>
      <w:r w:rsidR="00DD1250" w:rsidRPr="0016259D">
        <w:rPr>
          <w:lang w:val="fr-FR"/>
        </w:rPr>
        <w:tab/>
        <w:t>Modifier comme suit</w:t>
      </w:r>
      <w:r w:rsidR="00DA2DF0" w:rsidRPr="0016259D">
        <w:rPr>
          <w:lang w:val="fr-FR"/>
        </w:rPr>
        <w:t> </w:t>
      </w:r>
      <w:r w:rsidR="00DD1250" w:rsidRPr="0016259D">
        <w:rPr>
          <w:lang w:val="fr-FR"/>
        </w:rPr>
        <w:t>:</w:t>
      </w:r>
    </w:p>
    <w:p w14:paraId="6C88C14B" w14:textId="338ECD88" w:rsidR="004215B9" w:rsidRPr="0016259D" w:rsidRDefault="004215B9" w:rsidP="001A6331">
      <w:pPr>
        <w:pStyle w:val="SingleTxtG"/>
        <w:ind w:left="1701"/>
        <w:rPr>
          <w:lang w:val="fr-FR"/>
        </w:rPr>
      </w:pPr>
      <w:r w:rsidRPr="0016259D">
        <w:rPr>
          <w:lang w:val="fr-FR"/>
        </w:rPr>
        <w:t>Dans la première phrase, après «</w:t>
      </w:r>
      <w:r w:rsidR="00DA2DF0" w:rsidRPr="0016259D">
        <w:rPr>
          <w:lang w:val="fr-FR"/>
        </w:rPr>
        <w:t> </w:t>
      </w:r>
      <w:r w:rsidRPr="0016259D">
        <w:rPr>
          <w:lang w:val="fr-FR"/>
        </w:rPr>
        <w:t>ou défectueuses</w:t>
      </w:r>
      <w:r w:rsidR="00DA2DF0" w:rsidRPr="0016259D">
        <w:rPr>
          <w:lang w:val="fr-FR"/>
        </w:rPr>
        <w:t> </w:t>
      </w:r>
      <w:r w:rsidRPr="0016259D">
        <w:rPr>
          <w:lang w:val="fr-FR"/>
        </w:rPr>
        <w:t>» ajouter «</w:t>
      </w:r>
      <w:r w:rsidR="00DA2DF0" w:rsidRPr="0016259D">
        <w:rPr>
          <w:lang w:val="fr-FR"/>
        </w:rPr>
        <w:t> </w:t>
      </w:r>
      <w:r w:rsidRPr="0016259D">
        <w:rPr>
          <w:lang w:val="fr-FR"/>
        </w:rPr>
        <w:t xml:space="preserve">et </w:t>
      </w:r>
      <w:r w:rsidR="00695AA0" w:rsidRPr="0016259D">
        <w:rPr>
          <w:lang w:val="fr-FR"/>
        </w:rPr>
        <w:t xml:space="preserve">aux équipements </w:t>
      </w:r>
      <w:r w:rsidR="00BD3F6A" w:rsidRPr="0016259D">
        <w:rPr>
          <w:lang w:val="fr-FR"/>
        </w:rPr>
        <w:t xml:space="preserve">seuls </w:t>
      </w:r>
      <w:r w:rsidR="00695AA0" w:rsidRPr="0016259D">
        <w:rPr>
          <w:lang w:val="fr-FR"/>
        </w:rPr>
        <w:t xml:space="preserve">contenant des </w:t>
      </w:r>
      <w:r w:rsidRPr="0016259D">
        <w:rPr>
          <w:lang w:val="fr-FR"/>
        </w:rPr>
        <w:t>piles et batteries endommagées ou défectueuses</w:t>
      </w:r>
      <w:r w:rsidR="00DA2DF0" w:rsidRPr="0016259D">
        <w:rPr>
          <w:lang w:val="fr-FR"/>
        </w:rPr>
        <w:t> </w:t>
      </w:r>
      <w:r w:rsidRPr="0016259D">
        <w:rPr>
          <w:lang w:val="fr-FR"/>
        </w:rPr>
        <w:t>». À la fin de la première phrase, supprimer «</w:t>
      </w:r>
      <w:r w:rsidR="00DA2DF0" w:rsidRPr="0016259D">
        <w:rPr>
          <w:lang w:val="fr-FR"/>
        </w:rPr>
        <w:t> </w:t>
      </w:r>
      <w:r w:rsidRPr="0016259D">
        <w:rPr>
          <w:lang w:val="fr-FR"/>
        </w:rPr>
        <w:t>y compris celles contenues dans des équipements, emballées individuellement</w:t>
      </w:r>
      <w:r w:rsidR="00DA2DF0" w:rsidRPr="0016259D">
        <w:rPr>
          <w:lang w:val="fr-FR"/>
        </w:rPr>
        <w:t> </w:t>
      </w:r>
      <w:r w:rsidRPr="0016259D">
        <w:rPr>
          <w:lang w:val="fr-FR"/>
        </w:rPr>
        <w:t xml:space="preserve">». </w:t>
      </w:r>
    </w:p>
    <w:p w14:paraId="556C5CB2" w14:textId="230EEA40" w:rsidR="004215B9" w:rsidRPr="0016259D" w:rsidRDefault="004215B9" w:rsidP="001A6331">
      <w:pPr>
        <w:pStyle w:val="SingleTxtG"/>
        <w:ind w:left="1701"/>
        <w:rPr>
          <w:lang w:val="fr-FR"/>
        </w:rPr>
      </w:pPr>
      <w:r w:rsidRPr="0016259D">
        <w:rPr>
          <w:lang w:val="fr-FR"/>
        </w:rPr>
        <w:t>Modifier le début de la deuxième phrase pour lire comme suit</w:t>
      </w:r>
      <w:r w:rsidR="00992897" w:rsidRPr="0016259D">
        <w:rPr>
          <w:lang w:val="fr-FR"/>
        </w:rPr>
        <w:t> :</w:t>
      </w:r>
      <w:r w:rsidRPr="0016259D">
        <w:rPr>
          <w:lang w:val="fr-FR"/>
        </w:rPr>
        <w:t xml:space="preserve"> «</w:t>
      </w:r>
      <w:r w:rsidR="00DA2DF0" w:rsidRPr="0016259D">
        <w:rPr>
          <w:lang w:val="fr-FR"/>
        </w:rPr>
        <w:t> </w:t>
      </w:r>
      <w:r w:rsidRPr="0016259D">
        <w:rPr>
          <w:lang w:val="fr-FR"/>
        </w:rPr>
        <w:t xml:space="preserve">Les grands emballages suivants sont autorisés pour une seule batterie endommagée ou défectueuse ou pour </w:t>
      </w:r>
      <w:r w:rsidR="00695AA0" w:rsidRPr="0016259D">
        <w:rPr>
          <w:lang w:val="fr-FR"/>
        </w:rPr>
        <w:t xml:space="preserve">un équipement </w:t>
      </w:r>
      <w:r w:rsidR="00BD3F6A" w:rsidRPr="0016259D">
        <w:rPr>
          <w:lang w:val="fr-FR"/>
        </w:rPr>
        <w:t xml:space="preserve">seul </w:t>
      </w:r>
      <w:r w:rsidR="00695AA0" w:rsidRPr="0016259D">
        <w:rPr>
          <w:lang w:val="fr-FR"/>
        </w:rPr>
        <w:t xml:space="preserve">contenant des </w:t>
      </w:r>
      <w:r w:rsidRPr="0016259D">
        <w:rPr>
          <w:lang w:val="fr-FR"/>
        </w:rPr>
        <w:t>piles ou batteries endommagées ou défectueuses, s’il est satisfait…</w:t>
      </w:r>
      <w:r w:rsidR="00992897" w:rsidRPr="0016259D">
        <w:rPr>
          <w:lang w:val="fr-FR"/>
        </w:rPr>
        <w:t> ».</w:t>
      </w:r>
    </w:p>
    <w:p w14:paraId="476B36D6" w14:textId="77777777" w:rsidR="0016259D" w:rsidRPr="00C1748D" w:rsidRDefault="0016259D" w:rsidP="0016259D">
      <w:pPr>
        <w:pStyle w:val="SingleTxtG"/>
        <w:ind w:left="1701"/>
      </w:pPr>
      <w:r w:rsidRPr="00C1748D">
        <w:rPr>
          <w:lang w:val="fr-FR"/>
        </w:rPr>
        <w:t>Dans la troisième phrase, remplacer « </w:t>
      </w:r>
      <w:r w:rsidRPr="00C1748D">
        <w:t xml:space="preserve">Pour les batteries et pour les équipements </w:t>
      </w:r>
      <w:r w:rsidRPr="00C1748D">
        <w:rPr>
          <w:lang w:val="fr-FR"/>
        </w:rPr>
        <w:t>contenant des batteries</w:t>
      </w:r>
      <w:r w:rsidRPr="00C1748D">
        <w:t>, des grands emballages en: » par</w:t>
      </w:r>
      <w:r w:rsidRPr="00C1748D">
        <w:rPr>
          <w:lang w:val="fr-FR"/>
        </w:rPr>
        <w:t xml:space="preserve"> « </w:t>
      </w:r>
      <w:r w:rsidRPr="00C1748D">
        <w:t xml:space="preserve">Pour les batteries et pour les équipements </w:t>
      </w:r>
      <w:r w:rsidRPr="00C1748D">
        <w:rPr>
          <w:lang w:val="fr-FR"/>
        </w:rPr>
        <w:t>contenant des piles et des batteries</w:t>
      </w:r>
      <w:r w:rsidRPr="00C1748D">
        <w:t>: ».</w:t>
      </w:r>
    </w:p>
    <w:p w14:paraId="2E6EF604" w14:textId="06665BB5" w:rsidR="00290141" w:rsidRPr="00C1748D" w:rsidRDefault="00290141" w:rsidP="001A6331">
      <w:pPr>
        <w:pStyle w:val="SingleTxtG"/>
        <w:ind w:left="1701"/>
        <w:rPr>
          <w:lang w:val="fr-FR"/>
        </w:rPr>
      </w:pPr>
      <w:r w:rsidRPr="00C1748D">
        <w:rPr>
          <w:lang w:val="fr-FR"/>
        </w:rPr>
        <w:t>Avant «</w:t>
      </w:r>
      <w:r w:rsidR="00992897" w:rsidRPr="00C1748D">
        <w:rPr>
          <w:lang w:val="fr-FR"/>
        </w:rPr>
        <w:t> </w:t>
      </w:r>
      <w:r w:rsidRPr="00C1748D">
        <w:rPr>
          <w:lang w:val="fr-FR"/>
        </w:rPr>
        <w:t>Acier (50A)</w:t>
      </w:r>
      <w:r w:rsidR="00992897" w:rsidRPr="00C1748D">
        <w:rPr>
          <w:lang w:val="fr-FR"/>
        </w:rPr>
        <w:t> </w:t>
      </w:r>
      <w:r w:rsidRPr="00C1748D">
        <w:rPr>
          <w:lang w:val="fr-FR"/>
        </w:rPr>
        <w:t>», insérer la nouvelle ligne suivante</w:t>
      </w:r>
      <w:r w:rsidR="00992897" w:rsidRPr="00C1748D">
        <w:rPr>
          <w:lang w:val="fr-FR"/>
        </w:rPr>
        <w:t> </w:t>
      </w:r>
      <w:r w:rsidRPr="00C1748D">
        <w:rPr>
          <w:lang w:val="fr-FR"/>
        </w:rPr>
        <w:t>:</w:t>
      </w:r>
    </w:p>
    <w:p w14:paraId="69066F43" w14:textId="6BEEE2A7" w:rsidR="00290141" w:rsidRPr="00C1748D" w:rsidRDefault="00290141" w:rsidP="001A6331">
      <w:pPr>
        <w:pStyle w:val="SingleTxtG"/>
        <w:ind w:left="1701"/>
        <w:rPr>
          <w:lang w:val="fr-FR"/>
        </w:rPr>
      </w:pPr>
      <w:r w:rsidRPr="00C1748D">
        <w:rPr>
          <w:lang w:val="fr-FR"/>
        </w:rPr>
        <w:t>«</w:t>
      </w:r>
      <w:r w:rsidR="00992897" w:rsidRPr="00C1748D">
        <w:rPr>
          <w:lang w:val="fr-FR"/>
        </w:rPr>
        <w:t> </w:t>
      </w:r>
      <w:r w:rsidRPr="00C1748D">
        <w:rPr>
          <w:iCs/>
          <w:lang w:val="fr-FR"/>
        </w:rPr>
        <w:t>Grands emballages rigides satisfaisant au niveau d’épreuve du groupe d’emballage II, en:</w:t>
      </w:r>
      <w:r w:rsidR="00992897" w:rsidRPr="00C1748D">
        <w:rPr>
          <w:lang w:val="fr-FR"/>
        </w:rPr>
        <w:t> </w:t>
      </w:r>
      <w:r w:rsidRPr="00C1748D">
        <w:rPr>
          <w:lang w:val="fr-FR"/>
        </w:rPr>
        <w:t>».</w:t>
      </w:r>
    </w:p>
    <w:p w14:paraId="02347BEC" w14:textId="2556BD55" w:rsidR="00290141" w:rsidRPr="00C1748D" w:rsidRDefault="00290141" w:rsidP="001A6331">
      <w:pPr>
        <w:pStyle w:val="SingleTxtG"/>
        <w:ind w:left="1701"/>
        <w:rPr>
          <w:lang w:val="fr-FR"/>
        </w:rPr>
      </w:pPr>
      <w:r w:rsidRPr="00C1748D">
        <w:rPr>
          <w:lang w:val="fr-FR"/>
        </w:rPr>
        <w:lastRenderedPageBreak/>
        <w:t>Après «</w:t>
      </w:r>
      <w:r w:rsidR="00992897" w:rsidRPr="00C1748D">
        <w:rPr>
          <w:lang w:val="fr-FR"/>
        </w:rPr>
        <w:t> </w:t>
      </w:r>
      <w:r w:rsidRPr="00C1748D">
        <w:rPr>
          <w:lang w:val="fr-FR"/>
        </w:rPr>
        <w:t>Contreplaqué (50D)</w:t>
      </w:r>
      <w:r w:rsidR="00992897" w:rsidRPr="00C1748D">
        <w:rPr>
          <w:lang w:val="fr-FR"/>
        </w:rPr>
        <w:t> </w:t>
      </w:r>
      <w:r w:rsidRPr="00C1748D">
        <w:rPr>
          <w:lang w:val="fr-FR"/>
        </w:rPr>
        <w:t>», supprimer «</w:t>
      </w:r>
      <w:r w:rsidR="00992897" w:rsidRPr="00C1748D">
        <w:rPr>
          <w:lang w:val="fr-FR"/>
        </w:rPr>
        <w:t> </w:t>
      </w:r>
      <w:r w:rsidRPr="00C1748D">
        <w:rPr>
          <w:lang w:val="fr-FR"/>
        </w:rPr>
        <w:t>Les emballages doivent satisfaire au niveau d’épreuve du groupe d’emballage II.</w:t>
      </w:r>
      <w:r w:rsidR="00992897" w:rsidRPr="00C1748D">
        <w:rPr>
          <w:lang w:val="fr-FR"/>
        </w:rPr>
        <w:t> </w:t>
      </w:r>
      <w:r w:rsidRPr="00C1748D">
        <w:rPr>
          <w:lang w:val="fr-FR"/>
        </w:rPr>
        <w:t>».</w:t>
      </w:r>
    </w:p>
    <w:p w14:paraId="0DBEC0C3" w14:textId="6605B3EB" w:rsidR="004215B9" w:rsidRPr="00C1748D" w:rsidRDefault="004215B9" w:rsidP="001A6331">
      <w:pPr>
        <w:pStyle w:val="SingleTxtG"/>
        <w:ind w:left="1701"/>
        <w:rPr>
          <w:lang w:val="fr-FR"/>
        </w:rPr>
      </w:pPr>
      <w:r w:rsidRPr="00C1748D">
        <w:rPr>
          <w:lang w:val="fr-FR"/>
        </w:rPr>
        <w:t>Au début du point 1., remplacer «</w:t>
      </w:r>
      <w:r w:rsidR="00992897" w:rsidRPr="00C1748D">
        <w:rPr>
          <w:lang w:val="fr-FR"/>
        </w:rPr>
        <w:t> </w:t>
      </w:r>
      <w:r w:rsidRPr="00C1748D">
        <w:rPr>
          <w:lang w:val="fr-FR"/>
        </w:rPr>
        <w:t>Chaque batterie endommagée ou défectueuse ou équipement contenant une telle batterie</w:t>
      </w:r>
      <w:r w:rsidR="00992897" w:rsidRPr="00C1748D">
        <w:rPr>
          <w:lang w:val="fr-FR"/>
        </w:rPr>
        <w:t> </w:t>
      </w:r>
      <w:r w:rsidRPr="00C1748D">
        <w:rPr>
          <w:lang w:val="fr-FR"/>
        </w:rPr>
        <w:t>» par «</w:t>
      </w:r>
      <w:r w:rsidR="00992897" w:rsidRPr="00C1748D">
        <w:rPr>
          <w:lang w:val="fr-FR"/>
        </w:rPr>
        <w:t> </w:t>
      </w:r>
      <w:r w:rsidRPr="00C1748D">
        <w:rPr>
          <w:lang w:val="fr-FR"/>
        </w:rPr>
        <w:t>La batterie endommagée ou défectueuse ou l’équipement contenant des piles ou batteries endommagées ou défectueuses</w:t>
      </w:r>
      <w:r w:rsidR="00992897" w:rsidRPr="00C1748D">
        <w:rPr>
          <w:lang w:val="fr-FR"/>
        </w:rPr>
        <w:t> </w:t>
      </w:r>
      <w:r w:rsidRPr="00C1748D">
        <w:rPr>
          <w:lang w:val="fr-FR"/>
        </w:rPr>
        <w:t xml:space="preserve">». </w:t>
      </w:r>
    </w:p>
    <w:p w14:paraId="69F5A7D1" w14:textId="79095AD0" w:rsidR="004215B9" w:rsidRPr="00C1748D" w:rsidRDefault="004215B9" w:rsidP="001A6331">
      <w:pPr>
        <w:pStyle w:val="SingleTxtG"/>
        <w:ind w:left="1701"/>
        <w:rPr>
          <w:lang w:val="fr-FR"/>
        </w:rPr>
      </w:pPr>
      <w:r w:rsidRPr="00C1748D">
        <w:rPr>
          <w:lang w:val="fr-FR"/>
        </w:rPr>
        <w:t>Au point 2., remplacer «</w:t>
      </w:r>
      <w:r w:rsidR="00992897" w:rsidRPr="00C1748D">
        <w:rPr>
          <w:lang w:val="fr-FR"/>
        </w:rPr>
        <w:t> </w:t>
      </w:r>
      <w:r w:rsidRPr="00C1748D">
        <w:rPr>
          <w:lang w:val="fr-FR"/>
        </w:rPr>
        <w:t>Chaque emballage intérieur</w:t>
      </w:r>
      <w:r w:rsidR="00992897" w:rsidRPr="00C1748D">
        <w:rPr>
          <w:lang w:val="fr-FR"/>
        </w:rPr>
        <w:t> </w:t>
      </w:r>
      <w:r w:rsidRPr="00C1748D">
        <w:rPr>
          <w:lang w:val="fr-FR"/>
        </w:rPr>
        <w:t>» par «</w:t>
      </w:r>
      <w:r w:rsidR="00992897" w:rsidRPr="00C1748D">
        <w:rPr>
          <w:lang w:val="fr-FR"/>
        </w:rPr>
        <w:t> </w:t>
      </w:r>
      <w:r w:rsidRPr="00C1748D">
        <w:rPr>
          <w:lang w:val="fr-FR"/>
        </w:rPr>
        <w:t>L’emballage intérieur</w:t>
      </w:r>
      <w:r w:rsidR="00992897" w:rsidRPr="00C1748D">
        <w:rPr>
          <w:lang w:val="fr-FR"/>
        </w:rPr>
        <w:t> </w:t>
      </w:r>
      <w:r w:rsidRPr="00C1748D">
        <w:rPr>
          <w:lang w:val="fr-FR"/>
        </w:rPr>
        <w:t>»</w:t>
      </w:r>
      <w:r w:rsidR="00DA77EF" w:rsidRPr="00C1748D">
        <w:rPr>
          <w:lang w:val="fr-FR"/>
        </w:rPr>
        <w:t xml:space="preserve"> et remplacer «</w:t>
      </w:r>
      <w:r w:rsidR="00992897" w:rsidRPr="00C1748D">
        <w:rPr>
          <w:lang w:val="fr-FR"/>
        </w:rPr>
        <w:t> </w:t>
      </w:r>
      <w:r w:rsidR="00DA77EF" w:rsidRPr="00C1748D">
        <w:rPr>
          <w:lang w:val="fr-FR"/>
        </w:rPr>
        <w:t>non conducteur</w:t>
      </w:r>
      <w:r w:rsidR="00992897" w:rsidRPr="00C1748D">
        <w:rPr>
          <w:lang w:val="fr-FR"/>
        </w:rPr>
        <w:t> </w:t>
      </w:r>
      <w:r w:rsidR="00DA77EF" w:rsidRPr="00C1748D">
        <w:rPr>
          <w:lang w:val="fr-FR"/>
        </w:rPr>
        <w:t>» par «</w:t>
      </w:r>
      <w:r w:rsidR="00992897" w:rsidRPr="00C1748D">
        <w:rPr>
          <w:lang w:val="fr-FR"/>
        </w:rPr>
        <w:t> </w:t>
      </w:r>
      <w:r w:rsidR="00DA77EF" w:rsidRPr="00C1748D">
        <w:rPr>
          <w:lang w:val="fr-FR"/>
        </w:rPr>
        <w:t>non conducteur d’électricité</w:t>
      </w:r>
      <w:r w:rsidR="00992897" w:rsidRPr="00C1748D">
        <w:rPr>
          <w:lang w:val="fr-FR"/>
        </w:rPr>
        <w:t> </w:t>
      </w:r>
      <w:r w:rsidR="00DA77EF" w:rsidRPr="00C1748D">
        <w:rPr>
          <w:lang w:val="fr-FR"/>
        </w:rPr>
        <w:t>».</w:t>
      </w:r>
    </w:p>
    <w:p w14:paraId="1033F8DC" w14:textId="56C737E9" w:rsidR="004215B9" w:rsidRPr="00C1748D" w:rsidRDefault="004215B9" w:rsidP="001A6331">
      <w:pPr>
        <w:pStyle w:val="SingleTxtG"/>
        <w:ind w:left="1701"/>
        <w:rPr>
          <w:lang w:val="fr-FR"/>
        </w:rPr>
      </w:pPr>
      <w:r w:rsidRPr="00C1748D">
        <w:rPr>
          <w:lang w:val="fr-FR"/>
        </w:rPr>
        <w:t>Au point 4., après «</w:t>
      </w:r>
      <w:r w:rsidR="004419B9" w:rsidRPr="00C1748D">
        <w:rPr>
          <w:lang w:val="fr-FR"/>
        </w:rPr>
        <w:t> </w:t>
      </w:r>
      <w:r w:rsidRPr="00C1748D">
        <w:rPr>
          <w:lang w:val="fr-FR"/>
        </w:rPr>
        <w:t>déplacement de la batterie</w:t>
      </w:r>
      <w:r w:rsidR="004419B9" w:rsidRPr="00C1748D">
        <w:rPr>
          <w:lang w:val="fr-FR"/>
        </w:rPr>
        <w:t> </w:t>
      </w:r>
      <w:r w:rsidRPr="00C1748D">
        <w:rPr>
          <w:lang w:val="fr-FR"/>
        </w:rPr>
        <w:t>», ajouter «</w:t>
      </w:r>
      <w:r w:rsidR="004419B9" w:rsidRPr="00C1748D">
        <w:rPr>
          <w:lang w:val="fr-FR"/>
        </w:rPr>
        <w:t> </w:t>
      </w:r>
      <w:r w:rsidRPr="00C1748D">
        <w:rPr>
          <w:lang w:val="fr-FR"/>
        </w:rPr>
        <w:t>ou de l’équipement</w:t>
      </w:r>
      <w:r w:rsidR="004419B9" w:rsidRPr="00C1748D">
        <w:rPr>
          <w:lang w:val="fr-FR"/>
        </w:rPr>
        <w:t> </w:t>
      </w:r>
      <w:r w:rsidRPr="00C1748D">
        <w:rPr>
          <w:lang w:val="fr-FR"/>
        </w:rPr>
        <w:t>»</w:t>
      </w:r>
      <w:r w:rsidR="00DA77EF" w:rsidRPr="00C1748D">
        <w:rPr>
          <w:lang w:val="fr-FR"/>
        </w:rPr>
        <w:t xml:space="preserve"> et remplacer «</w:t>
      </w:r>
      <w:r w:rsidR="004419B9" w:rsidRPr="00C1748D">
        <w:rPr>
          <w:lang w:val="fr-FR"/>
        </w:rPr>
        <w:t> </w:t>
      </w:r>
      <w:r w:rsidR="00DA77EF" w:rsidRPr="00C1748D">
        <w:rPr>
          <w:lang w:val="fr-FR"/>
        </w:rPr>
        <w:t>non conducteur</w:t>
      </w:r>
      <w:r w:rsidR="004419B9" w:rsidRPr="00C1748D">
        <w:rPr>
          <w:lang w:val="fr-FR"/>
        </w:rPr>
        <w:t> </w:t>
      </w:r>
      <w:r w:rsidR="00DA77EF" w:rsidRPr="00C1748D">
        <w:rPr>
          <w:lang w:val="fr-FR"/>
        </w:rPr>
        <w:t>» par «</w:t>
      </w:r>
      <w:r w:rsidR="004419B9" w:rsidRPr="00C1748D">
        <w:rPr>
          <w:lang w:val="fr-FR"/>
        </w:rPr>
        <w:t> </w:t>
      </w:r>
      <w:r w:rsidR="00DA77EF" w:rsidRPr="00C1748D">
        <w:rPr>
          <w:lang w:val="fr-FR"/>
        </w:rPr>
        <w:t>non conducteur d’électricité</w:t>
      </w:r>
      <w:r w:rsidR="004419B9" w:rsidRPr="00C1748D">
        <w:rPr>
          <w:lang w:val="fr-FR"/>
        </w:rPr>
        <w:t> </w:t>
      </w:r>
      <w:r w:rsidR="00DA77EF" w:rsidRPr="00C1748D">
        <w:rPr>
          <w:lang w:val="fr-FR"/>
        </w:rPr>
        <w:t>».</w:t>
      </w:r>
    </w:p>
    <w:p w14:paraId="34DED408" w14:textId="6B930F6D" w:rsidR="004215B9" w:rsidRPr="00C1748D" w:rsidRDefault="00335CBD" w:rsidP="001A6331">
      <w:pPr>
        <w:pStyle w:val="SingleTxtG"/>
        <w:ind w:left="1701"/>
        <w:rPr>
          <w:lang w:val="fr-FR"/>
        </w:rPr>
      </w:pPr>
      <w:r w:rsidRPr="00C1748D">
        <w:rPr>
          <w:lang w:val="fr-FR"/>
        </w:rPr>
        <w:t>Dans la dernière phrase avant la disposition supplémentaire, avant «</w:t>
      </w:r>
      <w:r w:rsidR="00836A3C" w:rsidRPr="00C1748D">
        <w:rPr>
          <w:lang w:val="fr-FR"/>
        </w:rPr>
        <w:t> </w:t>
      </w:r>
      <w:r w:rsidRPr="00C1748D">
        <w:rPr>
          <w:lang w:val="fr-FR"/>
        </w:rPr>
        <w:t>batteries</w:t>
      </w:r>
      <w:r w:rsidR="00836A3C" w:rsidRPr="00C1748D">
        <w:rPr>
          <w:lang w:val="fr-FR"/>
        </w:rPr>
        <w:t> </w:t>
      </w:r>
      <w:r w:rsidRPr="00C1748D">
        <w:rPr>
          <w:lang w:val="fr-FR"/>
        </w:rPr>
        <w:t>» ajouter «</w:t>
      </w:r>
      <w:r w:rsidR="00836A3C" w:rsidRPr="00C1748D">
        <w:rPr>
          <w:lang w:val="fr-FR"/>
        </w:rPr>
        <w:t> </w:t>
      </w:r>
      <w:r w:rsidRPr="00C1748D">
        <w:rPr>
          <w:lang w:val="fr-FR"/>
        </w:rPr>
        <w:t>piles et</w:t>
      </w:r>
      <w:r w:rsidR="00836A3C" w:rsidRPr="00C1748D">
        <w:rPr>
          <w:lang w:val="fr-FR"/>
        </w:rPr>
        <w:t> </w:t>
      </w:r>
      <w:r w:rsidRPr="00C1748D">
        <w:rPr>
          <w:lang w:val="fr-FR"/>
        </w:rPr>
        <w:t>».</w:t>
      </w:r>
    </w:p>
    <w:p w14:paraId="63791504" w14:textId="0A07348F" w:rsidR="004215B9" w:rsidRPr="00C1748D" w:rsidRDefault="00335CBD" w:rsidP="001A6331">
      <w:pPr>
        <w:pStyle w:val="SingleTxtG"/>
        <w:ind w:left="1701"/>
        <w:rPr>
          <w:lang w:val="fr-FR"/>
        </w:rPr>
      </w:pPr>
      <w:r w:rsidRPr="00C1748D">
        <w:rPr>
          <w:lang w:val="fr-FR"/>
        </w:rPr>
        <w:t>Dans la disposition supplémentaire, avant «</w:t>
      </w:r>
      <w:r w:rsidR="00836A3C" w:rsidRPr="00C1748D">
        <w:rPr>
          <w:lang w:val="fr-FR"/>
        </w:rPr>
        <w:t> </w:t>
      </w:r>
      <w:r w:rsidRPr="00C1748D">
        <w:rPr>
          <w:lang w:val="fr-FR"/>
        </w:rPr>
        <w:t>batteries</w:t>
      </w:r>
      <w:r w:rsidR="00836A3C" w:rsidRPr="00C1748D">
        <w:rPr>
          <w:lang w:val="fr-FR"/>
        </w:rPr>
        <w:t> </w:t>
      </w:r>
      <w:r w:rsidRPr="00C1748D">
        <w:rPr>
          <w:lang w:val="fr-FR"/>
        </w:rPr>
        <w:t>» ajouter «</w:t>
      </w:r>
      <w:r w:rsidR="00836A3C" w:rsidRPr="00C1748D">
        <w:rPr>
          <w:lang w:val="fr-FR"/>
        </w:rPr>
        <w:t> </w:t>
      </w:r>
      <w:r w:rsidRPr="00C1748D">
        <w:rPr>
          <w:lang w:val="fr-FR"/>
        </w:rPr>
        <w:t>piles et</w:t>
      </w:r>
      <w:r w:rsidR="00836A3C" w:rsidRPr="00C1748D">
        <w:rPr>
          <w:lang w:val="fr-FR"/>
        </w:rPr>
        <w:t> </w:t>
      </w:r>
      <w:r w:rsidRPr="00C1748D">
        <w:rPr>
          <w:lang w:val="fr-FR"/>
        </w:rPr>
        <w:t>».</w:t>
      </w:r>
    </w:p>
    <w:p w14:paraId="548A3E4C" w14:textId="77777777" w:rsidR="009C2E03" w:rsidRDefault="009C2E03">
      <w:pPr>
        <w:suppressAutoHyphens w:val="0"/>
        <w:spacing w:line="240" w:lineRule="auto"/>
        <w:rPr>
          <w:lang w:val="fr-FR"/>
        </w:rPr>
      </w:pPr>
      <w:r>
        <w:rPr>
          <w:lang w:val="fr-FR"/>
        </w:rPr>
        <w:br w:type="page"/>
      </w:r>
    </w:p>
    <w:p w14:paraId="0E12F9F0" w14:textId="121541CE" w:rsidR="00DD1250" w:rsidRPr="00C1748D" w:rsidRDefault="00DD1250" w:rsidP="00A06354">
      <w:pPr>
        <w:pStyle w:val="SingleTxtG"/>
        <w:tabs>
          <w:tab w:val="left" w:pos="2268"/>
        </w:tabs>
        <w:rPr>
          <w:lang w:val="fr-FR"/>
        </w:rPr>
      </w:pPr>
      <w:r w:rsidRPr="00C1748D">
        <w:rPr>
          <w:lang w:val="fr-FR"/>
        </w:rPr>
        <w:lastRenderedPageBreak/>
        <w:t>4.1.4.3</w:t>
      </w:r>
      <w:r w:rsidRPr="00C1748D">
        <w:rPr>
          <w:lang w:val="fr-FR"/>
        </w:rPr>
        <w:tab/>
        <w:t>Ajouter la nouvelle instruction d’emballage LP03 suivante</w:t>
      </w:r>
      <w:r w:rsidR="00836A3C" w:rsidRPr="00C1748D">
        <w:rPr>
          <w:lang w:val="fr-FR"/>
        </w:rPr>
        <w:t> </w:t>
      </w:r>
      <w:r w:rsidRPr="00C1748D">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A074FC" w:rsidRPr="00C1748D" w14:paraId="362DC163" w14:textId="77777777" w:rsidTr="00FC7059">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090B169A" w14:textId="77777777" w:rsidR="00DD1250" w:rsidRPr="00C1748D"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C1748D">
              <w:rPr>
                <w:b/>
                <w:lang w:val="fr-FR"/>
              </w:rPr>
              <w:t>LP03</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096EBE15" w14:textId="77777777" w:rsidR="00DD1250" w:rsidRPr="00C1748D"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C1748D">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87EDE94" w14:textId="77777777" w:rsidR="00DD1250" w:rsidRPr="00C1748D"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C1748D">
              <w:rPr>
                <w:b/>
                <w:iCs/>
                <w:lang w:val="fr-FR"/>
              </w:rPr>
              <w:t>LP03</w:t>
            </w:r>
          </w:p>
        </w:tc>
      </w:tr>
      <w:tr w:rsidR="00A074FC" w:rsidRPr="00C1748D" w14:paraId="5F225D94" w14:textId="77777777"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60C2EB" w14:textId="3A058E59" w:rsidR="00DD1250" w:rsidRPr="00C1748D" w:rsidRDefault="00DD1250" w:rsidP="00695AA0">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C1748D">
              <w:rPr>
                <w:iCs/>
                <w:lang w:val="fr-FR"/>
              </w:rPr>
              <w:t>Cette instruction s’applique aux Nos ONU 3537</w:t>
            </w:r>
            <w:r w:rsidR="00695AA0" w:rsidRPr="00C1748D">
              <w:rPr>
                <w:iCs/>
                <w:lang w:val="fr-FR"/>
              </w:rPr>
              <w:t xml:space="preserve"> à</w:t>
            </w:r>
            <w:r w:rsidRPr="00C1748D">
              <w:rPr>
                <w:iCs/>
                <w:lang w:val="fr-FR"/>
              </w:rPr>
              <w:t xml:space="preserve"> 3548.</w:t>
            </w:r>
          </w:p>
        </w:tc>
      </w:tr>
      <w:tr w:rsidR="00A074FC" w:rsidRPr="00C1748D" w14:paraId="1E82D0DC" w14:textId="77777777"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46CD70C" w14:textId="352FB053" w:rsidR="00DD1250" w:rsidRPr="00C1748D" w:rsidRDefault="00B95B90" w:rsidP="00836A3C">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ind w:left="502" w:hanging="502"/>
              <w:jc w:val="both"/>
              <w:rPr>
                <w:iCs/>
                <w:lang w:val="fr-FR"/>
              </w:rPr>
            </w:pPr>
            <w:r w:rsidRPr="00C1748D">
              <w:rPr>
                <w:lang w:val="fr-FR"/>
              </w:rPr>
              <w:t>1)</w:t>
            </w:r>
            <w:r w:rsidR="00DD1250" w:rsidRPr="00C1748D">
              <w:rPr>
                <w:lang w:val="fr-FR"/>
              </w:rPr>
              <w:t xml:space="preserve"> </w:t>
            </w:r>
            <w:r w:rsidR="00DD1250" w:rsidRPr="00C1748D">
              <w:rPr>
                <w:lang w:val="fr-FR"/>
              </w:rPr>
              <w:tab/>
            </w:r>
            <w:r w:rsidR="00DD1250" w:rsidRPr="00C1748D">
              <w:rPr>
                <w:iCs/>
                <w:lang w:val="fr-FR"/>
              </w:rPr>
              <w:t>Les grands emballages suivants sont autorisés s’il est satisfait aux dispositions générales des sections </w:t>
            </w:r>
            <w:r w:rsidR="00DD1250" w:rsidRPr="00C1748D">
              <w:rPr>
                <w:b/>
                <w:iCs/>
                <w:lang w:val="fr-FR"/>
              </w:rPr>
              <w:t>4.1.1</w:t>
            </w:r>
            <w:r w:rsidR="00DD1250" w:rsidRPr="00C1748D">
              <w:rPr>
                <w:iCs/>
                <w:lang w:val="fr-FR"/>
              </w:rPr>
              <w:t xml:space="preserve"> et </w:t>
            </w:r>
            <w:r w:rsidR="00DD1250" w:rsidRPr="00C1748D">
              <w:rPr>
                <w:b/>
                <w:iCs/>
                <w:lang w:val="fr-FR"/>
              </w:rPr>
              <w:t>4.1.3</w:t>
            </w:r>
            <w:r w:rsidR="00836A3C" w:rsidRPr="00C1748D">
              <w:rPr>
                <w:lang w:val="fr-FR"/>
              </w:rPr>
              <w:t> </w:t>
            </w:r>
            <w:r w:rsidR="00DD1250" w:rsidRPr="00C1748D">
              <w:rPr>
                <w:iCs/>
                <w:lang w:val="fr-FR"/>
              </w:rPr>
              <w:t>:</w:t>
            </w:r>
          </w:p>
        </w:tc>
      </w:tr>
      <w:tr w:rsidR="00A074FC" w:rsidRPr="00C1748D" w14:paraId="7EAA5810"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1B93582C" w14:textId="0B71692A" w:rsidR="00DD1250" w:rsidRPr="00C1748D" w:rsidRDefault="00DD1250" w:rsidP="00657D7C">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C1748D">
              <w:rPr>
                <w:lang w:val="fr-FR"/>
              </w:rPr>
              <w:tab/>
            </w:r>
            <w:r w:rsidRPr="00C1748D">
              <w:rPr>
                <w:iCs/>
                <w:lang w:val="fr-FR"/>
              </w:rPr>
              <w:t>Grands emballages rigides satisfaisant au niveau d’épreuve du groupe d’emballage II, en</w:t>
            </w:r>
            <w:r w:rsidR="00836A3C" w:rsidRPr="00C1748D">
              <w:rPr>
                <w:lang w:val="fr-FR"/>
              </w:rPr>
              <w:t> </w:t>
            </w:r>
            <w:r w:rsidRPr="00C1748D">
              <w:rPr>
                <w:iCs/>
                <w:lang w:val="fr-FR"/>
              </w:rPr>
              <w:t>:</w:t>
            </w:r>
          </w:p>
        </w:tc>
      </w:tr>
      <w:tr w:rsidR="00A074FC" w:rsidRPr="00C1748D" w14:paraId="15FF628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80153F9" w14:textId="795E0ED9" w:rsidR="00DD1250" w:rsidRPr="00C1748D" w:rsidRDefault="00DD1250" w:rsidP="00836A3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C1748D">
              <w:rPr>
                <w:iCs/>
                <w:lang w:val="fr-FR"/>
              </w:rPr>
              <w:t>Acier (50A)</w:t>
            </w:r>
            <w:r w:rsidR="00836A3C" w:rsidRPr="00C1748D">
              <w:rPr>
                <w:iCs/>
                <w:lang w:val="fr-FR"/>
              </w:rPr>
              <w:t> ;</w:t>
            </w:r>
          </w:p>
        </w:tc>
      </w:tr>
      <w:tr w:rsidR="00A074FC" w:rsidRPr="00C1748D" w14:paraId="5147A066"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173C48A" w14:textId="6CC30665" w:rsidR="00DD1250" w:rsidRPr="00C1748D"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C1748D">
              <w:rPr>
                <w:iCs/>
                <w:lang w:val="fr-FR"/>
              </w:rPr>
              <w:t>Aluminium (50B) ;</w:t>
            </w:r>
          </w:p>
        </w:tc>
      </w:tr>
      <w:tr w:rsidR="00A074FC" w:rsidRPr="00C1748D" w14:paraId="337CCC14"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3E140B9" w14:textId="209A8723" w:rsidR="00DD1250" w:rsidRPr="00C1748D"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C1748D">
              <w:rPr>
                <w:iCs/>
                <w:lang w:val="fr-FR"/>
              </w:rPr>
              <w:t>Métal autre q</w:t>
            </w:r>
            <w:r w:rsidR="00836A3C" w:rsidRPr="00C1748D">
              <w:rPr>
                <w:iCs/>
                <w:lang w:val="fr-FR"/>
              </w:rPr>
              <w:t>ue l’acier ou l’aluminium (50N) ;</w:t>
            </w:r>
          </w:p>
        </w:tc>
      </w:tr>
      <w:tr w:rsidR="00A074FC" w:rsidRPr="00C1748D" w14:paraId="0D05A57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5ADF10F" w14:textId="6671835C" w:rsidR="00DD1250" w:rsidRPr="00C1748D"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C1748D">
              <w:rPr>
                <w:iCs/>
                <w:lang w:val="fr-FR"/>
              </w:rPr>
              <w:t>Plastique rigide (50H) ;</w:t>
            </w:r>
          </w:p>
        </w:tc>
      </w:tr>
      <w:tr w:rsidR="00A074FC" w:rsidRPr="00C1748D" w14:paraId="0138322F"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A997FB" w14:textId="3EDEB93A" w:rsidR="00DD1250" w:rsidRPr="00C1748D"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C1748D">
              <w:rPr>
                <w:iCs/>
                <w:lang w:val="fr-FR"/>
              </w:rPr>
              <w:t>Bois naturel (50C) ;</w:t>
            </w:r>
          </w:p>
        </w:tc>
      </w:tr>
      <w:tr w:rsidR="00A074FC" w:rsidRPr="00C1748D" w14:paraId="1D2F960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3E9D8D0" w14:textId="4F3A97FC" w:rsidR="00DD1250" w:rsidRPr="00C1748D"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C1748D">
              <w:rPr>
                <w:iCs/>
                <w:lang w:val="fr-FR"/>
              </w:rPr>
              <w:t>Contre-plaqué (50D) ;</w:t>
            </w:r>
          </w:p>
        </w:tc>
      </w:tr>
      <w:tr w:rsidR="00A074FC" w:rsidRPr="00C1748D" w14:paraId="1CC1EFFD" w14:textId="77777777" w:rsidTr="00FC7059">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59C6B01" w14:textId="7C670230" w:rsidR="00DD1250" w:rsidRPr="00C1748D" w:rsidRDefault="00836A3C"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C1748D">
              <w:rPr>
                <w:iCs/>
                <w:lang w:val="fr-FR"/>
              </w:rPr>
              <w:t>Bois reconstitué (50F) ;</w:t>
            </w:r>
          </w:p>
        </w:tc>
      </w:tr>
      <w:tr w:rsidR="00A074FC" w:rsidRPr="00C1748D" w14:paraId="153ED83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7208298" w14:textId="77777777" w:rsidR="00DD1250" w:rsidRPr="00C1748D"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C1748D">
              <w:rPr>
                <w:iCs/>
                <w:lang w:val="fr-FR"/>
              </w:rPr>
              <w:t>Carton rigide (50G).</w:t>
            </w:r>
          </w:p>
        </w:tc>
      </w:tr>
      <w:tr w:rsidR="00A074FC" w:rsidRPr="00C1748D" w14:paraId="48A5E6C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6F9650A" w14:textId="30D6129D" w:rsidR="00DD1250" w:rsidRPr="00C1748D" w:rsidRDefault="00B95B90" w:rsidP="00657D7C">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C1748D">
              <w:rPr>
                <w:lang w:val="fr-FR"/>
              </w:rPr>
              <w:t>2)</w:t>
            </w:r>
            <w:r w:rsidR="00DD1250" w:rsidRPr="00C1748D">
              <w:rPr>
                <w:lang w:val="fr-FR"/>
              </w:rPr>
              <w:tab/>
              <w:t>De surcroît, les conditions suivantes doivent être remplies</w:t>
            </w:r>
            <w:r w:rsidR="00836A3C" w:rsidRPr="00C1748D">
              <w:rPr>
                <w:lang w:val="fr-FR"/>
              </w:rPr>
              <w:t> </w:t>
            </w:r>
            <w:r w:rsidR="00DD1250" w:rsidRPr="00C1748D">
              <w:rPr>
                <w:lang w:val="fr-FR"/>
              </w:rPr>
              <w:t>:</w:t>
            </w:r>
          </w:p>
        </w:tc>
      </w:tr>
      <w:tr w:rsidR="00A074FC" w:rsidRPr="00C1748D" w14:paraId="184836ED"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F945331" w14:textId="07562D6F" w:rsidR="00DD1250" w:rsidRPr="00C1748D"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C1748D">
              <w:rPr>
                <w:lang w:val="fr-FR"/>
              </w:rPr>
              <w:t xml:space="preserve">a) </w:t>
            </w:r>
            <w:r w:rsidRPr="00C1748D">
              <w:rPr>
                <w:lang w:val="fr-FR"/>
              </w:rPr>
              <w:tab/>
              <w:t>Les récipients contenus dans des objets contenant eux-mêmes des matières liquides ou des matières solides doivent être fabriqués dans un matériau approprié et calés dans l’objet de telle façon que, dans des conditions normales de transport, ils ne puissent se briser, se crever ou laisser échapper leur contenu dans l’objet lui-même ou dans l’emballage extérieur</w:t>
            </w:r>
            <w:r w:rsidR="00836A3C" w:rsidRPr="00C1748D">
              <w:rPr>
                <w:lang w:val="fr-FR"/>
              </w:rPr>
              <w:t> </w:t>
            </w:r>
            <w:r w:rsidRPr="00C1748D">
              <w:rPr>
                <w:lang w:val="fr-FR"/>
              </w:rPr>
              <w:t>;</w:t>
            </w:r>
          </w:p>
        </w:tc>
      </w:tr>
      <w:tr w:rsidR="00A074FC" w:rsidRPr="00C1748D" w14:paraId="4EA916D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56FD773" w14:textId="34A4B91D" w:rsidR="00DD1250" w:rsidRPr="00C1748D" w:rsidRDefault="00DD1250" w:rsidP="00620B60">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C1748D">
              <w:rPr>
                <w:lang w:val="fr-FR"/>
              </w:rPr>
              <w:t xml:space="preserve">b) </w:t>
            </w:r>
            <w:r w:rsidRPr="00C1748D">
              <w:rPr>
                <w:lang w:val="fr-FR"/>
              </w:rPr>
              <w:tab/>
              <w:t xml:space="preserve">Les récipients contenant des matières liquides et équipés </w:t>
            </w:r>
            <w:r w:rsidR="00C1748D">
              <w:rPr>
                <w:lang w:val="fr-FR"/>
              </w:rPr>
              <w:t>de fermetures</w:t>
            </w:r>
            <w:r w:rsidR="00C1748D" w:rsidRPr="00154472">
              <w:rPr>
                <w:lang w:val="fr-FR"/>
              </w:rPr>
              <w:t xml:space="preserve"> </w:t>
            </w:r>
            <w:r w:rsidRPr="00C1748D">
              <w:rPr>
                <w:lang w:val="fr-FR"/>
              </w:rPr>
              <w:t xml:space="preserve">doivent être emballés de telle sorte que leurs fermetures soient bien orientées. </w:t>
            </w:r>
            <w:r w:rsidR="00CE4E90" w:rsidRPr="00C1748D">
              <w:rPr>
                <w:lang w:val="fr-FR"/>
              </w:rPr>
              <w:t>L</w:t>
            </w:r>
            <w:r w:rsidRPr="00C1748D">
              <w:rPr>
                <w:lang w:val="fr-FR"/>
              </w:rPr>
              <w:t>es récipients doivent en outre être conformes aux dispositions relatives à l’épreuve de pression interne du 6.1.5.5</w:t>
            </w:r>
            <w:r w:rsidR="00836A3C" w:rsidRPr="00C1748D">
              <w:rPr>
                <w:lang w:val="fr-FR"/>
              </w:rPr>
              <w:t> </w:t>
            </w:r>
            <w:r w:rsidRPr="00C1748D">
              <w:rPr>
                <w:lang w:val="fr-FR"/>
              </w:rPr>
              <w:t>;</w:t>
            </w:r>
          </w:p>
        </w:tc>
      </w:tr>
      <w:tr w:rsidR="00A074FC" w:rsidRPr="00C1748D" w14:paraId="2ED4148B"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7DE1B8F" w14:textId="4E132DAB" w:rsidR="00DD1250" w:rsidRPr="00C1748D"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C1748D">
              <w:rPr>
                <w:lang w:val="fr-FR"/>
              </w:rPr>
              <w:t xml:space="preserve">c) </w:t>
            </w:r>
            <w:r w:rsidRPr="00C1748D">
              <w:rPr>
                <w:lang w:val="fr-FR"/>
              </w:rPr>
              <w:tab/>
              <w:t>Les récipients susceptibles de se briser ou de se crever facilement, par exemple les récipients en verre, en porcelaine ou en grès ou encore en certaines matières plastiques doivent être correctement calés. Toute fuite du contenu ne doit pas altérer sensiblement les propriétés protectrices de l’objet ou de son emballage extérieur</w:t>
            </w:r>
            <w:r w:rsidR="00836A3C" w:rsidRPr="00C1748D">
              <w:rPr>
                <w:lang w:val="fr-FR"/>
              </w:rPr>
              <w:t> </w:t>
            </w:r>
            <w:r w:rsidRPr="00C1748D">
              <w:rPr>
                <w:lang w:val="fr-FR"/>
              </w:rPr>
              <w:t>;</w:t>
            </w:r>
          </w:p>
        </w:tc>
      </w:tr>
      <w:tr w:rsidR="00A074FC" w:rsidRPr="00C1748D" w14:paraId="35A32AC2"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924D8F0" w14:textId="4A5CECB0" w:rsidR="00DD1250" w:rsidRPr="00C1748D" w:rsidRDefault="00DD1250" w:rsidP="009F12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C1748D">
              <w:rPr>
                <w:lang w:val="fr-FR"/>
              </w:rPr>
              <w:t xml:space="preserve">d) </w:t>
            </w:r>
            <w:r w:rsidRPr="00C1748D">
              <w:rPr>
                <w:lang w:val="fr-FR"/>
              </w:rPr>
              <w:tab/>
              <w:t xml:space="preserve">Les récipients contenant des gaz placés à l’intérieur d’objets doivent satisfaire aux prescriptions de la section 4.1.6 et du chapitre 6.2, selon le cas, ou offrir un niveau de protection équivalent aux </w:t>
            </w:r>
            <w:r w:rsidR="009F1284" w:rsidRPr="00C1748D">
              <w:rPr>
                <w:lang w:val="fr-FR"/>
              </w:rPr>
              <w:t>instructions</w:t>
            </w:r>
            <w:r w:rsidRPr="00C1748D">
              <w:rPr>
                <w:lang w:val="fr-FR"/>
              </w:rPr>
              <w:t xml:space="preserve"> d’emballage P200 ou P208</w:t>
            </w:r>
            <w:r w:rsidR="00836A3C" w:rsidRPr="00C1748D">
              <w:rPr>
                <w:lang w:val="fr-FR"/>
              </w:rPr>
              <w:t> </w:t>
            </w:r>
            <w:r w:rsidRPr="00C1748D">
              <w:rPr>
                <w:lang w:val="fr-FR"/>
              </w:rPr>
              <w:t>;</w:t>
            </w:r>
          </w:p>
        </w:tc>
      </w:tr>
      <w:tr w:rsidR="00A074FC" w:rsidRPr="00C1748D" w14:paraId="180CF28B" w14:textId="77777777" w:rsidTr="00FC7059">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FAC1776" w14:textId="77777777" w:rsidR="00DD1250" w:rsidRPr="00C1748D"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C1748D">
              <w:rPr>
                <w:lang w:val="fr-FR"/>
              </w:rPr>
              <w:t xml:space="preserve">e) </w:t>
            </w:r>
            <w:r w:rsidRPr="00C1748D">
              <w:rPr>
                <w:lang w:val="fr-FR"/>
              </w:rPr>
              <w:tab/>
              <w:t>Si l’objet ne contient aucun récipient, il doit renfermer totalement les marchandises dangereuses qu’il contient et empêcher toute fuite de celles-ci dans des conditions normales de transport.</w:t>
            </w:r>
          </w:p>
        </w:tc>
      </w:tr>
      <w:tr w:rsidR="00A074FC" w:rsidRPr="00C1748D" w14:paraId="7390DD56" w14:textId="77777777"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43C18ED2" w14:textId="3A02016D" w:rsidR="00DD1250" w:rsidRPr="00C1748D" w:rsidRDefault="00B95B90" w:rsidP="00657D7C">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C1748D">
              <w:rPr>
                <w:lang w:val="fr-FR"/>
              </w:rPr>
              <w:t>3)</w:t>
            </w:r>
            <w:r w:rsidR="00DD1250" w:rsidRPr="00C1748D">
              <w:rPr>
                <w:lang w:val="fr-FR"/>
              </w:rPr>
              <w:tab/>
              <w:t>Les objets doivent être emballés de manière à empêcher tout mouvement des objets et tout fonctionnement accidentel dans des conditions normales de transport.</w:t>
            </w:r>
          </w:p>
        </w:tc>
      </w:tr>
    </w:tbl>
    <w:p w14:paraId="6517C7AA" w14:textId="1D0293DF" w:rsidR="004215B9" w:rsidRPr="00B676E2" w:rsidRDefault="004215B9" w:rsidP="0074245A">
      <w:pPr>
        <w:pStyle w:val="SingleTxtG"/>
        <w:spacing w:before="120"/>
        <w:rPr>
          <w:lang w:val="fr-FR"/>
        </w:rPr>
      </w:pPr>
      <w:r w:rsidRPr="00B676E2">
        <w:rPr>
          <w:lang w:val="fr-FR"/>
        </w:rPr>
        <w:t>4.1.4.3</w:t>
      </w:r>
      <w:r w:rsidRPr="00B676E2">
        <w:rPr>
          <w:lang w:val="fr-FR"/>
        </w:rPr>
        <w:tab/>
      </w:r>
      <w:r w:rsidRPr="00B676E2">
        <w:rPr>
          <w:lang w:val="fr-FR"/>
        </w:rPr>
        <w:tab/>
        <w:t>Ajouter la nouvelle instruction d’emballage LP905 suivante</w:t>
      </w:r>
      <w:r w:rsidR="00836A3C" w:rsidRPr="00B676E2">
        <w:rPr>
          <w:lang w:val="fr-FR"/>
        </w:rPr>
        <w:t> </w:t>
      </w:r>
      <w:r w:rsidRPr="00B676E2">
        <w:rPr>
          <w:lang w:val="fr-FR"/>
        </w:rPr>
        <w:t>:</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A074FC" w:rsidRPr="00B676E2" w14:paraId="03659F07" w14:textId="77777777" w:rsidTr="00FC7059">
        <w:trPr>
          <w:cantSplit/>
          <w:tblHeader/>
        </w:trPr>
        <w:tc>
          <w:tcPr>
            <w:tcW w:w="853" w:type="dxa"/>
          </w:tcPr>
          <w:p w14:paraId="5C539F7F" w14:textId="77777777" w:rsidR="004215B9" w:rsidRPr="00B676E2"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B676E2">
              <w:rPr>
                <w:b/>
                <w:bCs/>
                <w:lang w:val="fr-FR"/>
              </w:rPr>
              <w:t>LP905</w:t>
            </w:r>
          </w:p>
        </w:tc>
        <w:tc>
          <w:tcPr>
            <w:tcW w:w="7938" w:type="dxa"/>
          </w:tcPr>
          <w:p w14:paraId="0F1AA3B5" w14:textId="77777777" w:rsidR="004215B9" w:rsidRPr="00B676E2"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jc w:val="center"/>
              <w:outlineLvl w:val="6"/>
              <w:rPr>
                <w:b/>
                <w:bCs/>
                <w:lang w:val="fr-FR"/>
              </w:rPr>
            </w:pPr>
            <w:r w:rsidRPr="00B676E2">
              <w:rPr>
                <w:b/>
                <w:bCs/>
                <w:lang w:val="fr-FR"/>
              </w:rPr>
              <w:t>INSTRUCTION D'EMBALLAGE</w:t>
            </w:r>
          </w:p>
        </w:tc>
        <w:tc>
          <w:tcPr>
            <w:tcW w:w="850" w:type="dxa"/>
          </w:tcPr>
          <w:p w14:paraId="0C06FEB2" w14:textId="77777777" w:rsidR="004215B9" w:rsidRPr="00B676E2"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B676E2">
              <w:rPr>
                <w:b/>
                <w:bCs/>
                <w:lang w:val="fr-FR"/>
              </w:rPr>
              <w:t>LP905</w:t>
            </w:r>
          </w:p>
        </w:tc>
      </w:tr>
      <w:tr w:rsidR="00A074FC" w:rsidRPr="00B676E2" w14:paraId="49074787" w14:textId="77777777" w:rsidTr="006201FD">
        <w:trPr>
          <w:cantSplit/>
        </w:trPr>
        <w:tc>
          <w:tcPr>
            <w:tcW w:w="9641" w:type="dxa"/>
            <w:gridSpan w:val="3"/>
            <w:tcBorders>
              <w:bottom w:val="single" w:sz="6" w:space="0" w:color="auto"/>
            </w:tcBorders>
          </w:tcPr>
          <w:p w14:paraId="6C927109" w14:textId="77777777"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B676E2">
              <w:rPr>
                <w:lang w:val="fr-FR"/>
              </w:rPr>
              <w:t xml:space="preserve">Cette instruction s’applique aux séries de production composées </w:t>
            </w:r>
            <w:r w:rsidRPr="00B676E2">
              <w:rPr>
                <w:rFonts w:asciiTheme="majorBidi" w:hAnsiTheme="majorBidi" w:cstheme="majorBidi"/>
                <w:lang w:val="fr-FR"/>
              </w:rPr>
              <w:t xml:space="preserve">au maximum de </w:t>
            </w:r>
            <w:r w:rsidRPr="00B676E2">
              <w:rPr>
                <w:lang w:val="fr-FR"/>
              </w:rPr>
              <w:t>100 piles et batteries des numéros ONU 3090, 3091, 3480 et 3481 et aux prototypes de pré-production de piles et batteries de ces numéros ONU lorsque ces prototypes sont transportés pour être éprouvés.</w:t>
            </w:r>
          </w:p>
        </w:tc>
      </w:tr>
      <w:tr w:rsidR="00A074FC" w:rsidRPr="00B676E2" w14:paraId="0CFF41C7" w14:textId="77777777" w:rsidTr="006201FD">
        <w:trPr>
          <w:cantSplit/>
        </w:trPr>
        <w:tc>
          <w:tcPr>
            <w:tcW w:w="9641" w:type="dxa"/>
            <w:gridSpan w:val="3"/>
            <w:tcBorders>
              <w:top w:val="single" w:sz="6" w:space="0" w:color="auto"/>
              <w:bottom w:val="nil"/>
            </w:tcBorders>
          </w:tcPr>
          <w:p w14:paraId="374FD731" w14:textId="2D64A5FA" w:rsidR="004215B9" w:rsidRPr="00B676E2" w:rsidRDefault="004215B9" w:rsidP="00620B60">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B676E2">
              <w:rPr>
                <w:lang w:val="fr-FR"/>
              </w:rPr>
              <w:t xml:space="preserve">Les grands emballages suivants sont autorisés pour une seule batterie et pour </w:t>
            </w:r>
            <w:r w:rsidR="00695AA0" w:rsidRPr="00B676E2">
              <w:rPr>
                <w:lang w:val="fr-FR"/>
              </w:rPr>
              <w:t xml:space="preserve">un équipement </w:t>
            </w:r>
            <w:r w:rsidR="00BD3F6A" w:rsidRPr="00B676E2">
              <w:rPr>
                <w:lang w:val="fr-FR"/>
              </w:rPr>
              <w:t xml:space="preserve">seul </w:t>
            </w:r>
            <w:r w:rsidR="00695AA0" w:rsidRPr="00B676E2">
              <w:rPr>
                <w:lang w:val="fr-FR"/>
              </w:rPr>
              <w:t>contenant des</w:t>
            </w:r>
            <w:r w:rsidRPr="00B676E2">
              <w:rPr>
                <w:lang w:val="fr-FR"/>
              </w:rPr>
              <w:t xml:space="preserve"> </w:t>
            </w:r>
            <w:r w:rsidR="00B676E2" w:rsidRPr="00154472">
              <w:rPr>
                <w:lang w:val="fr-FR"/>
              </w:rPr>
              <w:t xml:space="preserve">piles </w:t>
            </w:r>
            <w:r w:rsidR="00B676E2">
              <w:rPr>
                <w:lang w:val="fr-FR"/>
              </w:rPr>
              <w:t>ou</w:t>
            </w:r>
            <w:r w:rsidR="00B676E2" w:rsidRPr="00154472">
              <w:rPr>
                <w:lang w:val="fr-FR"/>
              </w:rPr>
              <w:t xml:space="preserve"> batteries</w:t>
            </w:r>
            <w:r w:rsidRPr="00B676E2">
              <w:rPr>
                <w:lang w:val="fr-FR"/>
              </w:rPr>
              <w:t xml:space="preserve"> s’il est satisfait aux dispositions générales des </w:t>
            </w:r>
            <w:r w:rsidRPr="00B676E2">
              <w:rPr>
                <w:b/>
                <w:lang w:val="fr-FR"/>
              </w:rPr>
              <w:t>4.1.1</w:t>
            </w:r>
            <w:r w:rsidRPr="00B676E2">
              <w:rPr>
                <w:lang w:val="fr-FR"/>
              </w:rPr>
              <w:t xml:space="preserve"> et </w:t>
            </w:r>
            <w:r w:rsidRPr="00B676E2">
              <w:rPr>
                <w:b/>
                <w:lang w:val="fr-FR"/>
              </w:rPr>
              <w:t>4.1.3</w:t>
            </w:r>
            <w:r w:rsidR="00836A3C" w:rsidRPr="00B676E2">
              <w:rPr>
                <w:lang w:val="fr-FR"/>
              </w:rPr>
              <w:t> </w:t>
            </w:r>
            <w:r w:rsidRPr="00B676E2">
              <w:rPr>
                <w:lang w:val="fr-FR"/>
              </w:rPr>
              <w:t>:</w:t>
            </w:r>
          </w:p>
        </w:tc>
      </w:tr>
      <w:tr w:rsidR="00A074FC" w:rsidRPr="00B676E2" w14:paraId="7256D37E" w14:textId="77777777" w:rsidTr="006201FD">
        <w:trPr>
          <w:cantSplit/>
        </w:trPr>
        <w:tc>
          <w:tcPr>
            <w:tcW w:w="9641" w:type="dxa"/>
            <w:gridSpan w:val="3"/>
            <w:tcBorders>
              <w:top w:val="nil"/>
              <w:bottom w:val="nil"/>
            </w:tcBorders>
          </w:tcPr>
          <w:p w14:paraId="378B3401" w14:textId="2ADE3C38"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B676E2">
              <w:rPr>
                <w:lang w:val="fr-FR"/>
              </w:rPr>
              <w:t>1)</w:t>
            </w:r>
            <w:r w:rsidRPr="00B676E2">
              <w:rPr>
                <w:lang w:val="fr-FR"/>
              </w:rPr>
              <w:tab/>
              <w:t xml:space="preserve">Pour une </w:t>
            </w:r>
            <w:r w:rsidRPr="00B676E2">
              <w:rPr>
                <w:rFonts w:asciiTheme="majorBidi" w:hAnsiTheme="majorBidi" w:cstheme="majorBidi"/>
                <w:lang w:val="fr-FR"/>
              </w:rPr>
              <w:t>batterie</w:t>
            </w:r>
            <w:r w:rsidR="00836A3C" w:rsidRPr="00B676E2">
              <w:rPr>
                <w:lang w:val="fr-FR"/>
              </w:rPr>
              <w:t> </w:t>
            </w:r>
            <w:r w:rsidR="00722738" w:rsidRPr="00B676E2">
              <w:rPr>
                <w:rFonts w:asciiTheme="majorBidi" w:hAnsiTheme="majorBidi" w:cstheme="majorBidi"/>
                <w:lang w:val="fr-FR"/>
              </w:rPr>
              <w:t>:</w:t>
            </w:r>
          </w:p>
        </w:tc>
      </w:tr>
      <w:tr w:rsidR="00A074FC" w:rsidRPr="00B676E2" w14:paraId="79FDE028" w14:textId="77777777" w:rsidTr="006201FD">
        <w:trPr>
          <w:cantSplit/>
        </w:trPr>
        <w:tc>
          <w:tcPr>
            <w:tcW w:w="9641" w:type="dxa"/>
            <w:gridSpan w:val="3"/>
            <w:tcBorders>
              <w:top w:val="nil"/>
              <w:bottom w:val="nil"/>
            </w:tcBorders>
          </w:tcPr>
          <w:p w14:paraId="07FC6D68" w14:textId="59BB2FF3"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B676E2">
              <w:rPr>
                <w:lang w:val="fr-FR"/>
              </w:rPr>
              <w:tab/>
            </w:r>
            <w:r w:rsidRPr="00B676E2">
              <w:rPr>
                <w:rFonts w:asciiTheme="majorBidi" w:hAnsiTheme="majorBidi" w:cstheme="majorBidi"/>
                <w:lang w:val="fr-FR"/>
              </w:rPr>
              <w:t>Grands emballages rigides satisfaisant au niveau d’épreu</w:t>
            </w:r>
            <w:r w:rsidR="00DD1250" w:rsidRPr="00B676E2">
              <w:rPr>
                <w:rFonts w:asciiTheme="majorBidi" w:hAnsiTheme="majorBidi" w:cstheme="majorBidi"/>
                <w:lang w:val="fr-FR"/>
              </w:rPr>
              <w:t>ve du groupe d’emballage II, en</w:t>
            </w:r>
            <w:r w:rsidR="00836A3C" w:rsidRPr="00B676E2">
              <w:rPr>
                <w:lang w:val="fr-FR"/>
              </w:rPr>
              <w:t> </w:t>
            </w:r>
            <w:r w:rsidRPr="00B676E2">
              <w:rPr>
                <w:rFonts w:asciiTheme="majorBidi" w:hAnsiTheme="majorBidi" w:cstheme="majorBidi"/>
                <w:lang w:val="fr-FR"/>
              </w:rPr>
              <w:t>:</w:t>
            </w:r>
          </w:p>
        </w:tc>
      </w:tr>
      <w:tr w:rsidR="00A074FC" w:rsidRPr="00B676E2" w14:paraId="17C057E9" w14:textId="77777777" w:rsidTr="006201FD">
        <w:trPr>
          <w:cantSplit/>
        </w:trPr>
        <w:tc>
          <w:tcPr>
            <w:tcW w:w="9641" w:type="dxa"/>
            <w:gridSpan w:val="3"/>
            <w:tcBorders>
              <w:top w:val="nil"/>
              <w:bottom w:val="nil"/>
            </w:tcBorders>
          </w:tcPr>
          <w:p w14:paraId="1B8D5346" w14:textId="014FDDEE"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r>
            <w:r w:rsidR="00836A3C" w:rsidRPr="00B676E2">
              <w:rPr>
                <w:rFonts w:asciiTheme="majorBidi" w:hAnsiTheme="majorBidi" w:cstheme="majorBidi"/>
                <w:lang w:val="fr-FR"/>
              </w:rPr>
              <w:t>Acier (50A) ;</w:t>
            </w:r>
          </w:p>
        </w:tc>
      </w:tr>
      <w:tr w:rsidR="00A074FC" w:rsidRPr="006774AA" w14:paraId="1AD7DA08" w14:textId="77777777" w:rsidTr="006201FD">
        <w:trPr>
          <w:cantSplit/>
        </w:trPr>
        <w:tc>
          <w:tcPr>
            <w:tcW w:w="9641" w:type="dxa"/>
            <w:gridSpan w:val="3"/>
            <w:tcBorders>
              <w:top w:val="nil"/>
              <w:bottom w:val="nil"/>
            </w:tcBorders>
          </w:tcPr>
          <w:p w14:paraId="48F930F4" w14:textId="73511EDB"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r>
            <w:r w:rsidR="00836A3C" w:rsidRPr="00B676E2">
              <w:rPr>
                <w:rFonts w:asciiTheme="majorBidi" w:hAnsiTheme="majorBidi" w:cstheme="majorBidi"/>
                <w:lang w:val="fr-FR"/>
              </w:rPr>
              <w:t>Aluminium (50B) ;</w:t>
            </w:r>
          </w:p>
        </w:tc>
      </w:tr>
      <w:tr w:rsidR="00A074FC" w:rsidRPr="00B676E2" w14:paraId="18BA6B1B" w14:textId="77777777" w:rsidTr="006201FD">
        <w:trPr>
          <w:cantSplit/>
        </w:trPr>
        <w:tc>
          <w:tcPr>
            <w:tcW w:w="9641" w:type="dxa"/>
            <w:gridSpan w:val="3"/>
            <w:tcBorders>
              <w:top w:val="nil"/>
              <w:bottom w:val="nil"/>
            </w:tcBorders>
          </w:tcPr>
          <w:p w14:paraId="65D43321" w14:textId="680599A1"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lastRenderedPageBreak/>
              <w:tab/>
            </w:r>
            <w:r w:rsidRPr="00B676E2">
              <w:rPr>
                <w:rFonts w:asciiTheme="majorBidi" w:hAnsiTheme="majorBidi" w:cstheme="majorBidi"/>
                <w:lang w:val="fr-FR"/>
              </w:rPr>
              <w:t>Métal autre q</w:t>
            </w:r>
            <w:r w:rsidR="00836A3C" w:rsidRPr="00B676E2">
              <w:rPr>
                <w:rFonts w:asciiTheme="majorBidi" w:hAnsiTheme="majorBidi" w:cstheme="majorBidi"/>
                <w:lang w:val="fr-FR"/>
              </w:rPr>
              <w:t>ue l’acier et l’aluminium (50N) ;</w:t>
            </w:r>
          </w:p>
        </w:tc>
      </w:tr>
      <w:tr w:rsidR="00A074FC" w:rsidRPr="00B676E2" w14:paraId="50901DE7" w14:textId="77777777" w:rsidTr="006201FD">
        <w:trPr>
          <w:cantSplit/>
        </w:trPr>
        <w:tc>
          <w:tcPr>
            <w:tcW w:w="9641" w:type="dxa"/>
            <w:gridSpan w:val="3"/>
            <w:tcBorders>
              <w:top w:val="nil"/>
              <w:bottom w:val="nil"/>
            </w:tcBorders>
          </w:tcPr>
          <w:p w14:paraId="42ABB6C9" w14:textId="0DB7A955"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r>
            <w:r w:rsidR="00836A3C" w:rsidRPr="00B676E2">
              <w:rPr>
                <w:rFonts w:asciiTheme="majorBidi" w:hAnsiTheme="majorBidi" w:cstheme="majorBidi"/>
                <w:lang w:val="fr-FR"/>
              </w:rPr>
              <w:t>Plastique rigide (50H) ;</w:t>
            </w:r>
          </w:p>
        </w:tc>
      </w:tr>
      <w:tr w:rsidR="00A074FC" w:rsidRPr="00B676E2" w14:paraId="4FD5CD54" w14:textId="77777777" w:rsidTr="006201FD">
        <w:trPr>
          <w:cantSplit/>
        </w:trPr>
        <w:tc>
          <w:tcPr>
            <w:tcW w:w="9641" w:type="dxa"/>
            <w:gridSpan w:val="3"/>
            <w:tcBorders>
              <w:top w:val="nil"/>
              <w:bottom w:val="nil"/>
            </w:tcBorders>
          </w:tcPr>
          <w:p w14:paraId="43D7FB70" w14:textId="5C4CAB50" w:rsidR="004215B9" w:rsidRPr="00B676E2" w:rsidRDefault="004215B9" w:rsidP="00086498">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r>
            <w:r w:rsidRPr="00B676E2">
              <w:rPr>
                <w:rFonts w:asciiTheme="majorBidi" w:hAnsiTheme="majorBidi" w:cstheme="majorBidi"/>
                <w:lang w:val="fr-FR"/>
              </w:rPr>
              <w:t xml:space="preserve">Bois </w:t>
            </w:r>
            <w:r w:rsidR="00086498" w:rsidRPr="00B676E2">
              <w:rPr>
                <w:rFonts w:asciiTheme="majorBidi" w:hAnsiTheme="majorBidi" w:cstheme="majorBidi"/>
                <w:lang w:val="fr-FR"/>
              </w:rPr>
              <w:t xml:space="preserve">naturel </w:t>
            </w:r>
            <w:r w:rsidR="00836A3C" w:rsidRPr="00B676E2">
              <w:rPr>
                <w:rFonts w:asciiTheme="majorBidi" w:hAnsiTheme="majorBidi" w:cstheme="majorBidi"/>
                <w:lang w:val="fr-FR"/>
              </w:rPr>
              <w:t>(50C) ;</w:t>
            </w:r>
          </w:p>
        </w:tc>
      </w:tr>
      <w:tr w:rsidR="00A074FC" w:rsidRPr="00B676E2" w14:paraId="37B890FE" w14:textId="77777777" w:rsidTr="006201FD">
        <w:trPr>
          <w:cantSplit/>
        </w:trPr>
        <w:tc>
          <w:tcPr>
            <w:tcW w:w="9641" w:type="dxa"/>
            <w:gridSpan w:val="3"/>
            <w:tcBorders>
              <w:top w:val="nil"/>
              <w:bottom w:val="nil"/>
            </w:tcBorders>
          </w:tcPr>
          <w:p w14:paraId="583300F5" w14:textId="00BBC653"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B676E2">
              <w:rPr>
                <w:lang w:val="fr-FR"/>
              </w:rPr>
              <w:tab/>
            </w:r>
            <w:r w:rsidR="00836A3C" w:rsidRPr="00B676E2">
              <w:rPr>
                <w:rFonts w:asciiTheme="majorBidi" w:hAnsiTheme="majorBidi" w:cstheme="majorBidi"/>
                <w:lang w:val="fr-FR"/>
              </w:rPr>
              <w:t>Contreplaqué (50D) ;</w:t>
            </w:r>
          </w:p>
        </w:tc>
      </w:tr>
      <w:tr w:rsidR="00A074FC" w:rsidRPr="00B676E2" w14:paraId="7E62923F" w14:textId="77777777" w:rsidTr="006201FD">
        <w:trPr>
          <w:cantSplit/>
        </w:trPr>
        <w:tc>
          <w:tcPr>
            <w:tcW w:w="9641" w:type="dxa"/>
            <w:gridSpan w:val="3"/>
            <w:tcBorders>
              <w:top w:val="nil"/>
              <w:bottom w:val="nil"/>
            </w:tcBorders>
          </w:tcPr>
          <w:p w14:paraId="3E9F3FE2" w14:textId="2E4D5764"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B676E2">
              <w:rPr>
                <w:lang w:val="fr-FR"/>
              </w:rPr>
              <w:tab/>
            </w:r>
            <w:r w:rsidR="00836A3C" w:rsidRPr="00B676E2">
              <w:rPr>
                <w:rFonts w:asciiTheme="majorBidi" w:hAnsiTheme="majorBidi" w:cstheme="majorBidi"/>
                <w:lang w:val="fr-FR"/>
              </w:rPr>
              <w:t>Bois reconstitué (50F) ;</w:t>
            </w:r>
          </w:p>
        </w:tc>
      </w:tr>
      <w:tr w:rsidR="00A074FC" w:rsidRPr="00B676E2" w14:paraId="348B25EE" w14:textId="77777777" w:rsidTr="006201FD">
        <w:trPr>
          <w:cantSplit/>
        </w:trPr>
        <w:tc>
          <w:tcPr>
            <w:tcW w:w="9641" w:type="dxa"/>
            <w:gridSpan w:val="3"/>
            <w:tcBorders>
              <w:top w:val="nil"/>
              <w:bottom w:val="nil"/>
            </w:tcBorders>
          </w:tcPr>
          <w:p w14:paraId="2691703A" w14:textId="77777777"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B676E2">
              <w:rPr>
                <w:lang w:val="fr-FR"/>
              </w:rPr>
              <w:tab/>
            </w:r>
            <w:r w:rsidRPr="00B676E2">
              <w:rPr>
                <w:rFonts w:asciiTheme="majorBidi" w:hAnsiTheme="majorBidi" w:cstheme="majorBidi"/>
                <w:lang w:val="fr-FR"/>
              </w:rPr>
              <w:t>Carton rigide (50G).</w:t>
            </w:r>
          </w:p>
        </w:tc>
      </w:tr>
      <w:tr w:rsidR="00A074FC" w:rsidRPr="00B676E2" w14:paraId="4577016E" w14:textId="77777777" w:rsidTr="006201FD">
        <w:trPr>
          <w:cantSplit/>
        </w:trPr>
        <w:tc>
          <w:tcPr>
            <w:tcW w:w="9641" w:type="dxa"/>
            <w:gridSpan w:val="3"/>
            <w:tcBorders>
              <w:top w:val="nil"/>
              <w:bottom w:val="nil"/>
            </w:tcBorders>
          </w:tcPr>
          <w:p w14:paraId="593AF287" w14:textId="582796E9"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fr-FR"/>
              </w:rPr>
            </w:pPr>
            <w:r w:rsidRPr="00B676E2">
              <w:rPr>
                <w:rFonts w:asciiTheme="majorBidi" w:hAnsiTheme="majorBidi" w:cstheme="majorBidi"/>
                <w:lang w:val="fr-FR"/>
              </w:rPr>
              <w:t xml:space="preserve">Les </w:t>
            </w:r>
            <w:r w:rsidR="009F1284" w:rsidRPr="00B676E2">
              <w:rPr>
                <w:rFonts w:asciiTheme="majorBidi" w:hAnsiTheme="majorBidi" w:cstheme="majorBidi"/>
                <w:lang w:val="fr-FR"/>
              </w:rPr>
              <w:t xml:space="preserve">grands </w:t>
            </w:r>
            <w:r w:rsidRPr="00B676E2">
              <w:rPr>
                <w:rFonts w:asciiTheme="majorBidi" w:hAnsiTheme="majorBidi" w:cstheme="majorBidi"/>
                <w:lang w:val="fr-FR"/>
              </w:rPr>
              <w:t>emballages doivent également satisfaire aux prescriptions suivantes</w:t>
            </w:r>
            <w:r w:rsidR="00836A3C" w:rsidRPr="00B676E2">
              <w:rPr>
                <w:lang w:val="fr-FR"/>
              </w:rPr>
              <w:t> </w:t>
            </w:r>
            <w:r w:rsidRPr="00B676E2">
              <w:rPr>
                <w:rFonts w:asciiTheme="majorBidi" w:hAnsiTheme="majorBidi" w:cstheme="majorBidi"/>
                <w:lang w:val="fr-FR"/>
              </w:rPr>
              <w:t>:</w:t>
            </w:r>
          </w:p>
        </w:tc>
      </w:tr>
      <w:tr w:rsidR="00A074FC" w:rsidRPr="00B676E2" w14:paraId="74679699" w14:textId="77777777" w:rsidTr="006201FD">
        <w:trPr>
          <w:cantSplit/>
        </w:trPr>
        <w:tc>
          <w:tcPr>
            <w:tcW w:w="9641" w:type="dxa"/>
            <w:gridSpan w:val="3"/>
            <w:tcBorders>
              <w:top w:val="nil"/>
              <w:bottom w:val="nil"/>
            </w:tcBorders>
          </w:tcPr>
          <w:p w14:paraId="017EB161" w14:textId="4CEB92A3" w:rsidR="004215B9" w:rsidRPr="00B676E2" w:rsidRDefault="004215B9" w:rsidP="00C9100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B676E2">
              <w:rPr>
                <w:rFonts w:asciiTheme="majorBidi" w:hAnsiTheme="majorBidi" w:cstheme="majorBidi"/>
                <w:bCs/>
                <w:lang w:val="fr-FR"/>
              </w:rPr>
              <w:t>a)</w:t>
            </w:r>
            <w:r w:rsidRPr="00B676E2">
              <w:rPr>
                <w:rFonts w:asciiTheme="majorBidi" w:hAnsiTheme="majorBidi" w:cstheme="majorBidi"/>
                <w:bCs/>
                <w:lang w:val="fr-FR"/>
              </w:rPr>
              <w:tab/>
              <w:t xml:space="preserve">Une batterie de taille, forme ou masse différente </w:t>
            </w:r>
            <w:r w:rsidR="008577B0" w:rsidRPr="00B676E2">
              <w:rPr>
                <w:rFonts w:asciiTheme="majorBidi" w:hAnsiTheme="majorBidi" w:cstheme="majorBidi"/>
                <w:lang w:val="fr-FR"/>
              </w:rPr>
              <w:t>peut</w:t>
            </w:r>
            <w:r w:rsidR="00C9100D" w:rsidRPr="00B676E2">
              <w:rPr>
                <w:rFonts w:asciiTheme="majorBidi" w:hAnsiTheme="majorBidi" w:cstheme="majorBidi"/>
                <w:lang w:val="fr-FR"/>
              </w:rPr>
              <w:t xml:space="preserve"> </w:t>
            </w:r>
            <w:r w:rsidR="008577B0" w:rsidRPr="00B676E2">
              <w:rPr>
                <w:rFonts w:asciiTheme="majorBidi" w:hAnsiTheme="majorBidi" w:cstheme="majorBidi"/>
                <w:lang w:val="fr-FR"/>
              </w:rPr>
              <w:t>être</w:t>
            </w:r>
            <w:r w:rsidRPr="00B676E2">
              <w:rPr>
                <w:rFonts w:asciiTheme="majorBidi" w:hAnsiTheme="majorBidi" w:cstheme="majorBidi"/>
                <w:lang w:val="fr-FR"/>
              </w:rPr>
              <w:t xml:space="preserve"> emballée dans un emballage extérieur de modèle type éprouvé indiqué ci-dessus à condition que la masse brute totale du colis ne dépasse pas la masse brute pour laquelle le modèle type a été éprouvé</w:t>
            </w:r>
            <w:r w:rsidR="00836A3C" w:rsidRPr="00B676E2">
              <w:rPr>
                <w:lang w:val="fr-FR"/>
              </w:rPr>
              <w:t> </w:t>
            </w:r>
            <w:r w:rsidRPr="00B676E2">
              <w:rPr>
                <w:rFonts w:asciiTheme="majorBidi" w:hAnsiTheme="majorBidi" w:cstheme="majorBidi"/>
                <w:lang w:val="fr-FR"/>
              </w:rPr>
              <w:t>;</w:t>
            </w:r>
          </w:p>
        </w:tc>
      </w:tr>
      <w:tr w:rsidR="00A074FC" w:rsidRPr="00B676E2" w14:paraId="15A3F94B" w14:textId="77777777" w:rsidTr="006201FD">
        <w:trPr>
          <w:cantSplit/>
        </w:trPr>
        <w:tc>
          <w:tcPr>
            <w:tcW w:w="9641" w:type="dxa"/>
            <w:gridSpan w:val="3"/>
            <w:tcBorders>
              <w:top w:val="nil"/>
              <w:bottom w:val="nil"/>
            </w:tcBorders>
          </w:tcPr>
          <w:p w14:paraId="45096CE9" w14:textId="4EF7C591" w:rsidR="004215B9" w:rsidRPr="00B676E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B676E2">
              <w:rPr>
                <w:rFonts w:asciiTheme="majorBidi" w:hAnsiTheme="majorBidi" w:cstheme="majorBidi"/>
                <w:lang w:val="fr-FR"/>
              </w:rPr>
              <w:t>b)</w:t>
            </w:r>
            <w:r w:rsidRPr="00B676E2">
              <w:rPr>
                <w:rFonts w:asciiTheme="majorBidi" w:hAnsiTheme="majorBidi" w:cstheme="majorBidi"/>
                <w:lang w:val="fr-FR"/>
              </w:rPr>
              <w:tab/>
              <w:t xml:space="preserve">La </w:t>
            </w:r>
            <w:r w:rsidRPr="00B676E2">
              <w:rPr>
                <w:rFonts w:asciiTheme="majorBidi" w:hAnsiTheme="majorBidi" w:cstheme="majorBidi"/>
                <w:bCs/>
                <w:lang w:val="fr-FR"/>
              </w:rPr>
              <w:t>batterie</w:t>
            </w:r>
            <w:r w:rsidRPr="00B676E2">
              <w:rPr>
                <w:rFonts w:asciiTheme="majorBidi" w:hAnsiTheme="majorBidi" w:cstheme="majorBidi"/>
                <w:lang w:val="fr-FR"/>
              </w:rPr>
              <w:t xml:space="preserve"> est emballée dans un emballage intérieur placé à l’int</w:t>
            </w:r>
            <w:r w:rsidR="00DD1250" w:rsidRPr="00B676E2">
              <w:rPr>
                <w:rFonts w:asciiTheme="majorBidi" w:hAnsiTheme="majorBidi" w:cstheme="majorBidi"/>
                <w:lang w:val="fr-FR"/>
              </w:rPr>
              <w:t>érieur d’un emballage extérieur</w:t>
            </w:r>
            <w:r w:rsidR="00836A3C" w:rsidRPr="00B676E2">
              <w:rPr>
                <w:lang w:val="fr-FR"/>
              </w:rPr>
              <w:t> </w:t>
            </w:r>
            <w:r w:rsidRPr="00B676E2">
              <w:rPr>
                <w:rFonts w:asciiTheme="majorBidi" w:hAnsiTheme="majorBidi" w:cstheme="majorBidi"/>
                <w:lang w:val="fr-FR"/>
              </w:rPr>
              <w:t>;</w:t>
            </w:r>
          </w:p>
        </w:tc>
      </w:tr>
      <w:tr w:rsidR="00A074FC" w:rsidRPr="00B676E2" w14:paraId="5610C4BB" w14:textId="77777777" w:rsidTr="00FC7059">
        <w:trPr>
          <w:cantSplit/>
        </w:trPr>
        <w:tc>
          <w:tcPr>
            <w:tcW w:w="9641" w:type="dxa"/>
            <w:gridSpan w:val="3"/>
            <w:tcBorders>
              <w:top w:val="nil"/>
              <w:bottom w:val="single" w:sz="4" w:space="0" w:color="auto"/>
            </w:tcBorders>
          </w:tcPr>
          <w:p w14:paraId="4E9F7322" w14:textId="3B4707F3" w:rsidR="004215B9" w:rsidRPr="00B676E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B676E2">
              <w:rPr>
                <w:rFonts w:asciiTheme="majorBidi" w:hAnsiTheme="majorBidi" w:cstheme="majorBidi"/>
                <w:bCs/>
                <w:lang w:val="fr-FR"/>
              </w:rPr>
              <w:t>c)</w:t>
            </w:r>
            <w:r w:rsidRPr="00B676E2">
              <w:rPr>
                <w:rFonts w:asciiTheme="majorBidi" w:hAnsiTheme="majorBidi" w:cstheme="majorBidi"/>
                <w:bCs/>
                <w:lang w:val="fr-FR"/>
              </w:rPr>
              <w:tab/>
              <w:t xml:space="preserve">L’emballage intérieur est entouré d’un matériau non combustible et non conducteur </w:t>
            </w:r>
            <w:r w:rsidRPr="00B676E2">
              <w:rPr>
                <w:rFonts w:asciiTheme="majorBidi" w:hAnsiTheme="majorBidi" w:cstheme="majorBidi"/>
                <w:lang w:val="fr-FR"/>
              </w:rPr>
              <w:t>d’électricité</w:t>
            </w:r>
            <w:r w:rsidRPr="00B676E2">
              <w:rPr>
                <w:rFonts w:asciiTheme="majorBidi" w:hAnsiTheme="majorBidi" w:cstheme="majorBidi"/>
                <w:bCs/>
                <w:lang w:val="fr-FR"/>
              </w:rPr>
              <w:t xml:space="preserve"> assurant une isolation thermique suffisante pour le protéger contre tout dégagement de chaleur dangereux</w:t>
            </w:r>
            <w:r w:rsidR="00836A3C" w:rsidRPr="00B676E2">
              <w:rPr>
                <w:lang w:val="fr-FR"/>
              </w:rPr>
              <w:t> </w:t>
            </w:r>
            <w:r w:rsidRPr="00B676E2">
              <w:rPr>
                <w:rFonts w:asciiTheme="majorBidi" w:hAnsiTheme="majorBidi" w:cstheme="majorBidi"/>
                <w:bCs/>
                <w:lang w:val="fr-FR"/>
              </w:rPr>
              <w:t>;</w:t>
            </w:r>
          </w:p>
        </w:tc>
      </w:tr>
      <w:tr w:rsidR="00A074FC" w:rsidRPr="00B676E2" w14:paraId="3899D482" w14:textId="77777777" w:rsidTr="00FC7059">
        <w:trPr>
          <w:cantSplit/>
        </w:trPr>
        <w:tc>
          <w:tcPr>
            <w:tcW w:w="9641" w:type="dxa"/>
            <w:gridSpan w:val="3"/>
            <w:tcBorders>
              <w:top w:val="single" w:sz="4" w:space="0" w:color="auto"/>
              <w:bottom w:val="nil"/>
            </w:tcBorders>
          </w:tcPr>
          <w:p w14:paraId="5C580A8E" w14:textId="764B29E5" w:rsidR="004215B9" w:rsidRPr="00B676E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B676E2">
              <w:rPr>
                <w:rFonts w:asciiTheme="majorBidi" w:hAnsiTheme="majorBidi" w:cstheme="majorBidi"/>
                <w:lang w:val="fr-FR"/>
              </w:rPr>
              <w:t>d)</w:t>
            </w:r>
            <w:r w:rsidRPr="00B676E2">
              <w:rPr>
                <w:rFonts w:asciiTheme="majorBidi" w:hAnsiTheme="majorBidi" w:cstheme="majorBidi"/>
                <w:lang w:val="fr-FR"/>
              </w:rPr>
              <w:tab/>
              <w:t xml:space="preserve">Des mesures </w:t>
            </w:r>
            <w:r w:rsidRPr="00B676E2">
              <w:rPr>
                <w:rFonts w:asciiTheme="majorBidi" w:hAnsiTheme="majorBidi" w:cstheme="majorBidi"/>
                <w:bCs/>
                <w:lang w:val="fr-FR"/>
              </w:rPr>
              <w:t>appropriées</w:t>
            </w:r>
            <w:r w:rsidRPr="00B676E2">
              <w:rPr>
                <w:rFonts w:asciiTheme="majorBidi" w:hAnsiTheme="majorBidi" w:cstheme="majorBidi"/>
                <w:lang w:val="fr-FR"/>
              </w:rPr>
              <w:t xml:space="preserve"> sont prises pour protéger la batterie contre les vibrations et les chocs et empêcher tout déplacement de celle-ci à l’intérieur du colis susceptible de l’endommager et de rendre son transport dangereux. Lorsqu’un matériau de rembourrage est utilisé à ces fins, il doit être non combustible et non conducteur d’électricité</w:t>
            </w:r>
            <w:r w:rsidR="00836A3C" w:rsidRPr="00B676E2">
              <w:rPr>
                <w:lang w:val="fr-FR"/>
              </w:rPr>
              <w:t> </w:t>
            </w:r>
            <w:r w:rsidRPr="00B676E2">
              <w:rPr>
                <w:rFonts w:asciiTheme="majorBidi" w:hAnsiTheme="majorBidi" w:cstheme="majorBidi"/>
                <w:lang w:val="fr-FR"/>
              </w:rPr>
              <w:t>;</w:t>
            </w:r>
            <w:r w:rsidR="00722738" w:rsidRPr="00B676E2">
              <w:rPr>
                <w:rFonts w:asciiTheme="majorBidi" w:hAnsiTheme="majorBidi" w:cstheme="majorBidi"/>
                <w:lang w:val="fr-FR"/>
              </w:rPr>
              <w:t xml:space="preserve"> et</w:t>
            </w:r>
          </w:p>
        </w:tc>
      </w:tr>
      <w:tr w:rsidR="00A074FC" w:rsidRPr="00B676E2" w14:paraId="71DFC586" w14:textId="77777777" w:rsidTr="006201FD">
        <w:trPr>
          <w:cantSplit/>
        </w:trPr>
        <w:tc>
          <w:tcPr>
            <w:tcW w:w="9641" w:type="dxa"/>
            <w:gridSpan w:val="3"/>
            <w:tcBorders>
              <w:top w:val="nil"/>
              <w:bottom w:val="nil"/>
            </w:tcBorders>
          </w:tcPr>
          <w:p w14:paraId="007A60CA" w14:textId="3469E5AE" w:rsidR="004215B9" w:rsidRPr="00B676E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B676E2">
              <w:rPr>
                <w:rFonts w:asciiTheme="majorBidi" w:hAnsiTheme="majorBidi" w:cstheme="majorBidi"/>
                <w:lang w:val="fr-FR"/>
              </w:rPr>
              <w:t>e)</w:t>
            </w:r>
            <w:r w:rsidRPr="00B676E2">
              <w:rPr>
                <w:rFonts w:asciiTheme="majorBidi" w:hAnsiTheme="majorBidi" w:cstheme="majorBidi"/>
                <w:lang w:val="fr-FR"/>
              </w:rPr>
              <w:tab/>
              <w:t>La non-</w:t>
            </w:r>
            <w:r w:rsidRPr="00B676E2">
              <w:rPr>
                <w:rFonts w:asciiTheme="majorBidi" w:hAnsiTheme="majorBidi" w:cstheme="majorBidi"/>
                <w:bCs/>
                <w:lang w:val="fr-FR"/>
              </w:rPr>
              <w:t>combustibilité</w:t>
            </w:r>
            <w:r w:rsidRPr="00B676E2">
              <w:rPr>
                <w:rFonts w:asciiTheme="majorBidi" w:hAnsiTheme="majorBidi" w:cstheme="majorBidi"/>
                <w:lang w:val="fr-FR"/>
              </w:rPr>
              <w:t xml:space="preserve"> doit être évaluée conformément à une n</w:t>
            </w:r>
            <w:r w:rsidR="00FB04F3" w:rsidRPr="00B676E2">
              <w:rPr>
                <w:rFonts w:asciiTheme="majorBidi" w:hAnsiTheme="majorBidi" w:cstheme="majorBidi"/>
                <w:lang w:val="fr-FR"/>
              </w:rPr>
              <w:t xml:space="preserve">orme reconnue dans le pays où le grand </w:t>
            </w:r>
            <w:r w:rsidRPr="00B676E2">
              <w:rPr>
                <w:rFonts w:asciiTheme="majorBidi" w:hAnsiTheme="majorBidi" w:cstheme="majorBidi"/>
                <w:lang w:val="fr-FR"/>
              </w:rPr>
              <w:t>emballage est conçu ou fabriqué.</w:t>
            </w:r>
          </w:p>
        </w:tc>
      </w:tr>
      <w:tr w:rsidR="00A074FC" w:rsidRPr="00B676E2" w14:paraId="76DD915A" w14:textId="77777777" w:rsidTr="006201FD">
        <w:trPr>
          <w:cantSplit/>
        </w:trPr>
        <w:tc>
          <w:tcPr>
            <w:tcW w:w="9641" w:type="dxa"/>
            <w:gridSpan w:val="3"/>
            <w:tcBorders>
              <w:top w:val="nil"/>
              <w:bottom w:val="nil"/>
            </w:tcBorders>
          </w:tcPr>
          <w:p w14:paraId="30A9A2F6" w14:textId="3FD2166F" w:rsidR="004215B9" w:rsidRPr="00B676E2" w:rsidRDefault="004215B9" w:rsidP="00BD3F6A">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rPr>
                <w:lang w:val="fr-FR"/>
              </w:rPr>
            </w:pPr>
            <w:r w:rsidRPr="00B676E2">
              <w:rPr>
                <w:rFonts w:asciiTheme="majorBidi" w:hAnsiTheme="majorBidi" w:cstheme="majorBidi"/>
                <w:lang w:val="fr-FR"/>
              </w:rPr>
              <w:t>2)</w:t>
            </w:r>
            <w:r w:rsidRPr="00B676E2">
              <w:rPr>
                <w:rFonts w:asciiTheme="majorBidi" w:hAnsiTheme="majorBidi" w:cstheme="majorBidi"/>
                <w:lang w:val="fr-FR"/>
              </w:rPr>
              <w:tab/>
              <w:t xml:space="preserve">Pour </w:t>
            </w:r>
            <w:r w:rsidR="00695AA0" w:rsidRPr="00B676E2">
              <w:rPr>
                <w:rFonts w:asciiTheme="majorBidi" w:hAnsiTheme="majorBidi" w:cstheme="majorBidi"/>
                <w:lang w:val="fr-FR"/>
              </w:rPr>
              <w:t xml:space="preserve">un équipement </w:t>
            </w:r>
            <w:r w:rsidR="00BD3F6A" w:rsidRPr="00B676E2">
              <w:rPr>
                <w:rFonts w:asciiTheme="majorBidi" w:hAnsiTheme="majorBidi" w:cstheme="majorBidi"/>
                <w:lang w:val="fr-FR"/>
              </w:rPr>
              <w:t xml:space="preserve">seul </w:t>
            </w:r>
            <w:r w:rsidR="00695AA0" w:rsidRPr="00B676E2">
              <w:rPr>
                <w:rFonts w:asciiTheme="majorBidi" w:hAnsiTheme="majorBidi" w:cstheme="majorBidi"/>
                <w:lang w:val="fr-FR"/>
              </w:rPr>
              <w:t xml:space="preserve">contenant </w:t>
            </w:r>
            <w:r w:rsidRPr="00B676E2">
              <w:rPr>
                <w:rFonts w:asciiTheme="majorBidi" w:hAnsiTheme="majorBidi" w:cstheme="majorBidi"/>
                <w:lang w:val="fr-FR"/>
              </w:rPr>
              <w:t>des piles ou des batteries</w:t>
            </w:r>
            <w:r w:rsidR="00836A3C" w:rsidRPr="00B676E2">
              <w:rPr>
                <w:lang w:val="fr-FR"/>
              </w:rPr>
              <w:t> </w:t>
            </w:r>
            <w:r w:rsidR="00722738" w:rsidRPr="00B676E2">
              <w:rPr>
                <w:rFonts w:asciiTheme="majorBidi" w:hAnsiTheme="majorBidi" w:cstheme="majorBidi"/>
                <w:lang w:val="fr-FR"/>
              </w:rPr>
              <w:t>:</w:t>
            </w:r>
          </w:p>
        </w:tc>
      </w:tr>
      <w:tr w:rsidR="00A074FC" w:rsidRPr="00B676E2" w14:paraId="7A178444" w14:textId="77777777" w:rsidTr="006201FD">
        <w:trPr>
          <w:cantSplit/>
        </w:trPr>
        <w:tc>
          <w:tcPr>
            <w:tcW w:w="9641" w:type="dxa"/>
            <w:gridSpan w:val="3"/>
            <w:tcBorders>
              <w:top w:val="nil"/>
              <w:bottom w:val="nil"/>
            </w:tcBorders>
          </w:tcPr>
          <w:p w14:paraId="2D1E2FAB" w14:textId="285E19D9" w:rsidR="004215B9" w:rsidRPr="00B676E2" w:rsidRDefault="004215B9" w:rsidP="006201FD">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rPr>
                <w:lang w:val="fr-FR"/>
              </w:rPr>
            </w:pPr>
            <w:r w:rsidRPr="00B676E2">
              <w:rPr>
                <w:lang w:val="fr-FR"/>
              </w:rPr>
              <w:tab/>
            </w:r>
            <w:r w:rsidRPr="00B676E2">
              <w:rPr>
                <w:rFonts w:asciiTheme="majorBidi" w:hAnsiTheme="majorBidi" w:cstheme="majorBidi"/>
                <w:lang w:val="fr-FR"/>
              </w:rPr>
              <w:t>Grands emballages rigides satisfaisant au niveau d’épreuve du groupe d’emballage II, en</w:t>
            </w:r>
            <w:r w:rsidR="00836A3C" w:rsidRPr="00B676E2">
              <w:rPr>
                <w:lang w:val="fr-FR"/>
              </w:rPr>
              <w:t> </w:t>
            </w:r>
            <w:r w:rsidRPr="00B676E2">
              <w:rPr>
                <w:rFonts w:asciiTheme="majorBidi" w:hAnsiTheme="majorBidi" w:cstheme="majorBidi"/>
                <w:lang w:val="fr-FR"/>
              </w:rPr>
              <w:t>:</w:t>
            </w:r>
          </w:p>
        </w:tc>
      </w:tr>
      <w:tr w:rsidR="00A074FC" w:rsidRPr="00B676E2" w14:paraId="1705DCDC" w14:textId="77777777" w:rsidTr="006201FD">
        <w:trPr>
          <w:cantSplit/>
        </w:trPr>
        <w:tc>
          <w:tcPr>
            <w:tcW w:w="9641" w:type="dxa"/>
            <w:gridSpan w:val="3"/>
            <w:tcBorders>
              <w:top w:val="nil"/>
              <w:bottom w:val="nil"/>
            </w:tcBorders>
          </w:tcPr>
          <w:p w14:paraId="733A1A0A" w14:textId="423E0378" w:rsidR="004215B9" w:rsidRPr="00B676E2" w:rsidRDefault="00836A3C"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t>Acier (50A) ;</w:t>
            </w:r>
          </w:p>
        </w:tc>
      </w:tr>
      <w:tr w:rsidR="00A074FC" w:rsidRPr="00B676E2" w14:paraId="4CB37A62" w14:textId="77777777" w:rsidTr="006201FD">
        <w:trPr>
          <w:cantSplit/>
        </w:trPr>
        <w:tc>
          <w:tcPr>
            <w:tcW w:w="9641" w:type="dxa"/>
            <w:gridSpan w:val="3"/>
            <w:tcBorders>
              <w:top w:val="nil"/>
              <w:bottom w:val="nil"/>
            </w:tcBorders>
          </w:tcPr>
          <w:p w14:paraId="56F694B3" w14:textId="5ABD8AA7"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r>
            <w:r w:rsidR="00836A3C" w:rsidRPr="00B676E2">
              <w:rPr>
                <w:rFonts w:asciiTheme="majorBidi" w:hAnsiTheme="majorBidi" w:cstheme="majorBidi"/>
                <w:lang w:val="fr-FR"/>
              </w:rPr>
              <w:t>Aluminium (50B) ;</w:t>
            </w:r>
          </w:p>
        </w:tc>
      </w:tr>
      <w:tr w:rsidR="00A074FC" w:rsidRPr="00B676E2" w14:paraId="499C994B" w14:textId="77777777" w:rsidTr="006201FD">
        <w:trPr>
          <w:cantSplit/>
        </w:trPr>
        <w:tc>
          <w:tcPr>
            <w:tcW w:w="9641" w:type="dxa"/>
            <w:gridSpan w:val="3"/>
            <w:tcBorders>
              <w:top w:val="nil"/>
              <w:bottom w:val="nil"/>
            </w:tcBorders>
          </w:tcPr>
          <w:p w14:paraId="1C6AD5E6" w14:textId="4B1DBFDE"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r>
            <w:r w:rsidRPr="00B676E2">
              <w:rPr>
                <w:rFonts w:asciiTheme="majorBidi" w:hAnsiTheme="majorBidi" w:cstheme="majorBidi"/>
                <w:lang w:val="fr-FR"/>
              </w:rPr>
              <w:t>Métal autre que l’acier et l’aluminium (50N</w:t>
            </w:r>
            <w:r w:rsidR="00836A3C" w:rsidRPr="00B676E2">
              <w:rPr>
                <w:rFonts w:asciiTheme="majorBidi" w:hAnsiTheme="majorBidi" w:cstheme="majorBidi"/>
                <w:lang w:val="fr-FR"/>
              </w:rPr>
              <w:t>) ;</w:t>
            </w:r>
          </w:p>
        </w:tc>
      </w:tr>
      <w:tr w:rsidR="00A074FC" w:rsidRPr="00B676E2" w14:paraId="15C79DCE" w14:textId="77777777" w:rsidTr="006201FD">
        <w:trPr>
          <w:cantSplit/>
        </w:trPr>
        <w:tc>
          <w:tcPr>
            <w:tcW w:w="9641" w:type="dxa"/>
            <w:gridSpan w:val="3"/>
            <w:tcBorders>
              <w:top w:val="nil"/>
              <w:bottom w:val="nil"/>
            </w:tcBorders>
          </w:tcPr>
          <w:p w14:paraId="17B1A9B1" w14:textId="3F6CBE78"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r>
            <w:r w:rsidR="00836A3C" w:rsidRPr="00B676E2">
              <w:rPr>
                <w:rFonts w:asciiTheme="majorBidi" w:hAnsiTheme="majorBidi" w:cstheme="majorBidi"/>
                <w:lang w:val="fr-FR"/>
              </w:rPr>
              <w:t>Plastique rigide (50H) ;</w:t>
            </w:r>
          </w:p>
        </w:tc>
      </w:tr>
      <w:tr w:rsidR="00A074FC" w:rsidRPr="00B676E2" w14:paraId="0FAEC18B" w14:textId="77777777" w:rsidTr="006201FD">
        <w:trPr>
          <w:cantSplit/>
        </w:trPr>
        <w:tc>
          <w:tcPr>
            <w:tcW w:w="9641" w:type="dxa"/>
            <w:gridSpan w:val="3"/>
            <w:tcBorders>
              <w:top w:val="nil"/>
              <w:bottom w:val="nil"/>
            </w:tcBorders>
          </w:tcPr>
          <w:p w14:paraId="25FDABA6" w14:textId="7F962C15" w:rsidR="004215B9" w:rsidRPr="00B676E2" w:rsidRDefault="004215B9" w:rsidP="00086498">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r>
            <w:r w:rsidRPr="00B676E2">
              <w:rPr>
                <w:rFonts w:asciiTheme="majorBidi" w:hAnsiTheme="majorBidi" w:cstheme="majorBidi"/>
                <w:lang w:val="fr-FR"/>
              </w:rPr>
              <w:t xml:space="preserve">Bois </w:t>
            </w:r>
            <w:r w:rsidR="00086498" w:rsidRPr="00B676E2">
              <w:rPr>
                <w:rFonts w:asciiTheme="majorBidi" w:hAnsiTheme="majorBidi" w:cstheme="majorBidi"/>
                <w:lang w:val="fr-FR"/>
              </w:rPr>
              <w:t xml:space="preserve">naturel </w:t>
            </w:r>
            <w:r w:rsidR="00836A3C" w:rsidRPr="00B676E2">
              <w:rPr>
                <w:rFonts w:asciiTheme="majorBidi" w:hAnsiTheme="majorBidi" w:cstheme="majorBidi"/>
                <w:lang w:val="fr-FR"/>
              </w:rPr>
              <w:t>(50C) ;</w:t>
            </w:r>
          </w:p>
        </w:tc>
      </w:tr>
      <w:tr w:rsidR="00A074FC" w:rsidRPr="00B676E2" w14:paraId="4764105E" w14:textId="77777777" w:rsidTr="006201FD">
        <w:trPr>
          <w:cantSplit/>
        </w:trPr>
        <w:tc>
          <w:tcPr>
            <w:tcW w:w="9641" w:type="dxa"/>
            <w:gridSpan w:val="3"/>
            <w:tcBorders>
              <w:top w:val="nil"/>
              <w:bottom w:val="nil"/>
            </w:tcBorders>
          </w:tcPr>
          <w:p w14:paraId="3E43BADA" w14:textId="5C8D13A0"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r>
            <w:r w:rsidR="00836A3C" w:rsidRPr="00B676E2">
              <w:rPr>
                <w:rFonts w:asciiTheme="majorBidi" w:hAnsiTheme="majorBidi" w:cstheme="majorBidi"/>
                <w:lang w:val="fr-FR"/>
              </w:rPr>
              <w:t>Contreplaqué (50D) ;</w:t>
            </w:r>
          </w:p>
        </w:tc>
      </w:tr>
      <w:tr w:rsidR="00A074FC" w:rsidRPr="00B676E2" w14:paraId="4EA877AC" w14:textId="77777777" w:rsidTr="006201FD">
        <w:trPr>
          <w:cantSplit/>
        </w:trPr>
        <w:tc>
          <w:tcPr>
            <w:tcW w:w="9641" w:type="dxa"/>
            <w:gridSpan w:val="3"/>
            <w:tcBorders>
              <w:top w:val="nil"/>
              <w:bottom w:val="nil"/>
            </w:tcBorders>
          </w:tcPr>
          <w:p w14:paraId="64D4B173" w14:textId="1ACCEBF5"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r>
            <w:r w:rsidR="00836A3C" w:rsidRPr="00B676E2">
              <w:rPr>
                <w:rFonts w:asciiTheme="majorBidi" w:hAnsiTheme="majorBidi" w:cstheme="majorBidi"/>
                <w:lang w:val="fr-FR"/>
              </w:rPr>
              <w:t>Bois reconstitué (50F) ;</w:t>
            </w:r>
          </w:p>
        </w:tc>
      </w:tr>
      <w:tr w:rsidR="00A074FC" w:rsidRPr="00B676E2" w14:paraId="1E04DC35" w14:textId="77777777" w:rsidTr="006201FD">
        <w:trPr>
          <w:cantSplit/>
        </w:trPr>
        <w:tc>
          <w:tcPr>
            <w:tcW w:w="9641" w:type="dxa"/>
            <w:gridSpan w:val="3"/>
            <w:tcBorders>
              <w:top w:val="nil"/>
              <w:bottom w:val="nil"/>
            </w:tcBorders>
          </w:tcPr>
          <w:p w14:paraId="3003D4BB" w14:textId="77777777"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lang w:val="fr-FR"/>
              </w:rPr>
              <w:tab/>
              <w:t>Carton rigide (50G).</w:t>
            </w:r>
          </w:p>
        </w:tc>
      </w:tr>
      <w:tr w:rsidR="00A074FC" w:rsidRPr="00B676E2" w14:paraId="50C6CA61" w14:textId="77777777" w:rsidTr="006201FD">
        <w:trPr>
          <w:cantSplit/>
        </w:trPr>
        <w:tc>
          <w:tcPr>
            <w:tcW w:w="9641" w:type="dxa"/>
            <w:gridSpan w:val="3"/>
            <w:tcBorders>
              <w:top w:val="nil"/>
              <w:bottom w:val="nil"/>
            </w:tcBorders>
          </w:tcPr>
          <w:p w14:paraId="3B80A1AA" w14:textId="4A2E3FCB"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676E2">
              <w:rPr>
                <w:rFonts w:asciiTheme="majorBidi" w:hAnsiTheme="majorBidi" w:cstheme="majorBidi"/>
                <w:lang w:val="fr-FR"/>
              </w:rPr>
              <w:t xml:space="preserve">Les </w:t>
            </w:r>
            <w:r w:rsidR="009F1284" w:rsidRPr="00B676E2">
              <w:rPr>
                <w:rFonts w:asciiTheme="majorBidi" w:hAnsiTheme="majorBidi" w:cstheme="majorBidi"/>
                <w:lang w:val="fr-FR"/>
              </w:rPr>
              <w:t xml:space="preserve">grands </w:t>
            </w:r>
            <w:r w:rsidRPr="00B676E2">
              <w:rPr>
                <w:rFonts w:asciiTheme="majorBidi" w:hAnsiTheme="majorBidi" w:cstheme="majorBidi"/>
                <w:lang w:val="fr-FR"/>
              </w:rPr>
              <w:t>emballages doivent également satisfaire aux prescriptions suivantes</w:t>
            </w:r>
            <w:r w:rsidR="00836A3C" w:rsidRPr="00B676E2">
              <w:rPr>
                <w:lang w:val="fr-FR"/>
              </w:rPr>
              <w:t> </w:t>
            </w:r>
            <w:r w:rsidRPr="00B676E2">
              <w:rPr>
                <w:rFonts w:asciiTheme="majorBidi" w:hAnsiTheme="majorBidi" w:cstheme="majorBidi"/>
                <w:lang w:val="fr-FR"/>
              </w:rPr>
              <w:t>:</w:t>
            </w:r>
          </w:p>
        </w:tc>
      </w:tr>
      <w:tr w:rsidR="00A074FC" w:rsidRPr="00B676E2" w14:paraId="6841F513" w14:textId="77777777" w:rsidTr="006201FD">
        <w:trPr>
          <w:cantSplit/>
        </w:trPr>
        <w:tc>
          <w:tcPr>
            <w:tcW w:w="9641" w:type="dxa"/>
            <w:gridSpan w:val="3"/>
            <w:tcBorders>
              <w:top w:val="nil"/>
              <w:bottom w:val="nil"/>
            </w:tcBorders>
          </w:tcPr>
          <w:p w14:paraId="754EB9FC" w14:textId="7ED29526" w:rsidR="004215B9" w:rsidRPr="00B676E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B676E2">
              <w:rPr>
                <w:rFonts w:asciiTheme="majorBidi" w:hAnsiTheme="majorBidi" w:cstheme="majorBidi"/>
                <w:bCs/>
                <w:lang w:val="fr-FR"/>
              </w:rPr>
              <w:t>a)</w:t>
            </w:r>
            <w:r w:rsidRPr="00B676E2">
              <w:rPr>
                <w:rFonts w:asciiTheme="majorBidi" w:hAnsiTheme="majorBidi" w:cstheme="majorBidi"/>
                <w:bCs/>
                <w:lang w:val="fr-FR"/>
              </w:rPr>
              <w:tab/>
              <w:t>Un équipement de taille, forme ou masse différente est emballé dans un emballage extérieur de modèle type éprouvé indiqué ci-dessus à condition que la masse brute totale du colis ne dépasse pas la masse brute pour laquelle le modèle type a été éprouvé</w:t>
            </w:r>
            <w:r w:rsidR="00836A3C" w:rsidRPr="00B676E2">
              <w:rPr>
                <w:lang w:val="fr-FR"/>
              </w:rPr>
              <w:t> </w:t>
            </w:r>
            <w:r w:rsidRPr="00B676E2">
              <w:rPr>
                <w:rFonts w:asciiTheme="majorBidi" w:hAnsiTheme="majorBidi" w:cstheme="majorBidi"/>
                <w:bCs/>
                <w:lang w:val="fr-FR"/>
              </w:rPr>
              <w:t>;</w:t>
            </w:r>
          </w:p>
        </w:tc>
      </w:tr>
      <w:tr w:rsidR="00A074FC" w:rsidRPr="00B676E2" w14:paraId="221216BA" w14:textId="77777777" w:rsidTr="006201FD">
        <w:trPr>
          <w:cantSplit/>
        </w:trPr>
        <w:tc>
          <w:tcPr>
            <w:tcW w:w="9641" w:type="dxa"/>
            <w:gridSpan w:val="3"/>
            <w:tcBorders>
              <w:top w:val="nil"/>
              <w:bottom w:val="nil"/>
            </w:tcBorders>
          </w:tcPr>
          <w:p w14:paraId="4563D5E9" w14:textId="6B58B50B" w:rsidR="004215B9" w:rsidRPr="00B676E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fr-FR"/>
              </w:rPr>
            </w:pPr>
            <w:r w:rsidRPr="00B676E2">
              <w:rPr>
                <w:rFonts w:asciiTheme="majorBidi" w:hAnsiTheme="majorBidi" w:cstheme="majorBidi"/>
                <w:lang w:val="fr-FR"/>
              </w:rPr>
              <w:t>b)</w:t>
            </w:r>
            <w:r w:rsidRPr="00B676E2">
              <w:rPr>
                <w:rFonts w:asciiTheme="majorBidi" w:hAnsiTheme="majorBidi" w:cstheme="majorBidi"/>
                <w:lang w:val="fr-FR"/>
              </w:rPr>
              <w:tab/>
              <w:t>L’équipement est construit ou emballé de manière à empêcher tout fonctionnement accidentel au cours du transport</w:t>
            </w:r>
            <w:r w:rsidR="00836A3C" w:rsidRPr="00B676E2">
              <w:rPr>
                <w:lang w:val="fr-FR"/>
              </w:rPr>
              <w:t> </w:t>
            </w:r>
            <w:r w:rsidRPr="00B676E2">
              <w:rPr>
                <w:rFonts w:asciiTheme="majorBidi" w:hAnsiTheme="majorBidi" w:cstheme="majorBidi"/>
                <w:lang w:val="fr-FR"/>
              </w:rPr>
              <w:t>;</w:t>
            </w:r>
          </w:p>
        </w:tc>
      </w:tr>
      <w:tr w:rsidR="00A074FC" w:rsidRPr="00B676E2" w14:paraId="03150AC7" w14:textId="77777777" w:rsidTr="006201FD">
        <w:trPr>
          <w:cantSplit/>
        </w:trPr>
        <w:tc>
          <w:tcPr>
            <w:tcW w:w="9641" w:type="dxa"/>
            <w:gridSpan w:val="3"/>
            <w:tcBorders>
              <w:top w:val="nil"/>
              <w:bottom w:val="nil"/>
            </w:tcBorders>
          </w:tcPr>
          <w:p w14:paraId="2AFE9133" w14:textId="23300F90" w:rsidR="004215B9" w:rsidRPr="00B676E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B676E2">
              <w:rPr>
                <w:rFonts w:asciiTheme="majorBidi" w:hAnsiTheme="majorBidi" w:cstheme="majorBidi"/>
                <w:lang w:val="fr-FR"/>
              </w:rPr>
              <w:t>c)</w:t>
            </w:r>
            <w:r w:rsidRPr="00B676E2">
              <w:rPr>
                <w:rFonts w:asciiTheme="majorBidi" w:hAnsiTheme="majorBidi" w:cstheme="majorBidi"/>
                <w:lang w:val="fr-FR"/>
              </w:rPr>
              <w:tab/>
              <w:t>Des mesures appropriées sont prises pour protéger l’équipement contre les vibrations et les chocs et empêcher tout déplacement de celui-ci à l’intérieur du colis susceptible de l’endommager et de rendre son transport dangereux. Lorsqu’un matériau de rembourrage est utilisé à ces fins, il doit être non combustible et non conducteur d’électricité</w:t>
            </w:r>
            <w:r w:rsidR="00836A3C" w:rsidRPr="00B676E2">
              <w:rPr>
                <w:lang w:val="fr-FR"/>
              </w:rPr>
              <w:t> </w:t>
            </w:r>
            <w:r w:rsidRPr="00B676E2">
              <w:rPr>
                <w:rFonts w:asciiTheme="majorBidi" w:hAnsiTheme="majorBidi" w:cstheme="majorBidi"/>
                <w:lang w:val="fr-FR"/>
              </w:rPr>
              <w:t>;</w:t>
            </w:r>
            <w:r w:rsidR="00E2037A" w:rsidRPr="00B676E2">
              <w:rPr>
                <w:rFonts w:asciiTheme="majorBidi" w:hAnsiTheme="majorBidi" w:cstheme="majorBidi"/>
                <w:lang w:val="fr-FR"/>
              </w:rPr>
              <w:t xml:space="preserve"> et</w:t>
            </w:r>
          </w:p>
        </w:tc>
      </w:tr>
      <w:tr w:rsidR="00A074FC" w:rsidRPr="00B676E2" w14:paraId="31F4113E" w14:textId="77777777" w:rsidTr="006201FD">
        <w:trPr>
          <w:cantSplit/>
        </w:trPr>
        <w:tc>
          <w:tcPr>
            <w:tcW w:w="9641" w:type="dxa"/>
            <w:gridSpan w:val="3"/>
            <w:tcBorders>
              <w:top w:val="nil"/>
              <w:bottom w:val="single" w:sz="6" w:space="0" w:color="auto"/>
            </w:tcBorders>
          </w:tcPr>
          <w:p w14:paraId="594B1F13" w14:textId="3A497D29" w:rsidR="004215B9" w:rsidRPr="00B676E2"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fr-FR"/>
              </w:rPr>
            </w:pPr>
            <w:r w:rsidRPr="00B676E2">
              <w:rPr>
                <w:rFonts w:asciiTheme="majorBidi" w:hAnsiTheme="majorBidi" w:cstheme="majorBidi"/>
                <w:lang w:val="fr-FR"/>
              </w:rPr>
              <w:t>d)</w:t>
            </w:r>
            <w:r w:rsidRPr="00B676E2">
              <w:rPr>
                <w:rFonts w:asciiTheme="majorBidi" w:hAnsiTheme="majorBidi" w:cstheme="majorBidi"/>
                <w:lang w:val="fr-FR"/>
              </w:rPr>
              <w:tab/>
              <w:t>La non-combustibilité doit être évaluée conformément à une n</w:t>
            </w:r>
            <w:r w:rsidR="009F1284" w:rsidRPr="00B676E2">
              <w:rPr>
                <w:rFonts w:asciiTheme="majorBidi" w:hAnsiTheme="majorBidi" w:cstheme="majorBidi"/>
                <w:lang w:val="fr-FR"/>
              </w:rPr>
              <w:t xml:space="preserve">orme reconnue dans le pays où le grand </w:t>
            </w:r>
            <w:r w:rsidRPr="00B676E2">
              <w:rPr>
                <w:rFonts w:asciiTheme="majorBidi" w:hAnsiTheme="majorBidi" w:cstheme="majorBidi"/>
                <w:lang w:val="fr-FR"/>
              </w:rPr>
              <w:t>emballage est conçu ou fabriqué.</w:t>
            </w:r>
          </w:p>
        </w:tc>
      </w:tr>
      <w:tr w:rsidR="00A074FC" w:rsidRPr="00B676E2" w14:paraId="53F40B39" w14:textId="77777777" w:rsidTr="006201FD">
        <w:trPr>
          <w:cantSplit/>
        </w:trPr>
        <w:tc>
          <w:tcPr>
            <w:tcW w:w="9641" w:type="dxa"/>
            <w:gridSpan w:val="3"/>
            <w:tcBorders>
              <w:top w:val="single" w:sz="6" w:space="0" w:color="auto"/>
              <w:bottom w:val="nil"/>
            </w:tcBorders>
          </w:tcPr>
          <w:p w14:paraId="7B46533B" w14:textId="77777777" w:rsidR="004215B9" w:rsidRPr="00B676E2"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b/>
                <w:lang w:val="fr-FR"/>
              </w:rPr>
            </w:pPr>
            <w:r w:rsidRPr="00B676E2">
              <w:rPr>
                <w:b/>
                <w:lang w:val="fr-FR"/>
              </w:rPr>
              <w:t>Disposition supplémentaire:</w:t>
            </w:r>
          </w:p>
        </w:tc>
      </w:tr>
      <w:tr w:rsidR="00A074FC" w:rsidRPr="00B676E2" w14:paraId="6C3B2F5B" w14:textId="77777777" w:rsidTr="006201FD">
        <w:trPr>
          <w:cantSplit/>
        </w:trPr>
        <w:tc>
          <w:tcPr>
            <w:tcW w:w="9641" w:type="dxa"/>
            <w:gridSpan w:val="3"/>
            <w:tcBorders>
              <w:top w:val="nil"/>
              <w:bottom w:val="single" w:sz="6" w:space="0" w:color="auto"/>
            </w:tcBorders>
          </w:tcPr>
          <w:p w14:paraId="545F6F3C" w14:textId="780B9F43" w:rsidR="004215B9" w:rsidRPr="00B676E2" w:rsidRDefault="004215B9" w:rsidP="009F1284">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B676E2">
              <w:rPr>
                <w:rFonts w:asciiTheme="majorBidi" w:hAnsiTheme="majorBidi" w:cstheme="majorBidi"/>
                <w:lang w:val="fr-FR"/>
              </w:rPr>
              <w:t xml:space="preserve">Les piles </w:t>
            </w:r>
            <w:r w:rsidR="009F1284" w:rsidRPr="00B676E2">
              <w:rPr>
                <w:rFonts w:asciiTheme="majorBidi" w:hAnsiTheme="majorBidi" w:cstheme="majorBidi"/>
                <w:lang w:val="fr-FR"/>
              </w:rPr>
              <w:t xml:space="preserve">et batteries </w:t>
            </w:r>
            <w:r w:rsidRPr="00B676E2">
              <w:rPr>
                <w:rFonts w:asciiTheme="majorBidi" w:hAnsiTheme="majorBidi" w:cstheme="majorBidi"/>
                <w:lang w:val="fr-FR"/>
              </w:rPr>
              <w:t>doivent être protégées contre les courts-circuits.</w:t>
            </w:r>
          </w:p>
        </w:tc>
      </w:tr>
    </w:tbl>
    <w:p w14:paraId="6DC78FB3" w14:textId="77777777" w:rsidR="00031D11" w:rsidRDefault="00031D11" w:rsidP="0074245A">
      <w:pPr>
        <w:pStyle w:val="SingleTxtG"/>
        <w:spacing w:before="120"/>
        <w:rPr>
          <w:lang w:val="fr-FR"/>
        </w:rPr>
      </w:pPr>
    </w:p>
    <w:p w14:paraId="5EF1DD48" w14:textId="77777777" w:rsidR="009C2E03" w:rsidRDefault="009C2E03">
      <w:pPr>
        <w:suppressAutoHyphens w:val="0"/>
        <w:spacing w:line="240" w:lineRule="auto"/>
        <w:rPr>
          <w:lang w:val="fr-FR"/>
        </w:rPr>
      </w:pPr>
      <w:r>
        <w:rPr>
          <w:lang w:val="fr-FR"/>
        </w:rPr>
        <w:br w:type="page"/>
      </w:r>
    </w:p>
    <w:p w14:paraId="20B46D0B" w14:textId="014F6C14" w:rsidR="00E93B06" w:rsidRPr="00F9527F" w:rsidRDefault="00E93B06" w:rsidP="0074245A">
      <w:pPr>
        <w:pStyle w:val="SingleTxtG"/>
        <w:spacing w:before="120"/>
        <w:rPr>
          <w:lang w:val="fr-FR"/>
        </w:rPr>
      </w:pPr>
      <w:r w:rsidRPr="00F9527F">
        <w:rPr>
          <w:lang w:val="fr-FR"/>
        </w:rPr>
        <w:lastRenderedPageBreak/>
        <w:t>4.1.4.3</w:t>
      </w:r>
      <w:r w:rsidRPr="00F9527F">
        <w:rPr>
          <w:lang w:val="fr-FR"/>
        </w:rPr>
        <w:tab/>
      </w:r>
      <w:r w:rsidRPr="00F9527F">
        <w:rPr>
          <w:lang w:val="fr-FR"/>
        </w:rPr>
        <w:tab/>
        <w:t>Ajouter la nouvelle instruction d’emballage LP906 suivante</w:t>
      </w:r>
      <w:r w:rsidR="00836A3C" w:rsidRPr="00F9527F">
        <w:rPr>
          <w:lang w:val="fr-FR"/>
        </w:rPr>
        <w:t> </w:t>
      </w:r>
      <w:r w:rsidRPr="00F9527F">
        <w:rPr>
          <w:lang w:val="fr-FR"/>
        </w:rPr>
        <w:t>:</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A074FC" w:rsidRPr="00F9527F" w14:paraId="2BA9C344" w14:textId="77777777" w:rsidTr="00FC7059">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44C8056E" w14:textId="77777777"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F9527F">
              <w:rPr>
                <w:b/>
                <w:lang w:val="fr-FR"/>
              </w:rPr>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48851CE9" w14:textId="77777777"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F9527F">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5B2E937" w14:textId="77777777"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F9527F">
              <w:rPr>
                <w:b/>
                <w:iCs/>
                <w:lang w:val="fr-FR"/>
              </w:rPr>
              <w:t>LP906</w:t>
            </w:r>
          </w:p>
        </w:tc>
      </w:tr>
      <w:tr w:rsidR="00A074FC" w:rsidRPr="00F9527F" w14:paraId="74D66A5A" w14:textId="77777777"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B4CAD7" w14:textId="1D2FB31D" w:rsidR="00E93B06" w:rsidRPr="00F9527F" w:rsidRDefault="00E93B06" w:rsidP="0014077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F9527F">
              <w:rPr>
                <w:lang w:val="fr-FR"/>
              </w:rPr>
              <w:t>Cette instruction s’applique aux batteries endommagées ou défectueuses des Nos ONU 3090, 3091, 3480 et 3481,</w:t>
            </w:r>
            <w:r w:rsidRPr="00F9527F">
              <w:rPr>
                <w:iCs/>
                <w:lang w:val="fr-FR"/>
              </w:rPr>
              <w:t xml:space="preserve"> </w:t>
            </w:r>
            <w:r w:rsidRPr="00F9527F">
              <w:rPr>
                <w:lang w:val="fr-FR"/>
              </w:rPr>
              <w:t>susceptibles de se démonter rapidement, de réagir dangereusement, de produire une flamme ou un dangereux dégagement de chaleur ou une émission de gaz ou de vapeur toxiques, corrosifs ou inflammables, dans les conditions normales de transport.</w:t>
            </w:r>
          </w:p>
        </w:tc>
      </w:tr>
      <w:tr w:rsidR="00A074FC" w:rsidRPr="00F9527F" w14:paraId="7E284E06" w14:textId="77777777"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0BAED23" w14:textId="4DDD7575" w:rsidR="00E93B06" w:rsidRPr="00F9527F" w:rsidRDefault="00E93B06" w:rsidP="00920159">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F9527F">
              <w:rPr>
                <w:iCs/>
                <w:lang w:val="fr-FR"/>
              </w:rPr>
              <w:t>Les grands emballages suivants sont autorisés s’il est satisfait aux dispositions générales des sections </w:t>
            </w:r>
            <w:r w:rsidRPr="00F9527F">
              <w:rPr>
                <w:b/>
                <w:iCs/>
                <w:lang w:val="fr-FR"/>
              </w:rPr>
              <w:t>4.1.1</w:t>
            </w:r>
            <w:r w:rsidRPr="00F9527F">
              <w:rPr>
                <w:iCs/>
                <w:lang w:val="fr-FR"/>
              </w:rPr>
              <w:t xml:space="preserve"> et </w:t>
            </w:r>
            <w:r w:rsidRPr="00F9527F">
              <w:rPr>
                <w:b/>
                <w:iCs/>
                <w:lang w:val="fr-FR"/>
              </w:rPr>
              <w:t>4.1.3</w:t>
            </w:r>
            <w:r w:rsidR="00836A3C" w:rsidRPr="00F9527F">
              <w:rPr>
                <w:lang w:val="fr-FR"/>
              </w:rPr>
              <w:t> </w:t>
            </w:r>
            <w:r w:rsidRPr="00F9527F">
              <w:rPr>
                <w:iCs/>
                <w:lang w:val="fr-FR"/>
              </w:rPr>
              <w:t>:</w:t>
            </w:r>
          </w:p>
        </w:tc>
      </w:tr>
      <w:tr w:rsidR="00A074FC" w:rsidRPr="00F9527F" w14:paraId="7F7079F7"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B46351D" w14:textId="5840E257" w:rsidR="00E93B06" w:rsidRPr="00F9527F" w:rsidRDefault="00F9527F" w:rsidP="00920159">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Pr>
                <w:lang w:val="fr-FR"/>
              </w:rPr>
              <w:t>P</w:t>
            </w:r>
            <w:r w:rsidRPr="00154472">
              <w:rPr>
                <w:lang w:val="fr-FR"/>
              </w:rPr>
              <w:t>our une seule batterie et pour un équipement seul contenant</w:t>
            </w:r>
            <w:r>
              <w:rPr>
                <w:lang w:val="fr-FR"/>
              </w:rPr>
              <w:t xml:space="preserve"> des batteries:</w:t>
            </w:r>
          </w:p>
        </w:tc>
      </w:tr>
      <w:tr w:rsidR="00A074FC" w:rsidRPr="00F9527F" w14:paraId="4B29EB9D" w14:textId="77777777"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14:paraId="5CDDFC6E" w14:textId="0B02ECE8" w:rsidR="00290141" w:rsidRPr="00F9527F" w:rsidRDefault="00290141" w:rsidP="00920159">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lang w:val="fr-FR"/>
              </w:rPr>
            </w:pPr>
            <w:r w:rsidRPr="00F9527F">
              <w:rPr>
                <w:iCs/>
                <w:lang w:val="fr-FR"/>
              </w:rPr>
              <w:t>Grands emballages rigides satisfaisant au niveau d’épreuve du groupe d’emballage I, en</w:t>
            </w:r>
            <w:r w:rsidR="00836A3C" w:rsidRPr="00F9527F">
              <w:rPr>
                <w:lang w:val="fr-FR"/>
              </w:rPr>
              <w:t> </w:t>
            </w:r>
            <w:r w:rsidRPr="00F9527F">
              <w:rPr>
                <w:iCs/>
                <w:lang w:val="fr-FR"/>
              </w:rPr>
              <w:t>:</w:t>
            </w:r>
          </w:p>
        </w:tc>
      </w:tr>
      <w:tr w:rsidR="00A074FC" w:rsidRPr="00F9527F" w14:paraId="4724499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03F03E" w14:textId="38437C92" w:rsidR="00E93B06" w:rsidRPr="00F9527F" w:rsidRDefault="00836A3C" w:rsidP="00920159">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F9527F">
              <w:rPr>
                <w:lang w:val="fr-FR"/>
              </w:rPr>
              <w:t>Acier (50A) ;</w:t>
            </w:r>
          </w:p>
        </w:tc>
      </w:tr>
      <w:tr w:rsidR="00A074FC" w:rsidRPr="00F9527F" w14:paraId="3E6AE2A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6275814" w14:textId="57965B4A" w:rsidR="00E93B06" w:rsidRPr="00F9527F" w:rsidRDefault="00836A3C" w:rsidP="00920159">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F9527F">
              <w:rPr>
                <w:lang w:val="fr-FR"/>
              </w:rPr>
              <w:t>Aluminium (50B) ;</w:t>
            </w:r>
          </w:p>
        </w:tc>
      </w:tr>
      <w:tr w:rsidR="00A074FC" w:rsidRPr="00F9527F" w14:paraId="0A95747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5856C38" w14:textId="58360EA7"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fr-FR"/>
              </w:rPr>
            </w:pPr>
            <w:r w:rsidRPr="00F9527F">
              <w:rPr>
                <w:lang w:val="fr-FR"/>
              </w:rPr>
              <w:t>Métal autre q</w:t>
            </w:r>
            <w:r w:rsidR="00836A3C" w:rsidRPr="00F9527F">
              <w:rPr>
                <w:lang w:val="fr-FR"/>
              </w:rPr>
              <w:t>ue l’acier et l’aluminium (50N) ;</w:t>
            </w:r>
          </w:p>
        </w:tc>
      </w:tr>
      <w:tr w:rsidR="00A074FC" w:rsidRPr="00F9527F" w14:paraId="578FBF16"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2A2B894" w14:textId="009B8ACB"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fr-FR"/>
              </w:rPr>
            </w:pPr>
            <w:r w:rsidRPr="00F9527F">
              <w:rPr>
                <w:lang w:val="fr-FR"/>
              </w:rPr>
              <w:t>Plastique rigide (50</w:t>
            </w:r>
            <w:r w:rsidR="00836A3C" w:rsidRPr="00F9527F">
              <w:rPr>
                <w:lang w:val="fr-FR"/>
              </w:rPr>
              <w:t>H) ;</w:t>
            </w:r>
          </w:p>
        </w:tc>
      </w:tr>
      <w:tr w:rsidR="00A074FC" w:rsidRPr="00F9527F" w14:paraId="3626080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0A2871C" w14:textId="76F2D50F" w:rsidR="00E93B06" w:rsidRPr="00F9527F" w:rsidRDefault="00836A3C"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fr-FR"/>
              </w:rPr>
            </w:pPr>
            <w:r w:rsidRPr="00F9527F">
              <w:rPr>
                <w:lang w:val="fr-FR"/>
              </w:rPr>
              <w:t>Contreplaqué (50D) ;</w:t>
            </w:r>
          </w:p>
        </w:tc>
      </w:tr>
      <w:tr w:rsidR="00A074FC" w:rsidRPr="00F9527F" w14:paraId="0BF41B1A"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C0EB9A0" w14:textId="32AF040A"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fr-FR"/>
              </w:rPr>
            </w:pPr>
            <w:r w:rsidRPr="00F9527F">
              <w:rPr>
                <w:lang w:val="fr-FR"/>
              </w:rPr>
              <w:t>Carton rigide (50G)</w:t>
            </w:r>
            <w:r w:rsidR="00836A3C" w:rsidRPr="00F9527F">
              <w:rPr>
                <w:lang w:val="fr-FR"/>
              </w:rPr>
              <w:t>.</w:t>
            </w:r>
          </w:p>
        </w:tc>
      </w:tr>
      <w:tr w:rsidR="00A074FC" w:rsidRPr="00F9527F" w14:paraId="1BE2E8DA"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CF19B63" w14:textId="1239032D" w:rsidR="00E93B06" w:rsidRPr="00F9527F" w:rsidRDefault="00B95B90" w:rsidP="009F1284">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F9527F">
              <w:rPr>
                <w:lang w:val="fr-FR"/>
              </w:rPr>
              <w:t>1)</w:t>
            </w:r>
            <w:r w:rsidR="00E93B06" w:rsidRPr="00F9527F">
              <w:rPr>
                <w:lang w:val="fr-FR"/>
              </w:rPr>
              <w:tab/>
            </w:r>
            <w:r w:rsidR="009F1284" w:rsidRPr="00F9527F">
              <w:rPr>
                <w:lang w:val="fr-FR"/>
              </w:rPr>
              <w:t xml:space="preserve">Le grand </w:t>
            </w:r>
            <w:r w:rsidR="00E93B06" w:rsidRPr="00F9527F">
              <w:rPr>
                <w:lang w:val="fr-FR"/>
              </w:rPr>
              <w:t>emballage doit pouvoir satisfaire aux prescriptions supplémentaires suivantes en matière de performance dans les cas où la batterie se démonte rapidement, réagit dangereusement, produit une flamme ou un dangereux dégagement de chaleur ou une émission de gaz ou de vapeur toxiques, corrosifs ou inflammables</w:t>
            </w:r>
            <w:r w:rsidR="00836A3C" w:rsidRPr="00F9527F">
              <w:rPr>
                <w:lang w:val="fr-FR"/>
              </w:rPr>
              <w:t> </w:t>
            </w:r>
            <w:r w:rsidR="00E93B06" w:rsidRPr="00F9527F">
              <w:rPr>
                <w:lang w:val="fr-FR"/>
              </w:rPr>
              <w:t>:</w:t>
            </w:r>
          </w:p>
        </w:tc>
      </w:tr>
      <w:tr w:rsidR="00A074FC" w:rsidRPr="00F9527F" w14:paraId="3C4780A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B0BBC66" w14:textId="706FE03E"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F9527F">
              <w:rPr>
                <w:lang w:val="fr-FR"/>
              </w:rPr>
              <w:t>a)</w:t>
            </w:r>
            <w:r w:rsidRPr="00F9527F">
              <w:rPr>
                <w:lang w:val="fr-FR"/>
              </w:rPr>
              <w:tab/>
              <w:t xml:space="preserve">La température de la surface extérieure du colis </w:t>
            </w:r>
            <w:r w:rsidR="009F1284" w:rsidRPr="00F9527F">
              <w:rPr>
                <w:lang w:val="fr-FR"/>
              </w:rPr>
              <w:t xml:space="preserve">complet </w:t>
            </w:r>
            <w:r w:rsidRPr="00F9527F">
              <w:rPr>
                <w:lang w:val="fr-FR"/>
              </w:rPr>
              <w:t>ne doit pas être supérieure à 100 °C. Une pointe momentanée de température atteignant 200 °C est acceptable</w:t>
            </w:r>
            <w:r w:rsidR="00836A3C" w:rsidRPr="00F9527F">
              <w:rPr>
                <w:lang w:val="fr-FR"/>
              </w:rPr>
              <w:t> </w:t>
            </w:r>
            <w:r w:rsidRPr="00F9527F">
              <w:rPr>
                <w:lang w:val="fr-FR"/>
              </w:rPr>
              <w:t>;</w:t>
            </w:r>
          </w:p>
        </w:tc>
      </w:tr>
      <w:tr w:rsidR="00A074FC" w:rsidRPr="00F9527F" w14:paraId="33D4B7C3"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E1F5A37" w14:textId="6BA34ACE"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F9527F">
              <w:rPr>
                <w:lang w:val="fr-FR"/>
              </w:rPr>
              <w:t xml:space="preserve">b) </w:t>
            </w:r>
            <w:r w:rsidRPr="00F9527F">
              <w:rPr>
                <w:lang w:val="fr-FR"/>
              </w:rPr>
              <w:tab/>
              <w:t>Aucune flamme dangereuse ne doit se produire à l’extérieur du colis</w:t>
            </w:r>
            <w:r w:rsidR="00836A3C" w:rsidRPr="00F9527F">
              <w:rPr>
                <w:lang w:val="fr-FR"/>
              </w:rPr>
              <w:t> </w:t>
            </w:r>
            <w:r w:rsidRPr="00F9527F">
              <w:rPr>
                <w:lang w:val="fr-FR"/>
              </w:rPr>
              <w:t>;</w:t>
            </w:r>
          </w:p>
        </w:tc>
      </w:tr>
      <w:tr w:rsidR="00A074FC" w:rsidRPr="00F9527F" w14:paraId="7E4B5D1A"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29A8E22" w14:textId="008CCFC7"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F9527F">
              <w:rPr>
                <w:lang w:val="fr-FR"/>
              </w:rPr>
              <w:t xml:space="preserve">c) </w:t>
            </w:r>
            <w:r w:rsidRPr="00F9527F">
              <w:rPr>
                <w:lang w:val="fr-FR"/>
              </w:rPr>
              <w:tab/>
              <w:t>Aucun fragment dangereux ne doit être projeté à l’extérieur du colis</w:t>
            </w:r>
            <w:r w:rsidR="00836A3C" w:rsidRPr="00F9527F">
              <w:rPr>
                <w:lang w:val="fr-FR"/>
              </w:rPr>
              <w:t> </w:t>
            </w:r>
            <w:r w:rsidRPr="00F9527F">
              <w:rPr>
                <w:lang w:val="fr-FR"/>
              </w:rPr>
              <w:t>;</w:t>
            </w:r>
          </w:p>
        </w:tc>
      </w:tr>
      <w:tr w:rsidR="00A074FC" w:rsidRPr="00F9527F" w14:paraId="2415E838"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3FBBD7" w14:textId="11E8A8EC" w:rsidR="00E93B06" w:rsidRPr="00F9527F" w:rsidRDefault="00E93B06" w:rsidP="009F12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F9527F">
              <w:rPr>
                <w:lang w:val="fr-FR"/>
              </w:rPr>
              <w:t xml:space="preserve">d) </w:t>
            </w:r>
            <w:r w:rsidRPr="00F9527F">
              <w:rPr>
                <w:lang w:val="fr-FR"/>
              </w:rPr>
              <w:tab/>
              <w:t xml:space="preserve">L’intégrité structurelle </w:t>
            </w:r>
            <w:r w:rsidR="009F1284" w:rsidRPr="00F9527F">
              <w:rPr>
                <w:lang w:val="fr-FR"/>
              </w:rPr>
              <w:t xml:space="preserve">du colis </w:t>
            </w:r>
            <w:r w:rsidRPr="00F9527F">
              <w:rPr>
                <w:lang w:val="fr-FR"/>
              </w:rPr>
              <w:t>doit être conservée</w:t>
            </w:r>
            <w:r w:rsidR="00836A3C" w:rsidRPr="00F9527F">
              <w:rPr>
                <w:lang w:val="fr-FR"/>
              </w:rPr>
              <w:t> </w:t>
            </w:r>
            <w:r w:rsidR="00B07702" w:rsidRPr="00F9527F">
              <w:rPr>
                <w:lang w:val="fr-FR"/>
              </w:rPr>
              <w:t>; et</w:t>
            </w:r>
          </w:p>
        </w:tc>
      </w:tr>
      <w:tr w:rsidR="00A074FC" w:rsidRPr="00F9527F" w14:paraId="319774F7"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77A8043" w14:textId="1EB8F9AC"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F9527F">
              <w:rPr>
                <w:lang w:val="fr-FR"/>
              </w:rPr>
              <w:t xml:space="preserve">e) </w:t>
            </w:r>
            <w:r w:rsidRPr="00F9527F">
              <w:rPr>
                <w:lang w:val="fr-FR"/>
              </w:rPr>
              <w:tab/>
              <w:t xml:space="preserve">Les </w:t>
            </w:r>
            <w:r w:rsidR="009F1284" w:rsidRPr="00F9527F">
              <w:rPr>
                <w:lang w:val="fr-FR"/>
              </w:rPr>
              <w:t xml:space="preserve">grands </w:t>
            </w:r>
            <w:r w:rsidRPr="00F9527F">
              <w:rPr>
                <w:lang w:val="fr-FR"/>
              </w:rPr>
              <w:t>emballages doivent disposer d’un système de gestion des flux de gaz (par exemple, dispositif de filtration, de ventilation, de confinement des gaz, d’étanchéisation, etc.) selon le cas.</w:t>
            </w:r>
          </w:p>
        </w:tc>
      </w:tr>
      <w:tr w:rsidR="00A074FC" w:rsidRPr="00F9527F" w14:paraId="2C99B25F"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A6EED7E" w14:textId="49914518" w:rsidR="00E93B06" w:rsidRPr="00F9527F" w:rsidRDefault="00B95B90" w:rsidP="009E7F1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F9527F">
              <w:rPr>
                <w:lang w:val="fr-FR"/>
              </w:rPr>
              <w:t>2)</w:t>
            </w:r>
            <w:r w:rsidR="00E93B06" w:rsidRPr="00F9527F">
              <w:rPr>
                <w:lang w:val="fr-FR"/>
              </w:rPr>
              <w:tab/>
            </w:r>
            <w:r w:rsidR="00F9527F" w:rsidRPr="00154472">
              <w:rPr>
                <w:lang w:val="fr-FR"/>
              </w:rPr>
              <w:t>Les prescriptions supplémentaires en matière de performance doivent être vérifiées par des épreuves comme spécifié par l’autorité compétente</w:t>
            </w:r>
            <w:r w:rsidR="00F9527F" w:rsidRPr="00154472">
              <w:rPr>
                <w:b/>
                <w:vertAlign w:val="superscript"/>
                <w:lang w:val="fr-FR"/>
              </w:rPr>
              <w:t xml:space="preserve"> </w:t>
            </w:r>
            <w:r w:rsidR="00F9527F" w:rsidRPr="00154472">
              <w:rPr>
                <w:lang w:val="fr-FR"/>
              </w:rPr>
              <w:t>de toute Partie contractante à l’ADR qui peut également reconnaître les épreuves spécifiées par l’autorité compétente d’un pays qui ne serait pas Partie contractante à l’ADR à condition que ces épreuves aient été spécifiées conformément aux procédures applicables selon le RID, l’ADR, l’ADN, le Code IMDG ou les prescriptions techniques de</w:t>
            </w:r>
            <w:r w:rsidR="00695AA0" w:rsidRPr="00F9527F">
              <w:rPr>
                <w:lang w:val="fr-FR"/>
              </w:rPr>
              <w:t xml:space="preserve"> l’OACI</w:t>
            </w:r>
            <w:r w:rsidR="00695AA0" w:rsidRPr="00F9527F">
              <w:rPr>
                <w:b/>
                <w:vertAlign w:val="superscript"/>
                <w:lang w:val="fr-FR"/>
              </w:rPr>
              <w:t xml:space="preserve"> </w:t>
            </w:r>
            <w:r w:rsidR="00E93B06" w:rsidRPr="00F9527F">
              <w:rPr>
                <w:b/>
                <w:vertAlign w:val="superscript"/>
                <w:lang w:val="fr-FR"/>
              </w:rPr>
              <w:t>a</w:t>
            </w:r>
            <w:r w:rsidR="00E93B06" w:rsidRPr="00F9527F">
              <w:rPr>
                <w:lang w:val="fr-FR"/>
              </w:rPr>
              <w:t xml:space="preserve">. </w:t>
            </w:r>
          </w:p>
        </w:tc>
      </w:tr>
      <w:tr w:rsidR="00A074FC" w:rsidRPr="00F9527F" w14:paraId="43045D1C"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F5CB7D0" w14:textId="25E61E60" w:rsidR="00E93B06" w:rsidRPr="00F9527F" w:rsidRDefault="00E93B06" w:rsidP="00076867">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F9527F">
              <w:rPr>
                <w:lang w:val="fr-FR"/>
              </w:rPr>
              <w:tab/>
              <w:t xml:space="preserve">Un rapport établi à l’issue de la vérification doit être </w:t>
            </w:r>
            <w:r w:rsidR="00076867" w:rsidRPr="00F9527F">
              <w:rPr>
                <w:lang w:val="fr-FR"/>
              </w:rPr>
              <w:t>disponible</w:t>
            </w:r>
            <w:r w:rsidRPr="00F9527F">
              <w:rPr>
                <w:lang w:val="fr-FR"/>
              </w:rPr>
              <w:t xml:space="preserve"> à la demande. Doivent y être énumérés, au minimum, le nom de la batterie, son numéro, sa masse, son type, </w:t>
            </w:r>
            <w:r w:rsidR="00076867" w:rsidRPr="00F9527F">
              <w:rPr>
                <w:lang w:val="fr-FR"/>
              </w:rPr>
              <w:t>son contenu énergétique</w:t>
            </w:r>
            <w:r w:rsidRPr="00F9527F">
              <w:rPr>
                <w:lang w:val="fr-FR"/>
              </w:rPr>
              <w:t xml:space="preserve">, le numéro d’identification </w:t>
            </w:r>
            <w:r w:rsidR="00076867" w:rsidRPr="00F9527F">
              <w:rPr>
                <w:lang w:val="fr-FR"/>
              </w:rPr>
              <w:t xml:space="preserve">du grand </w:t>
            </w:r>
            <w:r w:rsidRPr="00F9527F">
              <w:rPr>
                <w:lang w:val="fr-FR"/>
              </w:rPr>
              <w:t>emballage et les données d’épreuves, selon la méthode de vérification spécifiée par l’autorité compétente.</w:t>
            </w:r>
          </w:p>
        </w:tc>
      </w:tr>
      <w:tr w:rsidR="00A074FC" w:rsidRPr="00F9527F" w14:paraId="3375963E" w14:textId="77777777"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974DE01" w14:textId="055F137E" w:rsidR="00E93B06" w:rsidRPr="00F9527F" w:rsidRDefault="00B95B90"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F9527F">
              <w:rPr>
                <w:lang w:val="fr-FR"/>
              </w:rPr>
              <w:t>3)</w:t>
            </w:r>
            <w:r w:rsidR="00E93B06" w:rsidRPr="00F9527F">
              <w:rPr>
                <w:lang w:val="fr-FR"/>
              </w:rPr>
              <w:tab/>
              <w:t>Dans les cas où on utilise de la neige carbonique ou de l’azote liquide comme réfrigérant, les prescriptions du 5.5.3 s’appliquent. Les emballages intérieur et extérieur doivent conserver leur intégrité à la température du réfrigérant utilisé ainsi qu’aux températures et pressions qui pourraient être atteintes en cas de disparition de l’agent de refroidissement.</w:t>
            </w:r>
          </w:p>
        </w:tc>
      </w:tr>
      <w:tr w:rsidR="00A074FC" w:rsidRPr="00F9527F" w14:paraId="5D1E54FD"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4111A61C" w14:textId="77777777"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fr-FR"/>
              </w:rPr>
            </w:pPr>
            <w:r w:rsidRPr="00F9527F">
              <w:rPr>
                <w:b/>
                <w:iCs/>
                <w:lang w:val="fr-FR"/>
              </w:rPr>
              <w:t>Disposition supplémentaire:</w:t>
            </w:r>
          </w:p>
        </w:tc>
      </w:tr>
      <w:tr w:rsidR="00A074FC" w:rsidRPr="00F9527F" w14:paraId="35ECB98E" w14:textId="77777777"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6FAF5F6D" w14:textId="77777777" w:rsidR="00E93B06" w:rsidRPr="00F9527F"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F9527F">
              <w:rPr>
                <w:iCs/>
                <w:lang w:val="fr-FR"/>
              </w:rPr>
              <w:t>Les batteries doivent être protégées contre les courts-circuits.</w:t>
            </w:r>
          </w:p>
        </w:tc>
      </w:tr>
      <w:tr w:rsidR="00A074FC" w:rsidRPr="00F9527F" w14:paraId="2A20622B" w14:textId="77777777"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55975839" w14:textId="440B6DC8" w:rsidR="00E93B06" w:rsidRPr="00F9527F" w:rsidRDefault="00E93B06" w:rsidP="00753744">
            <w:pPr>
              <w:tabs>
                <w:tab w:val="left" w:pos="366"/>
                <w:tab w:val="left" w:pos="1985"/>
                <w:tab w:val="left" w:pos="2552"/>
                <w:tab w:val="left" w:pos="3119"/>
                <w:tab w:val="left" w:pos="3686"/>
                <w:tab w:val="left" w:pos="4253"/>
                <w:tab w:val="left" w:pos="4820"/>
              </w:tabs>
              <w:suppressAutoHyphens w:val="0"/>
              <w:spacing w:before="60" w:after="60" w:line="240" w:lineRule="auto"/>
              <w:jc w:val="both"/>
              <w:rPr>
                <w:lang w:val="fr-FR"/>
              </w:rPr>
            </w:pPr>
            <w:r w:rsidRPr="00F9527F">
              <w:rPr>
                <w:b/>
                <w:vertAlign w:val="superscript"/>
                <w:lang w:val="fr-FR"/>
              </w:rPr>
              <w:t>a</w:t>
            </w:r>
            <w:r w:rsidRPr="00F9527F">
              <w:rPr>
                <w:lang w:val="fr-FR"/>
              </w:rPr>
              <w:tab/>
            </w:r>
            <w:r w:rsidRPr="00F9527F">
              <w:rPr>
                <w:i/>
                <w:lang w:val="fr-FR"/>
              </w:rPr>
              <w:t xml:space="preserve">Les critères suivants, selon le cas, peuvent être pris en compte pour évaluer la performance </w:t>
            </w:r>
            <w:r w:rsidR="00753744" w:rsidRPr="00F9527F">
              <w:rPr>
                <w:i/>
                <w:lang w:val="fr-FR"/>
              </w:rPr>
              <w:t xml:space="preserve">du grand </w:t>
            </w:r>
            <w:r w:rsidRPr="00F9527F">
              <w:rPr>
                <w:i/>
                <w:lang w:val="fr-FR"/>
              </w:rPr>
              <w:t>emballage:</w:t>
            </w:r>
          </w:p>
        </w:tc>
      </w:tr>
      <w:tr w:rsidR="00A074FC" w:rsidRPr="00F9527F" w14:paraId="64A59898"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762CED5" w14:textId="7FCF7CAF" w:rsidR="00E93B06" w:rsidRPr="00F9527F" w:rsidRDefault="00E93B06" w:rsidP="00695AA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lang w:val="fr-FR"/>
              </w:rPr>
            </w:pPr>
            <w:r w:rsidRPr="00F9527F">
              <w:rPr>
                <w:i/>
                <w:lang w:val="fr-FR"/>
              </w:rPr>
              <w:tab/>
              <w:t xml:space="preserve">a) </w:t>
            </w:r>
            <w:r w:rsidRPr="00F9527F">
              <w:rPr>
                <w:i/>
                <w:lang w:val="fr-FR"/>
              </w:rPr>
              <w:tab/>
              <w:t xml:space="preserve">L’évaluation doit être effectuée dans le cadre d’un système de gestion de la qualité (tel que le programme décrit au </w:t>
            </w:r>
            <w:r w:rsidR="00695AA0" w:rsidRPr="00F9527F">
              <w:rPr>
                <w:i/>
                <w:lang w:val="fr-FR"/>
              </w:rPr>
              <w:t>2.2.9.1.7</w:t>
            </w:r>
            <w:r w:rsidRPr="00F9527F">
              <w:rPr>
                <w:i/>
                <w:lang w:val="fr-FR"/>
              </w:rPr>
              <w:t xml:space="preserve"> e)) permettant d’assurer la traçabilité des résultats des épreuves, des données de référence ainsi que des modèles de caractérisation utilisés;</w:t>
            </w:r>
          </w:p>
        </w:tc>
      </w:tr>
      <w:tr w:rsidR="00A074FC" w:rsidRPr="00F9527F" w14:paraId="729B49AB"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FDBE98B" w14:textId="65D0D63C" w:rsidR="00E93B06" w:rsidRPr="00F9527F" w:rsidRDefault="00E93B06" w:rsidP="00076867">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F9527F">
              <w:rPr>
                <w:i/>
                <w:lang w:val="fr-FR"/>
              </w:rPr>
              <w:lastRenderedPageBreak/>
              <w:tab/>
              <w:t xml:space="preserve">b) </w:t>
            </w:r>
            <w:r w:rsidRPr="00F9527F">
              <w:rPr>
                <w:i/>
                <w:lang w:val="fr-FR"/>
              </w:rPr>
              <w:tab/>
              <w:t xml:space="preserve">Les dangers attendus en cas d’emballement thermique pour le type de batterie transportée, dans les conditions de transport prévues (par exemple, l’utilisation d’un emballage intérieur, le niveau de charge, l’utilisation d’un rembourrage non combustible, non conducteur d’électricité et absorbant suffisant etc.), doivent être clairement définis et quantifiés; la liste de référence des dangers possibles pour les batteries au lithium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w:t>
            </w:r>
            <w:r w:rsidR="00076867" w:rsidRPr="00F9527F">
              <w:rPr>
                <w:i/>
                <w:lang w:val="fr-FR"/>
              </w:rPr>
              <w:t xml:space="preserve">la littérature </w:t>
            </w:r>
            <w:r w:rsidRPr="00F9527F">
              <w:rPr>
                <w:i/>
                <w:lang w:val="fr-FR"/>
              </w:rPr>
              <w:t>scientifique</w:t>
            </w:r>
            <w:r w:rsidR="00076867" w:rsidRPr="00F9527F">
              <w:rPr>
                <w:i/>
                <w:lang w:val="fr-FR"/>
              </w:rPr>
              <w:t xml:space="preserve"> disponible</w:t>
            </w:r>
            <w:r w:rsidRPr="00F9527F">
              <w:rPr>
                <w:i/>
                <w:lang w:val="fr-FR"/>
              </w:rPr>
              <w:t>;</w:t>
            </w:r>
          </w:p>
        </w:tc>
      </w:tr>
      <w:tr w:rsidR="00A074FC" w:rsidRPr="00F9527F" w14:paraId="47FE1D94"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A660C99" w14:textId="6CB31268" w:rsidR="00E93B06" w:rsidRPr="00F9527F"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F9527F">
              <w:rPr>
                <w:i/>
                <w:lang w:val="fr-FR"/>
              </w:rPr>
              <w:tab/>
              <w:t xml:space="preserve">c) </w:t>
            </w:r>
            <w:r w:rsidRPr="00F9527F">
              <w:rPr>
                <w:i/>
                <w:lang w:val="fr-FR"/>
              </w:rPr>
              <w:tab/>
              <w:t xml:space="preserve">Les effets d’atténuation de ces dangers, propres </w:t>
            </w:r>
            <w:r w:rsidR="00C81FB2" w:rsidRPr="00F9527F">
              <w:rPr>
                <w:i/>
                <w:lang w:val="fr-FR"/>
              </w:rPr>
              <w:t xml:space="preserve">au grand </w:t>
            </w:r>
            <w:r w:rsidRPr="00F9527F">
              <w:rPr>
                <w:i/>
                <w:lang w:val="fr-FR"/>
              </w:rPr>
              <w:t>emballage, doivent être déterminés et caractérisés, en fonction du type de protection offerte par celui-ci et des propriétés des matériaux qui le constituent. Cette évaluation doit être accompagnée d’une liste des caractéristiques techniques et de schémas techniques (densité [kg·m</w:t>
            </w:r>
            <w:r w:rsidRPr="00F9527F">
              <w:rPr>
                <w:i/>
                <w:vertAlign w:val="superscript"/>
                <w:lang w:val="fr-FR"/>
              </w:rPr>
              <w:t>-</w:t>
            </w:r>
            <w:r w:rsidRPr="00F9527F">
              <w:rPr>
                <w:i/>
                <w:lang w:val="fr-FR"/>
              </w:rPr>
              <w:t>³], capacité calorifique [J·kg</w:t>
            </w:r>
            <w:r w:rsidRPr="00F9527F">
              <w:rPr>
                <w:i/>
                <w:vertAlign w:val="superscript"/>
                <w:lang w:val="fr-FR"/>
              </w:rPr>
              <w:t>-1</w:t>
            </w:r>
            <w:r w:rsidRPr="00F9527F">
              <w:rPr>
                <w:i/>
                <w:lang w:val="fr-FR"/>
              </w:rPr>
              <w:t>·K</w:t>
            </w:r>
            <w:r w:rsidRPr="00F9527F">
              <w:rPr>
                <w:i/>
                <w:vertAlign w:val="superscript"/>
                <w:lang w:val="fr-FR"/>
              </w:rPr>
              <w:t>-1</w:t>
            </w:r>
            <w:r w:rsidRPr="00F9527F">
              <w:rPr>
                <w:i/>
                <w:lang w:val="fr-FR"/>
              </w:rPr>
              <w:t>], pouvoir calorifique [</w:t>
            </w:r>
            <w:r w:rsidR="00C81FB2" w:rsidRPr="00F9527F">
              <w:rPr>
                <w:i/>
                <w:lang w:val="fr-FR"/>
              </w:rPr>
              <w:t>k</w:t>
            </w:r>
            <w:r w:rsidRPr="00F9527F">
              <w:rPr>
                <w:i/>
                <w:lang w:val="fr-FR"/>
              </w:rPr>
              <w:t>J·kg</w:t>
            </w:r>
            <w:r w:rsidRPr="00F9527F">
              <w:rPr>
                <w:i/>
                <w:vertAlign w:val="superscript"/>
                <w:lang w:val="fr-FR"/>
              </w:rPr>
              <w:t>-1</w:t>
            </w:r>
            <w:r w:rsidRPr="00F9527F">
              <w:rPr>
                <w:i/>
                <w:lang w:val="fr-FR"/>
              </w:rPr>
              <w:t>], conductivité thermique [W·m</w:t>
            </w:r>
            <w:r w:rsidRPr="00F9527F">
              <w:rPr>
                <w:i/>
                <w:vertAlign w:val="superscript"/>
                <w:lang w:val="fr-FR"/>
              </w:rPr>
              <w:t>-1</w:t>
            </w:r>
            <w:r w:rsidRPr="00F9527F">
              <w:rPr>
                <w:i/>
                <w:lang w:val="fr-FR"/>
              </w:rPr>
              <w:t>·K</w:t>
            </w:r>
            <w:r w:rsidRPr="00F9527F">
              <w:rPr>
                <w:i/>
                <w:vertAlign w:val="superscript"/>
                <w:lang w:val="fr-FR"/>
              </w:rPr>
              <w:t>-1</w:t>
            </w:r>
            <w:r w:rsidRPr="00F9527F">
              <w:rPr>
                <w:i/>
                <w:lang w:val="fr-FR"/>
              </w:rPr>
              <w:t>], température de fusion et température d’inflammation [K], coefficient de transmission thermique de l’emballage extérieur [W·m</w:t>
            </w:r>
            <w:r w:rsidRPr="00F9527F">
              <w:rPr>
                <w:i/>
                <w:vertAlign w:val="superscript"/>
                <w:lang w:val="fr-FR"/>
              </w:rPr>
              <w:t>-2</w:t>
            </w:r>
            <w:r w:rsidRPr="00F9527F">
              <w:rPr>
                <w:i/>
                <w:lang w:val="fr-FR"/>
              </w:rPr>
              <w:t>·K</w:t>
            </w:r>
            <w:r w:rsidRPr="00F9527F">
              <w:rPr>
                <w:i/>
                <w:vertAlign w:val="superscript"/>
                <w:lang w:val="fr-FR"/>
              </w:rPr>
              <w:t>-1</w:t>
            </w:r>
            <w:r w:rsidRPr="00F9527F">
              <w:rPr>
                <w:i/>
                <w:lang w:val="fr-FR"/>
              </w:rPr>
              <w:t>], …);</w:t>
            </w:r>
          </w:p>
        </w:tc>
      </w:tr>
      <w:tr w:rsidR="00A074FC" w:rsidRPr="00F9527F" w14:paraId="6CA4D532"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AC181FE" w14:textId="34094164" w:rsidR="00E93B06" w:rsidRPr="00F9527F"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F9527F">
              <w:rPr>
                <w:i/>
                <w:lang w:val="fr-FR"/>
              </w:rPr>
              <w:tab/>
              <w:t xml:space="preserve">d) </w:t>
            </w:r>
            <w:r w:rsidRPr="00F9527F">
              <w:rPr>
                <w:i/>
                <w:lang w:val="fr-FR"/>
              </w:rPr>
              <w:tab/>
              <w:t xml:space="preserve">L’épreuve et tous calculs justificatifs doivent évaluer le résultat de l’emballement thermique de la batterie à l’intérieur </w:t>
            </w:r>
            <w:r w:rsidR="00C81FB2" w:rsidRPr="00F9527F">
              <w:rPr>
                <w:i/>
                <w:lang w:val="fr-FR"/>
              </w:rPr>
              <w:t xml:space="preserve">du grand </w:t>
            </w:r>
            <w:r w:rsidRPr="00F9527F">
              <w:rPr>
                <w:i/>
                <w:lang w:val="fr-FR"/>
              </w:rPr>
              <w:t xml:space="preserve">emballage, dans des conditions </w:t>
            </w:r>
            <w:r w:rsidR="00C81FB2" w:rsidRPr="00F9527F">
              <w:rPr>
                <w:i/>
                <w:lang w:val="fr-FR"/>
              </w:rPr>
              <w:t xml:space="preserve">normales </w:t>
            </w:r>
            <w:r w:rsidRPr="00F9527F">
              <w:rPr>
                <w:i/>
                <w:lang w:val="fr-FR"/>
              </w:rPr>
              <w:t>de transport;</w:t>
            </w:r>
          </w:p>
        </w:tc>
      </w:tr>
      <w:tr w:rsidR="00A074FC" w:rsidRPr="00F9527F" w14:paraId="6590EF08"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A93DCF9" w14:textId="2D23B60F" w:rsidR="00E93B06" w:rsidRPr="00F9527F"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F9527F">
              <w:rPr>
                <w:i/>
                <w:lang w:val="fr-FR"/>
              </w:rPr>
              <w:tab/>
              <w:t xml:space="preserve">e) </w:t>
            </w:r>
            <w:r w:rsidRPr="00F9527F">
              <w:rPr>
                <w:i/>
                <w:lang w:val="fr-FR"/>
              </w:rPr>
              <w:tab/>
              <w:t xml:space="preserve">Dans les cas où le niveau de charge de la batterie est inconnu, l’évaluation doit être faite avec le niveau de charge </w:t>
            </w:r>
            <w:r w:rsidR="00C81FB2" w:rsidRPr="00F9527F">
              <w:rPr>
                <w:i/>
                <w:lang w:val="fr-FR"/>
              </w:rPr>
              <w:t xml:space="preserve">le plus haut </w:t>
            </w:r>
            <w:r w:rsidRPr="00F9527F">
              <w:rPr>
                <w:i/>
                <w:lang w:val="fr-FR"/>
              </w:rPr>
              <w:t>possible correspondant aux conditions d’utilisation de la batterie;</w:t>
            </w:r>
          </w:p>
        </w:tc>
      </w:tr>
      <w:tr w:rsidR="00A074FC" w:rsidRPr="00F9527F" w14:paraId="18C86BD7"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42EF70D" w14:textId="55EF4733" w:rsidR="00E93B06" w:rsidRPr="00F9527F" w:rsidRDefault="00E93B06" w:rsidP="00695AA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F9527F">
              <w:rPr>
                <w:i/>
                <w:lang w:val="fr-FR"/>
              </w:rPr>
              <w:tab/>
              <w:t xml:space="preserve">f) </w:t>
            </w:r>
            <w:r w:rsidRPr="00F9527F">
              <w:rPr>
                <w:i/>
                <w:lang w:val="fr-FR"/>
              </w:rPr>
              <w:tab/>
              <w:t xml:space="preserve">Les conditions environnantes dans lesquelles </w:t>
            </w:r>
            <w:r w:rsidR="00C81FB2" w:rsidRPr="00F9527F">
              <w:rPr>
                <w:i/>
                <w:lang w:val="fr-FR"/>
              </w:rPr>
              <w:t xml:space="preserve">le grand </w:t>
            </w:r>
            <w:r w:rsidRPr="00F9527F">
              <w:rPr>
                <w:i/>
                <w:lang w:val="fr-FR"/>
              </w:rPr>
              <w:t xml:space="preserve">emballage peut être utilisé et transporté doivent être décrites (y compris pour les conséquences possibles d’émissions de gaz ou de fumées sur l’environnement telles que ventilation ou autres méthode) en relation avec le système de gestion des flux de gaz </w:t>
            </w:r>
            <w:r w:rsidR="00695AA0" w:rsidRPr="00F9527F">
              <w:rPr>
                <w:i/>
                <w:lang w:val="fr-FR"/>
              </w:rPr>
              <w:t xml:space="preserve">du grand </w:t>
            </w:r>
            <w:r w:rsidRPr="00F9527F">
              <w:rPr>
                <w:i/>
                <w:lang w:val="fr-FR"/>
              </w:rPr>
              <w:t>emballage;</w:t>
            </w:r>
          </w:p>
        </w:tc>
      </w:tr>
      <w:tr w:rsidR="00A074FC" w:rsidRPr="00F9527F" w14:paraId="6A074164"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5BDDE0D5" w14:textId="52FF3F17" w:rsidR="00E93B06" w:rsidRPr="00F9527F"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F9527F">
              <w:rPr>
                <w:i/>
                <w:lang w:val="fr-FR"/>
              </w:rPr>
              <w:tab/>
              <w:t xml:space="preserve">g) </w:t>
            </w:r>
            <w:r w:rsidRPr="00F9527F">
              <w:rPr>
                <w:i/>
                <w:lang w:val="fr-FR"/>
              </w:rPr>
              <w:tab/>
              <w:t xml:space="preserve">Les épreuves ou le calcul type doivent reposer sur l’hypothèse la plus pessimiste en ce qui concerne le déclenchement de l’emballement thermique et sa propagation à l’intérieur de la batterie, en postulant la pire défaillance possible au niveau des conditions </w:t>
            </w:r>
            <w:r w:rsidR="00C81FB2" w:rsidRPr="00F9527F">
              <w:rPr>
                <w:i/>
                <w:lang w:val="fr-FR"/>
              </w:rPr>
              <w:t xml:space="preserve">normales </w:t>
            </w:r>
            <w:r w:rsidRPr="00F9527F">
              <w:rPr>
                <w:i/>
                <w:lang w:val="fr-FR"/>
              </w:rPr>
              <w:t>de transport, ainsi que les niveaux de chaleur et d’émission de flammes les plus élevés, afin d’évaluer les possibilités de propagation de la réaction;</w:t>
            </w:r>
          </w:p>
        </w:tc>
      </w:tr>
      <w:tr w:rsidR="00A074FC" w:rsidRPr="00F9527F" w14:paraId="301EA4BC" w14:textId="77777777"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3647664" w14:textId="578B52A8" w:rsidR="00E93B06" w:rsidRPr="00F9527F" w:rsidRDefault="00E93B06" w:rsidP="006201FD">
            <w:pPr>
              <w:tabs>
                <w:tab w:val="left" w:pos="791"/>
              </w:tabs>
              <w:suppressAutoHyphens w:val="0"/>
              <w:spacing w:before="60" w:after="60" w:line="240" w:lineRule="auto"/>
              <w:ind w:left="366" w:hanging="426"/>
              <w:jc w:val="both"/>
              <w:rPr>
                <w:i/>
                <w:lang w:val="fr-FR"/>
              </w:rPr>
            </w:pPr>
            <w:r w:rsidRPr="00F9527F">
              <w:rPr>
                <w:i/>
                <w:lang w:val="fr-FR"/>
              </w:rPr>
              <w:tab/>
              <w:t xml:space="preserve">h) </w:t>
            </w:r>
            <w:r w:rsidRPr="00F9527F">
              <w:rPr>
                <w:i/>
                <w:lang w:val="fr-FR"/>
              </w:rPr>
              <w:tab/>
            </w:r>
            <w:r w:rsidR="00695AA0" w:rsidRPr="00F9527F">
              <w:rPr>
                <w:i/>
                <w:lang w:val="fr-FR"/>
              </w:rPr>
              <w:t>Ces scénarios doivent être évalués sur une période suffisamment longue pour permettre l'apparition de toutes les conséquences possibles (par exemple, 24 heures).</w:t>
            </w:r>
          </w:p>
        </w:tc>
      </w:tr>
      <w:tr w:rsidR="00A074FC" w:rsidRPr="00F9527F" w14:paraId="4F5F8C29" w14:textId="77777777" w:rsidTr="00FC7059">
        <w:trPr>
          <w:cantSplit/>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22A281F0" w14:textId="77777777" w:rsidR="00E93B06" w:rsidRPr="00F9527F"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p>
        </w:tc>
      </w:tr>
    </w:tbl>
    <w:p w14:paraId="115564CB" w14:textId="144DEEDA" w:rsidR="00196C06" w:rsidRPr="00F9527F" w:rsidRDefault="00196C06" w:rsidP="004215B9">
      <w:pPr>
        <w:spacing w:before="120" w:after="120" w:line="240" w:lineRule="auto"/>
        <w:ind w:left="1134" w:right="1134"/>
        <w:jc w:val="both"/>
        <w:rPr>
          <w:lang w:val="fr-FR"/>
        </w:rPr>
      </w:pPr>
      <w:r w:rsidRPr="00F9527F">
        <w:rPr>
          <w:lang w:val="fr-FR"/>
        </w:rPr>
        <w:t xml:space="preserve">4.1.5.12 </w:t>
      </w:r>
      <w:r w:rsidRPr="00F9527F">
        <w:rPr>
          <w:lang w:val="fr-FR"/>
        </w:rPr>
        <w:tab/>
        <w:t>Remplacer «</w:t>
      </w:r>
      <w:r w:rsidR="00844C40" w:rsidRPr="00F9527F">
        <w:rPr>
          <w:lang w:val="fr-FR"/>
        </w:rPr>
        <w:t> </w:t>
      </w:r>
      <w:r w:rsidRPr="00F9527F">
        <w:rPr>
          <w:lang w:val="fr-FR"/>
        </w:rPr>
        <w:t>division de risque</w:t>
      </w:r>
      <w:r w:rsidR="00844C40" w:rsidRPr="00F9527F">
        <w:rPr>
          <w:lang w:val="fr-FR"/>
        </w:rPr>
        <w:t> </w:t>
      </w:r>
      <w:r w:rsidRPr="00F9527F">
        <w:rPr>
          <w:lang w:val="fr-FR"/>
        </w:rPr>
        <w:t>» par «</w:t>
      </w:r>
      <w:r w:rsidR="00844C40" w:rsidRPr="00F9527F">
        <w:rPr>
          <w:lang w:val="fr-FR"/>
        </w:rPr>
        <w:t> </w:t>
      </w:r>
      <w:r w:rsidRPr="00F9527F">
        <w:rPr>
          <w:lang w:val="fr-FR"/>
        </w:rPr>
        <w:t>division de danger</w:t>
      </w:r>
      <w:r w:rsidR="00844C40" w:rsidRPr="00F9527F">
        <w:rPr>
          <w:lang w:val="fr-FR"/>
        </w:rPr>
        <w:t> </w:t>
      </w:r>
      <w:r w:rsidRPr="00F9527F">
        <w:rPr>
          <w:lang w:val="fr-FR"/>
        </w:rPr>
        <w:t>».</w:t>
      </w:r>
    </w:p>
    <w:p w14:paraId="6625BDE2" w14:textId="77777777" w:rsidR="00920159" w:rsidRPr="00F9527F" w:rsidRDefault="00920159" w:rsidP="00920159">
      <w:pPr>
        <w:pStyle w:val="SingleTxtG"/>
        <w:tabs>
          <w:tab w:val="left" w:pos="2268"/>
        </w:tabs>
        <w:rPr>
          <w:lang w:val="fr-FR" w:eastAsia="en-GB"/>
        </w:rPr>
      </w:pPr>
      <w:r w:rsidRPr="00F9527F">
        <w:rPr>
          <w:lang w:val="fr-FR" w:eastAsia="en-GB"/>
        </w:rPr>
        <w:t>4.1.6.4</w:t>
      </w:r>
      <w:r w:rsidRPr="00F9527F">
        <w:rPr>
          <w:lang w:val="fr-FR" w:eastAsia="en-GB"/>
        </w:rPr>
        <w:tab/>
        <w:t>Dans la dernière phrase, remplacer «</w:t>
      </w:r>
      <w:r w:rsidRPr="00F9527F">
        <w:rPr>
          <w:lang w:val="fr-FR"/>
        </w:rPr>
        <w:t> </w:t>
      </w:r>
      <w:r w:rsidRPr="00F9527F">
        <w:rPr>
          <w:lang w:val="fr-FR" w:eastAsia="en-GB"/>
        </w:rPr>
        <w:t>risque</w:t>
      </w:r>
      <w:r w:rsidRPr="00F9527F">
        <w:rPr>
          <w:lang w:val="fr-FR"/>
        </w:rPr>
        <w:t> </w:t>
      </w:r>
      <w:r w:rsidRPr="00F9527F">
        <w:rPr>
          <w:lang w:val="fr-FR" w:eastAsia="en-GB"/>
        </w:rPr>
        <w:t>» par «</w:t>
      </w:r>
      <w:r w:rsidRPr="00F9527F">
        <w:rPr>
          <w:lang w:val="fr-FR"/>
        </w:rPr>
        <w:t> </w:t>
      </w:r>
      <w:r w:rsidRPr="00F9527F">
        <w:rPr>
          <w:lang w:val="fr-FR" w:eastAsia="en-GB"/>
        </w:rPr>
        <w:t>danger</w:t>
      </w:r>
      <w:r w:rsidRPr="00F9527F">
        <w:rPr>
          <w:lang w:val="fr-FR"/>
        </w:rPr>
        <w:t> </w:t>
      </w:r>
      <w:r w:rsidRPr="00F9527F">
        <w:rPr>
          <w:lang w:val="fr-FR" w:eastAsia="en-GB"/>
        </w:rPr>
        <w:t>».</w:t>
      </w:r>
    </w:p>
    <w:p w14:paraId="114D7A08" w14:textId="715B89A0" w:rsidR="001660E2" w:rsidRPr="00CF7662" w:rsidRDefault="001660E2" w:rsidP="001660E2">
      <w:pPr>
        <w:pStyle w:val="SingleTxtG"/>
        <w:rPr>
          <w:lang w:val="fr-FR"/>
        </w:rPr>
      </w:pPr>
      <w:r w:rsidRPr="00CF7662">
        <w:rPr>
          <w:lang w:val="fr-FR"/>
        </w:rPr>
        <w:t>4.1.6.15</w:t>
      </w:r>
      <w:r w:rsidRPr="00CF7662">
        <w:rPr>
          <w:lang w:val="fr-FR"/>
        </w:rPr>
        <w:tab/>
        <w:t>Dans le tableau, dans la deuxième colonne, remplacer « ISO </w:t>
      </w:r>
      <w:r w:rsidRPr="00CF7662">
        <w:rPr>
          <w:rFonts w:cs="Arial"/>
          <w:szCs w:val="22"/>
          <w:lang w:val="fr-FR"/>
        </w:rPr>
        <w:t xml:space="preserve">11114-1:2012 » par </w:t>
      </w:r>
      <w:r w:rsidRPr="00CF7662">
        <w:rPr>
          <w:lang w:val="fr-FR"/>
        </w:rPr>
        <w:t>« EN ISO </w:t>
      </w:r>
      <w:r w:rsidRPr="00CF7662">
        <w:rPr>
          <w:rFonts w:cs="Arial"/>
          <w:szCs w:val="22"/>
          <w:lang w:val="fr-FR"/>
        </w:rPr>
        <w:t>11114-1:2012 + A1:2017 ».</w:t>
      </w:r>
    </w:p>
    <w:p w14:paraId="5071BF68" w14:textId="4409DA50" w:rsidR="001660E2" w:rsidRPr="00CF7662" w:rsidRDefault="001660E2" w:rsidP="001660E2">
      <w:pPr>
        <w:pStyle w:val="SingleTxtG"/>
        <w:rPr>
          <w:rFonts w:cs="Arial"/>
          <w:szCs w:val="22"/>
          <w:lang w:val="fr-FR"/>
        </w:rPr>
      </w:pPr>
      <w:r w:rsidRPr="00CF7662">
        <w:rPr>
          <w:lang w:val="fr-FR"/>
        </w:rPr>
        <w:t>4.1.6.15</w:t>
      </w:r>
      <w:r w:rsidRPr="00CF7662">
        <w:rPr>
          <w:lang w:val="fr-FR"/>
        </w:rPr>
        <w:tab/>
        <w:t>Dans le tableau, dans la deuxième colonne, remplacer « </w:t>
      </w:r>
      <w:r w:rsidRPr="00CF7662">
        <w:rPr>
          <w:rFonts w:cs="Arial"/>
          <w:szCs w:val="22"/>
          <w:lang w:val="fr-FR"/>
        </w:rPr>
        <w:t xml:space="preserve">Annexe A de ISO 10297:2006 </w:t>
      </w:r>
      <w:r w:rsidRPr="00CF7662">
        <w:rPr>
          <w:snapToGrid w:val="0"/>
          <w:szCs w:val="24"/>
          <w:lang w:val="fr-FR"/>
        </w:rPr>
        <w:t>ou annexe A de ISO 10297:2014 </w:t>
      </w:r>
      <w:r w:rsidRPr="00CF7662">
        <w:rPr>
          <w:rFonts w:cs="Arial"/>
          <w:szCs w:val="22"/>
          <w:lang w:val="fr-FR"/>
        </w:rPr>
        <w:t xml:space="preserve">» par </w:t>
      </w:r>
      <w:r w:rsidRPr="00CF7662">
        <w:rPr>
          <w:lang w:val="fr-FR"/>
        </w:rPr>
        <w:t>« </w:t>
      </w:r>
      <w:r w:rsidRPr="00CF7662">
        <w:rPr>
          <w:rFonts w:cs="Arial"/>
          <w:szCs w:val="22"/>
          <w:lang w:val="fr-FR"/>
        </w:rPr>
        <w:t xml:space="preserve">Annexe A de EN ISO 10297:2006 </w:t>
      </w:r>
      <w:r w:rsidRPr="00CF7662">
        <w:rPr>
          <w:snapToGrid w:val="0"/>
          <w:szCs w:val="24"/>
          <w:lang w:val="fr-FR"/>
        </w:rPr>
        <w:t>ou annexe A de EN ISO 10297:2014 ou annexe A de EN ISO 10297:2014+A1:2017 </w:t>
      </w:r>
      <w:r w:rsidRPr="00CF7662">
        <w:rPr>
          <w:rFonts w:cs="Arial"/>
          <w:szCs w:val="22"/>
          <w:lang w:val="fr-FR"/>
        </w:rPr>
        <w:t>».</w:t>
      </w:r>
    </w:p>
    <w:p w14:paraId="7A3591E9" w14:textId="77777777" w:rsidR="00CF3F0B" w:rsidRPr="009D7EFD" w:rsidRDefault="00CF3F0B" w:rsidP="00CF3F0B">
      <w:pPr>
        <w:pStyle w:val="SingleTxtG"/>
        <w:rPr>
          <w:iCs/>
          <w:lang w:val="fr-FR"/>
        </w:rPr>
      </w:pPr>
      <w:r w:rsidRPr="009D7EFD">
        <w:rPr>
          <w:iCs/>
          <w:lang w:val="fr-FR"/>
        </w:rPr>
        <w:t>4.1.6.15</w:t>
      </w:r>
      <w:r w:rsidRPr="009D7EFD">
        <w:rPr>
          <w:iCs/>
          <w:lang w:val="fr-FR"/>
        </w:rPr>
        <w:tab/>
        <w:t>Dans le tableau, pour « 4.1.6.8 Robinets munis d'une protection intégrée », ajouter la nouvelle ligne suivante :</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041"/>
        <w:gridCol w:w="2069"/>
        <w:gridCol w:w="5075"/>
      </w:tblGrid>
      <w:tr w:rsidR="00CF3F0B" w:rsidRPr="009D7EFD" w14:paraId="63F85F19" w14:textId="77777777" w:rsidTr="000B1500">
        <w:trPr>
          <w:trHeight w:val="227"/>
        </w:trPr>
        <w:tc>
          <w:tcPr>
            <w:tcW w:w="2041" w:type="dxa"/>
            <w:shd w:val="clear" w:color="auto" w:fill="auto"/>
            <w:vAlign w:val="center"/>
          </w:tcPr>
          <w:p w14:paraId="742B9812" w14:textId="77777777" w:rsidR="00CF3F0B" w:rsidRPr="009D7EFD" w:rsidRDefault="00CF3F0B" w:rsidP="000B1500">
            <w:pPr>
              <w:keepNext/>
              <w:ind w:hanging="22"/>
            </w:pPr>
            <w:r w:rsidRPr="009D7EFD">
              <w:rPr>
                <w:lang w:val="fr-FR"/>
              </w:rPr>
              <w:t xml:space="preserve">4.1.6.8 </w:t>
            </w:r>
            <w:r w:rsidRPr="009D7EFD">
              <w:rPr>
                <w:iCs/>
                <w:lang w:val="fr-FR"/>
              </w:rPr>
              <w:t>Robinets munis d'une protection intégrée</w:t>
            </w:r>
          </w:p>
        </w:tc>
        <w:tc>
          <w:tcPr>
            <w:tcW w:w="2069" w:type="dxa"/>
            <w:shd w:val="clear" w:color="auto" w:fill="auto"/>
            <w:vAlign w:val="center"/>
          </w:tcPr>
          <w:p w14:paraId="4775D144" w14:textId="77777777" w:rsidR="00CF3F0B" w:rsidRPr="009D7EFD" w:rsidRDefault="00CF3F0B" w:rsidP="000B1500">
            <w:pPr>
              <w:keepNext/>
              <w:ind w:hanging="22"/>
            </w:pPr>
            <w:r w:rsidRPr="009D7EFD">
              <w:rPr>
                <w:lang w:val="en-GB"/>
              </w:rPr>
              <w:t>EN ISO 17879:2017</w:t>
            </w:r>
          </w:p>
        </w:tc>
        <w:tc>
          <w:tcPr>
            <w:tcW w:w="5075" w:type="dxa"/>
            <w:shd w:val="clear" w:color="auto" w:fill="auto"/>
            <w:vAlign w:val="center"/>
          </w:tcPr>
          <w:p w14:paraId="0DE9F8BF" w14:textId="77777777" w:rsidR="00CF3F0B" w:rsidRPr="009D7EFD" w:rsidRDefault="00CF3F0B" w:rsidP="000B1500">
            <w:pPr>
              <w:spacing w:line="240" w:lineRule="auto"/>
            </w:pPr>
            <w:r w:rsidRPr="009D7EFD">
              <w:rPr>
                <w:lang w:val="fr-FR"/>
              </w:rPr>
              <w:t xml:space="preserve">Bouteilles à gaz </w:t>
            </w:r>
            <w:r w:rsidRPr="009D7EFD">
              <w:rPr>
                <w:bCs/>
                <w:lang w:val="fr-FR"/>
              </w:rPr>
              <w:t>−</w:t>
            </w:r>
            <w:r w:rsidRPr="009D7EFD">
              <w:rPr>
                <w:lang w:val="fr-FR"/>
              </w:rPr>
              <w:t xml:space="preserve"> Robinets de bouteilles équipés de clapets auto-obturants </w:t>
            </w:r>
            <w:r w:rsidRPr="009D7EFD">
              <w:rPr>
                <w:bCs/>
                <w:lang w:val="fr-FR"/>
              </w:rPr>
              <w:t>−</w:t>
            </w:r>
            <w:r w:rsidRPr="009D7EFD">
              <w:rPr>
                <w:lang w:val="fr-FR"/>
              </w:rPr>
              <w:t xml:space="preserve"> Spécifications et essais de type</w:t>
            </w:r>
          </w:p>
        </w:tc>
      </w:tr>
    </w:tbl>
    <w:p w14:paraId="69766235" w14:textId="7F72BDC3" w:rsidR="00196C06" w:rsidRPr="00F9527F" w:rsidRDefault="00196C06" w:rsidP="00286CE7">
      <w:pPr>
        <w:pStyle w:val="SingleTxtG"/>
        <w:spacing w:before="120"/>
        <w:rPr>
          <w:iCs/>
          <w:lang w:val="fr-FR"/>
        </w:rPr>
      </w:pPr>
      <w:r w:rsidRPr="00F9527F">
        <w:rPr>
          <w:iCs/>
          <w:lang w:val="fr-FR"/>
        </w:rPr>
        <w:t>4.1.9.1.5</w:t>
      </w:r>
      <w:r w:rsidRPr="00F9527F">
        <w:rPr>
          <w:iCs/>
          <w:lang w:val="fr-FR"/>
        </w:rPr>
        <w:tab/>
      </w:r>
      <w:r w:rsidR="00005F78" w:rsidRPr="00F9527F">
        <w:rPr>
          <w:lang w:val="fr-FR" w:eastAsia="en-GB"/>
        </w:rPr>
        <w:t>R</w:t>
      </w:r>
      <w:r w:rsidRPr="00F9527F">
        <w:rPr>
          <w:lang w:val="fr-FR" w:eastAsia="en-GB"/>
        </w:rPr>
        <w:t>emplacer «</w:t>
      </w:r>
      <w:r w:rsidR="00844C40" w:rsidRPr="00F9527F">
        <w:rPr>
          <w:lang w:val="fr-FR"/>
        </w:rPr>
        <w:t> </w:t>
      </w:r>
      <w:r w:rsidRPr="00F9527F">
        <w:rPr>
          <w:lang w:val="fr-FR" w:eastAsia="en-GB"/>
        </w:rPr>
        <w:t>risque</w:t>
      </w:r>
      <w:r w:rsidR="00844C40" w:rsidRPr="00F9527F">
        <w:rPr>
          <w:lang w:val="fr-FR"/>
        </w:rPr>
        <w:t> </w:t>
      </w:r>
      <w:r w:rsidRPr="00F9527F">
        <w:rPr>
          <w:lang w:val="fr-FR" w:eastAsia="en-GB"/>
        </w:rPr>
        <w:t>» par «</w:t>
      </w:r>
      <w:r w:rsidR="00844C40" w:rsidRPr="00F9527F">
        <w:rPr>
          <w:lang w:val="fr-FR"/>
        </w:rPr>
        <w:t> </w:t>
      </w:r>
      <w:r w:rsidRPr="00F9527F">
        <w:rPr>
          <w:lang w:val="fr-FR" w:eastAsia="en-GB"/>
        </w:rPr>
        <w:t>danger</w:t>
      </w:r>
      <w:r w:rsidR="00844C40" w:rsidRPr="00F9527F">
        <w:rPr>
          <w:lang w:val="fr-FR"/>
        </w:rPr>
        <w:t> </w:t>
      </w:r>
      <w:r w:rsidRPr="00F9527F">
        <w:rPr>
          <w:lang w:val="fr-FR" w:eastAsia="en-GB"/>
        </w:rPr>
        <w:t>» (deux fois).</w:t>
      </w:r>
    </w:p>
    <w:p w14:paraId="4BAE4A34" w14:textId="5A77DE4A" w:rsidR="001660E2" w:rsidRPr="00CF7662" w:rsidRDefault="001660E2" w:rsidP="001660E2">
      <w:pPr>
        <w:pStyle w:val="SingleTxtG"/>
        <w:rPr>
          <w:lang w:val="fr-FR"/>
        </w:rPr>
      </w:pPr>
      <w:r w:rsidRPr="00CF7662">
        <w:rPr>
          <w:bCs/>
          <w:lang w:val="fr-FR"/>
        </w:rPr>
        <w:t>4.1.10.4, MP24</w:t>
      </w:r>
      <w:r w:rsidRPr="00CF7662">
        <w:rPr>
          <w:bCs/>
          <w:lang w:val="fr-FR"/>
        </w:rPr>
        <w:tab/>
      </w:r>
      <w:r w:rsidRPr="00CF7662">
        <w:rPr>
          <w:lang w:val="fr-FR"/>
        </w:rPr>
        <w:t>Dans le tableau, ajouter une nouvelle colonne et une nouvelle ligne pour le No ONU 0509. Dans la colonne/ligne pour le No ONU 0509, insérer la lettre « B » en regard des Nos ONU 0027, 0028, 0044, 0160 et 0161.</w:t>
      </w:r>
    </w:p>
    <w:p w14:paraId="5B9409CD" w14:textId="58B4925F" w:rsidR="00196C06" w:rsidRPr="00F9527F" w:rsidRDefault="00031D11" w:rsidP="00196C06">
      <w:pPr>
        <w:pStyle w:val="H1G"/>
        <w:rPr>
          <w:lang w:val="fr-FR"/>
        </w:rPr>
      </w:pPr>
      <w:r>
        <w:rPr>
          <w:lang w:val="fr-FR"/>
        </w:rPr>
        <w:lastRenderedPageBreak/>
        <w:tab/>
      </w:r>
      <w:r>
        <w:rPr>
          <w:lang w:val="fr-FR"/>
        </w:rPr>
        <w:tab/>
      </w:r>
      <w:r w:rsidR="00196C06" w:rsidRPr="00F9527F">
        <w:rPr>
          <w:lang w:val="fr-FR"/>
        </w:rPr>
        <w:tab/>
        <w:t>Chapitre 4.2</w:t>
      </w:r>
    </w:p>
    <w:p w14:paraId="5948E5FF" w14:textId="200E611D" w:rsidR="00196C06" w:rsidRPr="00F9527F" w:rsidRDefault="00196C06" w:rsidP="00196C06">
      <w:pPr>
        <w:spacing w:before="120" w:after="120" w:line="240" w:lineRule="auto"/>
        <w:ind w:left="1134" w:right="1134"/>
        <w:jc w:val="both"/>
        <w:rPr>
          <w:iCs/>
          <w:lang w:val="fr-FR"/>
        </w:rPr>
      </w:pPr>
      <w:r w:rsidRPr="00F9527F">
        <w:rPr>
          <w:iCs/>
          <w:lang w:val="fr-FR"/>
        </w:rPr>
        <w:t>4.2.1.19.1</w:t>
      </w:r>
      <w:r w:rsidRPr="00F9527F">
        <w:rPr>
          <w:iCs/>
          <w:lang w:val="fr-FR"/>
        </w:rPr>
        <w:tab/>
      </w:r>
      <w:r w:rsidRPr="00F9527F">
        <w:rPr>
          <w:lang w:val="fr-FR" w:eastAsia="en-GB"/>
        </w:rPr>
        <w:t>Remplacer «</w:t>
      </w:r>
      <w:r w:rsidR="00844C40" w:rsidRPr="00F9527F">
        <w:rPr>
          <w:lang w:val="fr-FR"/>
        </w:rPr>
        <w:t> </w:t>
      </w:r>
      <w:r w:rsidRPr="00F9527F">
        <w:rPr>
          <w:lang w:val="fr-FR" w:eastAsia="en-GB"/>
        </w:rPr>
        <w:t>risques</w:t>
      </w:r>
      <w:r w:rsidR="00844C40" w:rsidRPr="00F9527F">
        <w:rPr>
          <w:lang w:val="fr-FR"/>
        </w:rPr>
        <w:t> </w:t>
      </w:r>
      <w:r w:rsidRPr="00F9527F">
        <w:rPr>
          <w:lang w:val="fr-FR" w:eastAsia="en-GB"/>
        </w:rPr>
        <w:t>» par «</w:t>
      </w:r>
      <w:r w:rsidR="00844C40" w:rsidRPr="00F9527F">
        <w:rPr>
          <w:lang w:val="fr-FR"/>
        </w:rPr>
        <w:t> </w:t>
      </w:r>
      <w:r w:rsidRPr="00F9527F">
        <w:rPr>
          <w:lang w:val="fr-FR" w:eastAsia="en-GB"/>
        </w:rPr>
        <w:t>dangers</w:t>
      </w:r>
      <w:r w:rsidR="00844C40" w:rsidRPr="00F9527F">
        <w:rPr>
          <w:lang w:val="fr-FR"/>
        </w:rPr>
        <w:t> </w:t>
      </w:r>
      <w:r w:rsidRPr="00F9527F">
        <w:rPr>
          <w:lang w:val="fr-FR" w:eastAsia="en-GB"/>
        </w:rPr>
        <w:t>».</w:t>
      </w:r>
    </w:p>
    <w:p w14:paraId="710023C6" w14:textId="23B86DF1" w:rsidR="00F9527F" w:rsidRPr="00154472" w:rsidRDefault="00F9527F" w:rsidP="00F9527F">
      <w:pPr>
        <w:spacing w:before="120" w:after="120" w:line="240" w:lineRule="auto"/>
        <w:ind w:left="1134" w:right="1134"/>
        <w:jc w:val="both"/>
        <w:rPr>
          <w:lang w:val="fr-FR"/>
        </w:rPr>
      </w:pPr>
      <w:r w:rsidRPr="00154472">
        <w:rPr>
          <w:lang w:val="fr-FR"/>
        </w:rPr>
        <w:t xml:space="preserve">4.2.5.2.6, </w:t>
      </w:r>
      <w:r w:rsidRPr="00154472">
        <w:rPr>
          <w:iCs/>
          <w:lang w:val="fr-FR"/>
        </w:rPr>
        <w:t xml:space="preserve">instruction de transport en citernes mobiles </w:t>
      </w:r>
      <w:r w:rsidRPr="00154472">
        <w:rPr>
          <w:lang w:val="fr-FR"/>
        </w:rPr>
        <w:t>T23</w:t>
      </w:r>
      <w:r w:rsidRPr="00154472">
        <w:rPr>
          <w:lang w:val="fr-FR"/>
        </w:rPr>
        <w:tab/>
        <w:t>Dans la première ligne sous le titre, ajouter la nouvelle phrase suivante à la fin : « Les préparations énumérées ci-après peuvent également être transportées emballées conformément à la méthode d’emballage OP8 de l’instruction d’emballage P520 du 4.1.4.1, avec les mêmes températures de régulation et critiques, le cas échéant. ».</w:t>
      </w:r>
    </w:p>
    <w:p w14:paraId="78922B55" w14:textId="3AA778CE" w:rsidR="00196C06" w:rsidRPr="00F9527F" w:rsidRDefault="00196C06" w:rsidP="00196C06">
      <w:pPr>
        <w:spacing w:before="120" w:after="120" w:line="240" w:lineRule="auto"/>
        <w:ind w:left="1134" w:right="1134"/>
        <w:jc w:val="both"/>
        <w:rPr>
          <w:iCs/>
          <w:lang w:val="fr-FR"/>
        </w:rPr>
      </w:pPr>
      <w:r w:rsidRPr="00F9527F">
        <w:rPr>
          <w:iCs/>
          <w:lang w:val="fr-FR"/>
        </w:rPr>
        <w:t>4.2.5.2.6, instruction de transport en citernes mobiles T23</w:t>
      </w:r>
      <w:r w:rsidRPr="00F9527F">
        <w:rPr>
          <w:iCs/>
          <w:lang w:val="fr-FR"/>
        </w:rPr>
        <w:tab/>
        <w:t>Dans la note de bas de page d, à la fin, remplacer «</w:t>
      </w:r>
      <w:r w:rsidR="00844C40" w:rsidRPr="00F9527F">
        <w:rPr>
          <w:lang w:val="fr-FR"/>
        </w:rPr>
        <w:t> </w:t>
      </w:r>
      <w:r w:rsidRPr="00F9527F">
        <w:rPr>
          <w:iCs/>
          <w:lang w:val="fr-FR"/>
        </w:rPr>
        <w:t>risque</w:t>
      </w:r>
      <w:r w:rsidR="00844C40" w:rsidRPr="00F9527F">
        <w:rPr>
          <w:lang w:val="fr-FR"/>
        </w:rPr>
        <w:t> </w:t>
      </w:r>
      <w:r w:rsidRPr="00F9527F">
        <w:rPr>
          <w:iCs/>
          <w:lang w:val="fr-FR"/>
        </w:rPr>
        <w:t>» par «</w:t>
      </w:r>
      <w:r w:rsidR="00844C40" w:rsidRPr="00F9527F">
        <w:rPr>
          <w:lang w:val="fr-FR"/>
        </w:rPr>
        <w:t> </w:t>
      </w:r>
      <w:r w:rsidRPr="00F9527F">
        <w:rPr>
          <w:iCs/>
          <w:lang w:val="fr-FR"/>
        </w:rPr>
        <w:t>danger</w:t>
      </w:r>
      <w:r w:rsidR="00844C40" w:rsidRPr="00F9527F">
        <w:rPr>
          <w:lang w:val="fr-FR"/>
        </w:rPr>
        <w:t> </w:t>
      </w:r>
      <w:r w:rsidRPr="00F9527F">
        <w:rPr>
          <w:iCs/>
          <w:lang w:val="fr-FR"/>
        </w:rPr>
        <w:t>».</w:t>
      </w:r>
    </w:p>
    <w:p w14:paraId="6B542D7B" w14:textId="14B9138B" w:rsidR="008851A3" w:rsidRPr="00826B2C" w:rsidRDefault="008851A3" w:rsidP="008851A3">
      <w:pPr>
        <w:pStyle w:val="SingleTxtG"/>
        <w:rPr>
          <w:lang w:val="fr-FR"/>
        </w:rPr>
      </w:pPr>
      <w:r w:rsidRPr="00826B2C">
        <w:rPr>
          <w:lang w:val="fr-FR"/>
        </w:rPr>
        <w:t xml:space="preserve">4.2.5.3, </w:t>
      </w:r>
      <w:r w:rsidR="001A6331" w:rsidRPr="00826B2C">
        <w:rPr>
          <w:lang w:val="fr-FR"/>
        </w:rPr>
        <w:t>d</w:t>
      </w:r>
      <w:r w:rsidR="006A1C0A" w:rsidRPr="00826B2C">
        <w:rPr>
          <w:lang w:val="fr-FR"/>
        </w:rPr>
        <w:t>isposition spéciale</w:t>
      </w:r>
      <w:r w:rsidR="001A6331" w:rsidRPr="00826B2C">
        <w:rPr>
          <w:lang w:val="fr-FR"/>
        </w:rPr>
        <w:t xml:space="preserve"> </w:t>
      </w:r>
      <w:r w:rsidRPr="00826B2C">
        <w:rPr>
          <w:lang w:val="fr-FR"/>
        </w:rPr>
        <w:t>TP10</w:t>
      </w:r>
      <w:r w:rsidRPr="00826B2C">
        <w:rPr>
          <w:lang w:val="fr-FR"/>
        </w:rPr>
        <w:tab/>
        <w:t>Ajouter la nouvelle phrase suivante à la fin</w:t>
      </w:r>
      <w:r w:rsidR="00844C40" w:rsidRPr="00826B2C">
        <w:rPr>
          <w:lang w:val="fr-FR"/>
        </w:rPr>
        <w:t> </w:t>
      </w:r>
      <w:r w:rsidRPr="00826B2C">
        <w:rPr>
          <w:lang w:val="fr-FR"/>
        </w:rPr>
        <w:t>: «</w:t>
      </w:r>
      <w:r w:rsidR="00844C40" w:rsidRPr="00826B2C">
        <w:rPr>
          <w:lang w:val="fr-FR"/>
        </w:rPr>
        <w:t> </w:t>
      </w:r>
      <w:r w:rsidRPr="00826B2C">
        <w:rPr>
          <w:lang w:val="fr-FR"/>
        </w:rPr>
        <w:t>Une citerne mobile peut être présentée au transport après la date d’expiration de la validité du dernier contrôle du revêtement pour une période ne dépassant pas trois mois après cette date, après vidange mais avant nettoyage, pour être soumise à la prochaine épreuve ou au prochain contrôle avant d’être à nouveau remplie.</w:t>
      </w:r>
      <w:r w:rsidR="00844C40" w:rsidRPr="00826B2C">
        <w:rPr>
          <w:lang w:val="fr-FR"/>
        </w:rPr>
        <w:t> </w:t>
      </w:r>
      <w:r w:rsidRPr="00826B2C">
        <w:rPr>
          <w:lang w:val="fr-FR"/>
        </w:rPr>
        <w:t>».</w:t>
      </w:r>
    </w:p>
    <w:p w14:paraId="22EB57E3" w14:textId="410C9727" w:rsidR="00CC6319" w:rsidRPr="005C3B29" w:rsidRDefault="00CC6319" w:rsidP="00CC6319">
      <w:pPr>
        <w:pStyle w:val="SingleTxtG"/>
        <w:rPr>
          <w:i/>
          <w:lang w:val="fr-FR"/>
        </w:rPr>
      </w:pPr>
      <w:r w:rsidRPr="005C3B29">
        <w:rPr>
          <w:lang w:val="fr-FR"/>
        </w:rPr>
        <w:t xml:space="preserve">4.2.5.3, dispositions spéciales TP38 et TP39 </w:t>
      </w:r>
      <w:r w:rsidRPr="005C3B29">
        <w:rPr>
          <w:lang w:val="fr-FR"/>
        </w:rPr>
        <w:tab/>
        <w:t>Supprimer et ajouter « </w:t>
      </w:r>
      <w:r w:rsidRPr="005C3B29">
        <w:rPr>
          <w:i/>
          <w:lang w:val="fr-FR"/>
        </w:rPr>
        <w:t>Supprimé</w:t>
      </w:r>
      <w:r w:rsidRPr="005C3B29">
        <w:rPr>
          <w:lang w:val="fr-FR"/>
        </w:rPr>
        <w:t> ».</w:t>
      </w:r>
    </w:p>
    <w:p w14:paraId="1902720C" w14:textId="77777777" w:rsidR="00196C06" w:rsidRPr="00826B2C" w:rsidRDefault="00196C06" w:rsidP="00196C06">
      <w:pPr>
        <w:pStyle w:val="H1G"/>
        <w:rPr>
          <w:lang w:val="fr-FR"/>
        </w:rPr>
      </w:pPr>
      <w:r w:rsidRPr="00826B2C">
        <w:rPr>
          <w:lang w:val="fr-FR"/>
        </w:rPr>
        <w:tab/>
      </w:r>
      <w:r w:rsidRPr="00826B2C">
        <w:rPr>
          <w:lang w:val="fr-FR"/>
        </w:rPr>
        <w:tab/>
        <w:t>Chapitre 4.3</w:t>
      </w:r>
    </w:p>
    <w:p w14:paraId="69F6020D" w14:textId="1D6782AE" w:rsidR="00005F78" w:rsidRPr="00826B2C" w:rsidRDefault="00005F78" w:rsidP="00005F78">
      <w:pPr>
        <w:spacing w:before="120" w:after="120" w:line="240" w:lineRule="auto"/>
        <w:ind w:left="1134" w:right="1134"/>
        <w:jc w:val="both"/>
        <w:rPr>
          <w:lang w:val="fr-FR" w:eastAsia="en-GB"/>
        </w:rPr>
      </w:pPr>
      <w:r w:rsidRPr="00826B2C">
        <w:rPr>
          <w:lang w:val="fr-FR"/>
        </w:rPr>
        <w:t>4.3.2.2.1</w:t>
      </w:r>
      <w:r w:rsidRPr="00826B2C">
        <w:rPr>
          <w:lang w:val="fr-FR"/>
        </w:rPr>
        <w:tab/>
      </w:r>
      <w:r w:rsidRPr="00826B2C">
        <w:rPr>
          <w:lang w:val="fr-FR" w:eastAsia="en-GB"/>
        </w:rPr>
        <w:t>L’amendement ne s’applique pas au texte français.</w:t>
      </w:r>
    </w:p>
    <w:p w14:paraId="761855BE" w14:textId="77777777" w:rsidR="002F5575" w:rsidRPr="00F26437" w:rsidRDefault="002F5575" w:rsidP="002F5575">
      <w:pPr>
        <w:pStyle w:val="SingleTxtG"/>
        <w:rPr>
          <w:lang w:val="fr-FR"/>
        </w:rPr>
      </w:pPr>
      <w:r w:rsidRPr="00F26437">
        <w:rPr>
          <w:lang w:val="fr-FR"/>
        </w:rPr>
        <w:t>4.3.3.5</w:t>
      </w:r>
      <w:r w:rsidRPr="00F26437">
        <w:rPr>
          <w:lang w:val="fr-FR"/>
        </w:rPr>
        <w:tab/>
      </w:r>
      <w:r w:rsidRPr="00F26437">
        <w:rPr>
          <w:lang w:val="fr-FR"/>
        </w:rPr>
        <w:tab/>
        <w:t>Renuméroter le deuxième paragraphe, commençant par « </w:t>
      </w:r>
      <w:r w:rsidRPr="00F26437">
        <w:t>Les conteneur-citernes ne doivent pas être présentés au transport: »</w:t>
      </w:r>
      <w:r w:rsidRPr="00F26437">
        <w:rPr>
          <w:lang w:val="fr-FR"/>
        </w:rPr>
        <w:t xml:space="preserve"> en tant que 4.3.3.6. </w:t>
      </w:r>
    </w:p>
    <w:p w14:paraId="63D0B8B4" w14:textId="4D33A99B" w:rsidR="001C441B" w:rsidRPr="00CF7662" w:rsidRDefault="001C441B" w:rsidP="001C441B">
      <w:pPr>
        <w:pStyle w:val="SingleTxtG"/>
        <w:rPr>
          <w:rFonts w:ascii="Times" w:eastAsia="MS Mincho" w:hAnsi="Times" w:cs="Times"/>
          <w:sz w:val="24"/>
          <w:szCs w:val="24"/>
          <w:lang w:val="fr-FR" w:eastAsia="fr-FR"/>
        </w:rPr>
      </w:pPr>
      <w:r w:rsidRPr="00CF7662">
        <w:rPr>
          <w:lang w:val="fr-FR"/>
        </w:rPr>
        <w:t>4.3.4.1.3</w:t>
      </w:r>
      <w:r w:rsidRPr="00CF7662">
        <w:rPr>
          <w:lang w:val="fr-FR"/>
        </w:rPr>
        <w:tab/>
      </w:r>
      <w:r w:rsidR="0046022F">
        <w:rPr>
          <w:lang w:val="fr-FR"/>
        </w:rPr>
        <w:t>A</w:t>
      </w:r>
      <w:r w:rsidR="0046022F" w:rsidRPr="00CF7662">
        <w:rPr>
          <w:lang w:val="fr-FR"/>
        </w:rPr>
        <w:t>jouter la nouvelle phrase suivante à la fin du premier paragraphe :</w:t>
      </w:r>
      <w:r w:rsidR="003E6A9A" w:rsidRPr="00CF7662">
        <w:rPr>
          <w:lang w:val="fr-FR"/>
        </w:rPr>
        <w:t xml:space="preserve"> </w:t>
      </w:r>
      <w:r w:rsidRPr="00CF7662">
        <w:rPr>
          <w:lang w:val="fr-FR"/>
        </w:rPr>
        <w:t>« Les prescriptions pour ces citernes sont données par les codes-citerne suivants, complétés par des dispositions spéciales pertinentes indiquées dans la colonne (13) du tableau A du chapitre 3.2. ».</w:t>
      </w:r>
    </w:p>
    <w:p w14:paraId="594AB066" w14:textId="221D2EC2" w:rsidR="001C441B" w:rsidRPr="00CF7662" w:rsidRDefault="001C441B" w:rsidP="001C441B">
      <w:pPr>
        <w:pStyle w:val="SingleTxtG"/>
        <w:rPr>
          <w:lang w:val="fr-FR"/>
        </w:rPr>
      </w:pPr>
      <w:r w:rsidRPr="00CF7662">
        <w:rPr>
          <w:lang w:val="fr-FR"/>
        </w:rPr>
        <w:t>Remplacer les alinéas a) à i) par le tableau suivant:</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76"/>
        <w:gridCol w:w="5943"/>
        <w:gridCol w:w="1617"/>
      </w:tblGrid>
      <w:tr w:rsidR="001C441B" w:rsidRPr="00CF7662" w14:paraId="3DE5D72C" w14:textId="77777777" w:rsidTr="007A2A1D">
        <w:trPr>
          <w:cantSplit/>
          <w:trHeight w:val="20"/>
          <w:tblHeader/>
          <w:jc w:val="center"/>
        </w:trPr>
        <w:tc>
          <w:tcPr>
            <w:tcW w:w="741" w:type="dxa"/>
            <w:tcBorders>
              <w:bottom w:val="single" w:sz="4" w:space="0" w:color="auto"/>
            </w:tcBorders>
          </w:tcPr>
          <w:p w14:paraId="215E1F2F"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Classe</w:t>
            </w:r>
          </w:p>
        </w:tc>
        <w:tc>
          <w:tcPr>
            <w:tcW w:w="976" w:type="dxa"/>
            <w:tcBorders>
              <w:bottom w:val="single" w:sz="4" w:space="0" w:color="auto"/>
            </w:tcBorders>
          </w:tcPr>
          <w:p w14:paraId="32DF17A8"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No. ONU</w:t>
            </w:r>
          </w:p>
        </w:tc>
        <w:tc>
          <w:tcPr>
            <w:tcW w:w="5943" w:type="dxa"/>
            <w:tcBorders>
              <w:bottom w:val="single" w:sz="4" w:space="0" w:color="auto"/>
            </w:tcBorders>
          </w:tcPr>
          <w:p w14:paraId="339B49BF"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Nom et description</w:t>
            </w:r>
          </w:p>
        </w:tc>
        <w:tc>
          <w:tcPr>
            <w:tcW w:w="1617" w:type="dxa"/>
            <w:tcBorders>
              <w:bottom w:val="single" w:sz="4" w:space="0" w:color="auto"/>
            </w:tcBorders>
          </w:tcPr>
          <w:p w14:paraId="6768E353"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Code-citerne</w:t>
            </w:r>
          </w:p>
        </w:tc>
      </w:tr>
      <w:tr w:rsidR="001C441B" w:rsidRPr="00CF7662" w14:paraId="45AB8476" w14:textId="77777777" w:rsidTr="007A2A1D">
        <w:trPr>
          <w:cantSplit/>
          <w:trHeight w:val="20"/>
          <w:jc w:val="center"/>
        </w:trPr>
        <w:tc>
          <w:tcPr>
            <w:tcW w:w="741" w:type="dxa"/>
            <w:tcBorders>
              <w:top w:val="nil"/>
            </w:tcBorders>
          </w:tcPr>
          <w:p w14:paraId="357C7BAA"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1</w:t>
            </w:r>
          </w:p>
        </w:tc>
        <w:tc>
          <w:tcPr>
            <w:tcW w:w="976" w:type="dxa"/>
            <w:tcBorders>
              <w:top w:val="nil"/>
            </w:tcBorders>
          </w:tcPr>
          <w:p w14:paraId="03A109F2"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0331</w:t>
            </w:r>
          </w:p>
        </w:tc>
        <w:tc>
          <w:tcPr>
            <w:tcW w:w="5943" w:type="dxa"/>
            <w:tcBorders>
              <w:top w:val="nil"/>
            </w:tcBorders>
          </w:tcPr>
          <w:p w14:paraId="54072C94" w14:textId="77777777" w:rsidR="001C441B" w:rsidRPr="00CF7662" w:rsidRDefault="001C441B" w:rsidP="003E6A9A">
            <w:pPr>
              <w:keepNext/>
              <w:keepLines/>
              <w:spacing w:line="240" w:lineRule="auto"/>
              <w:rPr>
                <w:sz w:val="18"/>
                <w:szCs w:val="18"/>
                <w:lang w:val="fr-FR"/>
              </w:rPr>
            </w:pPr>
            <w:r w:rsidRPr="00CF7662">
              <w:rPr>
                <w:sz w:val="18"/>
                <w:szCs w:val="18"/>
                <w:lang w:val="fr-FR"/>
              </w:rPr>
              <w:t>Explosif de mine (de sautage) du type B</w:t>
            </w:r>
          </w:p>
        </w:tc>
        <w:tc>
          <w:tcPr>
            <w:tcW w:w="1617" w:type="dxa"/>
            <w:tcBorders>
              <w:top w:val="nil"/>
            </w:tcBorders>
            <w:vAlign w:val="center"/>
          </w:tcPr>
          <w:p w14:paraId="3246154A"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S2,65AN</w:t>
            </w:r>
          </w:p>
        </w:tc>
      </w:tr>
      <w:tr w:rsidR="001C441B" w:rsidRPr="00CF7662" w14:paraId="67BEB7F9" w14:textId="77777777" w:rsidTr="007A2A1D">
        <w:trPr>
          <w:cantSplit/>
          <w:trHeight w:val="20"/>
          <w:jc w:val="center"/>
        </w:trPr>
        <w:tc>
          <w:tcPr>
            <w:tcW w:w="741" w:type="dxa"/>
            <w:vMerge w:val="restart"/>
          </w:tcPr>
          <w:p w14:paraId="60056EC5"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4.1</w:t>
            </w:r>
          </w:p>
          <w:p w14:paraId="4B77557B" w14:textId="77777777" w:rsidR="001C441B" w:rsidRPr="00CF7662" w:rsidRDefault="001C441B" w:rsidP="003E6A9A">
            <w:pPr>
              <w:keepNext/>
              <w:keepLines/>
              <w:jc w:val="center"/>
              <w:rPr>
                <w:sz w:val="18"/>
                <w:szCs w:val="18"/>
                <w:lang w:val="fr-FR"/>
              </w:rPr>
            </w:pPr>
          </w:p>
        </w:tc>
        <w:tc>
          <w:tcPr>
            <w:tcW w:w="976" w:type="dxa"/>
            <w:tcBorders>
              <w:bottom w:val="single" w:sz="4" w:space="0" w:color="auto"/>
            </w:tcBorders>
          </w:tcPr>
          <w:p w14:paraId="3C172853"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2448</w:t>
            </w:r>
          </w:p>
        </w:tc>
        <w:tc>
          <w:tcPr>
            <w:tcW w:w="5943" w:type="dxa"/>
            <w:tcBorders>
              <w:bottom w:val="single" w:sz="4" w:space="0" w:color="auto"/>
            </w:tcBorders>
          </w:tcPr>
          <w:p w14:paraId="5F72CD6B" w14:textId="77777777" w:rsidR="001C441B" w:rsidRPr="00CF7662" w:rsidRDefault="001C441B" w:rsidP="003E6A9A">
            <w:pPr>
              <w:keepNext/>
              <w:keepLines/>
              <w:spacing w:line="240" w:lineRule="auto"/>
              <w:rPr>
                <w:sz w:val="18"/>
                <w:szCs w:val="18"/>
                <w:lang w:val="fr-FR"/>
              </w:rPr>
            </w:pPr>
            <w:r w:rsidRPr="00CF7662">
              <w:rPr>
                <w:sz w:val="18"/>
                <w:szCs w:val="18"/>
                <w:lang w:val="fr-FR"/>
              </w:rPr>
              <w:t>Soufre, fondu</w:t>
            </w:r>
          </w:p>
        </w:tc>
        <w:tc>
          <w:tcPr>
            <w:tcW w:w="1617" w:type="dxa"/>
            <w:vAlign w:val="center"/>
          </w:tcPr>
          <w:p w14:paraId="523F76D5"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LGBV</w:t>
            </w:r>
          </w:p>
        </w:tc>
      </w:tr>
      <w:tr w:rsidR="001C441B" w:rsidRPr="00CF7662" w14:paraId="676C94EE" w14:textId="77777777" w:rsidTr="007A2A1D">
        <w:trPr>
          <w:cantSplit/>
          <w:trHeight w:val="20"/>
          <w:jc w:val="center"/>
        </w:trPr>
        <w:tc>
          <w:tcPr>
            <w:tcW w:w="741" w:type="dxa"/>
            <w:vMerge/>
          </w:tcPr>
          <w:p w14:paraId="1AA4A932" w14:textId="77777777" w:rsidR="001C441B" w:rsidRPr="00CF7662" w:rsidRDefault="001C441B" w:rsidP="003E6A9A">
            <w:pPr>
              <w:keepNext/>
              <w:keepLines/>
              <w:spacing w:line="240" w:lineRule="auto"/>
              <w:jc w:val="center"/>
              <w:rPr>
                <w:sz w:val="18"/>
                <w:szCs w:val="18"/>
                <w:lang w:val="fr-FR"/>
              </w:rPr>
            </w:pPr>
          </w:p>
        </w:tc>
        <w:tc>
          <w:tcPr>
            <w:tcW w:w="976" w:type="dxa"/>
            <w:tcBorders>
              <w:bottom w:val="single" w:sz="4" w:space="0" w:color="auto"/>
            </w:tcBorders>
          </w:tcPr>
          <w:p w14:paraId="39FB9F8F"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3531</w:t>
            </w:r>
          </w:p>
        </w:tc>
        <w:tc>
          <w:tcPr>
            <w:tcW w:w="5943" w:type="dxa"/>
            <w:tcBorders>
              <w:bottom w:val="single" w:sz="4" w:space="0" w:color="auto"/>
            </w:tcBorders>
          </w:tcPr>
          <w:p w14:paraId="0524F3DD" w14:textId="77777777" w:rsidR="001C441B" w:rsidRPr="00CF7662" w:rsidRDefault="001C441B" w:rsidP="003E6A9A">
            <w:pPr>
              <w:keepNext/>
              <w:keepLines/>
              <w:spacing w:line="240" w:lineRule="auto"/>
              <w:rPr>
                <w:sz w:val="18"/>
                <w:szCs w:val="18"/>
                <w:lang w:val="fr-FR"/>
              </w:rPr>
            </w:pPr>
            <w:r w:rsidRPr="00CF7662">
              <w:rPr>
                <w:sz w:val="18"/>
                <w:szCs w:val="18"/>
                <w:lang w:val="fr-FR"/>
              </w:rPr>
              <w:t>Matière solide qui polymérise, stabilisée, n.s.a.</w:t>
            </w:r>
          </w:p>
        </w:tc>
        <w:tc>
          <w:tcPr>
            <w:tcW w:w="1617" w:type="dxa"/>
            <w:vMerge w:val="restart"/>
            <w:vAlign w:val="center"/>
          </w:tcPr>
          <w:p w14:paraId="75AC20A0"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SGAN</w:t>
            </w:r>
          </w:p>
        </w:tc>
      </w:tr>
      <w:tr w:rsidR="001C441B" w:rsidRPr="00CF7662" w14:paraId="41356ABF" w14:textId="77777777" w:rsidTr="007A2A1D">
        <w:trPr>
          <w:cantSplit/>
          <w:trHeight w:val="20"/>
          <w:jc w:val="center"/>
        </w:trPr>
        <w:tc>
          <w:tcPr>
            <w:tcW w:w="741" w:type="dxa"/>
            <w:vMerge/>
          </w:tcPr>
          <w:p w14:paraId="4B9A6393" w14:textId="77777777" w:rsidR="001C441B" w:rsidRPr="00CF7662" w:rsidRDefault="001C441B" w:rsidP="003E6A9A">
            <w:pPr>
              <w:keepNext/>
              <w:keepLines/>
              <w:spacing w:line="240" w:lineRule="auto"/>
              <w:jc w:val="center"/>
              <w:rPr>
                <w:sz w:val="18"/>
                <w:szCs w:val="18"/>
                <w:lang w:val="fr-FR"/>
              </w:rPr>
            </w:pPr>
          </w:p>
        </w:tc>
        <w:tc>
          <w:tcPr>
            <w:tcW w:w="976" w:type="dxa"/>
            <w:tcBorders>
              <w:top w:val="nil"/>
            </w:tcBorders>
          </w:tcPr>
          <w:p w14:paraId="7CEAD491"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3533</w:t>
            </w:r>
          </w:p>
        </w:tc>
        <w:tc>
          <w:tcPr>
            <w:tcW w:w="5943" w:type="dxa"/>
            <w:tcBorders>
              <w:top w:val="nil"/>
            </w:tcBorders>
          </w:tcPr>
          <w:p w14:paraId="57E9BA88" w14:textId="77777777" w:rsidR="001C441B" w:rsidRPr="00CF7662" w:rsidRDefault="001C441B" w:rsidP="003E6A9A">
            <w:pPr>
              <w:keepNext/>
              <w:keepLines/>
              <w:spacing w:line="240" w:lineRule="auto"/>
              <w:rPr>
                <w:sz w:val="18"/>
                <w:szCs w:val="18"/>
                <w:lang w:val="fr-FR"/>
              </w:rPr>
            </w:pPr>
            <w:r w:rsidRPr="00CF7662">
              <w:rPr>
                <w:sz w:val="18"/>
                <w:szCs w:val="18"/>
                <w:lang w:val="fr-FR"/>
              </w:rPr>
              <w:t>Matière solide qui polymérise, avec régulation de température, n.s.a.</w:t>
            </w:r>
          </w:p>
        </w:tc>
        <w:tc>
          <w:tcPr>
            <w:tcW w:w="1617" w:type="dxa"/>
            <w:vMerge/>
            <w:vAlign w:val="center"/>
          </w:tcPr>
          <w:p w14:paraId="3CA5D6FD" w14:textId="77777777" w:rsidR="001C441B" w:rsidRPr="00CF7662" w:rsidRDefault="001C441B" w:rsidP="003E6A9A">
            <w:pPr>
              <w:keepNext/>
              <w:keepLines/>
              <w:spacing w:line="240" w:lineRule="auto"/>
              <w:jc w:val="center"/>
              <w:rPr>
                <w:sz w:val="18"/>
                <w:szCs w:val="18"/>
                <w:lang w:val="fr-FR"/>
              </w:rPr>
            </w:pPr>
          </w:p>
        </w:tc>
      </w:tr>
      <w:tr w:rsidR="001C441B" w:rsidRPr="00CF7662" w14:paraId="250BD77B" w14:textId="77777777" w:rsidTr="007A2A1D">
        <w:trPr>
          <w:cantSplit/>
          <w:trHeight w:val="20"/>
          <w:jc w:val="center"/>
        </w:trPr>
        <w:tc>
          <w:tcPr>
            <w:tcW w:w="741" w:type="dxa"/>
            <w:vMerge/>
          </w:tcPr>
          <w:p w14:paraId="394CFC20" w14:textId="77777777" w:rsidR="001C441B" w:rsidRPr="00CF7662" w:rsidRDefault="001C441B" w:rsidP="003E6A9A">
            <w:pPr>
              <w:keepNext/>
              <w:keepLines/>
              <w:spacing w:line="240" w:lineRule="auto"/>
              <w:jc w:val="center"/>
              <w:rPr>
                <w:sz w:val="18"/>
                <w:szCs w:val="18"/>
                <w:lang w:val="fr-FR"/>
              </w:rPr>
            </w:pPr>
          </w:p>
        </w:tc>
        <w:tc>
          <w:tcPr>
            <w:tcW w:w="976" w:type="dxa"/>
            <w:tcBorders>
              <w:bottom w:val="single" w:sz="4" w:space="0" w:color="auto"/>
            </w:tcBorders>
          </w:tcPr>
          <w:p w14:paraId="59713030"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3532</w:t>
            </w:r>
          </w:p>
        </w:tc>
        <w:tc>
          <w:tcPr>
            <w:tcW w:w="5943" w:type="dxa"/>
            <w:tcBorders>
              <w:bottom w:val="single" w:sz="4" w:space="0" w:color="auto"/>
            </w:tcBorders>
          </w:tcPr>
          <w:p w14:paraId="66529619" w14:textId="77777777" w:rsidR="001C441B" w:rsidRPr="00CF7662" w:rsidRDefault="001C441B" w:rsidP="003E6A9A">
            <w:pPr>
              <w:keepNext/>
              <w:keepLines/>
              <w:spacing w:line="240" w:lineRule="auto"/>
              <w:rPr>
                <w:sz w:val="18"/>
                <w:szCs w:val="18"/>
                <w:lang w:val="fr-FR"/>
              </w:rPr>
            </w:pPr>
            <w:r w:rsidRPr="00CF7662">
              <w:rPr>
                <w:sz w:val="18"/>
                <w:szCs w:val="18"/>
                <w:lang w:val="fr-FR"/>
              </w:rPr>
              <w:t xml:space="preserve">Matière liquide qui polymérise, stabilisée, n.s.a. </w:t>
            </w:r>
          </w:p>
        </w:tc>
        <w:tc>
          <w:tcPr>
            <w:tcW w:w="1617" w:type="dxa"/>
            <w:vMerge w:val="restart"/>
            <w:vAlign w:val="center"/>
          </w:tcPr>
          <w:p w14:paraId="0955362B"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L4BN</w:t>
            </w:r>
          </w:p>
        </w:tc>
      </w:tr>
      <w:tr w:rsidR="001C441B" w:rsidRPr="00CF7662" w14:paraId="2D2B05B4" w14:textId="77777777" w:rsidTr="007A2A1D">
        <w:trPr>
          <w:cantSplit/>
          <w:trHeight w:val="20"/>
          <w:jc w:val="center"/>
        </w:trPr>
        <w:tc>
          <w:tcPr>
            <w:tcW w:w="741" w:type="dxa"/>
            <w:vMerge/>
          </w:tcPr>
          <w:p w14:paraId="52564494" w14:textId="77777777" w:rsidR="001C441B" w:rsidRPr="00CF7662" w:rsidRDefault="001C441B" w:rsidP="003E6A9A">
            <w:pPr>
              <w:keepNext/>
              <w:keepLines/>
              <w:spacing w:line="240" w:lineRule="auto"/>
              <w:jc w:val="center"/>
              <w:rPr>
                <w:sz w:val="18"/>
                <w:szCs w:val="18"/>
                <w:lang w:val="fr-FR"/>
              </w:rPr>
            </w:pPr>
          </w:p>
        </w:tc>
        <w:tc>
          <w:tcPr>
            <w:tcW w:w="976" w:type="dxa"/>
            <w:tcBorders>
              <w:top w:val="nil"/>
            </w:tcBorders>
          </w:tcPr>
          <w:p w14:paraId="5291B2C3" w14:textId="77777777" w:rsidR="001C441B" w:rsidRPr="00CF7662" w:rsidRDefault="001C441B" w:rsidP="003E6A9A">
            <w:pPr>
              <w:keepNext/>
              <w:keepLines/>
              <w:spacing w:line="240" w:lineRule="auto"/>
              <w:jc w:val="center"/>
              <w:rPr>
                <w:sz w:val="18"/>
                <w:szCs w:val="18"/>
                <w:lang w:val="fr-FR"/>
              </w:rPr>
            </w:pPr>
            <w:r w:rsidRPr="00CF7662">
              <w:rPr>
                <w:sz w:val="18"/>
                <w:szCs w:val="18"/>
                <w:lang w:val="fr-FR"/>
              </w:rPr>
              <w:t>3534</w:t>
            </w:r>
          </w:p>
        </w:tc>
        <w:tc>
          <w:tcPr>
            <w:tcW w:w="5943" w:type="dxa"/>
            <w:tcBorders>
              <w:top w:val="nil"/>
            </w:tcBorders>
          </w:tcPr>
          <w:p w14:paraId="3A83CA3E" w14:textId="77777777" w:rsidR="001C441B" w:rsidRPr="00CF7662" w:rsidRDefault="001C441B" w:rsidP="003E6A9A">
            <w:pPr>
              <w:keepNext/>
              <w:keepLines/>
              <w:spacing w:line="240" w:lineRule="auto"/>
              <w:rPr>
                <w:sz w:val="18"/>
                <w:szCs w:val="18"/>
                <w:lang w:val="fr-FR"/>
              </w:rPr>
            </w:pPr>
            <w:r w:rsidRPr="00CF7662">
              <w:rPr>
                <w:sz w:val="18"/>
                <w:szCs w:val="18"/>
                <w:lang w:val="fr-FR"/>
              </w:rPr>
              <w:t xml:space="preserve"> Matière liquide qui polymérise, avec régulation de température, n.s.a.</w:t>
            </w:r>
          </w:p>
        </w:tc>
        <w:tc>
          <w:tcPr>
            <w:tcW w:w="1617" w:type="dxa"/>
            <w:vMerge/>
            <w:vAlign w:val="center"/>
          </w:tcPr>
          <w:p w14:paraId="6CF27979" w14:textId="77777777" w:rsidR="001C441B" w:rsidRPr="00CF7662" w:rsidRDefault="001C441B" w:rsidP="003E6A9A">
            <w:pPr>
              <w:keepNext/>
              <w:keepLines/>
              <w:spacing w:line="240" w:lineRule="auto"/>
              <w:jc w:val="center"/>
              <w:rPr>
                <w:sz w:val="18"/>
                <w:szCs w:val="18"/>
                <w:lang w:val="fr-FR"/>
              </w:rPr>
            </w:pPr>
          </w:p>
        </w:tc>
      </w:tr>
      <w:tr w:rsidR="001C441B" w:rsidRPr="00CF7662" w14:paraId="224F4B80" w14:textId="77777777" w:rsidTr="007A2A1D">
        <w:trPr>
          <w:cantSplit/>
          <w:trHeight w:val="20"/>
          <w:jc w:val="center"/>
        </w:trPr>
        <w:tc>
          <w:tcPr>
            <w:tcW w:w="741" w:type="dxa"/>
            <w:vMerge w:val="restart"/>
          </w:tcPr>
          <w:p w14:paraId="66868FD9" w14:textId="77777777" w:rsidR="001C441B" w:rsidRPr="00CF7662" w:rsidRDefault="001C441B" w:rsidP="007A2A1D">
            <w:pPr>
              <w:spacing w:line="240" w:lineRule="auto"/>
              <w:jc w:val="center"/>
              <w:rPr>
                <w:sz w:val="18"/>
                <w:szCs w:val="18"/>
                <w:lang w:val="fr-FR"/>
              </w:rPr>
            </w:pPr>
            <w:r w:rsidRPr="00CF7662">
              <w:rPr>
                <w:sz w:val="18"/>
                <w:szCs w:val="18"/>
                <w:lang w:val="fr-FR"/>
              </w:rPr>
              <w:t>4.2</w:t>
            </w:r>
          </w:p>
        </w:tc>
        <w:tc>
          <w:tcPr>
            <w:tcW w:w="976" w:type="dxa"/>
          </w:tcPr>
          <w:p w14:paraId="53496048" w14:textId="77777777" w:rsidR="001C441B" w:rsidRPr="00CF7662" w:rsidRDefault="001C441B" w:rsidP="007A2A1D">
            <w:pPr>
              <w:spacing w:line="240" w:lineRule="auto"/>
              <w:jc w:val="center"/>
              <w:rPr>
                <w:sz w:val="18"/>
                <w:szCs w:val="18"/>
                <w:lang w:val="fr-FR"/>
              </w:rPr>
            </w:pPr>
            <w:r w:rsidRPr="00CF7662">
              <w:rPr>
                <w:sz w:val="18"/>
                <w:szCs w:val="18"/>
                <w:lang w:val="fr-FR"/>
              </w:rPr>
              <w:t>1381</w:t>
            </w:r>
          </w:p>
        </w:tc>
        <w:tc>
          <w:tcPr>
            <w:tcW w:w="5943" w:type="dxa"/>
          </w:tcPr>
          <w:p w14:paraId="40FF8BF0" w14:textId="77777777" w:rsidR="001C441B" w:rsidRPr="00CF7662" w:rsidRDefault="001C441B" w:rsidP="007A2A1D">
            <w:pPr>
              <w:spacing w:line="240" w:lineRule="auto"/>
              <w:rPr>
                <w:sz w:val="18"/>
                <w:szCs w:val="18"/>
                <w:lang w:val="fr-FR"/>
              </w:rPr>
            </w:pPr>
            <w:r w:rsidRPr="00CF7662">
              <w:rPr>
                <w:sz w:val="18"/>
                <w:szCs w:val="18"/>
                <w:lang w:val="fr-FR"/>
              </w:rPr>
              <w:t>Phosphore blanc ou jaune, sec, ou recouvert d'eau ou en solution</w:t>
            </w:r>
          </w:p>
        </w:tc>
        <w:tc>
          <w:tcPr>
            <w:tcW w:w="1617" w:type="dxa"/>
            <w:vMerge w:val="restart"/>
            <w:vAlign w:val="center"/>
          </w:tcPr>
          <w:p w14:paraId="26A8519A" w14:textId="77777777" w:rsidR="001C441B" w:rsidRPr="00CF7662" w:rsidRDefault="001C441B" w:rsidP="007A2A1D">
            <w:pPr>
              <w:spacing w:line="240" w:lineRule="auto"/>
              <w:jc w:val="center"/>
              <w:rPr>
                <w:sz w:val="18"/>
                <w:szCs w:val="18"/>
                <w:lang w:val="fr-FR"/>
              </w:rPr>
            </w:pPr>
            <w:r w:rsidRPr="00CF7662">
              <w:rPr>
                <w:sz w:val="18"/>
                <w:szCs w:val="18"/>
                <w:lang w:val="fr-FR"/>
              </w:rPr>
              <w:t>L10DH</w:t>
            </w:r>
          </w:p>
        </w:tc>
      </w:tr>
      <w:tr w:rsidR="001C441B" w:rsidRPr="00CF7662" w14:paraId="739F4C2C" w14:textId="77777777" w:rsidTr="007A2A1D">
        <w:trPr>
          <w:cantSplit/>
          <w:trHeight w:val="20"/>
          <w:jc w:val="center"/>
        </w:trPr>
        <w:tc>
          <w:tcPr>
            <w:tcW w:w="741" w:type="dxa"/>
            <w:vMerge/>
          </w:tcPr>
          <w:p w14:paraId="57103D13" w14:textId="77777777" w:rsidR="001C441B" w:rsidRPr="00CF7662" w:rsidRDefault="001C441B" w:rsidP="007A2A1D">
            <w:pPr>
              <w:spacing w:line="240" w:lineRule="auto"/>
              <w:jc w:val="center"/>
              <w:rPr>
                <w:sz w:val="18"/>
                <w:szCs w:val="18"/>
                <w:lang w:val="fr-FR"/>
              </w:rPr>
            </w:pPr>
          </w:p>
        </w:tc>
        <w:tc>
          <w:tcPr>
            <w:tcW w:w="976" w:type="dxa"/>
          </w:tcPr>
          <w:p w14:paraId="2503D7FF" w14:textId="77777777" w:rsidR="001C441B" w:rsidRPr="00CF7662" w:rsidRDefault="001C441B" w:rsidP="007A2A1D">
            <w:pPr>
              <w:spacing w:line="240" w:lineRule="auto"/>
              <w:jc w:val="center"/>
              <w:rPr>
                <w:sz w:val="18"/>
                <w:szCs w:val="18"/>
                <w:lang w:val="fr-FR"/>
              </w:rPr>
            </w:pPr>
            <w:r w:rsidRPr="00CF7662">
              <w:rPr>
                <w:sz w:val="18"/>
                <w:szCs w:val="18"/>
                <w:lang w:val="fr-FR"/>
              </w:rPr>
              <w:t>2447</w:t>
            </w:r>
          </w:p>
        </w:tc>
        <w:tc>
          <w:tcPr>
            <w:tcW w:w="5943" w:type="dxa"/>
          </w:tcPr>
          <w:p w14:paraId="1F82202A" w14:textId="77777777" w:rsidR="001C441B" w:rsidRPr="00CF7662" w:rsidRDefault="001C441B" w:rsidP="007A2A1D">
            <w:pPr>
              <w:spacing w:line="240" w:lineRule="auto"/>
              <w:rPr>
                <w:sz w:val="18"/>
                <w:szCs w:val="18"/>
                <w:lang w:val="fr-FR"/>
              </w:rPr>
            </w:pPr>
            <w:r w:rsidRPr="00CF7662">
              <w:rPr>
                <w:sz w:val="18"/>
                <w:szCs w:val="18"/>
                <w:lang w:val="fr-FR"/>
              </w:rPr>
              <w:t>Phosphore blanc fondu</w:t>
            </w:r>
          </w:p>
        </w:tc>
        <w:tc>
          <w:tcPr>
            <w:tcW w:w="1617" w:type="dxa"/>
            <w:vMerge/>
            <w:vAlign w:val="center"/>
          </w:tcPr>
          <w:p w14:paraId="5E18AC85" w14:textId="77777777" w:rsidR="001C441B" w:rsidRPr="00CF7662" w:rsidRDefault="001C441B" w:rsidP="007A2A1D">
            <w:pPr>
              <w:spacing w:line="240" w:lineRule="auto"/>
              <w:jc w:val="center"/>
              <w:rPr>
                <w:sz w:val="18"/>
                <w:szCs w:val="18"/>
                <w:lang w:val="fr-FR"/>
              </w:rPr>
            </w:pPr>
          </w:p>
        </w:tc>
      </w:tr>
      <w:tr w:rsidR="001C441B" w:rsidRPr="00CF7662" w14:paraId="1F15B54E" w14:textId="77777777" w:rsidTr="007A2A1D">
        <w:trPr>
          <w:cantSplit/>
          <w:trHeight w:val="20"/>
          <w:jc w:val="center"/>
        </w:trPr>
        <w:tc>
          <w:tcPr>
            <w:tcW w:w="741" w:type="dxa"/>
            <w:vMerge w:val="restart"/>
          </w:tcPr>
          <w:p w14:paraId="413A165E" w14:textId="77777777" w:rsidR="001C441B" w:rsidRPr="00CF7662" w:rsidRDefault="001C441B" w:rsidP="007A2A1D">
            <w:pPr>
              <w:spacing w:line="240" w:lineRule="auto"/>
              <w:jc w:val="center"/>
              <w:rPr>
                <w:sz w:val="18"/>
                <w:szCs w:val="18"/>
                <w:lang w:val="fr-FR"/>
              </w:rPr>
            </w:pPr>
            <w:r w:rsidRPr="00CF7662">
              <w:rPr>
                <w:sz w:val="18"/>
                <w:szCs w:val="18"/>
                <w:lang w:val="fr-FR"/>
              </w:rPr>
              <w:t>4.3</w:t>
            </w:r>
          </w:p>
        </w:tc>
        <w:tc>
          <w:tcPr>
            <w:tcW w:w="976" w:type="dxa"/>
          </w:tcPr>
          <w:p w14:paraId="6C78DAA7" w14:textId="77777777" w:rsidR="001C441B" w:rsidRPr="00CF7662" w:rsidRDefault="001C441B" w:rsidP="007A2A1D">
            <w:pPr>
              <w:spacing w:line="240" w:lineRule="auto"/>
              <w:jc w:val="center"/>
              <w:rPr>
                <w:sz w:val="18"/>
                <w:szCs w:val="18"/>
                <w:lang w:val="fr-FR"/>
              </w:rPr>
            </w:pPr>
            <w:r w:rsidRPr="00CF7662">
              <w:rPr>
                <w:sz w:val="18"/>
                <w:szCs w:val="18"/>
                <w:lang w:val="fr-FR"/>
              </w:rPr>
              <w:t>1389</w:t>
            </w:r>
          </w:p>
        </w:tc>
        <w:tc>
          <w:tcPr>
            <w:tcW w:w="5943" w:type="dxa"/>
          </w:tcPr>
          <w:p w14:paraId="736935F2" w14:textId="77777777" w:rsidR="001C441B" w:rsidRPr="00CF7662" w:rsidRDefault="001C441B" w:rsidP="007A2A1D">
            <w:pPr>
              <w:spacing w:line="240" w:lineRule="auto"/>
              <w:rPr>
                <w:sz w:val="18"/>
                <w:szCs w:val="18"/>
                <w:lang w:val="fr-FR"/>
              </w:rPr>
            </w:pPr>
            <w:r w:rsidRPr="00CF7662">
              <w:rPr>
                <w:sz w:val="18"/>
                <w:szCs w:val="18"/>
                <w:lang w:val="fr-FR"/>
              </w:rPr>
              <w:t>Amalgame de métaux alcalins, liquide</w:t>
            </w:r>
          </w:p>
        </w:tc>
        <w:tc>
          <w:tcPr>
            <w:tcW w:w="1617" w:type="dxa"/>
            <w:vMerge w:val="restart"/>
            <w:vAlign w:val="center"/>
          </w:tcPr>
          <w:p w14:paraId="264779BB" w14:textId="77777777" w:rsidR="001C441B" w:rsidRPr="00CF7662" w:rsidRDefault="001C441B" w:rsidP="007A2A1D">
            <w:pPr>
              <w:spacing w:line="240" w:lineRule="auto"/>
              <w:jc w:val="center"/>
              <w:rPr>
                <w:sz w:val="18"/>
                <w:szCs w:val="18"/>
                <w:lang w:val="fr-FR"/>
              </w:rPr>
            </w:pPr>
            <w:r w:rsidRPr="00CF7662">
              <w:rPr>
                <w:sz w:val="18"/>
                <w:szCs w:val="18"/>
                <w:lang w:val="fr-FR"/>
              </w:rPr>
              <w:t>L10BN</w:t>
            </w:r>
          </w:p>
        </w:tc>
      </w:tr>
      <w:tr w:rsidR="001C441B" w:rsidRPr="00CF7662" w14:paraId="49A1939B" w14:textId="77777777" w:rsidTr="007A2A1D">
        <w:trPr>
          <w:cantSplit/>
          <w:trHeight w:val="20"/>
          <w:jc w:val="center"/>
        </w:trPr>
        <w:tc>
          <w:tcPr>
            <w:tcW w:w="741" w:type="dxa"/>
            <w:vMerge/>
          </w:tcPr>
          <w:p w14:paraId="1ED937EC" w14:textId="77777777" w:rsidR="001C441B" w:rsidRPr="00CF7662" w:rsidRDefault="001C441B" w:rsidP="007A2A1D">
            <w:pPr>
              <w:spacing w:line="240" w:lineRule="auto"/>
              <w:jc w:val="center"/>
              <w:rPr>
                <w:sz w:val="18"/>
                <w:szCs w:val="18"/>
                <w:lang w:val="fr-FR"/>
              </w:rPr>
            </w:pPr>
          </w:p>
        </w:tc>
        <w:tc>
          <w:tcPr>
            <w:tcW w:w="976" w:type="dxa"/>
          </w:tcPr>
          <w:p w14:paraId="0E431042" w14:textId="77777777" w:rsidR="001C441B" w:rsidRPr="00CF7662" w:rsidRDefault="001C441B" w:rsidP="007A2A1D">
            <w:pPr>
              <w:spacing w:line="240" w:lineRule="auto"/>
              <w:jc w:val="center"/>
              <w:rPr>
                <w:sz w:val="18"/>
                <w:szCs w:val="18"/>
                <w:lang w:val="fr-FR"/>
              </w:rPr>
            </w:pPr>
            <w:r w:rsidRPr="00CF7662">
              <w:rPr>
                <w:sz w:val="18"/>
                <w:szCs w:val="18"/>
                <w:lang w:val="fr-FR"/>
              </w:rPr>
              <w:t>1391</w:t>
            </w:r>
          </w:p>
        </w:tc>
        <w:tc>
          <w:tcPr>
            <w:tcW w:w="5943" w:type="dxa"/>
          </w:tcPr>
          <w:p w14:paraId="3DD37E4E" w14:textId="77777777" w:rsidR="001C441B" w:rsidRPr="00CF7662" w:rsidRDefault="001C441B" w:rsidP="007A2A1D">
            <w:pPr>
              <w:spacing w:line="240" w:lineRule="auto"/>
              <w:rPr>
                <w:sz w:val="18"/>
                <w:szCs w:val="18"/>
                <w:lang w:val="fr-FR"/>
              </w:rPr>
            </w:pPr>
            <w:r w:rsidRPr="00CF7662">
              <w:rPr>
                <w:sz w:val="18"/>
                <w:szCs w:val="18"/>
                <w:lang w:val="fr-FR"/>
              </w:rPr>
              <w:t>Dispersion de métaux alcalins ou dispersion de métaux alcalino-terreux</w:t>
            </w:r>
          </w:p>
        </w:tc>
        <w:tc>
          <w:tcPr>
            <w:tcW w:w="1617" w:type="dxa"/>
            <w:vMerge/>
            <w:vAlign w:val="center"/>
          </w:tcPr>
          <w:p w14:paraId="75A1575D" w14:textId="77777777" w:rsidR="001C441B" w:rsidRPr="00CF7662" w:rsidRDefault="001C441B" w:rsidP="007A2A1D">
            <w:pPr>
              <w:spacing w:line="240" w:lineRule="auto"/>
              <w:jc w:val="center"/>
              <w:rPr>
                <w:sz w:val="18"/>
                <w:szCs w:val="18"/>
                <w:lang w:val="fr-FR"/>
              </w:rPr>
            </w:pPr>
          </w:p>
        </w:tc>
      </w:tr>
      <w:tr w:rsidR="001C441B" w:rsidRPr="00CF7662" w14:paraId="72232A34" w14:textId="77777777" w:rsidTr="007A2A1D">
        <w:trPr>
          <w:cantSplit/>
          <w:trHeight w:val="20"/>
          <w:jc w:val="center"/>
        </w:trPr>
        <w:tc>
          <w:tcPr>
            <w:tcW w:w="741" w:type="dxa"/>
            <w:vMerge/>
          </w:tcPr>
          <w:p w14:paraId="56A86EDC" w14:textId="77777777" w:rsidR="001C441B" w:rsidRPr="00CF7662" w:rsidRDefault="001C441B" w:rsidP="007A2A1D">
            <w:pPr>
              <w:spacing w:line="240" w:lineRule="auto"/>
              <w:jc w:val="center"/>
              <w:rPr>
                <w:sz w:val="18"/>
                <w:szCs w:val="18"/>
                <w:lang w:val="fr-FR"/>
              </w:rPr>
            </w:pPr>
          </w:p>
        </w:tc>
        <w:tc>
          <w:tcPr>
            <w:tcW w:w="976" w:type="dxa"/>
          </w:tcPr>
          <w:p w14:paraId="16B1C7B0" w14:textId="77777777" w:rsidR="001C441B" w:rsidRPr="00CF7662" w:rsidRDefault="001C441B" w:rsidP="007A2A1D">
            <w:pPr>
              <w:spacing w:line="240" w:lineRule="auto"/>
              <w:jc w:val="center"/>
              <w:rPr>
                <w:sz w:val="18"/>
                <w:szCs w:val="18"/>
                <w:lang w:val="fr-FR"/>
              </w:rPr>
            </w:pPr>
            <w:r w:rsidRPr="00CF7662">
              <w:rPr>
                <w:sz w:val="18"/>
                <w:szCs w:val="18"/>
                <w:lang w:val="fr-FR"/>
              </w:rPr>
              <w:t>1392</w:t>
            </w:r>
          </w:p>
        </w:tc>
        <w:tc>
          <w:tcPr>
            <w:tcW w:w="5943" w:type="dxa"/>
          </w:tcPr>
          <w:p w14:paraId="3D4675A4" w14:textId="77777777" w:rsidR="001C441B" w:rsidRPr="00CF7662" w:rsidRDefault="001C441B" w:rsidP="007A2A1D">
            <w:pPr>
              <w:spacing w:line="240" w:lineRule="auto"/>
              <w:rPr>
                <w:sz w:val="18"/>
                <w:szCs w:val="18"/>
                <w:lang w:val="fr-FR"/>
              </w:rPr>
            </w:pPr>
            <w:r w:rsidRPr="00CF7662">
              <w:rPr>
                <w:sz w:val="18"/>
                <w:szCs w:val="18"/>
                <w:lang w:val="fr-FR"/>
              </w:rPr>
              <w:t xml:space="preserve">Amalgame de métaux alcalino-terreux, liquide </w:t>
            </w:r>
          </w:p>
        </w:tc>
        <w:tc>
          <w:tcPr>
            <w:tcW w:w="1617" w:type="dxa"/>
            <w:vMerge/>
            <w:vAlign w:val="center"/>
          </w:tcPr>
          <w:p w14:paraId="531BF216" w14:textId="77777777" w:rsidR="001C441B" w:rsidRPr="00CF7662" w:rsidRDefault="001C441B" w:rsidP="007A2A1D">
            <w:pPr>
              <w:spacing w:line="240" w:lineRule="auto"/>
              <w:jc w:val="center"/>
              <w:rPr>
                <w:sz w:val="18"/>
                <w:szCs w:val="18"/>
                <w:lang w:val="fr-FR"/>
              </w:rPr>
            </w:pPr>
          </w:p>
        </w:tc>
      </w:tr>
      <w:tr w:rsidR="001C441B" w:rsidRPr="00CF7662" w14:paraId="32726869" w14:textId="77777777" w:rsidTr="007A2A1D">
        <w:trPr>
          <w:cantSplit/>
          <w:trHeight w:val="20"/>
          <w:jc w:val="center"/>
        </w:trPr>
        <w:tc>
          <w:tcPr>
            <w:tcW w:w="741" w:type="dxa"/>
            <w:vMerge/>
          </w:tcPr>
          <w:p w14:paraId="4A170287" w14:textId="77777777" w:rsidR="001C441B" w:rsidRPr="00CF7662" w:rsidRDefault="001C441B" w:rsidP="007A2A1D">
            <w:pPr>
              <w:spacing w:line="240" w:lineRule="auto"/>
              <w:jc w:val="center"/>
              <w:rPr>
                <w:sz w:val="18"/>
                <w:szCs w:val="18"/>
                <w:lang w:val="fr-FR"/>
              </w:rPr>
            </w:pPr>
          </w:p>
        </w:tc>
        <w:tc>
          <w:tcPr>
            <w:tcW w:w="976" w:type="dxa"/>
          </w:tcPr>
          <w:p w14:paraId="6FC8D5C6" w14:textId="77777777" w:rsidR="001C441B" w:rsidRPr="00CF7662" w:rsidRDefault="001C441B" w:rsidP="007A2A1D">
            <w:pPr>
              <w:spacing w:line="240" w:lineRule="auto"/>
              <w:jc w:val="center"/>
              <w:rPr>
                <w:sz w:val="18"/>
                <w:szCs w:val="18"/>
                <w:lang w:val="fr-FR"/>
              </w:rPr>
            </w:pPr>
            <w:r w:rsidRPr="00CF7662">
              <w:rPr>
                <w:sz w:val="18"/>
                <w:szCs w:val="18"/>
                <w:lang w:val="fr-FR"/>
              </w:rPr>
              <w:t>1415</w:t>
            </w:r>
          </w:p>
        </w:tc>
        <w:tc>
          <w:tcPr>
            <w:tcW w:w="5943" w:type="dxa"/>
          </w:tcPr>
          <w:p w14:paraId="06BDF9E1" w14:textId="77777777" w:rsidR="001C441B" w:rsidRPr="00CF7662" w:rsidRDefault="001C441B" w:rsidP="007A2A1D">
            <w:pPr>
              <w:spacing w:line="240" w:lineRule="auto"/>
              <w:rPr>
                <w:sz w:val="18"/>
                <w:szCs w:val="18"/>
                <w:lang w:val="fr-FR"/>
              </w:rPr>
            </w:pPr>
            <w:r w:rsidRPr="00CF7662">
              <w:rPr>
                <w:sz w:val="18"/>
                <w:szCs w:val="18"/>
                <w:lang w:val="fr-FR"/>
              </w:rPr>
              <w:t>Lithium</w:t>
            </w:r>
          </w:p>
        </w:tc>
        <w:tc>
          <w:tcPr>
            <w:tcW w:w="1617" w:type="dxa"/>
            <w:vMerge/>
            <w:vAlign w:val="center"/>
          </w:tcPr>
          <w:p w14:paraId="4127E469" w14:textId="77777777" w:rsidR="001C441B" w:rsidRPr="00CF7662" w:rsidRDefault="001C441B" w:rsidP="007A2A1D">
            <w:pPr>
              <w:spacing w:line="240" w:lineRule="auto"/>
              <w:jc w:val="center"/>
              <w:rPr>
                <w:sz w:val="18"/>
                <w:szCs w:val="18"/>
                <w:lang w:val="fr-FR"/>
              </w:rPr>
            </w:pPr>
          </w:p>
        </w:tc>
      </w:tr>
      <w:tr w:rsidR="001C441B" w:rsidRPr="00CF7662" w14:paraId="2C01A645" w14:textId="77777777" w:rsidTr="007A2A1D">
        <w:trPr>
          <w:cantSplit/>
          <w:trHeight w:val="20"/>
          <w:jc w:val="center"/>
        </w:trPr>
        <w:tc>
          <w:tcPr>
            <w:tcW w:w="741" w:type="dxa"/>
            <w:vMerge/>
          </w:tcPr>
          <w:p w14:paraId="6A1C5CEF" w14:textId="77777777" w:rsidR="001C441B" w:rsidRPr="00CF7662" w:rsidRDefault="001C441B" w:rsidP="007A2A1D">
            <w:pPr>
              <w:spacing w:line="240" w:lineRule="auto"/>
              <w:jc w:val="center"/>
              <w:rPr>
                <w:sz w:val="18"/>
                <w:szCs w:val="18"/>
                <w:lang w:val="fr-FR"/>
              </w:rPr>
            </w:pPr>
          </w:p>
        </w:tc>
        <w:tc>
          <w:tcPr>
            <w:tcW w:w="976" w:type="dxa"/>
          </w:tcPr>
          <w:p w14:paraId="5D262007" w14:textId="77777777" w:rsidR="001C441B" w:rsidRPr="00CF7662" w:rsidRDefault="001C441B" w:rsidP="007A2A1D">
            <w:pPr>
              <w:spacing w:line="240" w:lineRule="auto"/>
              <w:jc w:val="center"/>
              <w:rPr>
                <w:sz w:val="18"/>
                <w:szCs w:val="18"/>
                <w:lang w:val="fr-FR"/>
              </w:rPr>
            </w:pPr>
            <w:r w:rsidRPr="00CF7662">
              <w:rPr>
                <w:sz w:val="18"/>
                <w:szCs w:val="18"/>
                <w:lang w:val="fr-FR"/>
              </w:rPr>
              <w:t>1420</w:t>
            </w:r>
          </w:p>
        </w:tc>
        <w:tc>
          <w:tcPr>
            <w:tcW w:w="5943" w:type="dxa"/>
          </w:tcPr>
          <w:p w14:paraId="1AA79944" w14:textId="77777777" w:rsidR="001C441B" w:rsidRPr="00CF7662" w:rsidRDefault="001C441B" w:rsidP="007A2A1D">
            <w:pPr>
              <w:spacing w:line="240" w:lineRule="auto"/>
              <w:rPr>
                <w:sz w:val="18"/>
                <w:szCs w:val="18"/>
                <w:lang w:val="fr-FR"/>
              </w:rPr>
            </w:pPr>
            <w:r w:rsidRPr="00CF7662">
              <w:rPr>
                <w:sz w:val="18"/>
                <w:szCs w:val="18"/>
                <w:lang w:val="fr-FR"/>
              </w:rPr>
              <w:t>Alliages métalliques de potassium, liquides</w:t>
            </w:r>
          </w:p>
        </w:tc>
        <w:tc>
          <w:tcPr>
            <w:tcW w:w="1617" w:type="dxa"/>
            <w:vMerge/>
            <w:vAlign w:val="center"/>
          </w:tcPr>
          <w:p w14:paraId="2AAF8EAF" w14:textId="77777777" w:rsidR="001C441B" w:rsidRPr="00CF7662" w:rsidRDefault="001C441B" w:rsidP="007A2A1D">
            <w:pPr>
              <w:spacing w:line="240" w:lineRule="auto"/>
              <w:jc w:val="center"/>
              <w:rPr>
                <w:sz w:val="18"/>
                <w:szCs w:val="18"/>
                <w:lang w:val="fr-FR"/>
              </w:rPr>
            </w:pPr>
          </w:p>
        </w:tc>
      </w:tr>
      <w:tr w:rsidR="001C441B" w:rsidRPr="00CF7662" w14:paraId="029A69D0" w14:textId="77777777" w:rsidTr="007A2A1D">
        <w:trPr>
          <w:cantSplit/>
          <w:trHeight w:val="20"/>
          <w:jc w:val="center"/>
        </w:trPr>
        <w:tc>
          <w:tcPr>
            <w:tcW w:w="741" w:type="dxa"/>
            <w:vMerge/>
          </w:tcPr>
          <w:p w14:paraId="56545E9C" w14:textId="77777777" w:rsidR="001C441B" w:rsidRPr="00CF7662" w:rsidRDefault="001C441B" w:rsidP="007A2A1D">
            <w:pPr>
              <w:spacing w:line="240" w:lineRule="auto"/>
              <w:jc w:val="center"/>
              <w:rPr>
                <w:sz w:val="18"/>
                <w:szCs w:val="18"/>
                <w:lang w:val="fr-FR"/>
              </w:rPr>
            </w:pPr>
          </w:p>
        </w:tc>
        <w:tc>
          <w:tcPr>
            <w:tcW w:w="976" w:type="dxa"/>
          </w:tcPr>
          <w:p w14:paraId="7DBE73B0" w14:textId="77777777" w:rsidR="001C441B" w:rsidRPr="00CF7662" w:rsidRDefault="001C441B" w:rsidP="007A2A1D">
            <w:pPr>
              <w:spacing w:line="240" w:lineRule="auto"/>
              <w:jc w:val="center"/>
              <w:rPr>
                <w:sz w:val="18"/>
                <w:szCs w:val="18"/>
                <w:lang w:val="fr-FR"/>
              </w:rPr>
            </w:pPr>
            <w:r w:rsidRPr="00CF7662">
              <w:rPr>
                <w:sz w:val="18"/>
                <w:szCs w:val="18"/>
                <w:lang w:val="fr-FR"/>
              </w:rPr>
              <w:t>1421</w:t>
            </w:r>
          </w:p>
        </w:tc>
        <w:tc>
          <w:tcPr>
            <w:tcW w:w="5943" w:type="dxa"/>
          </w:tcPr>
          <w:p w14:paraId="0E693228" w14:textId="77777777" w:rsidR="001C441B" w:rsidRPr="00CF7662" w:rsidRDefault="001C441B" w:rsidP="007A2A1D">
            <w:pPr>
              <w:spacing w:line="240" w:lineRule="auto"/>
              <w:rPr>
                <w:sz w:val="18"/>
                <w:szCs w:val="18"/>
                <w:lang w:val="fr-FR"/>
              </w:rPr>
            </w:pPr>
            <w:r w:rsidRPr="00CF7662">
              <w:rPr>
                <w:sz w:val="18"/>
                <w:szCs w:val="18"/>
                <w:lang w:val="fr-FR"/>
              </w:rPr>
              <w:t>Alliage liquide de métaux alcalins, n.s.a.</w:t>
            </w:r>
          </w:p>
        </w:tc>
        <w:tc>
          <w:tcPr>
            <w:tcW w:w="1617" w:type="dxa"/>
            <w:vMerge/>
            <w:vAlign w:val="center"/>
          </w:tcPr>
          <w:p w14:paraId="74B5EEE3" w14:textId="77777777" w:rsidR="001C441B" w:rsidRPr="00CF7662" w:rsidRDefault="001C441B" w:rsidP="007A2A1D">
            <w:pPr>
              <w:spacing w:line="240" w:lineRule="auto"/>
              <w:jc w:val="center"/>
              <w:rPr>
                <w:sz w:val="18"/>
                <w:szCs w:val="18"/>
                <w:lang w:val="fr-FR"/>
              </w:rPr>
            </w:pPr>
          </w:p>
        </w:tc>
      </w:tr>
      <w:tr w:rsidR="001C441B" w:rsidRPr="00CF7662" w14:paraId="1BC7606E" w14:textId="77777777" w:rsidTr="007A2A1D">
        <w:trPr>
          <w:cantSplit/>
          <w:trHeight w:val="20"/>
          <w:jc w:val="center"/>
        </w:trPr>
        <w:tc>
          <w:tcPr>
            <w:tcW w:w="741" w:type="dxa"/>
            <w:vMerge/>
          </w:tcPr>
          <w:p w14:paraId="78DA010A" w14:textId="77777777" w:rsidR="001C441B" w:rsidRPr="00CF7662" w:rsidRDefault="001C441B" w:rsidP="007A2A1D">
            <w:pPr>
              <w:spacing w:line="240" w:lineRule="auto"/>
              <w:jc w:val="center"/>
              <w:rPr>
                <w:sz w:val="18"/>
                <w:szCs w:val="18"/>
                <w:lang w:val="fr-FR"/>
              </w:rPr>
            </w:pPr>
          </w:p>
        </w:tc>
        <w:tc>
          <w:tcPr>
            <w:tcW w:w="976" w:type="dxa"/>
          </w:tcPr>
          <w:p w14:paraId="5E66CA7A" w14:textId="77777777" w:rsidR="001C441B" w:rsidRPr="00CF7662" w:rsidRDefault="001C441B" w:rsidP="007A2A1D">
            <w:pPr>
              <w:spacing w:line="240" w:lineRule="auto"/>
              <w:jc w:val="center"/>
              <w:rPr>
                <w:sz w:val="18"/>
                <w:szCs w:val="18"/>
                <w:lang w:val="fr-FR"/>
              </w:rPr>
            </w:pPr>
            <w:r w:rsidRPr="00CF7662">
              <w:rPr>
                <w:sz w:val="18"/>
                <w:szCs w:val="18"/>
                <w:lang w:val="fr-FR"/>
              </w:rPr>
              <w:t>1422</w:t>
            </w:r>
          </w:p>
        </w:tc>
        <w:tc>
          <w:tcPr>
            <w:tcW w:w="5943" w:type="dxa"/>
          </w:tcPr>
          <w:p w14:paraId="2872A62E" w14:textId="77777777" w:rsidR="001C441B" w:rsidRPr="00CF7662" w:rsidRDefault="001C441B" w:rsidP="007A2A1D">
            <w:pPr>
              <w:spacing w:line="240" w:lineRule="auto"/>
              <w:rPr>
                <w:sz w:val="18"/>
                <w:szCs w:val="18"/>
                <w:lang w:val="fr-FR"/>
              </w:rPr>
            </w:pPr>
            <w:r w:rsidRPr="00CF7662">
              <w:rPr>
                <w:sz w:val="18"/>
                <w:szCs w:val="18"/>
                <w:lang w:val="fr-FR"/>
              </w:rPr>
              <w:t>Alliages de potassium et sodium, liquides</w:t>
            </w:r>
          </w:p>
        </w:tc>
        <w:tc>
          <w:tcPr>
            <w:tcW w:w="1617" w:type="dxa"/>
            <w:vMerge/>
            <w:vAlign w:val="center"/>
          </w:tcPr>
          <w:p w14:paraId="515DEFDA" w14:textId="77777777" w:rsidR="001C441B" w:rsidRPr="00CF7662" w:rsidRDefault="001C441B" w:rsidP="007A2A1D">
            <w:pPr>
              <w:spacing w:line="240" w:lineRule="auto"/>
              <w:jc w:val="center"/>
              <w:rPr>
                <w:sz w:val="18"/>
                <w:szCs w:val="18"/>
                <w:lang w:val="fr-FR"/>
              </w:rPr>
            </w:pPr>
          </w:p>
        </w:tc>
      </w:tr>
      <w:tr w:rsidR="001C441B" w:rsidRPr="00CF7662" w14:paraId="456A56DC" w14:textId="77777777" w:rsidTr="007A2A1D">
        <w:trPr>
          <w:cantSplit/>
          <w:trHeight w:val="20"/>
          <w:jc w:val="center"/>
        </w:trPr>
        <w:tc>
          <w:tcPr>
            <w:tcW w:w="741" w:type="dxa"/>
            <w:vMerge/>
          </w:tcPr>
          <w:p w14:paraId="4ACB1475" w14:textId="77777777" w:rsidR="001C441B" w:rsidRPr="00CF7662" w:rsidRDefault="001C441B" w:rsidP="007A2A1D">
            <w:pPr>
              <w:spacing w:line="240" w:lineRule="auto"/>
              <w:jc w:val="center"/>
              <w:rPr>
                <w:sz w:val="18"/>
                <w:szCs w:val="18"/>
                <w:lang w:val="fr-FR"/>
              </w:rPr>
            </w:pPr>
          </w:p>
        </w:tc>
        <w:tc>
          <w:tcPr>
            <w:tcW w:w="976" w:type="dxa"/>
          </w:tcPr>
          <w:p w14:paraId="6BDCA4B1" w14:textId="77777777" w:rsidR="001C441B" w:rsidRPr="00CF7662" w:rsidRDefault="001C441B" w:rsidP="007A2A1D">
            <w:pPr>
              <w:spacing w:line="240" w:lineRule="auto"/>
              <w:jc w:val="center"/>
              <w:rPr>
                <w:sz w:val="18"/>
                <w:szCs w:val="18"/>
                <w:lang w:val="fr-FR"/>
              </w:rPr>
            </w:pPr>
            <w:r w:rsidRPr="00CF7662">
              <w:rPr>
                <w:sz w:val="18"/>
                <w:szCs w:val="18"/>
                <w:lang w:val="fr-FR"/>
              </w:rPr>
              <w:t>1428</w:t>
            </w:r>
          </w:p>
        </w:tc>
        <w:tc>
          <w:tcPr>
            <w:tcW w:w="5943" w:type="dxa"/>
          </w:tcPr>
          <w:p w14:paraId="0AA7127D" w14:textId="77777777" w:rsidR="001C441B" w:rsidRPr="00CF7662" w:rsidRDefault="001C441B" w:rsidP="007A2A1D">
            <w:pPr>
              <w:spacing w:line="240" w:lineRule="auto"/>
              <w:rPr>
                <w:sz w:val="18"/>
                <w:szCs w:val="18"/>
                <w:lang w:val="fr-FR"/>
              </w:rPr>
            </w:pPr>
            <w:r w:rsidRPr="00CF7662">
              <w:rPr>
                <w:sz w:val="18"/>
                <w:szCs w:val="18"/>
                <w:lang w:val="fr-FR"/>
              </w:rPr>
              <w:t>Sodium</w:t>
            </w:r>
          </w:p>
        </w:tc>
        <w:tc>
          <w:tcPr>
            <w:tcW w:w="1617" w:type="dxa"/>
            <w:vMerge/>
            <w:vAlign w:val="center"/>
          </w:tcPr>
          <w:p w14:paraId="467D065F" w14:textId="77777777" w:rsidR="001C441B" w:rsidRPr="00CF7662" w:rsidRDefault="001C441B" w:rsidP="007A2A1D">
            <w:pPr>
              <w:spacing w:line="240" w:lineRule="auto"/>
              <w:jc w:val="center"/>
              <w:rPr>
                <w:sz w:val="18"/>
                <w:szCs w:val="18"/>
                <w:lang w:val="fr-FR"/>
              </w:rPr>
            </w:pPr>
          </w:p>
        </w:tc>
      </w:tr>
      <w:tr w:rsidR="001C441B" w:rsidRPr="00CF7662" w14:paraId="54C8C229" w14:textId="77777777" w:rsidTr="007A2A1D">
        <w:trPr>
          <w:cantSplit/>
          <w:trHeight w:val="20"/>
          <w:jc w:val="center"/>
        </w:trPr>
        <w:tc>
          <w:tcPr>
            <w:tcW w:w="741" w:type="dxa"/>
            <w:vMerge/>
          </w:tcPr>
          <w:p w14:paraId="1B93026D" w14:textId="77777777" w:rsidR="001C441B" w:rsidRPr="00CF7662" w:rsidRDefault="001C441B" w:rsidP="007A2A1D">
            <w:pPr>
              <w:spacing w:line="240" w:lineRule="auto"/>
              <w:jc w:val="center"/>
              <w:rPr>
                <w:sz w:val="18"/>
                <w:szCs w:val="18"/>
                <w:lang w:val="fr-FR"/>
              </w:rPr>
            </w:pPr>
          </w:p>
        </w:tc>
        <w:tc>
          <w:tcPr>
            <w:tcW w:w="976" w:type="dxa"/>
          </w:tcPr>
          <w:p w14:paraId="71D0D487" w14:textId="77777777" w:rsidR="001C441B" w:rsidRPr="00CF7662" w:rsidRDefault="001C441B" w:rsidP="007A2A1D">
            <w:pPr>
              <w:spacing w:line="240" w:lineRule="auto"/>
              <w:jc w:val="center"/>
              <w:rPr>
                <w:sz w:val="18"/>
                <w:szCs w:val="18"/>
                <w:lang w:val="fr-FR"/>
              </w:rPr>
            </w:pPr>
            <w:r w:rsidRPr="00CF7662">
              <w:rPr>
                <w:sz w:val="18"/>
                <w:szCs w:val="18"/>
                <w:lang w:val="fr-FR"/>
              </w:rPr>
              <w:t>2257</w:t>
            </w:r>
          </w:p>
        </w:tc>
        <w:tc>
          <w:tcPr>
            <w:tcW w:w="5943" w:type="dxa"/>
          </w:tcPr>
          <w:p w14:paraId="73764370" w14:textId="77777777" w:rsidR="001C441B" w:rsidRPr="00CF7662" w:rsidRDefault="001C441B" w:rsidP="007A2A1D">
            <w:pPr>
              <w:spacing w:line="240" w:lineRule="auto"/>
              <w:rPr>
                <w:sz w:val="18"/>
                <w:szCs w:val="18"/>
                <w:lang w:val="fr-FR"/>
              </w:rPr>
            </w:pPr>
            <w:r w:rsidRPr="00CF7662">
              <w:rPr>
                <w:sz w:val="18"/>
                <w:szCs w:val="18"/>
                <w:lang w:val="fr-FR"/>
              </w:rPr>
              <w:t>Potassium</w:t>
            </w:r>
          </w:p>
        </w:tc>
        <w:tc>
          <w:tcPr>
            <w:tcW w:w="1617" w:type="dxa"/>
            <w:vMerge/>
            <w:vAlign w:val="center"/>
          </w:tcPr>
          <w:p w14:paraId="1B061E65" w14:textId="77777777" w:rsidR="001C441B" w:rsidRPr="00CF7662" w:rsidRDefault="001C441B" w:rsidP="007A2A1D">
            <w:pPr>
              <w:spacing w:line="240" w:lineRule="auto"/>
              <w:jc w:val="center"/>
              <w:rPr>
                <w:sz w:val="18"/>
                <w:szCs w:val="18"/>
                <w:lang w:val="fr-FR"/>
              </w:rPr>
            </w:pPr>
          </w:p>
        </w:tc>
      </w:tr>
      <w:tr w:rsidR="001C441B" w:rsidRPr="00CF7662" w14:paraId="3590A568" w14:textId="77777777" w:rsidTr="007A2A1D">
        <w:trPr>
          <w:cantSplit/>
          <w:trHeight w:val="20"/>
          <w:jc w:val="center"/>
        </w:trPr>
        <w:tc>
          <w:tcPr>
            <w:tcW w:w="741" w:type="dxa"/>
            <w:vMerge/>
          </w:tcPr>
          <w:p w14:paraId="34CD84F3" w14:textId="77777777" w:rsidR="001C441B" w:rsidRPr="00CF7662" w:rsidRDefault="001C441B" w:rsidP="007A2A1D">
            <w:pPr>
              <w:spacing w:line="240" w:lineRule="auto"/>
              <w:jc w:val="center"/>
              <w:rPr>
                <w:sz w:val="18"/>
                <w:szCs w:val="18"/>
                <w:lang w:val="fr-FR"/>
              </w:rPr>
            </w:pPr>
          </w:p>
        </w:tc>
        <w:tc>
          <w:tcPr>
            <w:tcW w:w="976" w:type="dxa"/>
          </w:tcPr>
          <w:p w14:paraId="4B7220E3" w14:textId="77777777" w:rsidR="001C441B" w:rsidRPr="00CF7662" w:rsidRDefault="001C441B" w:rsidP="007A2A1D">
            <w:pPr>
              <w:spacing w:line="240" w:lineRule="auto"/>
              <w:jc w:val="center"/>
              <w:rPr>
                <w:sz w:val="18"/>
                <w:szCs w:val="18"/>
                <w:lang w:val="fr-FR"/>
              </w:rPr>
            </w:pPr>
            <w:r w:rsidRPr="00CF7662">
              <w:rPr>
                <w:sz w:val="18"/>
                <w:szCs w:val="18"/>
                <w:lang w:val="fr-FR"/>
              </w:rPr>
              <w:t>3401</w:t>
            </w:r>
          </w:p>
        </w:tc>
        <w:tc>
          <w:tcPr>
            <w:tcW w:w="5943" w:type="dxa"/>
          </w:tcPr>
          <w:p w14:paraId="746490A9" w14:textId="77777777" w:rsidR="001C441B" w:rsidRPr="00CF7662" w:rsidRDefault="001C441B" w:rsidP="007A2A1D">
            <w:pPr>
              <w:spacing w:line="240" w:lineRule="auto"/>
              <w:rPr>
                <w:sz w:val="18"/>
                <w:szCs w:val="18"/>
                <w:lang w:val="fr-FR"/>
              </w:rPr>
            </w:pPr>
            <w:r w:rsidRPr="00CF7662">
              <w:rPr>
                <w:sz w:val="18"/>
                <w:szCs w:val="18"/>
                <w:lang w:val="fr-FR"/>
              </w:rPr>
              <w:t>Amalgame de métaux alcalins, solide</w:t>
            </w:r>
          </w:p>
        </w:tc>
        <w:tc>
          <w:tcPr>
            <w:tcW w:w="1617" w:type="dxa"/>
            <w:vMerge/>
            <w:vAlign w:val="center"/>
          </w:tcPr>
          <w:p w14:paraId="510E8852" w14:textId="77777777" w:rsidR="001C441B" w:rsidRPr="00CF7662" w:rsidRDefault="001C441B" w:rsidP="007A2A1D">
            <w:pPr>
              <w:spacing w:line="240" w:lineRule="auto"/>
              <w:jc w:val="center"/>
              <w:rPr>
                <w:sz w:val="18"/>
                <w:szCs w:val="18"/>
                <w:lang w:val="fr-FR"/>
              </w:rPr>
            </w:pPr>
          </w:p>
        </w:tc>
      </w:tr>
      <w:tr w:rsidR="001C441B" w:rsidRPr="00CF7662" w14:paraId="2C8F5CDF" w14:textId="77777777" w:rsidTr="007A2A1D">
        <w:trPr>
          <w:cantSplit/>
          <w:trHeight w:val="20"/>
          <w:jc w:val="center"/>
        </w:trPr>
        <w:tc>
          <w:tcPr>
            <w:tcW w:w="741" w:type="dxa"/>
            <w:vMerge/>
          </w:tcPr>
          <w:p w14:paraId="092644AD" w14:textId="77777777" w:rsidR="001C441B" w:rsidRPr="00CF7662" w:rsidRDefault="001C441B" w:rsidP="007A2A1D">
            <w:pPr>
              <w:spacing w:line="240" w:lineRule="auto"/>
              <w:jc w:val="center"/>
              <w:rPr>
                <w:sz w:val="18"/>
                <w:szCs w:val="18"/>
                <w:lang w:val="fr-FR"/>
              </w:rPr>
            </w:pPr>
          </w:p>
        </w:tc>
        <w:tc>
          <w:tcPr>
            <w:tcW w:w="976" w:type="dxa"/>
          </w:tcPr>
          <w:p w14:paraId="1C2555AD" w14:textId="77777777" w:rsidR="001C441B" w:rsidRPr="00CF7662" w:rsidRDefault="001C441B" w:rsidP="007A2A1D">
            <w:pPr>
              <w:spacing w:line="240" w:lineRule="auto"/>
              <w:jc w:val="center"/>
              <w:rPr>
                <w:sz w:val="18"/>
                <w:szCs w:val="18"/>
                <w:lang w:val="fr-FR"/>
              </w:rPr>
            </w:pPr>
            <w:r w:rsidRPr="00CF7662">
              <w:rPr>
                <w:sz w:val="18"/>
                <w:szCs w:val="18"/>
                <w:lang w:val="fr-FR"/>
              </w:rPr>
              <w:t>3402</w:t>
            </w:r>
          </w:p>
        </w:tc>
        <w:tc>
          <w:tcPr>
            <w:tcW w:w="5943" w:type="dxa"/>
          </w:tcPr>
          <w:p w14:paraId="5F54837F" w14:textId="77777777" w:rsidR="001C441B" w:rsidRPr="00CF7662" w:rsidRDefault="001C441B" w:rsidP="007A2A1D">
            <w:pPr>
              <w:spacing w:line="240" w:lineRule="auto"/>
              <w:rPr>
                <w:sz w:val="18"/>
                <w:szCs w:val="18"/>
                <w:lang w:val="fr-FR"/>
              </w:rPr>
            </w:pPr>
            <w:r w:rsidRPr="00CF7662">
              <w:rPr>
                <w:sz w:val="18"/>
                <w:szCs w:val="18"/>
                <w:lang w:val="fr-FR"/>
              </w:rPr>
              <w:t>Amalgame de métaux alcalino-terreux, solide</w:t>
            </w:r>
          </w:p>
        </w:tc>
        <w:tc>
          <w:tcPr>
            <w:tcW w:w="1617" w:type="dxa"/>
            <w:vMerge/>
            <w:vAlign w:val="center"/>
          </w:tcPr>
          <w:p w14:paraId="48457B13" w14:textId="77777777" w:rsidR="001C441B" w:rsidRPr="00CF7662" w:rsidRDefault="001C441B" w:rsidP="007A2A1D">
            <w:pPr>
              <w:spacing w:line="240" w:lineRule="auto"/>
              <w:jc w:val="center"/>
              <w:rPr>
                <w:sz w:val="18"/>
                <w:szCs w:val="18"/>
                <w:lang w:val="fr-FR"/>
              </w:rPr>
            </w:pPr>
          </w:p>
        </w:tc>
      </w:tr>
      <w:tr w:rsidR="001C441B" w:rsidRPr="00CF7662" w14:paraId="350DFCFC" w14:textId="77777777" w:rsidTr="007A2A1D">
        <w:trPr>
          <w:cantSplit/>
          <w:trHeight w:val="20"/>
          <w:jc w:val="center"/>
        </w:trPr>
        <w:tc>
          <w:tcPr>
            <w:tcW w:w="741" w:type="dxa"/>
            <w:vMerge/>
          </w:tcPr>
          <w:p w14:paraId="12EAB01B" w14:textId="77777777" w:rsidR="001C441B" w:rsidRPr="00CF7662" w:rsidRDefault="001C441B" w:rsidP="007A2A1D">
            <w:pPr>
              <w:spacing w:line="240" w:lineRule="auto"/>
              <w:jc w:val="center"/>
              <w:rPr>
                <w:sz w:val="18"/>
                <w:szCs w:val="18"/>
                <w:lang w:val="fr-FR"/>
              </w:rPr>
            </w:pPr>
          </w:p>
        </w:tc>
        <w:tc>
          <w:tcPr>
            <w:tcW w:w="976" w:type="dxa"/>
          </w:tcPr>
          <w:p w14:paraId="5072AE29" w14:textId="77777777" w:rsidR="001C441B" w:rsidRPr="00CF7662" w:rsidRDefault="001C441B" w:rsidP="007A2A1D">
            <w:pPr>
              <w:spacing w:line="240" w:lineRule="auto"/>
              <w:jc w:val="center"/>
              <w:rPr>
                <w:sz w:val="18"/>
                <w:szCs w:val="18"/>
                <w:lang w:val="fr-FR"/>
              </w:rPr>
            </w:pPr>
            <w:r w:rsidRPr="00CF7662">
              <w:rPr>
                <w:sz w:val="18"/>
                <w:szCs w:val="18"/>
                <w:lang w:val="fr-FR"/>
              </w:rPr>
              <w:t>3403</w:t>
            </w:r>
          </w:p>
        </w:tc>
        <w:tc>
          <w:tcPr>
            <w:tcW w:w="5943" w:type="dxa"/>
          </w:tcPr>
          <w:p w14:paraId="5A903721" w14:textId="77777777" w:rsidR="001C441B" w:rsidRPr="00CF7662" w:rsidRDefault="001C441B" w:rsidP="007A2A1D">
            <w:pPr>
              <w:spacing w:line="240" w:lineRule="auto"/>
              <w:rPr>
                <w:sz w:val="18"/>
                <w:szCs w:val="18"/>
                <w:lang w:val="fr-FR"/>
              </w:rPr>
            </w:pPr>
            <w:r w:rsidRPr="00CF7662">
              <w:rPr>
                <w:sz w:val="18"/>
                <w:szCs w:val="18"/>
                <w:lang w:val="fr-FR"/>
              </w:rPr>
              <w:t>Alliages métalliques de potassium, solides</w:t>
            </w:r>
          </w:p>
        </w:tc>
        <w:tc>
          <w:tcPr>
            <w:tcW w:w="1617" w:type="dxa"/>
            <w:vMerge/>
            <w:vAlign w:val="center"/>
          </w:tcPr>
          <w:p w14:paraId="699FDDD4" w14:textId="77777777" w:rsidR="001C441B" w:rsidRPr="00CF7662" w:rsidRDefault="001C441B" w:rsidP="007A2A1D">
            <w:pPr>
              <w:spacing w:line="240" w:lineRule="auto"/>
              <w:jc w:val="center"/>
              <w:rPr>
                <w:sz w:val="18"/>
                <w:szCs w:val="18"/>
                <w:lang w:val="fr-FR"/>
              </w:rPr>
            </w:pPr>
          </w:p>
        </w:tc>
      </w:tr>
      <w:tr w:rsidR="001C441B" w:rsidRPr="00CF7662" w14:paraId="12496C22" w14:textId="77777777" w:rsidTr="007A2A1D">
        <w:trPr>
          <w:cantSplit/>
          <w:trHeight w:val="20"/>
          <w:jc w:val="center"/>
        </w:trPr>
        <w:tc>
          <w:tcPr>
            <w:tcW w:w="741" w:type="dxa"/>
            <w:vMerge/>
          </w:tcPr>
          <w:p w14:paraId="74AF29C2" w14:textId="77777777" w:rsidR="001C441B" w:rsidRPr="00CF7662" w:rsidRDefault="001C441B" w:rsidP="007A2A1D">
            <w:pPr>
              <w:spacing w:line="240" w:lineRule="auto"/>
              <w:jc w:val="center"/>
              <w:rPr>
                <w:sz w:val="18"/>
                <w:szCs w:val="18"/>
                <w:lang w:val="fr-FR"/>
              </w:rPr>
            </w:pPr>
          </w:p>
        </w:tc>
        <w:tc>
          <w:tcPr>
            <w:tcW w:w="976" w:type="dxa"/>
          </w:tcPr>
          <w:p w14:paraId="7EE1EBFD" w14:textId="77777777" w:rsidR="001C441B" w:rsidRPr="00CF7662" w:rsidRDefault="001C441B" w:rsidP="007A2A1D">
            <w:pPr>
              <w:spacing w:line="240" w:lineRule="auto"/>
              <w:jc w:val="center"/>
              <w:rPr>
                <w:sz w:val="18"/>
                <w:szCs w:val="18"/>
                <w:lang w:val="fr-FR"/>
              </w:rPr>
            </w:pPr>
            <w:r w:rsidRPr="00CF7662">
              <w:rPr>
                <w:sz w:val="18"/>
                <w:szCs w:val="18"/>
                <w:lang w:val="fr-FR"/>
              </w:rPr>
              <w:t>3404</w:t>
            </w:r>
          </w:p>
        </w:tc>
        <w:tc>
          <w:tcPr>
            <w:tcW w:w="5943" w:type="dxa"/>
          </w:tcPr>
          <w:p w14:paraId="3C273422" w14:textId="77777777" w:rsidR="001C441B" w:rsidRPr="00CF7662" w:rsidRDefault="001C441B" w:rsidP="007A2A1D">
            <w:pPr>
              <w:spacing w:line="240" w:lineRule="auto"/>
              <w:rPr>
                <w:sz w:val="18"/>
                <w:szCs w:val="18"/>
                <w:lang w:val="fr-FR"/>
              </w:rPr>
            </w:pPr>
            <w:r w:rsidRPr="00CF7662">
              <w:rPr>
                <w:sz w:val="18"/>
                <w:szCs w:val="18"/>
                <w:lang w:val="fr-FR"/>
              </w:rPr>
              <w:t>Alliages de potassium et sodium, solides</w:t>
            </w:r>
          </w:p>
        </w:tc>
        <w:tc>
          <w:tcPr>
            <w:tcW w:w="1617" w:type="dxa"/>
            <w:vMerge/>
            <w:vAlign w:val="center"/>
          </w:tcPr>
          <w:p w14:paraId="4707D37E" w14:textId="77777777" w:rsidR="001C441B" w:rsidRPr="00CF7662" w:rsidRDefault="001C441B" w:rsidP="007A2A1D">
            <w:pPr>
              <w:spacing w:line="240" w:lineRule="auto"/>
              <w:jc w:val="center"/>
              <w:rPr>
                <w:sz w:val="18"/>
                <w:szCs w:val="18"/>
                <w:lang w:val="fr-FR"/>
              </w:rPr>
            </w:pPr>
          </w:p>
        </w:tc>
      </w:tr>
      <w:tr w:rsidR="001C441B" w:rsidRPr="00CF7662" w14:paraId="7E28BD77" w14:textId="77777777" w:rsidTr="007A2A1D">
        <w:trPr>
          <w:cantSplit/>
          <w:trHeight w:val="20"/>
          <w:jc w:val="center"/>
        </w:trPr>
        <w:tc>
          <w:tcPr>
            <w:tcW w:w="741" w:type="dxa"/>
            <w:vMerge/>
          </w:tcPr>
          <w:p w14:paraId="25C60249" w14:textId="77777777" w:rsidR="001C441B" w:rsidRPr="00CF7662" w:rsidRDefault="001C441B" w:rsidP="007A2A1D">
            <w:pPr>
              <w:spacing w:line="240" w:lineRule="auto"/>
              <w:jc w:val="center"/>
              <w:rPr>
                <w:sz w:val="18"/>
                <w:szCs w:val="18"/>
                <w:lang w:val="fr-FR"/>
              </w:rPr>
            </w:pPr>
          </w:p>
        </w:tc>
        <w:tc>
          <w:tcPr>
            <w:tcW w:w="976" w:type="dxa"/>
          </w:tcPr>
          <w:p w14:paraId="38526B42" w14:textId="77777777" w:rsidR="001C441B" w:rsidRPr="00CF7662" w:rsidRDefault="001C441B" w:rsidP="007A2A1D">
            <w:pPr>
              <w:spacing w:line="240" w:lineRule="auto"/>
              <w:jc w:val="center"/>
              <w:rPr>
                <w:sz w:val="18"/>
                <w:szCs w:val="18"/>
                <w:lang w:val="fr-FR"/>
              </w:rPr>
            </w:pPr>
            <w:r w:rsidRPr="00CF7662">
              <w:rPr>
                <w:sz w:val="18"/>
                <w:szCs w:val="18"/>
                <w:lang w:val="fr-FR"/>
              </w:rPr>
              <w:t>3482</w:t>
            </w:r>
          </w:p>
        </w:tc>
        <w:tc>
          <w:tcPr>
            <w:tcW w:w="5943" w:type="dxa"/>
          </w:tcPr>
          <w:p w14:paraId="4CE99A6B" w14:textId="77777777" w:rsidR="001C441B" w:rsidRPr="00CF7662" w:rsidRDefault="001C441B" w:rsidP="007A2A1D">
            <w:pPr>
              <w:spacing w:line="240" w:lineRule="auto"/>
              <w:rPr>
                <w:sz w:val="18"/>
                <w:szCs w:val="18"/>
                <w:lang w:val="fr-FR"/>
              </w:rPr>
            </w:pPr>
            <w:r w:rsidRPr="00CF7662">
              <w:rPr>
                <w:sz w:val="18"/>
                <w:szCs w:val="18"/>
                <w:lang w:val="fr-FR"/>
              </w:rPr>
              <w:t>Dispersion de métaux alcalins, inflammable ou Dispersion de métaux alcalino-terreux, inflammable</w:t>
            </w:r>
          </w:p>
        </w:tc>
        <w:tc>
          <w:tcPr>
            <w:tcW w:w="1617" w:type="dxa"/>
            <w:vMerge/>
            <w:vAlign w:val="center"/>
          </w:tcPr>
          <w:p w14:paraId="38D5D3BD" w14:textId="77777777" w:rsidR="001C441B" w:rsidRPr="00CF7662" w:rsidRDefault="001C441B" w:rsidP="007A2A1D">
            <w:pPr>
              <w:spacing w:line="240" w:lineRule="auto"/>
              <w:jc w:val="center"/>
              <w:rPr>
                <w:sz w:val="18"/>
                <w:szCs w:val="18"/>
                <w:lang w:val="fr-FR"/>
              </w:rPr>
            </w:pPr>
          </w:p>
        </w:tc>
      </w:tr>
      <w:tr w:rsidR="001C441B" w:rsidRPr="00CF7662" w14:paraId="2E4F55E7" w14:textId="77777777" w:rsidTr="007A2A1D">
        <w:trPr>
          <w:cantSplit/>
          <w:trHeight w:val="20"/>
          <w:jc w:val="center"/>
        </w:trPr>
        <w:tc>
          <w:tcPr>
            <w:tcW w:w="741" w:type="dxa"/>
            <w:vMerge/>
          </w:tcPr>
          <w:p w14:paraId="7BF98D31" w14:textId="77777777" w:rsidR="001C441B" w:rsidRPr="00CF7662" w:rsidRDefault="001C441B" w:rsidP="007A2A1D">
            <w:pPr>
              <w:spacing w:line="240" w:lineRule="auto"/>
              <w:jc w:val="center"/>
              <w:rPr>
                <w:sz w:val="18"/>
                <w:szCs w:val="18"/>
                <w:lang w:val="fr-FR"/>
              </w:rPr>
            </w:pPr>
          </w:p>
        </w:tc>
        <w:tc>
          <w:tcPr>
            <w:tcW w:w="976" w:type="dxa"/>
          </w:tcPr>
          <w:p w14:paraId="2FAA8085" w14:textId="77777777" w:rsidR="001C441B" w:rsidRPr="00CF7662" w:rsidRDefault="001C441B" w:rsidP="007A2A1D">
            <w:pPr>
              <w:spacing w:line="240" w:lineRule="auto"/>
              <w:jc w:val="center"/>
              <w:rPr>
                <w:sz w:val="18"/>
                <w:szCs w:val="18"/>
                <w:lang w:val="fr-FR"/>
              </w:rPr>
            </w:pPr>
            <w:r w:rsidRPr="00CF7662">
              <w:rPr>
                <w:sz w:val="18"/>
                <w:szCs w:val="18"/>
                <w:lang w:val="fr-FR"/>
              </w:rPr>
              <w:t>1407</w:t>
            </w:r>
          </w:p>
        </w:tc>
        <w:tc>
          <w:tcPr>
            <w:tcW w:w="5943" w:type="dxa"/>
          </w:tcPr>
          <w:p w14:paraId="3B114190" w14:textId="77777777" w:rsidR="001C441B" w:rsidRPr="00CF7662" w:rsidRDefault="001C441B" w:rsidP="007A2A1D">
            <w:pPr>
              <w:spacing w:line="240" w:lineRule="auto"/>
              <w:rPr>
                <w:sz w:val="18"/>
                <w:szCs w:val="18"/>
                <w:lang w:val="fr-FR"/>
              </w:rPr>
            </w:pPr>
            <w:r w:rsidRPr="00CF7662">
              <w:rPr>
                <w:sz w:val="18"/>
                <w:szCs w:val="18"/>
                <w:lang w:val="fr-FR"/>
              </w:rPr>
              <w:t>Césium</w:t>
            </w:r>
          </w:p>
        </w:tc>
        <w:tc>
          <w:tcPr>
            <w:tcW w:w="1617" w:type="dxa"/>
            <w:vMerge w:val="restart"/>
            <w:vAlign w:val="center"/>
          </w:tcPr>
          <w:p w14:paraId="200D0396" w14:textId="77777777" w:rsidR="001C441B" w:rsidRPr="00CF7662" w:rsidRDefault="001C441B" w:rsidP="007A2A1D">
            <w:pPr>
              <w:spacing w:line="240" w:lineRule="auto"/>
              <w:jc w:val="center"/>
              <w:rPr>
                <w:sz w:val="18"/>
                <w:szCs w:val="18"/>
                <w:lang w:val="fr-FR"/>
              </w:rPr>
            </w:pPr>
            <w:r w:rsidRPr="00CF7662">
              <w:rPr>
                <w:sz w:val="18"/>
                <w:szCs w:val="18"/>
                <w:lang w:val="fr-FR"/>
              </w:rPr>
              <w:t>L10CH</w:t>
            </w:r>
          </w:p>
        </w:tc>
      </w:tr>
      <w:tr w:rsidR="001C441B" w:rsidRPr="00CF7662" w14:paraId="363BFF74" w14:textId="77777777" w:rsidTr="007A2A1D">
        <w:trPr>
          <w:cantSplit/>
          <w:trHeight w:val="20"/>
          <w:jc w:val="center"/>
        </w:trPr>
        <w:tc>
          <w:tcPr>
            <w:tcW w:w="741" w:type="dxa"/>
            <w:vMerge/>
          </w:tcPr>
          <w:p w14:paraId="349F528A" w14:textId="77777777" w:rsidR="001C441B" w:rsidRPr="00CF7662" w:rsidRDefault="001C441B" w:rsidP="007A2A1D">
            <w:pPr>
              <w:spacing w:line="240" w:lineRule="auto"/>
              <w:jc w:val="center"/>
              <w:rPr>
                <w:sz w:val="18"/>
                <w:szCs w:val="18"/>
                <w:lang w:val="fr-FR"/>
              </w:rPr>
            </w:pPr>
          </w:p>
        </w:tc>
        <w:tc>
          <w:tcPr>
            <w:tcW w:w="976" w:type="dxa"/>
          </w:tcPr>
          <w:p w14:paraId="5F2E46E2" w14:textId="77777777" w:rsidR="001C441B" w:rsidRPr="00CF7662" w:rsidRDefault="001C441B" w:rsidP="007A2A1D">
            <w:pPr>
              <w:spacing w:line="240" w:lineRule="auto"/>
              <w:jc w:val="center"/>
              <w:rPr>
                <w:sz w:val="18"/>
                <w:szCs w:val="18"/>
                <w:lang w:val="fr-FR"/>
              </w:rPr>
            </w:pPr>
            <w:r w:rsidRPr="00CF7662">
              <w:rPr>
                <w:sz w:val="18"/>
                <w:szCs w:val="18"/>
                <w:lang w:val="fr-FR"/>
              </w:rPr>
              <w:t>1423</w:t>
            </w:r>
          </w:p>
        </w:tc>
        <w:tc>
          <w:tcPr>
            <w:tcW w:w="5943" w:type="dxa"/>
          </w:tcPr>
          <w:p w14:paraId="0D622246" w14:textId="77777777" w:rsidR="001C441B" w:rsidRPr="00CF7662" w:rsidRDefault="001C441B" w:rsidP="007A2A1D">
            <w:pPr>
              <w:spacing w:line="240" w:lineRule="auto"/>
              <w:rPr>
                <w:sz w:val="18"/>
                <w:szCs w:val="18"/>
                <w:lang w:val="fr-FR"/>
              </w:rPr>
            </w:pPr>
            <w:r w:rsidRPr="00CF7662">
              <w:rPr>
                <w:sz w:val="18"/>
                <w:szCs w:val="18"/>
                <w:lang w:val="fr-FR"/>
              </w:rPr>
              <w:t>Rubidium</w:t>
            </w:r>
          </w:p>
        </w:tc>
        <w:tc>
          <w:tcPr>
            <w:tcW w:w="1617" w:type="dxa"/>
            <w:vMerge/>
            <w:vAlign w:val="center"/>
          </w:tcPr>
          <w:p w14:paraId="08C98690" w14:textId="77777777" w:rsidR="001C441B" w:rsidRPr="00CF7662" w:rsidRDefault="001C441B" w:rsidP="007A2A1D">
            <w:pPr>
              <w:spacing w:line="240" w:lineRule="auto"/>
              <w:jc w:val="center"/>
              <w:rPr>
                <w:sz w:val="18"/>
                <w:szCs w:val="18"/>
                <w:lang w:val="fr-FR"/>
              </w:rPr>
            </w:pPr>
          </w:p>
        </w:tc>
      </w:tr>
      <w:tr w:rsidR="001C441B" w:rsidRPr="00CF7662" w14:paraId="70328FF1" w14:textId="77777777" w:rsidTr="007A2A1D">
        <w:trPr>
          <w:cantSplit/>
          <w:trHeight w:val="20"/>
          <w:jc w:val="center"/>
        </w:trPr>
        <w:tc>
          <w:tcPr>
            <w:tcW w:w="741" w:type="dxa"/>
            <w:vMerge/>
          </w:tcPr>
          <w:p w14:paraId="36C3E75F" w14:textId="77777777" w:rsidR="001C441B" w:rsidRPr="00CF7662" w:rsidRDefault="001C441B" w:rsidP="007A2A1D">
            <w:pPr>
              <w:spacing w:line="240" w:lineRule="auto"/>
              <w:jc w:val="center"/>
              <w:rPr>
                <w:sz w:val="18"/>
                <w:szCs w:val="18"/>
                <w:lang w:val="fr-FR"/>
              </w:rPr>
            </w:pPr>
          </w:p>
        </w:tc>
        <w:tc>
          <w:tcPr>
            <w:tcW w:w="976" w:type="dxa"/>
          </w:tcPr>
          <w:p w14:paraId="14900660" w14:textId="77777777" w:rsidR="001C441B" w:rsidRPr="00CF7662" w:rsidRDefault="001C441B" w:rsidP="007A2A1D">
            <w:pPr>
              <w:spacing w:line="240" w:lineRule="auto"/>
              <w:jc w:val="center"/>
              <w:rPr>
                <w:sz w:val="18"/>
                <w:szCs w:val="18"/>
                <w:lang w:val="fr-FR"/>
              </w:rPr>
            </w:pPr>
            <w:r w:rsidRPr="00CF7662">
              <w:rPr>
                <w:sz w:val="18"/>
                <w:szCs w:val="18"/>
                <w:lang w:val="fr-FR"/>
              </w:rPr>
              <w:t>1402</w:t>
            </w:r>
          </w:p>
        </w:tc>
        <w:tc>
          <w:tcPr>
            <w:tcW w:w="5943" w:type="dxa"/>
          </w:tcPr>
          <w:p w14:paraId="745142B3" w14:textId="77777777" w:rsidR="001C441B" w:rsidRPr="00CF7662" w:rsidRDefault="001C441B" w:rsidP="007A2A1D">
            <w:pPr>
              <w:spacing w:line="240" w:lineRule="auto"/>
              <w:rPr>
                <w:sz w:val="18"/>
                <w:szCs w:val="18"/>
                <w:lang w:val="fr-FR"/>
              </w:rPr>
            </w:pPr>
            <w:r w:rsidRPr="00CF7662">
              <w:rPr>
                <w:sz w:val="18"/>
                <w:szCs w:val="18"/>
                <w:lang w:val="fr-FR"/>
              </w:rPr>
              <w:t>Carbure de calcium, groupe d'emballage I</w:t>
            </w:r>
          </w:p>
        </w:tc>
        <w:tc>
          <w:tcPr>
            <w:tcW w:w="1617" w:type="dxa"/>
            <w:vAlign w:val="center"/>
          </w:tcPr>
          <w:p w14:paraId="6C78C536" w14:textId="77777777" w:rsidR="001C441B" w:rsidRPr="00CF7662" w:rsidRDefault="001C441B" w:rsidP="007A2A1D">
            <w:pPr>
              <w:spacing w:line="240" w:lineRule="auto"/>
              <w:jc w:val="center"/>
              <w:rPr>
                <w:sz w:val="18"/>
                <w:szCs w:val="18"/>
                <w:lang w:val="fr-FR"/>
              </w:rPr>
            </w:pPr>
            <w:r w:rsidRPr="00CF7662">
              <w:rPr>
                <w:sz w:val="18"/>
                <w:szCs w:val="18"/>
                <w:lang w:val="fr-FR"/>
              </w:rPr>
              <w:t>S2,65AN</w:t>
            </w:r>
          </w:p>
        </w:tc>
      </w:tr>
      <w:tr w:rsidR="001C441B" w:rsidRPr="00CF7662" w14:paraId="2646DA0E" w14:textId="77777777" w:rsidTr="007A2A1D">
        <w:trPr>
          <w:cantSplit/>
          <w:trHeight w:val="20"/>
          <w:jc w:val="center"/>
        </w:trPr>
        <w:tc>
          <w:tcPr>
            <w:tcW w:w="741" w:type="dxa"/>
            <w:vMerge w:val="restart"/>
          </w:tcPr>
          <w:p w14:paraId="5EC8FCF8" w14:textId="77777777" w:rsidR="001C441B" w:rsidRPr="00CF7662" w:rsidRDefault="001C441B" w:rsidP="007A2A1D">
            <w:pPr>
              <w:spacing w:line="240" w:lineRule="auto"/>
              <w:jc w:val="center"/>
              <w:rPr>
                <w:sz w:val="18"/>
                <w:szCs w:val="18"/>
                <w:lang w:val="fr-FR"/>
              </w:rPr>
            </w:pPr>
            <w:r w:rsidRPr="00CF7662">
              <w:rPr>
                <w:sz w:val="18"/>
                <w:szCs w:val="18"/>
                <w:lang w:val="fr-FR"/>
              </w:rPr>
              <w:t>5.1</w:t>
            </w:r>
          </w:p>
        </w:tc>
        <w:tc>
          <w:tcPr>
            <w:tcW w:w="976" w:type="dxa"/>
          </w:tcPr>
          <w:p w14:paraId="5F9DB000" w14:textId="77777777" w:rsidR="001C441B" w:rsidRPr="00CF7662" w:rsidRDefault="001C441B" w:rsidP="007A2A1D">
            <w:pPr>
              <w:spacing w:line="240" w:lineRule="auto"/>
              <w:jc w:val="center"/>
              <w:rPr>
                <w:sz w:val="18"/>
                <w:szCs w:val="18"/>
                <w:lang w:val="fr-FR"/>
              </w:rPr>
            </w:pPr>
            <w:r w:rsidRPr="00CF7662">
              <w:rPr>
                <w:sz w:val="18"/>
                <w:szCs w:val="18"/>
                <w:lang w:val="fr-FR"/>
              </w:rPr>
              <w:t>1873</w:t>
            </w:r>
          </w:p>
        </w:tc>
        <w:tc>
          <w:tcPr>
            <w:tcW w:w="5943" w:type="dxa"/>
          </w:tcPr>
          <w:p w14:paraId="3F75DE25" w14:textId="77777777" w:rsidR="001C441B" w:rsidRPr="00CF7662" w:rsidRDefault="001C441B" w:rsidP="007A2A1D">
            <w:pPr>
              <w:spacing w:line="240" w:lineRule="auto"/>
              <w:rPr>
                <w:sz w:val="18"/>
                <w:szCs w:val="18"/>
                <w:lang w:val="fr-FR"/>
              </w:rPr>
            </w:pPr>
            <w:r w:rsidRPr="00CF7662">
              <w:rPr>
                <w:sz w:val="18"/>
                <w:szCs w:val="18"/>
                <w:lang w:val="fr-FR"/>
              </w:rPr>
              <w:t>Acide perchlorique contenant plus de 50% (masse) mais au maximum 72% (masse) d'acide</w:t>
            </w:r>
          </w:p>
        </w:tc>
        <w:tc>
          <w:tcPr>
            <w:tcW w:w="1617" w:type="dxa"/>
            <w:vAlign w:val="center"/>
          </w:tcPr>
          <w:p w14:paraId="27D80BBB" w14:textId="77777777" w:rsidR="001C441B" w:rsidRPr="00CF7662" w:rsidRDefault="001C441B" w:rsidP="007A2A1D">
            <w:pPr>
              <w:spacing w:line="240" w:lineRule="auto"/>
              <w:jc w:val="center"/>
              <w:rPr>
                <w:sz w:val="18"/>
                <w:szCs w:val="18"/>
                <w:lang w:val="fr-FR"/>
              </w:rPr>
            </w:pPr>
            <w:r w:rsidRPr="00CF7662">
              <w:rPr>
                <w:sz w:val="18"/>
                <w:szCs w:val="18"/>
                <w:lang w:val="fr-FR"/>
              </w:rPr>
              <w:t>L4DN</w:t>
            </w:r>
          </w:p>
        </w:tc>
      </w:tr>
      <w:tr w:rsidR="001C441B" w:rsidRPr="00CF7662" w14:paraId="37FB2334" w14:textId="77777777" w:rsidTr="007A2A1D">
        <w:trPr>
          <w:cantSplit/>
          <w:trHeight w:val="20"/>
          <w:jc w:val="center"/>
        </w:trPr>
        <w:tc>
          <w:tcPr>
            <w:tcW w:w="741" w:type="dxa"/>
            <w:vMerge/>
          </w:tcPr>
          <w:p w14:paraId="07280BC1" w14:textId="77777777" w:rsidR="001C441B" w:rsidRPr="00CF7662" w:rsidRDefault="001C441B" w:rsidP="007A2A1D">
            <w:pPr>
              <w:spacing w:line="240" w:lineRule="auto"/>
              <w:jc w:val="center"/>
              <w:rPr>
                <w:sz w:val="18"/>
                <w:szCs w:val="18"/>
                <w:lang w:val="fr-FR"/>
              </w:rPr>
            </w:pPr>
          </w:p>
        </w:tc>
        <w:tc>
          <w:tcPr>
            <w:tcW w:w="976" w:type="dxa"/>
          </w:tcPr>
          <w:p w14:paraId="2657953A" w14:textId="77777777" w:rsidR="001C441B" w:rsidRPr="00CF7662" w:rsidRDefault="001C441B" w:rsidP="007A2A1D">
            <w:pPr>
              <w:spacing w:line="240" w:lineRule="auto"/>
              <w:jc w:val="center"/>
              <w:rPr>
                <w:sz w:val="18"/>
                <w:szCs w:val="18"/>
                <w:lang w:val="fr-FR"/>
              </w:rPr>
            </w:pPr>
            <w:r w:rsidRPr="00CF7662">
              <w:rPr>
                <w:sz w:val="18"/>
                <w:szCs w:val="18"/>
                <w:lang w:val="fr-FR"/>
              </w:rPr>
              <w:t>2015</w:t>
            </w:r>
          </w:p>
        </w:tc>
        <w:tc>
          <w:tcPr>
            <w:tcW w:w="5943" w:type="dxa"/>
          </w:tcPr>
          <w:p w14:paraId="090488B2" w14:textId="77777777" w:rsidR="001C441B" w:rsidRPr="00CF7662" w:rsidRDefault="001C441B" w:rsidP="007A2A1D">
            <w:pPr>
              <w:spacing w:line="240" w:lineRule="auto"/>
              <w:rPr>
                <w:sz w:val="18"/>
                <w:szCs w:val="18"/>
                <w:lang w:val="fr-FR"/>
              </w:rPr>
            </w:pPr>
            <w:r w:rsidRPr="00CF7662">
              <w:rPr>
                <w:sz w:val="18"/>
                <w:szCs w:val="18"/>
                <w:lang w:val="fr-FR"/>
              </w:rPr>
              <w:t>Peroxyde d'hydrogène en solution aqueuse stabilisée contenant plus de 70% de peroxyde d'hydrogène</w:t>
            </w:r>
          </w:p>
        </w:tc>
        <w:tc>
          <w:tcPr>
            <w:tcW w:w="1617" w:type="dxa"/>
            <w:vAlign w:val="center"/>
          </w:tcPr>
          <w:p w14:paraId="0DFCD81A" w14:textId="77777777" w:rsidR="001C441B" w:rsidRPr="00CF7662" w:rsidRDefault="001C441B" w:rsidP="007A2A1D">
            <w:pPr>
              <w:spacing w:line="240" w:lineRule="auto"/>
              <w:jc w:val="center"/>
              <w:rPr>
                <w:sz w:val="18"/>
                <w:szCs w:val="18"/>
                <w:lang w:val="fr-FR"/>
              </w:rPr>
            </w:pPr>
            <w:r w:rsidRPr="00CF7662">
              <w:rPr>
                <w:sz w:val="18"/>
                <w:szCs w:val="18"/>
                <w:lang w:val="fr-FR"/>
              </w:rPr>
              <w:t>L4DV</w:t>
            </w:r>
          </w:p>
        </w:tc>
      </w:tr>
      <w:tr w:rsidR="001C441B" w:rsidRPr="00CF7662" w14:paraId="7F17B4A8" w14:textId="77777777" w:rsidTr="007A2A1D">
        <w:trPr>
          <w:cantSplit/>
          <w:trHeight w:val="20"/>
          <w:jc w:val="center"/>
        </w:trPr>
        <w:tc>
          <w:tcPr>
            <w:tcW w:w="741" w:type="dxa"/>
            <w:vMerge/>
          </w:tcPr>
          <w:p w14:paraId="38825FDA" w14:textId="77777777" w:rsidR="001C441B" w:rsidRPr="00CF7662" w:rsidRDefault="001C441B" w:rsidP="007A2A1D">
            <w:pPr>
              <w:spacing w:line="240" w:lineRule="auto"/>
              <w:jc w:val="center"/>
              <w:rPr>
                <w:sz w:val="18"/>
                <w:szCs w:val="18"/>
                <w:lang w:val="fr-FR"/>
              </w:rPr>
            </w:pPr>
          </w:p>
        </w:tc>
        <w:tc>
          <w:tcPr>
            <w:tcW w:w="976" w:type="dxa"/>
          </w:tcPr>
          <w:p w14:paraId="7CA3FF7D" w14:textId="77777777" w:rsidR="001C441B" w:rsidRPr="00CF7662" w:rsidRDefault="001C441B" w:rsidP="007A2A1D">
            <w:pPr>
              <w:spacing w:line="240" w:lineRule="auto"/>
              <w:jc w:val="center"/>
              <w:rPr>
                <w:sz w:val="18"/>
                <w:szCs w:val="18"/>
                <w:lang w:val="fr-FR"/>
              </w:rPr>
            </w:pPr>
            <w:r w:rsidRPr="00CF7662">
              <w:rPr>
                <w:sz w:val="18"/>
                <w:szCs w:val="18"/>
                <w:lang w:val="fr-FR"/>
              </w:rPr>
              <w:t>2014</w:t>
            </w:r>
          </w:p>
        </w:tc>
        <w:tc>
          <w:tcPr>
            <w:tcW w:w="5943" w:type="dxa"/>
          </w:tcPr>
          <w:p w14:paraId="3A8D61AF" w14:textId="77777777" w:rsidR="001C441B" w:rsidRPr="00CF7662" w:rsidRDefault="001C441B" w:rsidP="007A2A1D">
            <w:pPr>
              <w:spacing w:line="240" w:lineRule="auto"/>
              <w:rPr>
                <w:sz w:val="18"/>
                <w:szCs w:val="18"/>
                <w:lang w:val="fr-FR"/>
              </w:rPr>
            </w:pPr>
            <w:r w:rsidRPr="00CF7662">
              <w:rPr>
                <w:sz w:val="18"/>
                <w:szCs w:val="18"/>
                <w:lang w:val="fr-FR"/>
              </w:rPr>
              <w:t>Peroxyde d'hydrogène en solution aqueuse contenant au moins 20% mais au maximum 60% de peroxyde d'hydrogène</w:t>
            </w:r>
          </w:p>
        </w:tc>
        <w:tc>
          <w:tcPr>
            <w:tcW w:w="1617" w:type="dxa"/>
            <w:vMerge w:val="restart"/>
            <w:vAlign w:val="center"/>
          </w:tcPr>
          <w:p w14:paraId="5CE95967" w14:textId="77777777" w:rsidR="001C441B" w:rsidRPr="00CF7662" w:rsidRDefault="001C441B" w:rsidP="007A2A1D">
            <w:pPr>
              <w:spacing w:line="240" w:lineRule="auto"/>
              <w:jc w:val="center"/>
              <w:rPr>
                <w:sz w:val="18"/>
                <w:szCs w:val="18"/>
                <w:lang w:val="fr-FR"/>
              </w:rPr>
            </w:pPr>
            <w:r w:rsidRPr="00CF7662">
              <w:rPr>
                <w:sz w:val="18"/>
                <w:szCs w:val="18"/>
                <w:lang w:val="fr-FR"/>
              </w:rPr>
              <w:t>L4BV</w:t>
            </w:r>
          </w:p>
        </w:tc>
      </w:tr>
      <w:tr w:rsidR="001C441B" w:rsidRPr="00CF7662" w14:paraId="440A6556" w14:textId="77777777" w:rsidTr="007A2A1D">
        <w:trPr>
          <w:cantSplit/>
          <w:trHeight w:val="20"/>
          <w:jc w:val="center"/>
        </w:trPr>
        <w:tc>
          <w:tcPr>
            <w:tcW w:w="741" w:type="dxa"/>
            <w:vMerge/>
          </w:tcPr>
          <w:p w14:paraId="4B7A94FB" w14:textId="77777777" w:rsidR="001C441B" w:rsidRPr="00CF7662" w:rsidRDefault="001C441B" w:rsidP="007A2A1D">
            <w:pPr>
              <w:spacing w:line="240" w:lineRule="auto"/>
              <w:jc w:val="center"/>
              <w:rPr>
                <w:sz w:val="18"/>
                <w:szCs w:val="18"/>
                <w:lang w:val="fr-FR"/>
              </w:rPr>
            </w:pPr>
          </w:p>
        </w:tc>
        <w:tc>
          <w:tcPr>
            <w:tcW w:w="976" w:type="dxa"/>
          </w:tcPr>
          <w:p w14:paraId="38B23614" w14:textId="77777777" w:rsidR="001C441B" w:rsidRPr="00CF7662" w:rsidRDefault="001C441B" w:rsidP="007A2A1D">
            <w:pPr>
              <w:spacing w:line="240" w:lineRule="auto"/>
              <w:jc w:val="center"/>
              <w:rPr>
                <w:sz w:val="18"/>
                <w:szCs w:val="18"/>
                <w:lang w:val="fr-FR"/>
              </w:rPr>
            </w:pPr>
            <w:r w:rsidRPr="00CF7662">
              <w:rPr>
                <w:sz w:val="18"/>
                <w:szCs w:val="18"/>
                <w:lang w:val="fr-FR"/>
              </w:rPr>
              <w:t>2015</w:t>
            </w:r>
          </w:p>
        </w:tc>
        <w:tc>
          <w:tcPr>
            <w:tcW w:w="5943" w:type="dxa"/>
          </w:tcPr>
          <w:p w14:paraId="27D16F64" w14:textId="77777777" w:rsidR="001C441B" w:rsidRPr="00CF7662" w:rsidRDefault="001C441B" w:rsidP="007A2A1D">
            <w:pPr>
              <w:spacing w:line="240" w:lineRule="auto"/>
              <w:rPr>
                <w:sz w:val="18"/>
                <w:szCs w:val="18"/>
                <w:lang w:val="fr-FR"/>
              </w:rPr>
            </w:pPr>
            <w:r w:rsidRPr="00CF7662">
              <w:rPr>
                <w:sz w:val="18"/>
                <w:szCs w:val="18"/>
                <w:lang w:val="fr-FR"/>
              </w:rPr>
              <w:t>Peroxyde d'hydrogène en solution aqueuse stabilisée contenant plus de 60% de peroxyde d'hydrogène mais au maximum 70% de peroxyde d'hydrogène</w:t>
            </w:r>
          </w:p>
        </w:tc>
        <w:tc>
          <w:tcPr>
            <w:tcW w:w="1617" w:type="dxa"/>
            <w:vMerge/>
            <w:vAlign w:val="center"/>
          </w:tcPr>
          <w:p w14:paraId="28AB05CE" w14:textId="77777777" w:rsidR="001C441B" w:rsidRPr="00CF7662" w:rsidRDefault="001C441B" w:rsidP="007A2A1D">
            <w:pPr>
              <w:spacing w:line="240" w:lineRule="auto"/>
              <w:jc w:val="center"/>
              <w:rPr>
                <w:sz w:val="18"/>
                <w:szCs w:val="18"/>
                <w:lang w:val="fr-FR"/>
              </w:rPr>
            </w:pPr>
          </w:p>
        </w:tc>
      </w:tr>
      <w:tr w:rsidR="001C441B" w:rsidRPr="00CF7662" w14:paraId="6F11B48A" w14:textId="77777777" w:rsidTr="007A2A1D">
        <w:trPr>
          <w:cantSplit/>
          <w:trHeight w:val="20"/>
          <w:jc w:val="center"/>
        </w:trPr>
        <w:tc>
          <w:tcPr>
            <w:tcW w:w="741" w:type="dxa"/>
            <w:vMerge/>
          </w:tcPr>
          <w:p w14:paraId="5DDE623E" w14:textId="77777777" w:rsidR="001C441B" w:rsidRPr="00CF7662" w:rsidRDefault="001C441B" w:rsidP="007A2A1D">
            <w:pPr>
              <w:spacing w:line="240" w:lineRule="auto"/>
              <w:jc w:val="center"/>
              <w:rPr>
                <w:sz w:val="18"/>
                <w:szCs w:val="18"/>
                <w:lang w:val="fr-FR"/>
              </w:rPr>
            </w:pPr>
          </w:p>
        </w:tc>
        <w:tc>
          <w:tcPr>
            <w:tcW w:w="976" w:type="dxa"/>
          </w:tcPr>
          <w:p w14:paraId="376BC1BC" w14:textId="77777777" w:rsidR="001C441B" w:rsidRPr="00CF7662" w:rsidRDefault="001C441B" w:rsidP="007A2A1D">
            <w:pPr>
              <w:spacing w:line="240" w:lineRule="auto"/>
              <w:jc w:val="center"/>
              <w:rPr>
                <w:sz w:val="18"/>
                <w:szCs w:val="18"/>
                <w:lang w:val="fr-FR"/>
              </w:rPr>
            </w:pPr>
            <w:r w:rsidRPr="00CF7662">
              <w:rPr>
                <w:sz w:val="18"/>
                <w:szCs w:val="18"/>
                <w:lang w:val="fr-FR"/>
              </w:rPr>
              <w:t>2426</w:t>
            </w:r>
          </w:p>
        </w:tc>
        <w:tc>
          <w:tcPr>
            <w:tcW w:w="5943" w:type="dxa"/>
          </w:tcPr>
          <w:p w14:paraId="3BF421A3" w14:textId="77777777" w:rsidR="001C441B" w:rsidRPr="00CF7662" w:rsidRDefault="001C441B" w:rsidP="007A2A1D">
            <w:pPr>
              <w:spacing w:line="240" w:lineRule="auto"/>
              <w:rPr>
                <w:sz w:val="18"/>
                <w:szCs w:val="18"/>
                <w:lang w:val="fr-FR"/>
              </w:rPr>
            </w:pPr>
            <w:r w:rsidRPr="00CF7662">
              <w:rPr>
                <w:sz w:val="18"/>
                <w:szCs w:val="18"/>
                <w:lang w:val="fr-FR"/>
              </w:rPr>
              <w:t>Nitrate d'ammonium liquide solution chaude concentrée à plus de 80%, mais à 93% au maximum</w:t>
            </w:r>
          </w:p>
        </w:tc>
        <w:tc>
          <w:tcPr>
            <w:tcW w:w="1617" w:type="dxa"/>
            <w:vMerge/>
            <w:vAlign w:val="center"/>
          </w:tcPr>
          <w:p w14:paraId="1FBB49FA" w14:textId="77777777" w:rsidR="001C441B" w:rsidRPr="00CF7662" w:rsidRDefault="001C441B" w:rsidP="007A2A1D">
            <w:pPr>
              <w:spacing w:line="240" w:lineRule="auto"/>
              <w:jc w:val="center"/>
              <w:rPr>
                <w:sz w:val="18"/>
                <w:szCs w:val="18"/>
                <w:lang w:val="fr-FR"/>
              </w:rPr>
            </w:pPr>
          </w:p>
        </w:tc>
      </w:tr>
      <w:tr w:rsidR="001C441B" w:rsidRPr="00CF7662" w14:paraId="6B1559D0" w14:textId="77777777" w:rsidTr="007A2A1D">
        <w:trPr>
          <w:cantSplit/>
          <w:trHeight w:val="20"/>
          <w:jc w:val="center"/>
        </w:trPr>
        <w:tc>
          <w:tcPr>
            <w:tcW w:w="741" w:type="dxa"/>
            <w:vMerge/>
          </w:tcPr>
          <w:p w14:paraId="1547FF3B" w14:textId="77777777" w:rsidR="001C441B" w:rsidRPr="00CF7662" w:rsidRDefault="001C441B" w:rsidP="007A2A1D">
            <w:pPr>
              <w:spacing w:line="240" w:lineRule="auto"/>
              <w:jc w:val="center"/>
              <w:rPr>
                <w:sz w:val="18"/>
                <w:szCs w:val="18"/>
                <w:lang w:val="fr-FR"/>
              </w:rPr>
            </w:pPr>
          </w:p>
        </w:tc>
        <w:tc>
          <w:tcPr>
            <w:tcW w:w="976" w:type="dxa"/>
          </w:tcPr>
          <w:p w14:paraId="06173FE5" w14:textId="77777777" w:rsidR="001C441B" w:rsidRPr="00CF7662" w:rsidRDefault="001C441B" w:rsidP="007A2A1D">
            <w:pPr>
              <w:spacing w:line="240" w:lineRule="auto"/>
              <w:jc w:val="center"/>
              <w:rPr>
                <w:sz w:val="18"/>
                <w:szCs w:val="18"/>
                <w:lang w:val="fr-FR"/>
              </w:rPr>
            </w:pPr>
            <w:r w:rsidRPr="00CF7662">
              <w:rPr>
                <w:sz w:val="18"/>
                <w:szCs w:val="18"/>
                <w:lang w:val="fr-FR"/>
              </w:rPr>
              <w:t>3149</w:t>
            </w:r>
          </w:p>
        </w:tc>
        <w:tc>
          <w:tcPr>
            <w:tcW w:w="5943" w:type="dxa"/>
          </w:tcPr>
          <w:p w14:paraId="44FAF647" w14:textId="77777777" w:rsidR="001C441B" w:rsidRPr="00CF7662" w:rsidRDefault="001C441B" w:rsidP="007A2A1D">
            <w:pPr>
              <w:spacing w:line="240" w:lineRule="auto"/>
              <w:rPr>
                <w:sz w:val="18"/>
                <w:szCs w:val="18"/>
                <w:lang w:val="fr-FR"/>
              </w:rPr>
            </w:pPr>
            <w:r w:rsidRPr="00CF7662">
              <w:rPr>
                <w:sz w:val="18"/>
                <w:szCs w:val="18"/>
                <w:lang w:val="fr-FR"/>
              </w:rPr>
              <w:t>Peroxyde d'hydrogène et acide peroxyacétique en mélange, stabilisé</w:t>
            </w:r>
          </w:p>
        </w:tc>
        <w:tc>
          <w:tcPr>
            <w:tcW w:w="1617" w:type="dxa"/>
            <w:vMerge/>
            <w:vAlign w:val="center"/>
          </w:tcPr>
          <w:p w14:paraId="6AC6E392" w14:textId="77777777" w:rsidR="001C441B" w:rsidRPr="00CF7662" w:rsidRDefault="001C441B" w:rsidP="007A2A1D">
            <w:pPr>
              <w:spacing w:line="240" w:lineRule="auto"/>
              <w:jc w:val="center"/>
              <w:rPr>
                <w:sz w:val="18"/>
                <w:szCs w:val="18"/>
                <w:lang w:val="fr-FR"/>
              </w:rPr>
            </w:pPr>
          </w:p>
        </w:tc>
      </w:tr>
      <w:tr w:rsidR="001C441B" w:rsidRPr="00CF7662" w14:paraId="58BFFBA4" w14:textId="77777777" w:rsidTr="007A2A1D">
        <w:trPr>
          <w:cantSplit/>
          <w:trHeight w:val="20"/>
          <w:jc w:val="center"/>
        </w:trPr>
        <w:tc>
          <w:tcPr>
            <w:tcW w:w="741" w:type="dxa"/>
            <w:vMerge/>
          </w:tcPr>
          <w:p w14:paraId="2D23717B" w14:textId="77777777" w:rsidR="001C441B" w:rsidRPr="00CF7662" w:rsidRDefault="001C441B" w:rsidP="007A2A1D">
            <w:pPr>
              <w:spacing w:line="240" w:lineRule="auto"/>
              <w:jc w:val="center"/>
              <w:rPr>
                <w:sz w:val="18"/>
                <w:szCs w:val="18"/>
                <w:lang w:val="fr-FR"/>
              </w:rPr>
            </w:pPr>
          </w:p>
        </w:tc>
        <w:tc>
          <w:tcPr>
            <w:tcW w:w="976" w:type="dxa"/>
          </w:tcPr>
          <w:p w14:paraId="43C54B55" w14:textId="77777777" w:rsidR="001C441B" w:rsidRPr="00CF7662" w:rsidRDefault="001C441B" w:rsidP="007A2A1D">
            <w:pPr>
              <w:spacing w:line="240" w:lineRule="auto"/>
              <w:jc w:val="center"/>
              <w:rPr>
                <w:sz w:val="18"/>
                <w:szCs w:val="18"/>
                <w:lang w:val="fr-FR"/>
              </w:rPr>
            </w:pPr>
            <w:r w:rsidRPr="00CF7662">
              <w:rPr>
                <w:sz w:val="18"/>
                <w:szCs w:val="18"/>
                <w:lang w:val="fr-FR"/>
              </w:rPr>
              <w:t>3375</w:t>
            </w:r>
          </w:p>
        </w:tc>
        <w:tc>
          <w:tcPr>
            <w:tcW w:w="5943" w:type="dxa"/>
          </w:tcPr>
          <w:p w14:paraId="02E7D8F2" w14:textId="77777777" w:rsidR="001C441B" w:rsidRPr="00CF7662" w:rsidRDefault="001C441B" w:rsidP="007A2A1D">
            <w:pPr>
              <w:spacing w:line="240" w:lineRule="auto"/>
              <w:rPr>
                <w:sz w:val="18"/>
                <w:szCs w:val="18"/>
                <w:lang w:val="fr-FR"/>
              </w:rPr>
            </w:pPr>
            <w:r w:rsidRPr="00CF7662">
              <w:rPr>
                <w:sz w:val="18"/>
                <w:szCs w:val="18"/>
                <w:lang w:val="fr-FR"/>
              </w:rPr>
              <w:t>Nitrate d'ammonium en émulsion, suspension ou gel, liquide</w:t>
            </w:r>
          </w:p>
        </w:tc>
        <w:tc>
          <w:tcPr>
            <w:tcW w:w="1617" w:type="dxa"/>
            <w:vAlign w:val="center"/>
          </w:tcPr>
          <w:p w14:paraId="137A5FF5" w14:textId="77777777" w:rsidR="001C441B" w:rsidRPr="00CF7662" w:rsidRDefault="001C441B" w:rsidP="007A2A1D">
            <w:pPr>
              <w:spacing w:line="240" w:lineRule="auto"/>
              <w:jc w:val="center"/>
              <w:rPr>
                <w:sz w:val="18"/>
                <w:szCs w:val="18"/>
                <w:lang w:val="fr-FR"/>
              </w:rPr>
            </w:pPr>
            <w:r w:rsidRPr="00CF7662">
              <w:rPr>
                <w:sz w:val="18"/>
                <w:szCs w:val="18"/>
                <w:lang w:val="fr-FR"/>
              </w:rPr>
              <w:t>LGAV</w:t>
            </w:r>
          </w:p>
        </w:tc>
      </w:tr>
      <w:tr w:rsidR="001C441B" w:rsidRPr="00CF7662" w14:paraId="046CCF7B" w14:textId="77777777" w:rsidTr="007A2A1D">
        <w:trPr>
          <w:cantSplit/>
          <w:trHeight w:val="20"/>
          <w:jc w:val="center"/>
        </w:trPr>
        <w:tc>
          <w:tcPr>
            <w:tcW w:w="741" w:type="dxa"/>
            <w:vMerge/>
          </w:tcPr>
          <w:p w14:paraId="5825B7EA" w14:textId="77777777" w:rsidR="001C441B" w:rsidRPr="00CF7662" w:rsidRDefault="001C441B" w:rsidP="007A2A1D">
            <w:pPr>
              <w:spacing w:line="240" w:lineRule="auto"/>
              <w:jc w:val="center"/>
              <w:rPr>
                <w:sz w:val="18"/>
                <w:szCs w:val="18"/>
                <w:lang w:val="fr-FR"/>
              </w:rPr>
            </w:pPr>
          </w:p>
        </w:tc>
        <w:tc>
          <w:tcPr>
            <w:tcW w:w="976" w:type="dxa"/>
          </w:tcPr>
          <w:p w14:paraId="3A0D7715" w14:textId="77777777" w:rsidR="001C441B" w:rsidRPr="00CF7662" w:rsidRDefault="001C441B" w:rsidP="007A2A1D">
            <w:pPr>
              <w:spacing w:line="240" w:lineRule="auto"/>
              <w:jc w:val="center"/>
              <w:rPr>
                <w:sz w:val="18"/>
                <w:szCs w:val="18"/>
                <w:lang w:val="fr-FR"/>
              </w:rPr>
            </w:pPr>
            <w:r w:rsidRPr="00CF7662">
              <w:rPr>
                <w:sz w:val="18"/>
                <w:szCs w:val="18"/>
                <w:lang w:val="fr-FR"/>
              </w:rPr>
              <w:t>3375</w:t>
            </w:r>
          </w:p>
        </w:tc>
        <w:tc>
          <w:tcPr>
            <w:tcW w:w="5943" w:type="dxa"/>
          </w:tcPr>
          <w:p w14:paraId="319E29C3" w14:textId="77777777" w:rsidR="001C441B" w:rsidRPr="00CF7662" w:rsidRDefault="001C441B" w:rsidP="007A2A1D">
            <w:pPr>
              <w:spacing w:line="240" w:lineRule="auto"/>
              <w:rPr>
                <w:sz w:val="18"/>
                <w:szCs w:val="18"/>
                <w:lang w:val="fr-FR"/>
              </w:rPr>
            </w:pPr>
            <w:r w:rsidRPr="00CF7662">
              <w:rPr>
                <w:sz w:val="18"/>
                <w:szCs w:val="18"/>
                <w:lang w:val="fr-FR"/>
              </w:rPr>
              <w:t>Nitrate d'ammonium en émulsion, suspension ou gel, solide</w:t>
            </w:r>
          </w:p>
        </w:tc>
        <w:tc>
          <w:tcPr>
            <w:tcW w:w="1617" w:type="dxa"/>
            <w:vAlign w:val="center"/>
          </w:tcPr>
          <w:p w14:paraId="1BB4DC1C" w14:textId="77777777" w:rsidR="001C441B" w:rsidRPr="00CF7662" w:rsidRDefault="001C441B" w:rsidP="007A2A1D">
            <w:pPr>
              <w:spacing w:line="240" w:lineRule="auto"/>
              <w:jc w:val="center"/>
              <w:rPr>
                <w:sz w:val="18"/>
                <w:szCs w:val="18"/>
                <w:lang w:val="fr-FR"/>
              </w:rPr>
            </w:pPr>
            <w:r w:rsidRPr="00CF7662">
              <w:rPr>
                <w:sz w:val="18"/>
                <w:szCs w:val="18"/>
                <w:lang w:val="fr-FR"/>
              </w:rPr>
              <w:t>SGAV</w:t>
            </w:r>
          </w:p>
        </w:tc>
      </w:tr>
      <w:tr w:rsidR="001C441B" w:rsidRPr="00CF7662" w14:paraId="514E5F66" w14:textId="77777777" w:rsidTr="007A2A1D">
        <w:trPr>
          <w:cantSplit/>
          <w:trHeight w:val="20"/>
          <w:jc w:val="center"/>
        </w:trPr>
        <w:tc>
          <w:tcPr>
            <w:tcW w:w="741" w:type="dxa"/>
            <w:vMerge w:val="restart"/>
          </w:tcPr>
          <w:p w14:paraId="5D6042BA" w14:textId="77777777" w:rsidR="001C441B" w:rsidRPr="00CF7662" w:rsidRDefault="001C441B" w:rsidP="007A2A1D">
            <w:pPr>
              <w:spacing w:line="240" w:lineRule="auto"/>
              <w:jc w:val="center"/>
              <w:rPr>
                <w:sz w:val="18"/>
                <w:szCs w:val="18"/>
                <w:lang w:val="fr-FR"/>
              </w:rPr>
            </w:pPr>
            <w:r w:rsidRPr="00CF7662">
              <w:rPr>
                <w:sz w:val="18"/>
                <w:szCs w:val="18"/>
                <w:lang w:val="fr-FR"/>
              </w:rPr>
              <w:t>5.2</w:t>
            </w:r>
          </w:p>
        </w:tc>
        <w:tc>
          <w:tcPr>
            <w:tcW w:w="976" w:type="dxa"/>
            <w:tcBorders>
              <w:bottom w:val="single" w:sz="4" w:space="0" w:color="auto"/>
            </w:tcBorders>
          </w:tcPr>
          <w:p w14:paraId="50ECB761" w14:textId="77777777" w:rsidR="001C441B" w:rsidRPr="00CF7662" w:rsidRDefault="001C441B" w:rsidP="007A2A1D">
            <w:pPr>
              <w:spacing w:line="240" w:lineRule="auto"/>
              <w:jc w:val="center"/>
              <w:rPr>
                <w:sz w:val="18"/>
                <w:szCs w:val="18"/>
                <w:lang w:val="fr-FR"/>
              </w:rPr>
            </w:pPr>
            <w:r w:rsidRPr="00CF7662">
              <w:rPr>
                <w:sz w:val="18"/>
                <w:szCs w:val="18"/>
                <w:lang w:val="fr-FR"/>
              </w:rPr>
              <w:t>3109</w:t>
            </w:r>
          </w:p>
        </w:tc>
        <w:tc>
          <w:tcPr>
            <w:tcW w:w="5943" w:type="dxa"/>
            <w:tcBorders>
              <w:bottom w:val="single" w:sz="4" w:space="0" w:color="auto"/>
            </w:tcBorders>
          </w:tcPr>
          <w:p w14:paraId="2443EDF7" w14:textId="77777777" w:rsidR="001C441B" w:rsidRPr="00CF7662" w:rsidRDefault="001C441B" w:rsidP="007A2A1D">
            <w:pPr>
              <w:spacing w:line="240" w:lineRule="auto"/>
              <w:rPr>
                <w:sz w:val="18"/>
                <w:szCs w:val="18"/>
                <w:lang w:val="fr-FR"/>
              </w:rPr>
            </w:pPr>
            <w:r w:rsidRPr="00CF7662">
              <w:rPr>
                <w:sz w:val="18"/>
                <w:szCs w:val="18"/>
                <w:lang w:val="fr-FR"/>
              </w:rPr>
              <w:t>Peroxyde organique de type F, liquide </w:t>
            </w:r>
          </w:p>
        </w:tc>
        <w:tc>
          <w:tcPr>
            <w:tcW w:w="1617" w:type="dxa"/>
            <w:vMerge w:val="restart"/>
            <w:vAlign w:val="center"/>
          </w:tcPr>
          <w:p w14:paraId="5D0CDB85" w14:textId="77777777" w:rsidR="001C441B" w:rsidRPr="00CF7662" w:rsidRDefault="001C441B" w:rsidP="007A2A1D">
            <w:pPr>
              <w:spacing w:line="240" w:lineRule="auto"/>
              <w:jc w:val="center"/>
              <w:rPr>
                <w:sz w:val="18"/>
                <w:szCs w:val="18"/>
                <w:lang w:val="fr-FR"/>
              </w:rPr>
            </w:pPr>
            <w:r w:rsidRPr="00CF7662">
              <w:rPr>
                <w:sz w:val="18"/>
                <w:szCs w:val="18"/>
                <w:lang w:val="fr-FR"/>
              </w:rPr>
              <w:t>L4BN</w:t>
            </w:r>
          </w:p>
        </w:tc>
      </w:tr>
      <w:tr w:rsidR="001C441B" w:rsidRPr="00CF7662" w14:paraId="2C04C4BF" w14:textId="77777777" w:rsidTr="007A2A1D">
        <w:trPr>
          <w:cantSplit/>
          <w:trHeight w:val="20"/>
          <w:jc w:val="center"/>
        </w:trPr>
        <w:tc>
          <w:tcPr>
            <w:tcW w:w="741" w:type="dxa"/>
            <w:vMerge/>
          </w:tcPr>
          <w:p w14:paraId="46AE9CFA" w14:textId="77777777" w:rsidR="001C441B" w:rsidRPr="00CF7662" w:rsidRDefault="001C441B" w:rsidP="007A2A1D">
            <w:pPr>
              <w:spacing w:line="240" w:lineRule="auto"/>
              <w:jc w:val="center"/>
              <w:rPr>
                <w:sz w:val="18"/>
                <w:szCs w:val="18"/>
                <w:lang w:val="fr-FR"/>
              </w:rPr>
            </w:pPr>
          </w:p>
        </w:tc>
        <w:tc>
          <w:tcPr>
            <w:tcW w:w="976" w:type="dxa"/>
            <w:tcBorders>
              <w:top w:val="nil"/>
            </w:tcBorders>
          </w:tcPr>
          <w:p w14:paraId="33C90341" w14:textId="77777777" w:rsidR="001C441B" w:rsidRPr="00CF7662" w:rsidRDefault="001C441B" w:rsidP="007A2A1D">
            <w:pPr>
              <w:spacing w:line="240" w:lineRule="auto"/>
              <w:jc w:val="center"/>
              <w:rPr>
                <w:sz w:val="18"/>
                <w:szCs w:val="18"/>
                <w:lang w:val="fr-FR"/>
              </w:rPr>
            </w:pPr>
            <w:r w:rsidRPr="00CF7662">
              <w:rPr>
                <w:sz w:val="18"/>
                <w:szCs w:val="18"/>
                <w:lang w:val="fr-FR"/>
              </w:rPr>
              <w:t>3119</w:t>
            </w:r>
          </w:p>
        </w:tc>
        <w:tc>
          <w:tcPr>
            <w:tcW w:w="5943" w:type="dxa"/>
            <w:tcBorders>
              <w:top w:val="nil"/>
            </w:tcBorders>
          </w:tcPr>
          <w:p w14:paraId="418EA5B0" w14:textId="77777777" w:rsidR="001C441B" w:rsidRPr="00CF7662" w:rsidRDefault="001C441B" w:rsidP="007A2A1D">
            <w:pPr>
              <w:spacing w:line="240" w:lineRule="auto"/>
              <w:rPr>
                <w:sz w:val="18"/>
                <w:szCs w:val="18"/>
                <w:lang w:val="fr-FR"/>
              </w:rPr>
            </w:pPr>
            <w:r w:rsidRPr="00CF7662">
              <w:rPr>
                <w:sz w:val="18"/>
                <w:szCs w:val="18"/>
                <w:lang w:val="fr-FR"/>
              </w:rPr>
              <w:t>Peroxyde organique de type F, liquide, avec régulation de température</w:t>
            </w:r>
          </w:p>
        </w:tc>
        <w:tc>
          <w:tcPr>
            <w:tcW w:w="1617" w:type="dxa"/>
            <w:vMerge/>
            <w:vAlign w:val="center"/>
          </w:tcPr>
          <w:p w14:paraId="187718F2" w14:textId="77777777" w:rsidR="001C441B" w:rsidRPr="00CF7662" w:rsidRDefault="001C441B" w:rsidP="007A2A1D">
            <w:pPr>
              <w:spacing w:line="240" w:lineRule="auto"/>
              <w:jc w:val="center"/>
              <w:rPr>
                <w:sz w:val="18"/>
                <w:szCs w:val="18"/>
                <w:lang w:val="fr-FR"/>
              </w:rPr>
            </w:pPr>
          </w:p>
        </w:tc>
      </w:tr>
      <w:tr w:rsidR="001C441B" w:rsidRPr="00CF7662" w14:paraId="425320CA" w14:textId="77777777" w:rsidTr="007A2A1D">
        <w:trPr>
          <w:cantSplit/>
          <w:trHeight w:val="20"/>
          <w:jc w:val="center"/>
        </w:trPr>
        <w:tc>
          <w:tcPr>
            <w:tcW w:w="741" w:type="dxa"/>
            <w:vMerge/>
          </w:tcPr>
          <w:p w14:paraId="4DFC9C24" w14:textId="77777777" w:rsidR="001C441B" w:rsidRPr="00CF7662" w:rsidRDefault="001C441B" w:rsidP="007A2A1D">
            <w:pPr>
              <w:spacing w:line="240" w:lineRule="auto"/>
              <w:jc w:val="center"/>
              <w:rPr>
                <w:sz w:val="18"/>
                <w:szCs w:val="18"/>
                <w:lang w:val="fr-FR"/>
              </w:rPr>
            </w:pPr>
          </w:p>
        </w:tc>
        <w:tc>
          <w:tcPr>
            <w:tcW w:w="976" w:type="dxa"/>
            <w:tcBorders>
              <w:bottom w:val="single" w:sz="4" w:space="0" w:color="auto"/>
            </w:tcBorders>
          </w:tcPr>
          <w:p w14:paraId="6EFEF93A" w14:textId="77777777" w:rsidR="001C441B" w:rsidRPr="00CF7662" w:rsidRDefault="001C441B" w:rsidP="007A2A1D">
            <w:pPr>
              <w:keepNext/>
              <w:keepLines/>
              <w:pageBreakBefore/>
              <w:spacing w:line="240" w:lineRule="auto"/>
              <w:jc w:val="center"/>
              <w:rPr>
                <w:sz w:val="18"/>
                <w:szCs w:val="18"/>
                <w:lang w:val="fr-FR"/>
              </w:rPr>
            </w:pPr>
            <w:r w:rsidRPr="00CF7662">
              <w:rPr>
                <w:sz w:val="18"/>
                <w:szCs w:val="18"/>
                <w:lang w:val="fr-FR"/>
              </w:rPr>
              <w:t>3110</w:t>
            </w:r>
          </w:p>
        </w:tc>
        <w:tc>
          <w:tcPr>
            <w:tcW w:w="5943" w:type="dxa"/>
            <w:tcBorders>
              <w:bottom w:val="single" w:sz="4" w:space="0" w:color="auto"/>
            </w:tcBorders>
          </w:tcPr>
          <w:p w14:paraId="46AC1257" w14:textId="77777777" w:rsidR="001C441B" w:rsidRPr="00CF7662" w:rsidRDefault="001C441B" w:rsidP="007A2A1D">
            <w:pPr>
              <w:keepNext/>
              <w:keepLines/>
              <w:spacing w:line="240" w:lineRule="auto"/>
              <w:rPr>
                <w:sz w:val="18"/>
                <w:szCs w:val="18"/>
                <w:lang w:val="fr-FR"/>
              </w:rPr>
            </w:pPr>
            <w:r w:rsidRPr="00CF7662">
              <w:rPr>
                <w:sz w:val="18"/>
                <w:szCs w:val="18"/>
                <w:lang w:val="fr-FR"/>
              </w:rPr>
              <w:t>Peroxyde organique de type F, solide </w:t>
            </w:r>
          </w:p>
        </w:tc>
        <w:tc>
          <w:tcPr>
            <w:tcW w:w="1617" w:type="dxa"/>
            <w:vMerge w:val="restart"/>
            <w:vAlign w:val="center"/>
          </w:tcPr>
          <w:p w14:paraId="52487F94" w14:textId="77777777" w:rsidR="001C441B" w:rsidRPr="00CF7662" w:rsidRDefault="001C441B" w:rsidP="007A2A1D">
            <w:pPr>
              <w:keepNext/>
              <w:keepLines/>
              <w:spacing w:line="240" w:lineRule="auto"/>
              <w:jc w:val="center"/>
              <w:rPr>
                <w:sz w:val="18"/>
                <w:szCs w:val="18"/>
                <w:lang w:val="fr-FR"/>
              </w:rPr>
            </w:pPr>
            <w:r w:rsidRPr="00CF7662">
              <w:rPr>
                <w:sz w:val="18"/>
                <w:szCs w:val="18"/>
                <w:lang w:val="fr-FR"/>
              </w:rPr>
              <w:t>S4AN</w:t>
            </w:r>
          </w:p>
        </w:tc>
      </w:tr>
      <w:tr w:rsidR="001C441B" w:rsidRPr="00CF7662" w14:paraId="1BA9FDC2" w14:textId="77777777" w:rsidTr="007A2A1D">
        <w:trPr>
          <w:cantSplit/>
          <w:trHeight w:val="20"/>
          <w:jc w:val="center"/>
        </w:trPr>
        <w:tc>
          <w:tcPr>
            <w:tcW w:w="741" w:type="dxa"/>
            <w:vMerge/>
          </w:tcPr>
          <w:p w14:paraId="0A1DBEED" w14:textId="77777777" w:rsidR="001C441B" w:rsidRPr="00CF7662" w:rsidRDefault="001C441B" w:rsidP="007A2A1D">
            <w:pPr>
              <w:spacing w:line="240" w:lineRule="auto"/>
              <w:jc w:val="center"/>
              <w:rPr>
                <w:sz w:val="18"/>
                <w:szCs w:val="18"/>
                <w:lang w:val="fr-FR"/>
              </w:rPr>
            </w:pPr>
          </w:p>
        </w:tc>
        <w:tc>
          <w:tcPr>
            <w:tcW w:w="976" w:type="dxa"/>
            <w:tcBorders>
              <w:top w:val="nil"/>
            </w:tcBorders>
          </w:tcPr>
          <w:p w14:paraId="32323FE6" w14:textId="77777777" w:rsidR="001C441B" w:rsidRPr="00CF7662" w:rsidRDefault="001C441B" w:rsidP="007A2A1D">
            <w:pPr>
              <w:keepNext/>
              <w:keepLines/>
              <w:spacing w:line="240" w:lineRule="auto"/>
              <w:jc w:val="center"/>
              <w:rPr>
                <w:sz w:val="18"/>
                <w:szCs w:val="18"/>
                <w:lang w:val="fr-FR"/>
              </w:rPr>
            </w:pPr>
            <w:r w:rsidRPr="00CF7662">
              <w:rPr>
                <w:sz w:val="18"/>
                <w:szCs w:val="18"/>
                <w:lang w:val="fr-FR"/>
              </w:rPr>
              <w:t>3120</w:t>
            </w:r>
          </w:p>
        </w:tc>
        <w:tc>
          <w:tcPr>
            <w:tcW w:w="5943" w:type="dxa"/>
            <w:tcBorders>
              <w:top w:val="nil"/>
            </w:tcBorders>
          </w:tcPr>
          <w:p w14:paraId="4CCA1E11" w14:textId="77777777" w:rsidR="001C441B" w:rsidRPr="00CF7662" w:rsidRDefault="001C441B" w:rsidP="007A2A1D">
            <w:pPr>
              <w:keepNext/>
              <w:keepLines/>
              <w:spacing w:line="240" w:lineRule="auto"/>
              <w:rPr>
                <w:sz w:val="18"/>
                <w:szCs w:val="18"/>
                <w:lang w:val="fr-FR"/>
              </w:rPr>
            </w:pPr>
            <w:r w:rsidRPr="00CF7662">
              <w:rPr>
                <w:sz w:val="18"/>
                <w:szCs w:val="18"/>
                <w:lang w:val="fr-FR"/>
              </w:rPr>
              <w:t>Peroxyde organique de type F, solide, avec régulation de température</w:t>
            </w:r>
          </w:p>
        </w:tc>
        <w:tc>
          <w:tcPr>
            <w:tcW w:w="1617" w:type="dxa"/>
            <w:vMerge/>
            <w:vAlign w:val="center"/>
          </w:tcPr>
          <w:p w14:paraId="00F03EE8" w14:textId="77777777" w:rsidR="001C441B" w:rsidRPr="00CF7662" w:rsidRDefault="001C441B" w:rsidP="007A2A1D">
            <w:pPr>
              <w:keepNext/>
              <w:keepLines/>
              <w:spacing w:line="240" w:lineRule="auto"/>
              <w:jc w:val="center"/>
              <w:rPr>
                <w:sz w:val="18"/>
                <w:szCs w:val="18"/>
                <w:lang w:val="fr-FR"/>
              </w:rPr>
            </w:pPr>
          </w:p>
        </w:tc>
      </w:tr>
      <w:tr w:rsidR="001C441B" w:rsidRPr="00CF7662" w14:paraId="7D57A5BF" w14:textId="77777777" w:rsidTr="007A2A1D">
        <w:trPr>
          <w:cantSplit/>
          <w:trHeight w:val="20"/>
          <w:jc w:val="center"/>
        </w:trPr>
        <w:tc>
          <w:tcPr>
            <w:tcW w:w="741" w:type="dxa"/>
            <w:vMerge w:val="restart"/>
          </w:tcPr>
          <w:p w14:paraId="6378CD26" w14:textId="77777777" w:rsidR="001C441B" w:rsidRPr="00CF7662" w:rsidRDefault="001C441B" w:rsidP="007A2A1D">
            <w:pPr>
              <w:spacing w:line="240" w:lineRule="auto"/>
              <w:jc w:val="center"/>
              <w:rPr>
                <w:sz w:val="18"/>
                <w:szCs w:val="18"/>
                <w:lang w:val="fr-FR"/>
              </w:rPr>
            </w:pPr>
            <w:r w:rsidRPr="00CF7662">
              <w:rPr>
                <w:sz w:val="18"/>
                <w:szCs w:val="18"/>
                <w:lang w:val="fr-FR"/>
              </w:rPr>
              <w:t>6.1</w:t>
            </w:r>
          </w:p>
        </w:tc>
        <w:tc>
          <w:tcPr>
            <w:tcW w:w="976" w:type="dxa"/>
          </w:tcPr>
          <w:p w14:paraId="2C630FB2" w14:textId="77777777" w:rsidR="001C441B" w:rsidRPr="00CF7662" w:rsidRDefault="001C441B" w:rsidP="007A2A1D">
            <w:pPr>
              <w:spacing w:line="240" w:lineRule="auto"/>
              <w:jc w:val="center"/>
              <w:rPr>
                <w:sz w:val="18"/>
                <w:szCs w:val="18"/>
                <w:lang w:val="fr-FR"/>
              </w:rPr>
            </w:pPr>
            <w:r w:rsidRPr="00CF7662">
              <w:rPr>
                <w:sz w:val="18"/>
                <w:szCs w:val="18"/>
                <w:lang w:val="fr-FR"/>
              </w:rPr>
              <w:t>1613</w:t>
            </w:r>
          </w:p>
        </w:tc>
        <w:tc>
          <w:tcPr>
            <w:tcW w:w="5943" w:type="dxa"/>
          </w:tcPr>
          <w:p w14:paraId="6F5DFC93" w14:textId="77777777" w:rsidR="001C441B" w:rsidRPr="00CF7662" w:rsidRDefault="001C441B" w:rsidP="007A2A1D">
            <w:pPr>
              <w:spacing w:line="240" w:lineRule="auto"/>
              <w:rPr>
                <w:sz w:val="18"/>
                <w:szCs w:val="18"/>
                <w:lang w:val="fr-FR"/>
              </w:rPr>
            </w:pPr>
            <w:r w:rsidRPr="00CF7662">
              <w:rPr>
                <w:sz w:val="18"/>
                <w:szCs w:val="18"/>
                <w:lang w:val="fr-FR"/>
              </w:rPr>
              <w:t>Cyanure d'hydrogène en solution aqueuse</w:t>
            </w:r>
          </w:p>
        </w:tc>
        <w:tc>
          <w:tcPr>
            <w:tcW w:w="1617" w:type="dxa"/>
            <w:vMerge w:val="restart"/>
            <w:vAlign w:val="center"/>
          </w:tcPr>
          <w:p w14:paraId="03AF763D" w14:textId="77777777" w:rsidR="001C441B" w:rsidRPr="00CF7662" w:rsidRDefault="001C441B" w:rsidP="007A2A1D">
            <w:pPr>
              <w:spacing w:line="240" w:lineRule="auto"/>
              <w:jc w:val="center"/>
              <w:rPr>
                <w:sz w:val="18"/>
                <w:szCs w:val="18"/>
                <w:lang w:val="fr-FR"/>
              </w:rPr>
            </w:pPr>
            <w:r w:rsidRPr="00CF7662">
              <w:rPr>
                <w:sz w:val="18"/>
                <w:szCs w:val="18"/>
                <w:lang w:val="fr-FR"/>
              </w:rPr>
              <w:t>L15DH</w:t>
            </w:r>
          </w:p>
        </w:tc>
      </w:tr>
      <w:tr w:rsidR="001C441B" w:rsidRPr="00CF7662" w14:paraId="3AA60939" w14:textId="77777777" w:rsidTr="007A2A1D">
        <w:trPr>
          <w:cantSplit/>
          <w:trHeight w:val="20"/>
          <w:jc w:val="center"/>
        </w:trPr>
        <w:tc>
          <w:tcPr>
            <w:tcW w:w="741" w:type="dxa"/>
            <w:vMerge/>
          </w:tcPr>
          <w:p w14:paraId="267E9B4E" w14:textId="77777777" w:rsidR="001C441B" w:rsidRPr="00CF7662" w:rsidRDefault="001C441B" w:rsidP="007A2A1D">
            <w:pPr>
              <w:spacing w:line="240" w:lineRule="auto"/>
              <w:rPr>
                <w:sz w:val="18"/>
                <w:szCs w:val="18"/>
                <w:lang w:val="fr-FR"/>
              </w:rPr>
            </w:pPr>
          </w:p>
        </w:tc>
        <w:tc>
          <w:tcPr>
            <w:tcW w:w="976" w:type="dxa"/>
          </w:tcPr>
          <w:p w14:paraId="6218D02F" w14:textId="77777777" w:rsidR="001C441B" w:rsidRPr="00CF7662" w:rsidRDefault="001C441B" w:rsidP="007A2A1D">
            <w:pPr>
              <w:spacing w:line="240" w:lineRule="auto"/>
              <w:jc w:val="center"/>
              <w:rPr>
                <w:sz w:val="18"/>
                <w:szCs w:val="18"/>
                <w:lang w:val="fr-FR"/>
              </w:rPr>
            </w:pPr>
            <w:r w:rsidRPr="00CF7662">
              <w:rPr>
                <w:sz w:val="18"/>
                <w:szCs w:val="18"/>
                <w:lang w:val="fr-FR"/>
              </w:rPr>
              <w:t>3294</w:t>
            </w:r>
          </w:p>
        </w:tc>
        <w:tc>
          <w:tcPr>
            <w:tcW w:w="5943" w:type="dxa"/>
          </w:tcPr>
          <w:p w14:paraId="6CF77489" w14:textId="77777777" w:rsidR="001C441B" w:rsidRPr="00CF7662" w:rsidRDefault="001C441B" w:rsidP="007A2A1D">
            <w:pPr>
              <w:spacing w:line="240" w:lineRule="auto"/>
              <w:rPr>
                <w:sz w:val="18"/>
                <w:szCs w:val="18"/>
                <w:lang w:val="fr-FR"/>
              </w:rPr>
            </w:pPr>
            <w:r w:rsidRPr="00CF7662">
              <w:rPr>
                <w:sz w:val="18"/>
                <w:szCs w:val="18"/>
                <w:lang w:val="fr-FR"/>
              </w:rPr>
              <w:t>Cyanure d'hydrogène en solution alcoolique</w:t>
            </w:r>
          </w:p>
        </w:tc>
        <w:tc>
          <w:tcPr>
            <w:tcW w:w="1617" w:type="dxa"/>
            <w:vMerge/>
            <w:vAlign w:val="center"/>
          </w:tcPr>
          <w:p w14:paraId="6C3EA753" w14:textId="77777777" w:rsidR="001C441B" w:rsidRPr="00CF7662" w:rsidRDefault="001C441B" w:rsidP="007A2A1D">
            <w:pPr>
              <w:spacing w:line="240" w:lineRule="auto"/>
              <w:jc w:val="center"/>
              <w:rPr>
                <w:sz w:val="18"/>
                <w:szCs w:val="18"/>
                <w:lang w:val="fr-FR"/>
              </w:rPr>
            </w:pPr>
          </w:p>
        </w:tc>
      </w:tr>
      <w:tr w:rsidR="001C441B" w:rsidRPr="00CF7662" w14:paraId="6E0C9421" w14:textId="77777777" w:rsidTr="007A2A1D">
        <w:trPr>
          <w:cantSplit/>
          <w:trHeight w:val="20"/>
          <w:jc w:val="center"/>
        </w:trPr>
        <w:tc>
          <w:tcPr>
            <w:tcW w:w="741" w:type="dxa"/>
            <w:vMerge w:val="restart"/>
          </w:tcPr>
          <w:p w14:paraId="0EBCA31B" w14:textId="28029F71" w:rsidR="001C441B" w:rsidRPr="00CF7662" w:rsidRDefault="001C441B" w:rsidP="007A2A1D">
            <w:pPr>
              <w:spacing w:line="240" w:lineRule="auto"/>
              <w:jc w:val="center"/>
              <w:rPr>
                <w:sz w:val="18"/>
                <w:szCs w:val="18"/>
                <w:lang w:val="fr-FR"/>
              </w:rPr>
            </w:pPr>
            <w:r w:rsidRPr="00CF7662">
              <w:rPr>
                <w:sz w:val="18"/>
                <w:szCs w:val="18"/>
                <w:lang w:val="fr-FR"/>
              </w:rPr>
              <w:t>7</w:t>
            </w:r>
            <w:r w:rsidR="007D42AD" w:rsidRPr="00CF7662">
              <w:rPr>
                <w:sz w:val="18"/>
                <w:szCs w:val="18"/>
                <w:lang w:val="fr-FR"/>
              </w:rPr>
              <w:t xml:space="preserve"> </w:t>
            </w:r>
            <w:r w:rsidR="003E6A9A" w:rsidRPr="00CF7662">
              <w:rPr>
                <w:b/>
                <w:iCs/>
                <w:vertAlign w:val="superscript"/>
              </w:rPr>
              <w:t>a</w:t>
            </w:r>
          </w:p>
        </w:tc>
        <w:tc>
          <w:tcPr>
            <w:tcW w:w="976" w:type="dxa"/>
            <w:vMerge w:val="restart"/>
          </w:tcPr>
          <w:p w14:paraId="75C9FCA6" w14:textId="77777777" w:rsidR="001C441B" w:rsidRPr="00CF7662" w:rsidRDefault="001C441B" w:rsidP="007A2A1D">
            <w:pPr>
              <w:spacing w:line="240" w:lineRule="auto"/>
              <w:rPr>
                <w:sz w:val="18"/>
                <w:szCs w:val="18"/>
                <w:lang w:val="fr-FR"/>
              </w:rPr>
            </w:pPr>
          </w:p>
        </w:tc>
        <w:tc>
          <w:tcPr>
            <w:tcW w:w="5943" w:type="dxa"/>
          </w:tcPr>
          <w:p w14:paraId="60EE7532" w14:textId="77777777" w:rsidR="001C441B" w:rsidRPr="00CF7662" w:rsidRDefault="001C441B" w:rsidP="007A2A1D">
            <w:pPr>
              <w:spacing w:line="240" w:lineRule="auto"/>
              <w:rPr>
                <w:sz w:val="18"/>
                <w:szCs w:val="18"/>
                <w:lang w:val="fr-FR"/>
              </w:rPr>
            </w:pPr>
            <w:r w:rsidRPr="00CF7662">
              <w:rPr>
                <w:sz w:val="18"/>
                <w:szCs w:val="18"/>
                <w:lang w:val="fr-FR"/>
              </w:rPr>
              <w:t>Toutes les matières</w:t>
            </w:r>
          </w:p>
        </w:tc>
        <w:tc>
          <w:tcPr>
            <w:tcW w:w="1617" w:type="dxa"/>
            <w:vAlign w:val="center"/>
          </w:tcPr>
          <w:p w14:paraId="3712F9F9" w14:textId="77777777" w:rsidR="001C441B" w:rsidRPr="00CF7662" w:rsidRDefault="001C441B" w:rsidP="007A2A1D">
            <w:pPr>
              <w:spacing w:line="240" w:lineRule="auto"/>
              <w:jc w:val="center"/>
              <w:rPr>
                <w:sz w:val="18"/>
                <w:szCs w:val="18"/>
                <w:lang w:val="fr-FR"/>
              </w:rPr>
            </w:pPr>
            <w:r w:rsidRPr="00CF7662">
              <w:rPr>
                <w:sz w:val="18"/>
                <w:szCs w:val="18"/>
                <w:lang w:val="fr-FR"/>
              </w:rPr>
              <w:t>Citerne spéciale</w:t>
            </w:r>
          </w:p>
        </w:tc>
      </w:tr>
      <w:tr w:rsidR="001C441B" w:rsidRPr="00CF7662" w14:paraId="63BD0765" w14:textId="77777777" w:rsidTr="007A2A1D">
        <w:trPr>
          <w:cantSplit/>
          <w:trHeight w:val="20"/>
          <w:jc w:val="center"/>
        </w:trPr>
        <w:tc>
          <w:tcPr>
            <w:tcW w:w="741" w:type="dxa"/>
            <w:vMerge/>
          </w:tcPr>
          <w:p w14:paraId="739BAB8C" w14:textId="77777777" w:rsidR="001C441B" w:rsidRPr="00CF7662" w:rsidRDefault="001C441B" w:rsidP="007A2A1D">
            <w:pPr>
              <w:spacing w:line="240" w:lineRule="auto"/>
              <w:jc w:val="center"/>
              <w:rPr>
                <w:sz w:val="18"/>
                <w:szCs w:val="18"/>
                <w:lang w:val="fr-FR"/>
              </w:rPr>
            </w:pPr>
          </w:p>
        </w:tc>
        <w:tc>
          <w:tcPr>
            <w:tcW w:w="976" w:type="dxa"/>
            <w:vMerge/>
          </w:tcPr>
          <w:p w14:paraId="361119EA" w14:textId="77777777" w:rsidR="001C441B" w:rsidRPr="00CF7662" w:rsidRDefault="001C441B" w:rsidP="007A2A1D">
            <w:pPr>
              <w:spacing w:line="240" w:lineRule="auto"/>
              <w:rPr>
                <w:sz w:val="18"/>
                <w:szCs w:val="18"/>
                <w:lang w:val="fr-FR"/>
              </w:rPr>
            </w:pPr>
          </w:p>
        </w:tc>
        <w:tc>
          <w:tcPr>
            <w:tcW w:w="5943" w:type="dxa"/>
          </w:tcPr>
          <w:p w14:paraId="491BE9D1" w14:textId="77777777" w:rsidR="001C441B" w:rsidRPr="00CF7662" w:rsidRDefault="001C441B" w:rsidP="007A2A1D">
            <w:pPr>
              <w:spacing w:line="240" w:lineRule="auto"/>
              <w:rPr>
                <w:sz w:val="18"/>
                <w:szCs w:val="18"/>
                <w:lang w:val="fr-FR"/>
              </w:rPr>
            </w:pPr>
            <w:r w:rsidRPr="00CF7662">
              <w:rPr>
                <w:sz w:val="18"/>
                <w:szCs w:val="18"/>
                <w:lang w:val="fr-FR"/>
              </w:rPr>
              <w:t>Exigence minimale pour les liquides</w:t>
            </w:r>
          </w:p>
        </w:tc>
        <w:tc>
          <w:tcPr>
            <w:tcW w:w="1617" w:type="dxa"/>
            <w:vAlign w:val="center"/>
          </w:tcPr>
          <w:p w14:paraId="4EE5DF86" w14:textId="77777777" w:rsidR="001C441B" w:rsidRPr="00CF7662" w:rsidRDefault="001C441B" w:rsidP="007A2A1D">
            <w:pPr>
              <w:spacing w:line="240" w:lineRule="auto"/>
              <w:jc w:val="center"/>
              <w:rPr>
                <w:sz w:val="18"/>
                <w:szCs w:val="18"/>
                <w:lang w:val="fr-FR"/>
              </w:rPr>
            </w:pPr>
            <w:r w:rsidRPr="00CF7662">
              <w:rPr>
                <w:sz w:val="18"/>
                <w:szCs w:val="18"/>
                <w:lang w:val="fr-FR"/>
              </w:rPr>
              <w:t>L2,65CN</w:t>
            </w:r>
          </w:p>
        </w:tc>
      </w:tr>
      <w:tr w:rsidR="001C441B" w:rsidRPr="00CF7662" w14:paraId="76AF89E3" w14:textId="77777777" w:rsidTr="007A2A1D">
        <w:trPr>
          <w:cantSplit/>
          <w:trHeight w:val="20"/>
          <w:jc w:val="center"/>
        </w:trPr>
        <w:tc>
          <w:tcPr>
            <w:tcW w:w="741" w:type="dxa"/>
            <w:vMerge/>
          </w:tcPr>
          <w:p w14:paraId="65D1A739" w14:textId="77777777" w:rsidR="001C441B" w:rsidRPr="00CF7662" w:rsidRDefault="001C441B" w:rsidP="007A2A1D">
            <w:pPr>
              <w:spacing w:line="240" w:lineRule="auto"/>
              <w:jc w:val="center"/>
              <w:rPr>
                <w:sz w:val="18"/>
                <w:szCs w:val="18"/>
                <w:lang w:val="fr-FR"/>
              </w:rPr>
            </w:pPr>
          </w:p>
        </w:tc>
        <w:tc>
          <w:tcPr>
            <w:tcW w:w="976" w:type="dxa"/>
            <w:vMerge/>
          </w:tcPr>
          <w:p w14:paraId="37092760" w14:textId="77777777" w:rsidR="001C441B" w:rsidRPr="00CF7662" w:rsidRDefault="001C441B" w:rsidP="007A2A1D">
            <w:pPr>
              <w:spacing w:line="240" w:lineRule="auto"/>
              <w:rPr>
                <w:sz w:val="18"/>
                <w:szCs w:val="18"/>
                <w:lang w:val="fr-FR"/>
              </w:rPr>
            </w:pPr>
          </w:p>
        </w:tc>
        <w:tc>
          <w:tcPr>
            <w:tcW w:w="5943" w:type="dxa"/>
          </w:tcPr>
          <w:p w14:paraId="75385667" w14:textId="77777777" w:rsidR="001C441B" w:rsidRPr="00CF7662" w:rsidRDefault="001C441B" w:rsidP="007A2A1D">
            <w:pPr>
              <w:spacing w:line="240" w:lineRule="auto"/>
              <w:rPr>
                <w:sz w:val="18"/>
                <w:szCs w:val="18"/>
                <w:lang w:val="fr-FR"/>
              </w:rPr>
            </w:pPr>
            <w:r w:rsidRPr="00CF7662">
              <w:rPr>
                <w:sz w:val="18"/>
                <w:szCs w:val="18"/>
                <w:lang w:val="fr-FR"/>
              </w:rPr>
              <w:t>Exigence minimale pour les solides</w:t>
            </w:r>
          </w:p>
        </w:tc>
        <w:tc>
          <w:tcPr>
            <w:tcW w:w="1617" w:type="dxa"/>
            <w:vAlign w:val="center"/>
          </w:tcPr>
          <w:p w14:paraId="0D57A708" w14:textId="77777777" w:rsidR="001C441B" w:rsidRPr="00CF7662" w:rsidRDefault="001C441B" w:rsidP="007A2A1D">
            <w:pPr>
              <w:spacing w:line="240" w:lineRule="auto"/>
              <w:jc w:val="center"/>
              <w:rPr>
                <w:sz w:val="18"/>
                <w:szCs w:val="18"/>
                <w:lang w:val="fr-FR"/>
              </w:rPr>
            </w:pPr>
            <w:r w:rsidRPr="00CF7662">
              <w:rPr>
                <w:sz w:val="18"/>
                <w:szCs w:val="18"/>
                <w:lang w:val="fr-FR"/>
              </w:rPr>
              <w:t>S2,65AN</w:t>
            </w:r>
          </w:p>
        </w:tc>
      </w:tr>
      <w:tr w:rsidR="001C441B" w:rsidRPr="00CF7662" w14:paraId="32782EA6" w14:textId="77777777" w:rsidTr="007A2A1D">
        <w:trPr>
          <w:cantSplit/>
          <w:trHeight w:val="20"/>
          <w:jc w:val="center"/>
        </w:trPr>
        <w:tc>
          <w:tcPr>
            <w:tcW w:w="741" w:type="dxa"/>
            <w:vMerge w:val="restart"/>
          </w:tcPr>
          <w:p w14:paraId="5AC33C1D" w14:textId="77777777" w:rsidR="001C441B" w:rsidRPr="00CF7662" w:rsidRDefault="001C441B" w:rsidP="007A2A1D">
            <w:pPr>
              <w:spacing w:line="240" w:lineRule="auto"/>
              <w:jc w:val="center"/>
              <w:rPr>
                <w:sz w:val="18"/>
                <w:szCs w:val="18"/>
                <w:lang w:val="fr-FR"/>
              </w:rPr>
            </w:pPr>
            <w:r w:rsidRPr="00CF7662">
              <w:rPr>
                <w:sz w:val="18"/>
                <w:szCs w:val="18"/>
                <w:lang w:val="fr-FR"/>
              </w:rPr>
              <w:t>8</w:t>
            </w:r>
          </w:p>
        </w:tc>
        <w:tc>
          <w:tcPr>
            <w:tcW w:w="976" w:type="dxa"/>
          </w:tcPr>
          <w:p w14:paraId="0EE6086B" w14:textId="77777777" w:rsidR="001C441B" w:rsidRPr="00CF7662" w:rsidRDefault="001C441B" w:rsidP="007A2A1D">
            <w:pPr>
              <w:spacing w:line="240" w:lineRule="auto"/>
              <w:jc w:val="center"/>
              <w:rPr>
                <w:sz w:val="18"/>
                <w:szCs w:val="18"/>
                <w:lang w:val="fr-FR"/>
              </w:rPr>
            </w:pPr>
            <w:r w:rsidRPr="00CF7662">
              <w:rPr>
                <w:sz w:val="18"/>
                <w:szCs w:val="18"/>
                <w:lang w:val="fr-FR"/>
              </w:rPr>
              <w:t>1052</w:t>
            </w:r>
          </w:p>
        </w:tc>
        <w:tc>
          <w:tcPr>
            <w:tcW w:w="5943" w:type="dxa"/>
          </w:tcPr>
          <w:p w14:paraId="29DDA938" w14:textId="77777777" w:rsidR="001C441B" w:rsidRPr="00CF7662" w:rsidRDefault="001C441B" w:rsidP="007A2A1D">
            <w:pPr>
              <w:spacing w:line="240" w:lineRule="auto"/>
              <w:rPr>
                <w:sz w:val="18"/>
                <w:szCs w:val="18"/>
                <w:lang w:val="fr-FR"/>
              </w:rPr>
            </w:pPr>
            <w:r w:rsidRPr="00CF7662">
              <w:rPr>
                <w:sz w:val="18"/>
                <w:szCs w:val="18"/>
                <w:lang w:val="fr-FR"/>
              </w:rPr>
              <w:t>Fluorure d'hydrogène anhydre</w:t>
            </w:r>
          </w:p>
        </w:tc>
        <w:tc>
          <w:tcPr>
            <w:tcW w:w="1617" w:type="dxa"/>
            <w:vMerge w:val="restart"/>
            <w:vAlign w:val="center"/>
          </w:tcPr>
          <w:p w14:paraId="37B19399" w14:textId="77777777" w:rsidR="001C441B" w:rsidRPr="00CF7662" w:rsidRDefault="001C441B" w:rsidP="007A2A1D">
            <w:pPr>
              <w:spacing w:line="240" w:lineRule="auto"/>
              <w:jc w:val="center"/>
              <w:rPr>
                <w:sz w:val="18"/>
                <w:szCs w:val="18"/>
                <w:lang w:val="fr-FR"/>
              </w:rPr>
            </w:pPr>
            <w:r w:rsidRPr="00CF7662">
              <w:rPr>
                <w:sz w:val="18"/>
                <w:szCs w:val="18"/>
                <w:lang w:val="fr-FR"/>
              </w:rPr>
              <w:t>L21DH</w:t>
            </w:r>
          </w:p>
        </w:tc>
      </w:tr>
      <w:tr w:rsidR="001C441B" w:rsidRPr="00CF7662" w14:paraId="2B5107B6" w14:textId="77777777" w:rsidTr="007A2A1D">
        <w:trPr>
          <w:cantSplit/>
          <w:trHeight w:val="20"/>
          <w:jc w:val="center"/>
        </w:trPr>
        <w:tc>
          <w:tcPr>
            <w:tcW w:w="741" w:type="dxa"/>
            <w:vMerge/>
          </w:tcPr>
          <w:p w14:paraId="47A25685" w14:textId="77777777" w:rsidR="001C441B" w:rsidRPr="00CF7662" w:rsidRDefault="001C441B" w:rsidP="007A2A1D">
            <w:pPr>
              <w:spacing w:line="240" w:lineRule="auto"/>
              <w:rPr>
                <w:sz w:val="18"/>
                <w:szCs w:val="18"/>
                <w:lang w:val="fr-FR"/>
              </w:rPr>
            </w:pPr>
          </w:p>
        </w:tc>
        <w:tc>
          <w:tcPr>
            <w:tcW w:w="976" w:type="dxa"/>
          </w:tcPr>
          <w:p w14:paraId="39DDF958" w14:textId="77777777" w:rsidR="001C441B" w:rsidRPr="00CF7662" w:rsidRDefault="001C441B" w:rsidP="007A2A1D">
            <w:pPr>
              <w:spacing w:line="240" w:lineRule="auto"/>
              <w:jc w:val="center"/>
              <w:rPr>
                <w:sz w:val="18"/>
                <w:szCs w:val="18"/>
                <w:lang w:val="fr-FR"/>
              </w:rPr>
            </w:pPr>
            <w:r w:rsidRPr="00CF7662">
              <w:rPr>
                <w:sz w:val="18"/>
                <w:szCs w:val="18"/>
                <w:lang w:val="fr-FR"/>
              </w:rPr>
              <w:t>1744</w:t>
            </w:r>
          </w:p>
        </w:tc>
        <w:tc>
          <w:tcPr>
            <w:tcW w:w="5943" w:type="dxa"/>
          </w:tcPr>
          <w:p w14:paraId="13B37452" w14:textId="77777777" w:rsidR="001C441B" w:rsidRPr="00CF7662" w:rsidRDefault="001C441B" w:rsidP="007A2A1D">
            <w:pPr>
              <w:spacing w:line="240" w:lineRule="auto"/>
              <w:rPr>
                <w:sz w:val="18"/>
                <w:szCs w:val="18"/>
                <w:lang w:val="fr-FR"/>
              </w:rPr>
            </w:pPr>
            <w:r w:rsidRPr="00CF7662">
              <w:rPr>
                <w:sz w:val="18"/>
                <w:szCs w:val="18"/>
                <w:lang w:val="fr-FR"/>
              </w:rPr>
              <w:t xml:space="preserve">Brome ou brome en solution </w:t>
            </w:r>
          </w:p>
        </w:tc>
        <w:tc>
          <w:tcPr>
            <w:tcW w:w="1617" w:type="dxa"/>
            <w:vMerge/>
          </w:tcPr>
          <w:p w14:paraId="66822EFA" w14:textId="77777777" w:rsidR="001C441B" w:rsidRPr="00CF7662" w:rsidRDefault="001C441B" w:rsidP="007A2A1D">
            <w:pPr>
              <w:spacing w:line="240" w:lineRule="auto"/>
              <w:jc w:val="center"/>
              <w:rPr>
                <w:sz w:val="18"/>
                <w:szCs w:val="18"/>
                <w:lang w:val="fr-FR"/>
              </w:rPr>
            </w:pPr>
          </w:p>
        </w:tc>
      </w:tr>
      <w:tr w:rsidR="001C441B" w:rsidRPr="00CF7662" w14:paraId="5DBEA3E4" w14:textId="77777777" w:rsidTr="007A2A1D">
        <w:trPr>
          <w:cantSplit/>
          <w:trHeight w:val="20"/>
          <w:jc w:val="center"/>
        </w:trPr>
        <w:tc>
          <w:tcPr>
            <w:tcW w:w="741" w:type="dxa"/>
            <w:vMerge/>
          </w:tcPr>
          <w:p w14:paraId="5EA19141" w14:textId="77777777" w:rsidR="001C441B" w:rsidRPr="00CF7662" w:rsidRDefault="001C441B" w:rsidP="007A2A1D">
            <w:pPr>
              <w:spacing w:line="240" w:lineRule="auto"/>
              <w:rPr>
                <w:sz w:val="18"/>
                <w:szCs w:val="18"/>
                <w:lang w:val="fr-FR"/>
              </w:rPr>
            </w:pPr>
          </w:p>
        </w:tc>
        <w:tc>
          <w:tcPr>
            <w:tcW w:w="976" w:type="dxa"/>
          </w:tcPr>
          <w:p w14:paraId="774E5708" w14:textId="77777777" w:rsidR="001C441B" w:rsidRPr="00CF7662" w:rsidRDefault="001C441B" w:rsidP="007A2A1D">
            <w:pPr>
              <w:spacing w:line="240" w:lineRule="auto"/>
              <w:jc w:val="center"/>
              <w:rPr>
                <w:sz w:val="18"/>
                <w:szCs w:val="18"/>
                <w:lang w:val="fr-FR"/>
              </w:rPr>
            </w:pPr>
            <w:r w:rsidRPr="00CF7662">
              <w:rPr>
                <w:sz w:val="18"/>
                <w:szCs w:val="18"/>
                <w:lang w:val="fr-FR"/>
              </w:rPr>
              <w:t>1790</w:t>
            </w:r>
          </w:p>
        </w:tc>
        <w:tc>
          <w:tcPr>
            <w:tcW w:w="5943" w:type="dxa"/>
          </w:tcPr>
          <w:p w14:paraId="136DC7BE" w14:textId="77777777" w:rsidR="001C441B" w:rsidRPr="00CF7662" w:rsidRDefault="001C441B" w:rsidP="007A2A1D">
            <w:pPr>
              <w:spacing w:line="240" w:lineRule="auto"/>
              <w:rPr>
                <w:sz w:val="18"/>
                <w:szCs w:val="18"/>
                <w:lang w:val="fr-FR"/>
              </w:rPr>
            </w:pPr>
            <w:r w:rsidRPr="00CF7662">
              <w:rPr>
                <w:sz w:val="18"/>
                <w:szCs w:val="18"/>
                <w:lang w:val="fr-FR"/>
              </w:rPr>
              <w:t>Acide fluorhydrique contenant plus de 85% de fluorure d'hydrogène</w:t>
            </w:r>
          </w:p>
        </w:tc>
        <w:tc>
          <w:tcPr>
            <w:tcW w:w="1617" w:type="dxa"/>
            <w:vMerge/>
          </w:tcPr>
          <w:p w14:paraId="759484FC" w14:textId="77777777" w:rsidR="001C441B" w:rsidRPr="00CF7662" w:rsidRDefault="001C441B" w:rsidP="007A2A1D">
            <w:pPr>
              <w:spacing w:line="240" w:lineRule="auto"/>
              <w:jc w:val="center"/>
              <w:rPr>
                <w:sz w:val="18"/>
                <w:szCs w:val="18"/>
                <w:lang w:val="fr-FR"/>
              </w:rPr>
            </w:pPr>
          </w:p>
        </w:tc>
      </w:tr>
      <w:tr w:rsidR="001C441B" w:rsidRPr="00CF7662" w14:paraId="525331F0" w14:textId="77777777" w:rsidTr="007A2A1D">
        <w:trPr>
          <w:cantSplit/>
          <w:trHeight w:val="20"/>
          <w:jc w:val="center"/>
        </w:trPr>
        <w:tc>
          <w:tcPr>
            <w:tcW w:w="741" w:type="dxa"/>
            <w:vMerge/>
          </w:tcPr>
          <w:p w14:paraId="75A254D7" w14:textId="77777777" w:rsidR="001C441B" w:rsidRPr="00CF7662" w:rsidRDefault="001C441B" w:rsidP="007A2A1D">
            <w:pPr>
              <w:spacing w:line="240" w:lineRule="auto"/>
              <w:rPr>
                <w:sz w:val="18"/>
                <w:szCs w:val="18"/>
                <w:lang w:val="fr-FR"/>
              </w:rPr>
            </w:pPr>
          </w:p>
        </w:tc>
        <w:tc>
          <w:tcPr>
            <w:tcW w:w="976" w:type="dxa"/>
          </w:tcPr>
          <w:p w14:paraId="6F9DB556" w14:textId="77777777" w:rsidR="001C441B" w:rsidRPr="00CF7662" w:rsidRDefault="001C441B" w:rsidP="007A2A1D">
            <w:pPr>
              <w:spacing w:line="240" w:lineRule="auto"/>
              <w:jc w:val="center"/>
              <w:rPr>
                <w:sz w:val="18"/>
                <w:szCs w:val="18"/>
                <w:lang w:val="fr-FR"/>
              </w:rPr>
            </w:pPr>
            <w:r w:rsidRPr="00CF7662">
              <w:rPr>
                <w:sz w:val="18"/>
                <w:szCs w:val="18"/>
                <w:lang w:val="fr-FR"/>
              </w:rPr>
              <w:t>1791</w:t>
            </w:r>
          </w:p>
        </w:tc>
        <w:tc>
          <w:tcPr>
            <w:tcW w:w="5943" w:type="dxa"/>
          </w:tcPr>
          <w:p w14:paraId="1042A08D" w14:textId="77777777" w:rsidR="001C441B" w:rsidRPr="00CF7662" w:rsidRDefault="001C441B" w:rsidP="007A2A1D">
            <w:pPr>
              <w:spacing w:line="240" w:lineRule="auto"/>
              <w:rPr>
                <w:sz w:val="18"/>
                <w:szCs w:val="18"/>
                <w:lang w:val="fr-FR"/>
              </w:rPr>
            </w:pPr>
            <w:r w:rsidRPr="00CF7662">
              <w:rPr>
                <w:sz w:val="18"/>
                <w:szCs w:val="18"/>
                <w:lang w:val="fr-FR"/>
              </w:rPr>
              <w:t>Hypochlorite en solution</w:t>
            </w:r>
          </w:p>
        </w:tc>
        <w:tc>
          <w:tcPr>
            <w:tcW w:w="1617" w:type="dxa"/>
            <w:vMerge w:val="restart"/>
            <w:vAlign w:val="center"/>
          </w:tcPr>
          <w:p w14:paraId="671601E2" w14:textId="77777777" w:rsidR="001C441B" w:rsidRPr="00CF7662" w:rsidRDefault="001C441B" w:rsidP="007A2A1D">
            <w:pPr>
              <w:spacing w:line="240" w:lineRule="auto"/>
              <w:jc w:val="center"/>
              <w:rPr>
                <w:sz w:val="18"/>
                <w:szCs w:val="18"/>
                <w:lang w:val="fr-FR"/>
              </w:rPr>
            </w:pPr>
            <w:r w:rsidRPr="00CF7662">
              <w:rPr>
                <w:sz w:val="18"/>
                <w:szCs w:val="18"/>
                <w:lang w:val="fr-FR"/>
              </w:rPr>
              <w:t>L4BV</w:t>
            </w:r>
          </w:p>
        </w:tc>
      </w:tr>
      <w:tr w:rsidR="001C441B" w:rsidRPr="00CF7662" w14:paraId="770C78E8" w14:textId="77777777" w:rsidTr="007A2A1D">
        <w:trPr>
          <w:cantSplit/>
          <w:trHeight w:val="20"/>
          <w:jc w:val="center"/>
        </w:trPr>
        <w:tc>
          <w:tcPr>
            <w:tcW w:w="741" w:type="dxa"/>
            <w:vMerge/>
          </w:tcPr>
          <w:p w14:paraId="5CAFA12C" w14:textId="77777777" w:rsidR="001C441B" w:rsidRPr="00CF7662" w:rsidRDefault="001C441B" w:rsidP="007A2A1D">
            <w:pPr>
              <w:spacing w:line="240" w:lineRule="auto"/>
              <w:rPr>
                <w:sz w:val="18"/>
                <w:szCs w:val="18"/>
                <w:lang w:val="fr-FR"/>
              </w:rPr>
            </w:pPr>
          </w:p>
        </w:tc>
        <w:tc>
          <w:tcPr>
            <w:tcW w:w="976" w:type="dxa"/>
          </w:tcPr>
          <w:p w14:paraId="58C6FEC8" w14:textId="77777777" w:rsidR="001C441B" w:rsidRPr="00CF7662" w:rsidRDefault="001C441B" w:rsidP="007A2A1D">
            <w:pPr>
              <w:spacing w:line="240" w:lineRule="auto"/>
              <w:jc w:val="center"/>
              <w:rPr>
                <w:sz w:val="18"/>
                <w:szCs w:val="18"/>
                <w:lang w:val="fr-FR"/>
              </w:rPr>
            </w:pPr>
            <w:r w:rsidRPr="00CF7662">
              <w:rPr>
                <w:sz w:val="18"/>
                <w:szCs w:val="18"/>
                <w:lang w:val="fr-FR"/>
              </w:rPr>
              <w:t>1908</w:t>
            </w:r>
          </w:p>
        </w:tc>
        <w:tc>
          <w:tcPr>
            <w:tcW w:w="5943" w:type="dxa"/>
          </w:tcPr>
          <w:p w14:paraId="65292AC7" w14:textId="77777777" w:rsidR="001C441B" w:rsidRPr="00CF7662" w:rsidRDefault="001C441B" w:rsidP="007A2A1D">
            <w:pPr>
              <w:spacing w:line="240" w:lineRule="auto"/>
              <w:rPr>
                <w:sz w:val="18"/>
                <w:szCs w:val="18"/>
                <w:lang w:val="fr-FR"/>
              </w:rPr>
            </w:pPr>
            <w:r w:rsidRPr="00CF7662">
              <w:rPr>
                <w:sz w:val="18"/>
                <w:szCs w:val="18"/>
                <w:lang w:val="fr-FR"/>
              </w:rPr>
              <w:t>Chlorite en solution</w:t>
            </w:r>
          </w:p>
        </w:tc>
        <w:tc>
          <w:tcPr>
            <w:tcW w:w="1617" w:type="dxa"/>
            <w:vMerge/>
          </w:tcPr>
          <w:p w14:paraId="775AF240" w14:textId="77777777" w:rsidR="001C441B" w:rsidRPr="00CF7662" w:rsidRDefault="001C441B" w:rsidP="007A2A1D">
            <w:pPr>
              <w:spacing w:line="240" w:lineRule="auto"/>
              <w:rPr>
                <w:sz w:val="18"/>
                <w:szCs w:val="18"/>
                <w:lang w:val="fr-FR"/>
              </w:rPr>
            </w:pPr>
          </w:p>
        </w:tc>
      </w:tr>
    </w:tbl>
    <w:p w14:paraId="34875FA2" w14:textId="72D33186" w:rsidR="001C441B" w:rsidRPr="00CF7662" w:rsidRDefault="003E6A9A" w:rsidP="001C441B">
      <w:pPr>
        <w:pStyle w:val="SingleTxtG"/>
        <w:spacing w:before="120"/>
        <w:rPr>
          <w:i/>
          <w:lang w:val="fr-FR"/>
        </w:rPr>
      </w:pPr>
      <w:r w:rsidRPr="00CF7662">
        <w:rPr>
          <w:b/>
          <w:iCs/>
          <w:vertAlign w:val="superscript"/>
        </w:rPr>
        <w:t>a</w:t>
      </w:r>
      <w:r w:rsidR="001C441B" w:rsidRPr="00CF7662">
        <w:rPr>
          <w:lang w:val="fr-FR"/>
        </w:rPr>
        <w:tab/>
      </w:r>
      <w:r w:rsidR="001C441B" w:rsidRPr="00CF7662">
        <w:rPr>
          <w:i/>
          <w:lang w:val="fr-FR"/>
        </w:rPr>
        <w:t>Par dérogation aux prescriptions générales du présent paragraphe, les citernes utilisées pour les matières radioactives, peuvent également être utilisées pour le transport d'autres matières lorsque les prescriptions du 5.1.3.2 sont respectées. ».</w:t>
      </w:r>
    </w:p>
    <w:p w14:paraId="0777F584" w14:textId="6361ADF4" w:rsidR="001C441B" w:rsidRPr="00E13FA3" w:rsidRDefault="001C441B" w:rsidP="001C441B">
      <w:pPr>
        <w:pStyle w:val="SingleTxtG"/>
        <w:tabs>
          <w:tab w:val="left" w:pos="2268"/>
        </w:tabs>
        <w:rPr>
          <w:lang w:val="fr-FR"/>
        </w:rPr>
      </w:pPr>
      <w:r w:rsidRPr="00E13FA3">
        <w:rPr>
          <w:lang w:val="fr-FR"/>
        </w:rPr>
        <w:t>4.3.5</w:t>
      </w:r>
      <w:r w:rsidRPr="00E13FA3">
        <w:rPr>
          <w:lang w:val="fr-FR"/>
        </w:rPr>
        <w:tab/>
        <w:t xml:space="preserve">Ajouter </w:t>
      </w:r>
      <w:r w:rsidR="0046022F" w:rsidRPr="00E13FA3">
        <w:rPr>
          <w:lang w:val="fr-FR"/>
        </w:rPr>
        <w:t xml:space="preserve">les </w:t>
      </w:r>
      <w:r w:rsidRPr="00E13FA3">
        <w:rPr>
          <w:lang w:val="fr-FR"/>
        </w:rPr>
        <w:t>nouvelle</w:t>
      </w:r>
      <w:r w:rsidR="0046022F" w:rsidRPr="00E13FA3">
        <w:rPr>
          <w:lang w:val="fr-FR"/>
        </w:rPr>
        <w:t>s</w:t>
      </w:r>
      <w:r w:rsidRPr="00E13FA3">
        <w:rPr>
          <w:lang w:val="fr-FR"/>
        </w:rPr>
        <w:t xml:space="preserve"> disposition</w:t>
      </w:r>
      <w:r w:rsidR="0046022F" w:rsidRPr="00E13FA3">
        <w:rPr>
          <w:lang w:val="fr-FR"/>
        </w:rPr>
        <w:t>s</w:t>
      </w:r>
      <w:r w:rsidRPr="00E13FA3">
        <w:rPr>
          <w:lang w:val="fr-FR"/>
        </w:rPr>
        <w:t xml:space="preserve"> spéciale</w:t>
      </w:r>
      <w:r w:rsidR="0046022F" w:rsidRPr="00E13FA3">
        <w:rPr>
          <w:lang w:val="fr-FR"/>
        </w:rPr>
        <w:t>s</w:t>
      </w:r>
      <w:r w:rsidRPr="00E13FA3">
        <w:rPr>
          <w:lang w:val="fr-FR"/>
        </w:rPr>
        <w:t xml:space="preserve"> suivante</w:t>
      </w:r>
      <w:r w:rsidR="0046022F" w:rsidRPr="00E13FA3">
        <w:rPr>
          <w:lang w:val="fr-FR"/>
        </w:rPr>
        <w:t>s</w:t>
      </w:r>
      <w:r w:rsidRPr="00E13FA3">
        <w:rPr>
          <w:lang w:val="fr-FR"/>
        </w:rPr>
        <w:t> :</w:t>
      </w:r>
    </w:p>
    <w:p w14:paraId="20127C6E" w14:textId="6CE2997B" w:rsidR="001C441B" w:rsidRPr="00E13FA3" w:rsidRDefault="001C441B" w:rsidP="001C441B">
      <w:pPr>
        <w:pStyle w:val="SingleTxtG"/>
        <w:tabs>
          <w:tab w:val="left" w:pos="2268"/>
        </w:tabs>
        <w:rPr>
          <w:lang w:val="fr-FR"/>
        </w:rPr>
      </w:pPr>
      <w:r w:rsidRPr="00E13FA3">
        <w:rPr>
          <w:lang w:val="fr-FR"/>
        </w:rPr>
        <w:t>« TU42</w:t>
      </w:r>
      <w:r w:rsidRPr="00E13FA3">
        <w:rPr>
          <w:lang w:val="fr-FR"/>
        </w:rPr>
        <w:tab/>
      </w:r>
      <w:r w:rsidRPr="00E13FA3">
        <w:rPr>
          <w:lang w:val="fr-FR"/>
        </w:rPr>
        <w:tab/>
        <w:t>Les citernes dont le réservoir est construit en alliage d’aluminium, y compris celles équipées d’un revêtement protecteur, ne peuvent être utilisées que si le pH de la matière n’est pas inférieur à 5,0 et n’est pas supérieur à 8,0. ».</w:t>
      </w:r>
    </w:p>
    <w:p w14:paraId="5C77B1AF" w14:textId="2C9DC77E" w:rsidR="00CF3F0B" w:rsidRPr="009D7EFD" w:rsidRDefault="00CF3F0B" w:rsidP="00CF3F0B">
      <w:pPr>
        <w:pStyle w:val="SingleTxtG"/>
        <w:rPr>
          <w:lang w:val="fr-FR"/>
        </w:rPr>
      </w:pPr>
      <w:r w:rsidRPr="009D7EFD">
        <w:rPr>
          <w:lang w:val="fr-FR"/>
        </w:rPr>
        <w:t>« TU43</w:t>
      </w:r>
      <w:r w:rsidRPr="009D7EFD">
        <w:rPr>
          <w:lang w:val="fr-FR"/>
        </w:rPr>
        <w:tab/>
      </w:r>
      <w:r w:rsidRPr="009D7EFD">
        <w:t>Une citerne vide non nettoyée peut être présentée au transport après la date d’expiration de la validité de la dernière inspection du revêtement pour une période ne dépassant pas trois mois après cette date, pour être soumise à la prochaine inspection du revêtement avant d’être à nouveau remplie (voir disposition spéciale TT2 au 6.8.4 d)). ».</w:t>
      </w:r>
    </w:p>
    <w:p w14:paraId="08304A52" w14:textId="1C98F696" w:rsidR="00196C06" w:rsidRPr="00826B2C" w:rsidRDefault="00196C06" w:rsidP="00196C06">
      <w:pPr>
        <w:pStyle w:val="H1G"/>
        <w:rPr>
          <w:lang w:val="fr-FR"/>
        </w:rPr>
      </w:pPr>
      <w:r w:rsidRPr="00826B2C">
        <w:rPr>
          <w:lang w:val="fr-FR"/>
        </w:rPr>
        <w:tab/>
      </w:r>
      <w:r w:rsidRPr="00826B2C">
        <w:rPr>
          <w:lang w:val="fr-FR"/>
        </w:rPr>
        <w:tab/>
        <w:t xml:space="preserve">Chapitre </w:t>
      </w:r>
      <w:r w:rsidR="00E60F18" w:rsidRPr="00826B2C">
        <w:rPr>
          <w:lang w:val="fr-FR"/>
        </w:rPr>
        <w:t>5.2</w:t>
      </w:r>
    </w:p>
    <w:p w14:paraId="3F9FDD2B" w14:textId="03B16F93" w:rsidR="00196C06" w:rsidRPr="00826B2C" w:rsidRDefault="00E60F18" w:rsidP="009C2E03">
      <w:pPr>
        <w:pStyle w:val="SingleTxtG"/>
        <w:tabs>
          <w:tab w:val="left" w:pos="2268"/>
        </w:tabs>
        <w:rPr>
          <w:iCs/>
          <w:lang w:val="fr-FR"/>
        </w:rPr>
      </w:pPr>
      <w:r w:rsidRPr="00826B2C">
        <w:rPr>
          <w:iCs/>
          <w:lang w:val="fr-FR"/>
        </w:rPr>
        <w:t>5.2.1</w:t>
      </w:r>
      <w:r w:rsidR="00196C06" w:rsidRPr="00826B2C">
        <w:rPr>
          <w:iCs/>
          <w:lang w:val="fr-FR"/>
        </w:rPr>
        <w:tab/>
      </w:r>
      <w:r w:rsidRPr="00826B2C">
        <w:rPr>
          <w:iCs/>
          <w:lang w:val="fr-FR"/>
        </w:rPr>
        <w:t>Après le titre, renuméroter le Nota existant en tant que Nota 1 et</w:t>
      </w:r>
      <w:r w:rsidR="00196C06" w:rsidRPr="00826B2C">
        <w:rPr>
          <w:iCs/>
          <w:lang w:val="fr-FR"/>
        </w:rPr>
        <w:t xml:space="preserve"> ajouter un nouveau Nota </w:t>
      </w:r>
      <w:r w:rsidRPr="00826B2C">
        <w:rPr>
          <w:iCs/>
          <w:lang w:val="fr-FR"/>
        </w:rPr>
        <w:t xml:space="preserve">2 </w:t>
      </w:r>
      <w:r w:rsidR="00196C06" w:rsidRPr="00826B2C">
        <w:rPr>
          <w:iCs/>
          <w:lang w:val="fr-FR"/>
        </w:rPr>
        <w:t>pour lire comme suit</w:t>
      </w:r>
      <w:r w:rsidR="00844C40" w:rsidRPr="00826B2C">
        <w:rPr>
          <w:lang w:val="fr-FR"/>
        </w:rPr>
        <w:t> </w:t>
      </w:r>
      <w:r w:rsidR="00196C06" w:rsidRPr="00826B2C">
        <w:rPr>
          <w:iCs/>
          <w:lang w:val="fr-FR"/>
        </w:rPr>
        <w:t>:</w:t>
      </w:r>
    </w:p>
    <w:p w14:paraId="5B78C5D8" w14:textId="42D4F240" w:rsidR="00826B2C" w:rsidRPr="00154472" w:rsidRDefault="00826B2C" w:rsidP="00826B2C">
      <w:pPr>
        <w:pStyle w:val="SingleTxtG"/>
        <w:rPr>
          <w:iCs/>
          <w:lang w:val="fr-FR"/>
        </w:rPr>
      </w:pPr>
      <w:r w:rsidRPr="00154472">
        <w:rPr>
          <w:iCs/>
          <w:lang w:val="fr-FR"/>
        </w:rPr>
        <w:t>«</w:t>
      </w:r>
      <w:r w:rsidRPr="00154472">
        <w:rPr>
          <w:lang w:val="fr-FR"/>
        </w:rPr>
        <w:t> </w:t>
      </w:r>
      <w:r w:rsidR="00286CE7">
        <w:rPr>
          <w:b/>
          <w:i/>
          <w:iCs/>
          <w:lang w:val="fr-FR"/>
        </w:rPr>
        <w:tab/>
      </w:r>
      <w:r w:rsidRPr="00154472">
        <w:rPr>
          <w:b/>
          <w:i/>
          <w:iCs/>
          <w:lang w:val="fr-FR"/>
        </w:rPr>
        <w:t>2</w:t>
      </w:r>
      <w:r w:rsidRPr="00154472">
        <w:rPr>
          <w:lang w:val="fr-FR"/>
        </w:rPr>
        <w:t> </w:t>
      </w:r>
      <w:r w:rsidRPr="00154472">
        <w:rPr>
          <w:b/>
          <w:i/>
          <w:iCs/>
          <w:lang w:val="fr-FR"/>
        </w:rPr>
        <w:t>:</w:t>
      </w:r>
      <w:r w:rsidRPr="00154472">
        <w:rPr>
          <w:i/>
          <w:iCs/>
          <w:lang w:val="fr-FR"/>
        </w:rPr>
        <w:tab/>
      </w:r>
      <w:r w:rsidRPr="00154472">
        <w:rPr>
          <w:i/>
          <w:lang w:val="fr-FR"/>
        </w:rPr>
        <w:t xml:space="preserve">Conformément au SGH, pendant le transport, un pictogramme SGH non exigé par l’ADR ne </w:t>
      </w:r>
      <w:r>
        <w:rPr>
          <w:i/>
          <w:lang w:val="fr-FR"/>
        </w:rPr>
        <w:t>devrait</w:t>
      </w:r>
      <w:r w:rsidRPr="00154472">
        <w:rPr>
          <w:i/>
          <w:lang w:val="fr-FR"/>
        </w:rPr>
        <w:t xml:space="preserve"> apparaître que dans le cadre d’une étiquette SGH complète, et pas de manière indépendante (voir SGH, 1.4.10.4.4).</w:t>
      </w:r>
      <w:r w:rsidRPr="00154472">
        <w:rPr>
          <w:lang w:val="fr-FR"/>
        </w:rPr>
        <w:t> </w:t>
      </w:r>
      <w:r w:rsidRPr="00154472">
        <w:rPr>
          <w:iCs/>
          <w:lang w:val="fr-FR"/>
        </w:rPr>
        <w:t>».</w:t>
      </w:r>
    </w:p>
    <w:p w14:paraId="033261C5" w14:textId="58053BF6" w:rsidR="008521AB" w:rsidRPr="00826B2C" w:rsidRDefault="008521AB" w:rsidP="009C2E03">
      <w:pPr>
        <w:pStyle w:val="SingleTxtG"/>
        <w:tabs>
          <w:tab w:val="left" w:pos="2268"/>
        </w:tabs>
        <w:rPr>
          <w:lang w:val="fr-FR"/>
        </w:rPr>
      </w:pPr>
      <w:r w:rsidRPr="00826B2C">
        <w:rPr>
          <w:lang w:val="fr-FR"/>
        </w:rPr>
        <w:t>5.2.1.3</w:t>
      </w:r>
      <w:r w:rsidRPr="00826B2C">
        <w:rPr>
          <w:lang w:val="fr-FR"/>
        </w:rPr>
        <w:tab/>
        <w:t>Après «</w:t>
      </w:r>
      <w:r w:rsidR="00844C40" w:rsidRPr="00826B2C">
        <w:rPr>
          <w:lang w:val="fr-FR"/>
        </w:rPr>
        <w:t> </w:t>
      </w:r>
      <w:r w:rsidRPr="00826B2C">
        <w:rPr>
          <w:lang w:val="fr-FR"/>
        </w:rPr>
        <w:t>Les emballages de secours</w:t>
      </w:r>
      <w:r w:rsidR="00844C40" w:rsidRPr="00826B2C">
        <w:rPr>
          <w:lang w:val="fr-FR"/>
        </w:rPr>
        <w:t> </w:t>
      </w:r>
      <w:r w:rsidRPr="00826B2C">
        <w:rPr>
          <w:lang w:val="fr-FR"/>
        </w:rPr>
        <w:t>» ajouter «</w:t>
      </w:r>
      <w:r w:rsidR="00844C40" w:rsidRPr="00826B2C">
        <w:rPr>
          <w:lang w:val="fr-FR"/>
        </w:rPr>
        <w:t> </w:t>
      </w:r>
      <w:r w:rsidRPr="00826B2C">
        <w:rPr>
          <w:lang w:val="fr-FR"/>
        </w:rPr>
        <w:t>, y compris les grands emballages de secours,</w:t>
      </w:r>
      <w:r w:rsidR="00844C40" w:rsidRPr="00826B2C">
        <w:rPr>
          <w:lang w:val="fr-FR"/>
        </w:rPr>
        <w:t> </w:t>
      </w:r>
      <w:r w:rsidRPr="00826B2C">
        <w:rPr>
          <w:lang w:val="fr-FR"/>
        </w:rPr>
        <w:t>».</w:t>
      </w:r>
    </w:p>
    <w:p w14:paraId="4E4F1A2C" w14:textId="0A3BCBEA" w:rsidR="00D33FED" w:rsidRPr="00826B2C" w:rsidRDefault="00D33FED" w:rsidP="00196C06">
      <w:pPr>
        <w:spacing w:before="120" w:after="120" w:line="240" w:lineRule="auto"/>
        <w:ind w:left="1134" w:right="1134"/>
        <w:jc w:val="both"/>
        <w:rPr>
          <w:lang w:val="fr-FR"/>
        </w:rPr>
      </w:pPr>
      <w:r w:rsidRPr="00826B2C">
        <w:rPr>
          <w:lang w:val="fr-FR"/>
        </w:rPr>
        <w:lastRenderedPageBreak/>
        <w:t>5.2.1.10.1</w:t>
      </w:r>
      <w:r w:rsidRPr="00826B2C">
        <w:rPr>
          <w:lang w:val="fr-FR"/>
        </w:rPr>
        <w:tab/>
        <w:t>Au deuxième tiret, à la fin, supprimer « et ». Au troisième tiret, à la fin, remplacer la virgule par « ; et ». Ajouter un nouveau quatrième tiret pour lire comme suit :</w:t>
      </w:r>
    </w:p>
    <w:p w14:paraId="330A9744" w14:textId="637E578A" w:rsidR="00D33FED" w:rsidRPr="00826B2C" w:rsidRDefault="00D33FED" w:rsidP="00CD1A91">
      <w:pPr>
        <w:spacing w:before="120" w:after="120" w:line="240" w:lineRule="auto"/>
        <w:ind w:left="1134" w:right="1134"/>
        <w:jc w:val="both"/>
        <w:rPr>
          <w:lang w:val="fr-FR"/>
        </w:rPr>
      </w:pPr>
      <w:r w:rsidRPr="00826B2C">
        <w:rPr>
          <w:lang w:val="fr-FR"/>
        </w:rPr>
        <w:t>« </w:t>
      </w:r>
      <w:r w:rsidR="00CD1A91" w:rsidRPr="00826B2C">
        <w:rPr>
          <w:lang w:val="fr-FR"/>
        </w:rPr>
        <w:t xml:space="preserve">- </w:t>
      </w:r>
      <w:r w:rsidR="00511E62" w:rsidRPr="00826B2C">
        <w:rPr>
          <w:lang w:val="fr-FR"/>
        </w:rPr>
        <w:t xml:space="preserve">les </w:t>
      </w:r>
      <w:r w:rsidR="00511E62" w:rsidRPr="00826B2C">
        <w:rPr>
          <w:iCs/>
          <w:lang w:val="fr-FR"/>
        </w:rPr>
        <w:t>machines ou appareils contenant des marchandises dangereuses liquides, s’il est prescrit qu’ils doivent être maintenus dans une orientation déterminée lorsqu’ils contiennent des marchandises dangereuses liquides (voir disposition spéciale 301 du chapitre 3.3),</w:t>
      </w:r>
      <w:r w:rsidR="00CD1A91" w:rsidRPr="00826B2C">
        <w:rPr>
          <w:iCs/>
          <w:lang w:val="fr-FR"/>
        </w:rPr>
        <w:t> ».</w:t>
      </w:r>
    </w:p>
    <w:p w14:paraId="0CDD4BAF" w14:textId="22F1CF0E" w:rsidR="00E103B7" w:rsidRPr="00826B2C" w:rsidRDefault="00E60F18" w:rsidP="00196C06">
      <w:pPr>
        <w:spacing w:before="120" w:after="120" w:line="240" w:lineRule="auto"/>
        <w:ind w:left="1134" w:right="1134"/>
        <w:jc w:val="both"/>
        <w:rPr>
          <w:lang w:val="fr-FR"/>
        </w:rPr>
      </w:pPr>
      <w:r w:rsidRPr="00826B2C">
        <w:rPr>
          <w:lang w:val="fr-FR"/>
        </w:rPr>
        <w:t>5.2.2.1.12</w:t>
      </w:r>
      <w:r w:rsidR="00E103B7" w:rsidRPr="00826B2C">
        <w:rPr>
          <w:lang w:val="fr-FR"/>
        </w:rPr>
        <w:tab/>
        <w:t>Ajouter la nouvelle sous-section suivante</w:t>
      </w:r>
      <w:r w:rsidR="00844C40" w:rsidRPr="00826B2C">
        <w:rPr>
          <w:lang w:val="fr-FR"/>
        </w:rPr>
        <w:t> </w:t>
      </w:r>
      <w:r w:rsidR="00E103B7" w:rsidRPr="00826B2C">
        <w:rPr>
          <w:lang w:val="fr-FR"/>
        </w:rPr>
        <w:t>:</w:t>
      </w:r>
    </w:p>
    <w:p w14:paraId="20AD2DB3" w14:textId="7E7DFF77" w:rsidR="00E103B7" w:rsidRPr="00826B2C" w:rsidRDefault="00E103B7" w:rsidP="00E103B7">
      <w:pPr>
        <w:pStyle w:val="SingleTxtG"/>
        <w:rPr>
          <w:lang w:val="fr-FR"/>
        </w:rPr>
      </w:pPr>
      <w:r w:rsidRPr="00826B2C">
        <w:rPr>
          <w:lang w:val="fr-FR"/>
        </w:rPr>
        <w:t>«</w:t>
      </w:r>
      <w:r w:rsidR="00844C40" w:rsidRPr="00826B2C">
        <w:rPr>
          <w:lang w:val="fr-FR"/>
        </w:rPr>
        <w:t> </w:t>
      </w:r>
      <w:r w:rsidR="00E60F18" w:rsidRPr="00826B2C">
        <w:rPr>
          <w:lang w:val="fr-FR"/>
        </w:rPr>
        <w:t>5.2.2.1.12</w:t>
      </w:r>
      <w:r w:rsidR="00E60F18" w:rsidRPr="00826B2C">
        <w:rPr>
          <w:lang w:val="fr-FR"/>
        </w:rPr>
        <w:tab/>
      </w:r>
      <w:r w:rsidR="00E60F18" w:rsidRPr="00826B2C">
        <w:rPr>
          <w:i/>
          <w:lang w:val="fr-FR"/>
        </w:rPr>
        <w:t xml:space="preserve">Dispositions spéciales pour l’étiquetage </w:t>
      </w:r>
      <w:r w:rsidRPr="00826B2C">
        <w:rPr>
          <w:i/>
          <w:lang w:val="fr-FR"/>
        </w:rPr>
        <w:t>des objets contenant des matières dangereuses transportés sous les numéros ONU 3537, 3538, 3539, 3540, 3541, 3542, 3543, 3544, 3545, 3546, 3547 et 3548</w:t>
      </w:r>
      <w:r w:rsidRPr="00826B2C">
        <w:rPr>
          <w:lang w:val="fr-FR"/>
        </w:rPr>
        <w:t xml:space="preserve"> </w:t>
      </w:r>
    </w:p>
    <w:p w14:paraId="2EBEFD8D" w14:textId="780EE519" w:rsidR="00E103B7" w:rsidRPr="00F8560D" w:rsidRDefault="00E103B7" w:rsidP="00E103B7">
      <w:pPr>
        <w:pStyle w:val="SingleTxtG"/>
        <w:rPr>
          <w:lang w:val="fr-FR"/>
        </w:rPr>
      </w:pPr>
      <w:r w:rsidRPr="00F8560D">
        <w:rPr>
          <w:lang w:val="fr-FR"/>
        </w:rPr>
        <w:t>5.2.2.1.</w:t>
      </w:r>
      <w:r w:rsidR="00E60F18" w:rsidRPr="00F8560D">
        <w:rPr>
          <w:lang w:val="fr-FR"/>
        </w:rPr>
        <w:t>12</w:t>
      </w:r>
      <w:r w:rsidRPr="00F8560D">
        <w:rPr>
          <w:lang w:val="fr-FR"/>
        </w:rPr>
        <w:t>.1</w:t>
      </w:r>
      <w:r w:rsidRPr="00F8560D">
        <w:rPr>
          <w:lang w:val="fr-FR"/>
        </w:rPr>
        <w:tab/>
      </w:r>
      <w:r w:rsidR="00D72E30" w:rsidRPr="00F8560D">
        <w:t>Les colis contenant des objets ou les objets qui sont transportés non emballés doivent être étiquetés conformément au 5.2.2.1, en tenant compte des risques définis à la section 2.1.5, sauf lorsque les objets contiennent en plus des piles au lithium, auquel cas une marque pour les piles au lithium ou une étiquette conforme au modèle No 9A n’est pas requise.</w:t>
      </w:r>
      <w:r w:rsidRPr="00F8560D">
        <w:rPr>
          <w:lang w:val="fr-FR"/>
        </w:rPr>
        <w:t xml:space="preserve"> </w:t>
      </w:r>
    </w:p>
    <w:p w14:paraId="7011D5AC" w14:textId="7F2CEEB7" w:rsidR="00E103B7" w:rsidRPr="00826B2C" w:rsidRDefault="00E103B7" w:rsidP="00E103B7">
      <w:pPr>
        <w:pStyle w:val="SingleTxtG"/>
        <w:rPr>
          <w:lang w:val="fr-FR"/>
        </w:rPr>
      </w:pPr>
      <w:r w:rsidRPr="00826B2C">
        <w:rPr>
          <w:lang w:val="fr-FR"/>
        </w:rPr>
        <w:t>5.2.2.1.</w:t>
      </w:r>
      <w:r w:rsidR="00E60F18" w:rsidRPr="00826B2C">
        <w:rPr>
          <w:lang w:val="fr-FR"/>
        </w:rPr>
        <w:t>12</w:t>
      </w:r>
      <w:r w:rsidRPr="00826B2C">
        <w:rPr>
          <w:lang w:val="fr-FR"/>
        </w:rPr>
        <w:t>.2</w:t>
      </w:r>
      <w:r w:rsidRPr="00826B2C">
        <w:rPr>
          <w:lang w:val="fr-FR"/>
        </w:rPr>
        <w:tab/>
        <w:t xml:space="preserve">S’il est prescrit que les objets contenant des matières dangereuses liquides doivent être maintenus dans une position déterminée, des marques conformes au </w:t>
      </w:r>
      <w:r w:rsidR="00E60F18" w:rsidRPr="00826B2C">
        <w:rPr>
          <w:lang w:val="fr-FR"/>
        </w:rPr>
        <w:t>5.2.1.10.1</w:t>
      </w:r>
      <w:r w:rsidRPr="00826B2C">
        <w:rPr>
          <w:lang w:val="fr-FR"/>
        </w:rPr>
        <w:t xml:space="preserve"> indiquant l’orientation à respecter doivent être apposées de manière visible sur au moins deux faces verticales opposées </w:t>
      </w:r>
      <w:r w:rsidR="004C70B6" w:rsidRPr="00826B2C">
        <w:rPr>
          <w:lang w:val="fr-FR"/>
        </w:rPr>
        <w:t xml:space="preserve">du colis ou </w:t>
      </w:r>
      <w:r w:rsidRPr="00826B2C">
        <w:rPr>
          <w:lang w:val="fr-FR"/>
        </w:rPr>
        <w:t xml:space="preserve">de l’objet </w:t>
      </w:r>
      <w:r w:rsidR="004C70B6" w:rsidRPr="00826B2C">
        <w:rPr>
          <w:lang w:val="fr-FR"/>
        </w:rPr>
        <w:t xml:space="preserve">non </w:t>
      </w:r>
      <w:r w:rsidRPr="00826B2C">
        <w:rPr>
          <w:lang w:val="fr-FR"/>
        </w:rPr>
        <w:t>emballé, lorsque cela est possible, les flèches pointant vers le haut.</w:t>
      </w:r>
      <w:r w:rsidR="00844C40" w:rsidRPr="00826B2C">
        <w:rPr>
          <w:lang w:val="fr-FR"/>
        </w:rPr>
        <w:t> </w:t>
      </w:r>
      <w:r w:rsidRPr="00826B2C">
        <w:rPr>
          <w:lang w:val="fr-FR"/>
        </w:rPr>
        <w:t>».</w:t>
      </w:r>
    </w:p>
    <w:p w14:paraId="01FFA658" w14:textId="6C6BA0D0" w:rsidR="000B1500" w:rsidRPr="009D7EFD" w:rsidRDefault="000B1500" w:rsidP="000B1500">
      <w:pPr>
        <w:pStyle w:val="SingleTxtG"/>
        <w:rPr>
          <w:lang w:val="fr-FR"/>
        </w:rPr>
      </w:pPr>
      <w:r w:rsidRPr="009D7EFD">
        <w:rPr>
          <w:lang w:val="fr-FR"/>
        </w:rPr>
        <w:t>5.2.2.2.1.1.2</w:t>
      </w:r>
      <w:r w:rsidRPr="009D7EFD">
        <w:rPr>
          <w:lang w:val="fr-FR"/>
        </w:rPr>
        <w:tab/>
      </w:r>
      <w:r w:rsidR="009D7EFD" w:rsidRPr="003714FD">
        <w:rPr>
          <w:lang w:val="fr-FR"/>
        </w:rPr>
        <w:t xml:space="preserve">Remplacer les deuxième et troisième phrases </w:t>
      </w:r>
      <w:r w:rsidRPr="009D7EFD">
        <w:rPr>
          <w:lang w:val="fr-FR"/>
        </w:rPr>
        <w:t>par : « Les dimensions minimales doivent être de 100 mm x 100 mm. Il doit y avoir une ligne à l’intérieur du carré qui doit être parallèle au bord de l’étiquette et située approximativement à 5 mm de distance de ce bord. »</w:t>
      </w:r>
    </w:p>
    <w:p w14:paraId="40ACC8CC" w14:textId="22E70C9A" w:rsidR="00196C06" w:rsidRPr="00826B2C" w:rsidRDefault="00196C06" w:rsidP="00196C06">
      <w:pPr>
        <w:pStyle w:val="SingleTxtG"/>
        <w:spacing w:before="120"/>
        <w:rPr>
          <w:lang w:val="fr-FR"/>
        </w:rPr>
      </w:pPr>
      <w:r w:rsidRPr="00826B2C">
        <w:rPr>
          <w:lang w:val="fr-FR"/>
        </w:rPr>
        <w:t>5.2.2.2.1.1.3</w:t>
      </w:r>
      <w:r w:rsidR="00844C40" w:rsidRPr="00826B2C">
        <w:rPr>
          <w:lang w:val="fr-FR"/>
        </w:rPr>
        <w:tab/>
      </w:r>
      <w:r w:rsidRPr="00826B2C">
        <w:rPr>
          <w:lang w:val="fr-FR"/>
        </w:rPr>
        <w:t>Dans la première phrase, après «</w:t>
      </w:r>
      <w:r w:rsidR="00844C40" w:rsidRPr="00826B2C">
        <w:rPr>
          <w:lang w:val="fr-FR"/>
        </w:rPr>
        <w:t> </w:t>
      </w:r>
      <w:r w:rsidRPr="00826B2C">
        <w:rPr>
          <w:lang w:val="fr-FR"/>
        </w:rPr>
        <w:t>peuvent être réduites</w:t>
      </w:r>
      <w:r w:rsidR="00844C40" w:rsidRPr="00826B2C">
        <w:rPr>
          <w:lang w:val="fr-FR"/>
        </w:rPr>
        <w:t> </w:t>
      </w:r>
      <w:r w:rsidRPr="00826B2C">
        <w:rPr>
          <w:lang w:val="fr-FR"/>
        </w:rPr>
        <w:t>» ajouter «</w:t>
      </w:r>
      <w:r w:rsidR="00844C40" w:rsidRPr="00826B2C">
        <w:rPr>
          <w:lang w:val="fr-FR"/>
        </w:rPr>
        <w:t> </w:t>
      </w:r>
      <w:r w:rsidRPr="00826B2C">
        <w:rPr>
          <w:lang w:val="fr-FR"/>
        </w:rPr>
        <w:t>proportionnellement</w:t>
      </w:r>
      <w:r w:rsidR="00844C40" w:rsidRPr="00826B2C">
        <w:rPr>
          <w:lang w:val="fr-FR"/>
        </w:rPr>
        <w:t> </w:t>
      </w:r>
      <w:r w:rsidRPr="00826B2C">
        <w:rPr>
          <w:lang w:val="fr-FR"/>
        </w:rPr>
        <w:t>». Supprimer les deuxième et troisième phrases («</w:t>
      </w:r>
      <w:r w:rsidR="00844C40" w:rsidRPr="00826B2C">
        <w:rPr>
          <w:lang w:val="fr-FR"/>
        </w:rPr>
        <w:t> </w:t>
      </w:r>
      <w:r w:rsidRPr="00826B2C">
        <w:rPr>
          <w:lang w:val="fr-FR"/>
        </w:rPr>
        <w:t>La ligne tracée à l’intérieur de l’étiquette doit rester à 5 mm du bord. L’épaisseur minimale de cette ligne doit rester de 2 mm.</w:t>
      </w:r>
      <w:r w:rsidR="00844C40" w:rsidRPr="00826B2C">
        <w:rPr>
          <w:lang w:val="fr-FR"/>
        </w:rPr>
        <w:t> </w:t>
      </w:r>
      <w:r w:rsidRPr="00826B2C">
        <w:rPr>
          <w:lang w:val="fr-FR"/>
        </w:rPr>
        <w:t>»).</w:t>
      </w:r>
    </w:p>
    <w:p w14:paraId="7C74B413" w14:textId="72DEB062" w:rsidR="00196C06" w:rsidRPr="00826B2C" w:rsidRDefault="00196C06" w:rsidP="00196C06">
      <w:pPr>
        <w:spacing w:before="120" w:after="120" w:line="240" w:lineRule="auto"/>
        <w:ind w:left="1134" w:right="1134"/>
        <w:jc w:val="both"/>
        <w:rPr>
          <w:i/>
          <w:iCs/>
          <w:lang w:val="fr-FR"/>
        </w:rPr>
      </w:pPr>
      <w:r w:rsidRPr="00826B2C">
        <w:rPr>
          <w:lang w:val="fr-FR"/>
        </w:rPr>
        <w:t xml:space="preserve">5.2.2.2.1.2 </w:t>
      </w:r>
      <w:r w:rsidRPr="00826B2C">
        <w:rPr>
          <w:lang w:val="fr-FR"/>
        </w:rPr>
        <w:tab/>
      </w:r>
      <w:r w:rsidR="00197D39" w:rsidRPr="00826B2C">
        <w:rPr>
          <w:lang w:val="fr-FR"/>
        </w:rPr>
        <w:t>Dans le premier paragraphe, modifier le titre de la norme « ISO 7225:2005 » pour lire «</w:t>
      </w:r>
      <w:r w:rsidR="00216BB6" w:rsidRPr="00826B2C">
        <w:rPr>
          <w:lang w:val="fr-FR"/>
        </w:rPr>
        <w:t> </w:t>
      </w:r>
      <w:r w:rsidR="00197D39" w:rsidRPr="00826B2C">
        <w:rPr>
          <w:lang w:val="fr-FR"/>
        </w:rPr>
        <w:t>"Bouteilles à gaz – Étiquettes informatives"</w:t>
      </w:r>
      <w:r w:rsidR="00216BB6" w:rsidRPr="00826B2C">
        <w:rPr>
          <w:lang w:val="fr-FR"/>
        </w:rPr>
        <w:t xml:space="preserve"> ». </w:t>
      </w:r>
      <w:r w:rsidR="00197D39" w:rsidRPr="00826B2C">
        <w:rPr>
          <w:lang w:val="fr-FR" w:eastAsia="en-GB"/>
        </w:rPr>
        <w:t>Le deuxième amendement ne s’applique pas au texte français.</w:t>
      </w:r>
    </w:p>
    <w:p w14:paraId="74747EA9" w14:textId="4B898BF8" w:rsidR="00196C06" w:rsidRPr="00826B2C" w:rsidRDefault="00196C06" w:rsidP="00196C06">
      <w:pPr>
        <w:spacing w:before="120" w:after="120" w:line="240" w:lineRule="auto"/>
        <w:ind w:left="1134" w:right="1134"/>
        <w:jc w:val="both"/>
        <w:rPr>
          <w:lang w:val="fr-FR"/>
        </w:rPr>
      </w:pPr>
      <w:r w:rsidRPr="00826B2C">
        <w:rPr>
          <w:lang w:val="fr-FR"/>
        </w:rPr>
        <w:t>5.2.2.2.1.3</w:t>
      </w:r>
      <w:r w:rsidRPr="00826B2C">
        <w:rPr>
          <w:lang w:val="fr-FR"/>
        </w:rPr>
        <w:tab/>
      </w:r>
      <w:r w:rsidR="00E60F18" w:rsidRPr="00826B2C">
        <w:rPr>
          <w:lang w:val="fr-FR"/>
        </w:rPr>
        <w:t>Dans le dernier paragraphe, remplacer « risque » par « danger ».</w:t>
      </w:r>
    </w:p>
    <w:p w14:paraId="71514F46" w14:textId="53879879" w:rsidR="00196C06" w:rsidRPr="00826B2C" w:rsidRDefault="00196C06" w:rsidP="00196C06">
      <w:pPr>
        <w:spacing w:before="120" w:after="120" w:line="240" w:lineRule="auto"/>
        <w:ind w:left="1134" w:right="1134"/>
        <w:jc w:val="both"/>
        <w:rPr>
          <w:lang w:val="fr-FR" w:eastAsia="en-GB"/>
        </w:rPr>
      </w:pPr>
      <w:r w:rsidRPr="00826B2C">
        <w:rPr>
          <w:lang w:val="fr-FR" w:eastAsia="en-GB"/>
        </w:rPr>
        <w:t>5.2.2.2.1.5</w:t>
      </w:r>
      <w:r w:rsidRPr="00826B2C">
        <w:rPr>
          <w:lang w:val="fr-FR" w:eastAsia="en-GB"/>
        </w:rPr>
        <w:tab/>
        <w:t>Remplacer «</w:t>
      </w:r>
      <w:r w:rsidR="00844C40" w:rsidRPr="00826B2C">
        <w:rPr>
          <w:lang w:val="fr-FR"/>
        </w:rPr>
        <w:t> </w:t>
      </w:r>
      <w:r w:rsidRPr="00826B2C">
        <w:rPr>
          <w:lang w:val="fr-FR" w:eastAsia="en-GB"/>
        </w:rPr>
        <w:t>risque</w:t>
      </w:r>
      <w:r w:rsidR="00844C40" w:rsidRPr="00826B2C">
        <w:rPr>
          <w:lang w:val="fr-FR"/>
        </w:rPr>
        <w:t> </w:t>
      </w:r>
      <w:r w:rsidRPr="00826B2C">
        <w:rPr>
          <w:lang w:val="fr-FR" w:eastAsia="en-GB"/>
        </w:rPr>
        <w:t>» par «</w:t>
      </w:r>
      <w:r w:rsidR="00844C40" w:rsidRPr="00826B2C">
        <w:rPr>
          <w:lang w:val="fr-FR"/>
        </w:rPr>
        <w:t> </w:t>
      </w:r>
      <w:r w:rsidRPr="00826B2C">
        <w:rPr>
          <w:lang w:val="fr-FR" w:eastAsia="en-GB"/>
        </w:rPr>
        <w:t>danger</w:t>
      </w:r>
      <w:r w:rsidR="00844C40" w:rsidRPr="00826B2C">
        <w:rPr>
          <w:lang w:val="fr-FR"/>
        </w:rPr>
        <w:t> </w:t>
      </w:r>
      <w:r w:rsidRPr="00826B2C">
        <w:rPr>
          <w:lang w:val="fr-FR" w:eastAsia="en-GB"/>
        </w:rPr>
        <w:t>».</w:t>
      </w:r>
    </w:p>
    <w:p w14:paraId="60CFE3BD" w14:textId="1770BCF1" w:rsidR="00196C06" w:rsidRPr="005953EF" w:rsidRDefault="00196C06" w:rsidP="00196C06">
      <w:pPr>
        <w:pStyle w:val="SingleTxtG"/>
        <w:rPr>
          <w:iCs/>
          <w:lang w:val="fr-FR"/>
        </w:rPr>
      </w:pPr>
      <w:r w:rsidRPr="005953EF">
        <w:rPr>
          <w:iCs/>
          <w:lang w:val="fr-FR"/>
        </w:rPr>
        <w:t>5.2.2.2.2</w:t>
      </w:r>
      <w:r w:rsidRPr="005953EF">
        <w:rPr>
          <w:iCs/>
          <w:lang w:val="fr-FR"/>
        </w:rPr>
        <w:tab/>
        <w:t>Modifier pour lire comme suit</w:t>
      </w:r>
      <w:r w:rsidR="00844C40" w:rsidRPr="005953EF">
        <w:rPr>
          <w:lang w:val="fr-FR"/>
        </w:rPr>
        <w:t> </w:t>
      </w:r>
      <w:r w:rsidRPr="005953EF">
        <w:rPr>
          <w:iCs/>
          <w:lang w:val="fr-FR"/>
        </w:rPr>
        <w:t>:</w:t>
      </w:r>
    </w:p>
    <w:p w14:paraId="2260A407" w14:textId="2E0DC169" w:rsidR="00196C06" w:rsidRPr="005953EF" w:rsidRDefault="00196C06" w:rsidP="00196C06">
      <w:pPr>
        <w:pStyle w:val="SingleTxtG"/>
        <w:rPr>
          <w:lang w:val="fr-FR"/>
        </w:rPr>
      </w:pPr>
      <w:r w:rsidRPr="005953EF">
        <w:rPr>
          <w:lang w:val="fr-FR"/>
        </w:rPr>
        <w:t>«</w:t>
      </w:r>
      <w:r w:rsidR="00844C40" w:rsidRPr="005953EF">
        <w:rPr>
          <w:lang w:val="fr-FR"/>
        </w:rPr>
        <w:t> </w:t>
      </w:r>
      <w:r w:rsidRPr="005953EF">
        <w:rPr>
          <w:lang w:val="fr-FR"/>
        </w:rPr>
        <w:t>5.2.2.2.2</w:t>
      </w:r>
      <w:r w:rsidRPr="005953EF">
        <w:rPr>
          <w:lang w:val="fr-FR"/>
        </w:rPr>
        <w:tab/>
      </w:r>
      <w:r w:rsidRPr="005953EF">
        <w:rPr>
          <w:i/>
          <w:lang w:val="fr-FR"/>
        </w:rPr>
        <w:t>Modèles d'étiquettes</w:t>
      </w:r>
    </w:p>
    <w:p w14:paraId="70815644" w14:textId="77777777" w:rsidR="00196C06" w:rsidRPr="005953EF" w:rsidRDefault="00196C06" w:rsidP="00196C06">
      <w:pPr>
        <w:pStyle w:val="SingleTxtG"/>
        <w:rPr>
          <w:b/>
          <w:lang w:val="fr-FR"/>
        </w:rPr>
        <w:sectPr w:rsidR="00196C06" w:rsidRPr="005953EF" w:rsidSect="001662B3">
          <w:headerReference w:type="even" r:id="rId29"/>
          <w:headerReference w:type="default" r:id="rId30"/>
          <w:footerReference w:type="even" r:id="rId31"/>
          <w:footerReference w:type="default" r:id="rId32"/>
          <w:endnotePr>
            <w:numFmt w:val="decimal"/>
          </w:endnotePr>
          <w:pgSz w:w="11907" w:h="16840" w:code="9"/>
          <w:pgMar w:top="1701" w:right="1134" w:bottom="2268" w:left="1134" w:header="1134" w:footer="1701" w:gutter="0"/>
          <w:cols w:space="720"/>
          <w:docGrid w:linePitch="272"/>
        </w:sect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4"/>
        <w:gridCol w:w="1069"/>
        <w:gridCol w:w="3140"/>
        <w:gridCol w:w="701"/>
        <w:gridCol w:w="1746"/>
        <w:gridCol w:w="1522"/>
        <w:gridCol w:w="3482"/>
      </w:tblGrid>
      <w:tr w:rsidR="00826B2C" w:rsidRPr="00154472" w14:paraId="4E01CF2D" w14:textId="77777777" w:rsidTr="00E871C8">
        <w:trPr>
          <w:cantSplit/>
          <w:trHeight w:val="658"/>
          <w:tblHeader/>
        </w:trPr>
        <w:tc>
          <w:tcPr>
            <w:tcW w:w="0" w:type="auto"/>
            <w:shd w:val="clear" w:color="auto" w:fill="auto"/>
            <w:vAlign w:val="center"/>
          </w:tcPr>
          <w:p w14:paraId="22CC75A7"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lastRenderedPageBreak/>
              <w:t>No du modèle d’étiquette</w:t>
            </w:r>
          </w:p>
        </w:tc>
        <w:tc>
          <w:tcPr>
            <w:tcW w:w="0" w:type="auto"/>
            <w:shd w:val="clear" w:color="auto" w:fill="auto"/>
            <w:vAlign w:val="center"/>
          </w:tcPr>
          <w:p w14:paraId="18CA5D3D"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0" w:type="auto"/>
            <w:shd w:val="clear" w:color="auto" w:fill="auto"/>
            <w:vAlign w:val="center"/>
          </w:tcPr>
          <w:p w14:paraId="2667B146"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Signe conventionnel et couleur du signe</w:t>
            </w:r>
          </w:p>
        </w:tc>
        <w:tc>
          <w:tcPr>
            <w:tcW w:w="0" w:type="auto"/>
            <w:shd w:val="clear" w:color="auto" w:fill="auto"/>
            <w:vAlign w:val="center"/>
          </w:tcPr>
          <w:p w14:paraId="7308822C"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Fond</w:t>
            </w:r>
          </w:p>
        </w:tc>
        <w:tc>
          <w:tcPr>
            <w:tcW w:w="0" w:type="auto"/>
            <w:shd w:val="clear" w:color="auto" w:fill="auto"/>
            <w:vAlign w:val="center"/>
          </w:tcPr>
          <w:p w14:paraId="2876D795"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Chiffre figurant dans le coin inférieur (et couleur du chiffre)</w:t>
            </w:r>
          </w:p>
        </w:tc>
        <w:tc>
          <w:tcPr>
            <w:tcW w:w="0" w:type="auto"/>
            <w:shd w:val="clear" w:color="auto" w:fill="auto"/>
            <w:vAlign w:val="center"/>
          </w:tcPr>
          <w:p w14:paraId="723943DF"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Modèles d’étiquettes</w:t>
            </w:r>
          </w:p>
        </w:tc>
        <w:tc>
          <w:tcPr>
            <w:tcW w:w="3482" w:type="dxa"/>
            <w:shd w:val="clear" w:color="auto" w:fill="auto"/>
            <w:vAlign w:val="center"/>
          </w:tcPr>
          <w:p w14:paraId="19EDAC90"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Nota</w:t>
            </w:r>
          </w:p>
        </w:tc>
      </w:tr>
      <w:tr w:rsidR="00826B2C" w:rsidRPr="00154472" w14:paraId="624847DB" w14:textId="77777777" w:rsidTr="00E871C8">
        <w:trPr>
          <w:cantSplit/>
          <w:tblHeader/>
        </w:trPr>
        <w:tc>
          <w:tcPr>
            <w:tcW w:w="12824" w:type="dxa"/>
            <w:gridSpan w:val="7"/>
            <w:shd w:val="clear" w:color="auto" w:fill="auto"/>
            <w:vAlign w:val="center"/>
          </w:tcPr>
          <w:p w14:paraId="3675DA66" w14:textId="00420363" w:rsidR="00826B2C" w:rsidRPr="00154472" w:rsidRDefault="00826B2C" w:rsidP="00E871C8">
            <w:pPr>
              <w:spacing w:before="40" w:after="80"/>
              <w:jc w:val="center"/>
              <w:textDirection w:val="tbLrV"/>
              <w:rPr>
                <w:b/>
                <w:sz w:val="18"/>
                <w:szCs w:val="18"/>
                <w:lang w:val="fr-FR"/>
              </w:rPr>
            </w:pPr>
            <w:r>
              <w:rPr>
                <w:b/>
                <w:sz w:val="18"/>
                <w:szCs w:val="18"/>
                <w:lang w:val="fr-FR"/>
              </w:rPr>
              <w:t>Danger de c</w:t>
            </w:r>
            <w:r w:rsidRPr="00154472">
              <w:rPr>
                <w:b/>
                <w:sz w:val="18"/>
                <w:szCs w:val="18"/>
                <w:lang w:val="fr-FR"/>
              </w:rPr>
              <w:t>lasse 1: Matières et objets explosibles</w:t>
            </w:r>
          </w:p>
        </w:tc>
      </w:tr>
      <w:tr w:rsidR="00826B2C" w:rsidRPr="00154472" w14:paraId="2781D0A0" w14:textId="77777777" w:rsidTr="00E871C8">
        <w:trPr>
          <w:cantSplit/>
        </w:trPr>
        <w:tc>
          <w:tcPr>
            <w:tcW w:w="0" w:type="auto"/>
            <w:shd w:val="clear" w:color="auto" w:fill="auto"/>
          </w:tcPr>
          <w:p w14:paraId="09F97D5F"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1</w:t>
            </w:r>
          </w:p>
        </w:tc>
        <w:tc>
          <w:tcPr>
            <w:tcW w:w="0" w:type="auto"/>
            <w:shd w:val="clear" w:color="auto" w:fill="auto"/>
          </w:tcPr>
          <w:p w14:paraId="434B4CB3"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Divisions 1.1, 1.2 et 1.3</w:t>
            </w:r>
          </w:p>
        </w:tc>
        <w:tc>
          <w:tcPr>
            <w:tcW w:w="0" w:type="auto"/>
            <w:shd w:val="clear" w:color="auto" w:fill="auto"/>
          </w:tcPr>
          <w:p w14:paraId="3ACA48CB"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Bombe explosant: noir</w:t>
            </w:r>
          </w:p>
        </w:tc>
        <w:tc>
          <w:tcPr>
            <w:tcW w:w="0" w:type="auto"/>
            <w:shd w:val="clear" w:color="auto" w:fill="auto"/>
          </w:tcPr>
          <w:p w14:paraId="7D575E72"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Orange</w:t>
            </w:r>
          </w:p>
        </w:tc>
        <w:tc>
          <w:tcPr>
            <w:tcW w:w="0" w:type="auto"/>
            <w:shd w:val="clear" w:color="auto" w:fill="auto"/>
          </w:tcPr>
          <w:p w14:paraId="1BCF3F4A" w14:textId="77777777" w:rsidR="00826B2C" w:rsidRPr="00154472" w:rsidRDefault="00826B2C" w:rsidP="00E871C8">
            <w:pPr>
              <w:spacing w:before="40" w:after="80" w:line="220" w:lineRule="exact"/>
              <w:jc w:val="center"/>
              <w:textDirection w:val="tbLrV"/>
              <w:rPr>
                <w:sz w:val="18"/>
                <w:szCs w:val="18"/>
                <w:lang w:val="fr-FR" w:eastAsia="ru-RU"/>
              </w:rPr>
            </w:pPr>
            <w:r w:rsidRPr="00154472">
              <w:rPr>
                <w:sz w:val="18"/>
                <w:szCs w:val="18"/>
                <w:lang w:val="fr-FR"/>
              </w:rPr>
              <w:t xml:space="preserve">1 </w:t>
            </w:r>
            <w:r w:rsidRPr="00154472">
              <w:rPr>
                <w:sz w:val="18"/>
                <w:szCs w:val="18"/>
                <w:lang w:val="fr-FR"/>
              </w:rPr>
              <w:br/>
              <w:t>(noir)</w:t>
            </w:r>
          </w:p>
        </w:tc>
        <w:tc>
          <w:tcPr>
            <w:tcW w:w="0" w:type="auto"/>
            <w:shd w:val="clear" w:color="auto" w:fill="auto"/>
            <w:vAlign w:val="center"/>
          </w:tcPr>
          <w:p w14:paraId="78BBC7BB" w14:textId="77777777" w:rsidR="00826B2C" w:rsidRPr="00154472" w:rsidRDefault="00826B2C" w:rsidP="00E871C8">
            <w:pPr>
              <w:spacing w:before="40" w:after="80" w:line="240" w:lineRule="auto"/>
              <w:ind w:right="115"/>
              <w:jc w:val="center"/>
              <w:rPr>
                <w:sz w:val="18"/>
                <w:szCs w:val="18"/>
                <w:lang w:val="fr-FR" w:eastAsia="ru-RU"/>
              </w:rPr>
            </w:pPr>
            <w:r w:rsidRPr="00154472">
              <w:rPr>
                <w:rFonts w:eastAsia="SimSun"/>
                <w:noProof/>
                <w:lang w:val="en-GB" w:eastAsia="en-GB"/>
              </w:rPr>
              <w:drawing>
                <wp:inline distT="0" distB="0" distL="0" distR="0" wp14:anchorId="55367CCE" wp14:editId="265EC8F3">
                  <wp:extent cx="828675" cy="828675"/>
                  <wp:effectExtent l="0" t="0" r="9525" b="9525"/>
                  <wp:docPr id="25" name="Picture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56EA4692" w14:textId="77777777" w:rsidR="00826B2C" w:rsidRPr="00154472" w:rsidRDefault="00826B2C" w:rsidP="00E871C8">
            <w:pPr>
              <w:tabs>
                <w:tab w:val="left" w:pos="368"/>
              </w:tabs>
              <w:spacing w:before="40" w:after="80" w:line="220" w:lineRule="exact"/>
              <w:ind w:left="28"/>
              <w:textDirection w:val="tbLrV"/>
              <w:rPr>
                <w:sz w:val="18"/>
                <w:szCs w:val="18"/>
                <w:lang w:val="fr-FR"/>
              </w:rPr>
            </w:pPr>
            <w:r w:rsidRPr="00154472">
              <w:rPr>
                <w:sz w:val="18"/>
                <w:szCs w:val="18"/>
                <w:vertAlign w:val="superscript"/>
                <w:lang w:val="fr-FR"/>
              </w:rPr>
              <w:sym w:font="Wingdings 2" w:char="F0D6"/>
            </w:r>
            <w:r w:rsidRPr="00154472">
              <w:rPr>
                <w:sz w:val="18"/>
                <w:szCs w:val="18"/>
                <w:vertAlign w:val="superscript"/>
                <w:lang w:val="fr-FR"/>
              </w:rPr>
              <w:sym w:font="Wingdings 2" w:char="F0D6"/>
            </w:r>
            <w:r w:rsidRPr="00154472">
              <w:rPr>
                <w:sz w:val="18"/>
                <w:szCs w:val="18"/>
                <w:lang w:val="fr-FR"/>
              </w:rPr>
              <w:t xml:space="preserve"> </w:t>
            </w:r>
            <w:r w:rsidRPr="00154472">
              <w:rPr>
                <w:lang w:val="fr-FR"/>
              </w:rPr>
              <w:tab/>
            </w:r>
            <w:r w:rsidRPr="00154472">
              <w:rPr>
                <w:sz w:val="18"/>
                <w:szCs w:val="18"/>
                <w:lang w:val="fr-FR"/>
              </w:rPr>
              <w:t>Indication de la division – à laisser en blanc si les propriétés explosives constituent le danger subsidiaire</w:t>
            </w:r>
          </w:p>
          <w:p w14:paraId="74A22FC5" w14:textId="77777777" w:rsidR="00826B2C" w:rsidRPr="00154472" w:rsidRDefault="00826B2C" w:rsidP="00E871C8">
            <w:pPr>
              <w:tabs>
                <w:tab w:val="left" w:pos="368"/>
              </w:tabs>
              <w:spacing w:before="40" w:after="80" w:line="220" w:lineRule="exact"/>
              <w:ind w:left="28"/>
              <w:textDirection w:val="tbLrV"/>
              <w:rPr>
                <w:sz w:val="18"/>
                <w:szCs w:val="18"/>
                <w:lang w:val="fr-FR"/>
              </w:rPr>
            </w:pPr>
            <w:r w:rsidRPr="00154472">
              <w:rPr>
                <w:sz w:val="18"/>
                <w:szCs w:val="18"/>
                <w:vertAlign w:val="superscript"/>
                <w:lang w:val="fr-FR"/>
              </w:rPr>
              <w:sym w:font="Wingdings 2" w:char="F0D6"/>
            </w:r>
            <w:r w:rsidRPr="00154472">
              <w:rPr>
                <w:lang w:val="fr-FR"/>
              </w:rPr>
              <w:tab/>
            </w:r>
            <w:r w:rsidRPr="00154472">
              <w:rPr>
                <w:sz w:val="18"/>
                <w:szCs w:val="18"/>
                <w:lang w:val="fr-FR"/>
              </w:rPr>
              <w:t>Indication du groupe de compatibilité – à laisser en blanc si les propriétés explosives constituent le danger subsidiaire</w:t>
            </w:r>
          </w:p>
          <w:p w14:paraId="0D0F8584" w14:textId="77777777" w:rsidR="00826B2C" w:rsidRPr="00154472" w:rsidRDefault="00826B2C" w:rsidP="00E871C8">
            <w:pPr>
              <w:spacing w:before="40" w:after="80" w:line="220" w:lineRule="exact"/>
              <w:ind w:hanging="326"/>
              <w:rPr>
                <w:sz w:val="18"/>
                <w:szCs w:val="18"/>
                <w:lang w:val="fr-FR" w:eastAsia="ru-RU"/>
              </w:rPr>
            </w:pPr>
          </w:p>
        </w:tc>
      </w:tr>
      <w:tr w:rsidR="00826B2C" w:rsidRPr="00154472" w14:paraId="69759AE6" w14:textId="77777777" w:rsidTr="00E871C8">
        <w:trPr>
          <w:cantSplit/>
        </w:trPr>
        <w:tc>
          <w:tcPr>
            <w:tcW w:w="0" w:type="auto"/>
            <w:shd w:val="clear" w:color="auto" w:fill="auto"/>
          </w:tcPr>
          <w:p w14:paraId="3A2D6264"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1.4</w:t>
            </w:r>
          </w:p>
        </w:tc>
        <w:tc>
          <w:tcPr>
            <w:tcW w:w="0" w:type="auto"/>
            <w:shd w:val="clear" w:color="auto" w:fill="auto"/>
          </w:tcPr>
          <w:p w14:paraId="7A246F1D"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Division 1.4</w:t>
            </w:r>
          </w:p>
        </w:tc>
        <w:tc>
          <w:tcPr>
            <w:tcW w:w="0" w:type="auto"/>
            <w:shd w:val="clear" w:color="auto" w:fill="auto"/>
          </w:tcPr>
          <w:p w14:paraId="62C7B51A"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1.4: noir</w:t>
            </w:r>
          </w:p>
          <w:p w14:paraId="227B932B"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 xml:space="preserve">Les chiffres doivent mesurer environ 30 mm de haut et 5 mm d’épaisseur (pour une étiquette de </w:t>
            </w:r>
            <w:r w:rsidRPr="00154472">
              <w:rPr>
                <w:spacing w:val="-4"/>
                <w:sz w:val="18"/>
                <w:szCs w:val="18"/>
                <w:lang w:val="fr-FR"/>
              </w:rPr>
              <w:t>100 mm x 100 mm)</w:t>
            </w:r>
          </w:p>
        </w:tc>
        <w:tc>
          <w:tcPr>
            <w:tcW w:w="0" w:type="auto"/>
            <w:shd w:val="clear" w:color="auto" w:fill="auto"/>
          </w:tcPr>
          <w:p w14:paraId="79C9A199"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Orange</w:t>
            </w:r>
          </w:p>
        </w:tc>
        <w:tc>
          <w:tcPr>
            <w:tcW w:w="0" w:type="auto"/>
            <w:shd w:val="clear" w:color="auto" w:fill="auto"/>
          </w:tcPr>
          <w:p w14:paraId="474967A3" w14:textId="77777777" w:rsidR="00826B2C" w:rsidRPr="00154472" w:rsidRDefault="00826B2C" w:rsidP="00E871C8">
            <w:pPr>
              <w:spacing w:before="40" w:after="80" w:line="220" w:lineRule="exact"/>
              <w:jc w:val="center"/>
              <w:textDirection w:val="tbLrV"/>
              <w:rPr>
                <w:sz w:val="18"/>
                <w:szCs w:val="18"/>
                <w:lang w:val="fr-FR" w:eastAsia="ru-RU"/>
              </w:rPr>
            </w:pPr>
            <w:r w:rsidRPr="00154472">
              <w:rPr>
                <w:sz w:val="18"/>
                <w:szCs w:val="18"/>
                <w:lang w:val="fr-FR"/>
              </w:rPr>
              <w:t xml:space="preserve">1 </w:t>
            </w:r>
            <w:r w:rsidRPr="00154472">
              <w:rPr>
                <w:sz w:val="18"/>
                <w:szCs w:val="18"/>
                <w:lang w:val="fr-FR"/>
              </w:rPr>
              <w:br/>
              <w:t>(noir)</w:t>
            </w:r>
          </w:p>
        </w:tc>
        <w:tc>
          <w:tcPr>
            <w:tcW w:w="0" w:type="auto"/>
            <w:shd w:val="clear" w:color="auto" w:fill="auto"/>
            <w:vAlign w:val="center"/>
          </w:tcPr>
          <w:p w14:paraId="6619B832" w14:textId="77777777" w:rsidR="00826B2C" w:rsidRPr="00154472" w:rsidRDefault="00826B2C" w:rsidP="00E871C8">
            <w:pPr>
              <w:spacing w:before="40" w:after="80" w:line="240" w:lineRule="auto"/>
              <w:ind w:right="115"/>
              <w:jc w:val="center"/>
              <w:rPr>
                <w:sz w:val="18"/>
                <w:szCs w:val="18"/>
                <w:lang w:val="fr-FR" w:eastAsia="ru-RU"/>
              </w:rPr>
            </w:pPr>
            <w:r w:rsidRPr="00154472">
              <w:rPr>
                <w:rFonts w:eastAsia="SimSun"/>
                <w:noProof/>
                <w:lang w:val="en-GB" w:eastAsia="en-GB"/>
              </w:rPr>
              <w:drawing>
                <wp:inline distT="0" distB="0" distL="0" distR="0" wp14:anchorId="1D4FCB26" wp14:editId="1931457A">
                  <wp:extent cx="828675" cy="828675"/>
                  <wp:effectExtent l="0" t="0" r="9525" b="9525"/>
                  <wp:docPr id="26" name="Picture 2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03BC4A28" w14:textId="77777777" w:rsidR="00826B2C" w:rsidRPr="00154472" w:rsidRDefault="00826B2C" w:rsidP="00E871C8">
            <w:pPr>
              <w:tabs>
                <w:tab w:val="left" w:pos="368"/>
              </w:tabs>
              <w:spacing w:before="40" w:after="80" w:line="220" w:lineRule="exact"/>
              <w:ind w:left="28"/>
              <w:textDirection w:val="tbLrV"/>
              <w:rPr>
                <w:sz w:val="18"/>
                <w:szCs w:val="18"/>
                <w:vertAlign w:val="superscript"/>
                <w:lang w:val="fr-FR"/>
              </w:rPr>
            </w:pPr>
            <w:r w:rsidRPr="00154472">
              <w:rPr>
                <w:sz w:val="18"/>
                <w:szCs w:val="18"/>
                <w:vertAlign w:val="superscript"/>
                <w:lang w:val="fr-FR"/>
              </w:rPr>
              <w:sym w:font="Wingdings 2" w:char="F0D6"/>
            </w:r>
            <w:r w:rsidRPr="00154472">
              <w:rPr>
                <w:sz w:val="18"/>
                <w:szCs w:val="18"/>
                <w:vertAlign w:val="superscript"/>
                <w:lang w:val="fr-FR"/>
              </w:rPr>
              <w:tab/>
            </w:r>
            <w:r w:rsidRPr="00154472">
              <w:rPr>
                <w:sz w:val="18"/>
                <w:szCs w:val="18"/>
                <w:lang w:val="fr-FR"/>
              </w:rPr>
              <w:t xml:space="preserve">Indication du groupe de compatibilité </w:t>
            </w:r>
          </w:p>
        </w:tc>
      </w:tr>
      <w:tr w:rsidR="00826B2C" w:rsidRPr="00154472" w14:paraId="1D42AF49" w14:textId="77777777" w:rsidTr="00E871C8">
        <w:trPr>
          <w:cantSplit/>
        </w:trPr>
        <w:tc>
          <w:tcPr>
            <w:tcW w:w="0" w:type="auto"/>
            <w:shd w:val="clear" w:color="auto" w:fill="auto"/>
          </w:tcPr>
          <w:p w14:paraId="5FC45680" w14:textId="77777777" w:rsidR="00826B2C" w:rsidRPr="00154472" w:rsidRDefault="00826B2C" w:rsidP="00E871C8">
            <w:pPr>
              <w:spacing w:before="40" w:after="80" w:line="220" w:lineRule="exact"/>
              <w:ind w:right="115"/>
              <w:jc w:val="center"/>
              <w:textDirection w:val="tbLrV"/>
              <w:rPr>
                <w:sz w:val="18"/>
                <w:szCs w:val="18"/>
                <w:lang w:val="fr-FR"/>
              </w:rPr>
            </w:pPr>
            <w:r w:rsidRPr="00154472">
              <w:rPr>
                <w:sz w:val="18"/>
                <w:szCs w:val="18"/>
                <w:lang w:val="fr-FR"/>
              </w:rPr>
              <w:t>1.5</w:t>
            </w:r>
          </w:p>
        </w:tc>
        <w:tc>
          <w:tcPr>
            <w:tcW w:w="0" w:type="auto"/>
            <w:shd w:val="clear" w:color="auto" w:fill="auto"/>
          </w:tcPr>
          <w:p w14:paraId="0A374A64" w14:textId="77777777" w:rsidR="00826B2C" w:rsidRPr="00154472" w:rsidRDefault="00826B2C" w:rsidP="00E871C8">
            <w:pPr>
              <w:spacing w:before="40" w:after="80" w:line="220" w:lineRule="exact"/>
              <w:ind w:right="115"/>
              <w:jc w:val="center"/>
              <w:textDirection w:val="tbLrV"/>
              <w:rPr>
                <w:sz w:val="18"/>
                <w:szCs w:val="18"/>
                <w:lang w:val="fr-FR"/>
              </w:rPr>
            </w:pPr>
            <w:r w:rsidRPr="00154472">
              <w:rPr>
                <w:sz w:val="18"/>
                <w:szCs w:val="18"/>
                <w:lang w:val="fr-FR"/>
              </w:rPr>
              <w:t>Division 1.5</w:t>
            </w:r>
          </w:p>
        </w:tc>
        <w:tc>
          <w:tcPr>
            <w:tcW w:w="0" w:type="auto"/>
            <w:shd w:val="clear" w:color="auto" w:fill="auto"/>
          </w:tcPr>
          <w:p w14:paraId="062D824C"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1.5: noir</w:t>
            </w:r>
          </w:p>
          <w:p w14:paraId="1AEC5848"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Les chiffres doivent mesurer environ 30 mm de haut et 5 mm d’épaisseur (pour une étiquette de 100 mm x 100 mm)</w:t>
            </w:r>
          </w:p>
        </w:tc>
        <w:tc>
          <w:tcPr>
            <w:tcW w:w="0" w:type="auto"/>
            <w:shd w:val="clear" w:color="auto" w:fill="auto"/>
          </w:tcPr>
          <w:p w14:paraId="78037E3F" w14:textId="77777777" w:rsidR="00826B2C" w:rsidRPr="00154472" w:rsidRDefault="00826B2C" w:rsidP="00E871C8">
            <w:pPr>
              <w:spacing w:before="40" w:after="80" w:line="220" w:lineRule="exact"/>
              <w:ind w:right="115"/>
              <w:jc w:val="center"/>
              <w:textDirection w:val="tbLrV"/>
              <w:rPr>
                <w:sz w:val="18"/>
                <w:szCs w:val="18"/>
                <w:lang w:val="fr-FR"/>
              </w:rPr>
            </w:pPr>
            <w:r w:rsidRPr="00154472">
              <w:rPr>
                <w:sz w:val="18"/>
                <w:szCs w:val="18"/>
                <w:lang w:val="fr-FR"/>
              </w:rPr>
              <w:t>Orange</w:t>
            </w:r>
          </w:p>
        </w:tc>
        <w:tc>
          <w:tcPr>
            <w:tcW w:w="0" w:type="auto"/>
            <w:shd w:val="clear" w:color="auto" w:fill="auto"/>
          </w:tcPr>
          <w:p w14:paraId="390F2AA7" w14:textId="77777777" w:rsidR="00826B2C" w:rsidRPr="00154472" w:rsidRDefault="00826B2C" w:rsidP="00E871C8">
            <w:pPr>
              <w:spacing w:before="40" w:after="80" w:line="220" w:lineRule="exact"/>
              <w:ind w:right="115"/>
              <w:jc w:val="center"/>
              <w:textDirection w:val="tbLrV"/>
              <w:rPr>
                <w:sz w:val="18"/>
                <w:szCs w:val="18"/>
                <w:lang w:val="fr-FR" w:eastAsia="ru-RU"/>
              </w:rPr>
            </w:pPr>
            <w:r w:rsidRPr="00154472">
              <w:rPr>
                <w:sz w:val="18"/>
                <w:szCs w:val="18"/>
                <w:lang w:val="fr-FR"/>
              </w:rPr>
              <w:t xml:space="preserve">1 </w:t>
            </w:r>
            <w:r w:rsidRPr="00154472">
              <w:rPr>
                <w:sz w:val="18"/>
                <w:szCs w:val="18"/>
                <w:lang w:val="fr-FR"/>
              </w:rPr>
              <w:br/>
              <w:t>(noir)</w:t>
            </w:r>
          </w:p>
        </w:tc>
        <w:tc>
          <w:tcPr>
            <w:tcW w:w="0" w:type="auto"/>
            <w:shd w:val="clear" w:color="auto" w:fill="auto"/>
            <w:vAlign w:val="center"/>
          </w:tcPr>
          <w:p w14:paraId="15E41493" w14:textId="77777777" w:rsidR="00826B2C" w:rsidRPr="00154472" w:rsidRDefault="00826B2C" w:rsidP="00E871C8">
            <w:pPr>
              <w:spacing w:before="40" w:after="80" w:line="240" w:lineRule="auto"/>
              <w:ind w:right="115"/>
              <w:jc w:val="center"/>
              <w:rPr>
                <w:sz w:val="18"/>
                <w:szCs w:val="18"/>
                <w:lang w:val="fr-FR" w:eastAsia="ru-RU"/>
              </w:rPr>
            </w:pPr>
            <w:r w:rsidRPr="00154472">
              <w:rPr>
                <w:rFonts w:eastAsia="SimSun"/>
                <w:noProof/>
                <w:lang w:val="en-GB" w:eastAsia="en-GB"/>
              </w:rPr>
              <w:drawing>
                <wp:inline distT="0" distB="0" distL="0" distR="0" wp14:anchorId="1243168A" wp14:editId="32C46EF8">
                  <wp:extent cx="828675" cy="828675"/>
                  <wp:effectExtent l="0" t="0" r="9525" b="9525"/>
                  <wp:docPr id="27" name="Picture 2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69F5FEF3" w14:textId="77777777" w:rsidR="00826B2C" w:rsidRPr="00154472" w:rsidRDefault="00826B2C" w:rsidP="00E871C8">
            <w:pPr>
              <w:tabs>
                <w:tab w:val="left" w:pos="368"/>
              </w:tabs>
              <w:spacing w:before="40" w:after="80" w:line="220" w:lineRule="exact"/>
              <w:ind w:left="28"/>
              <w:textDirection w:val="tbLrV"/>
              <w:rPr>
                <w:sz w:val="18"/>
                <w:szCs w:val="18"/>
                <w:vertAlign w:val="superscript"/>
                <w:lang w:val="fr-FR"/>
              </w:rPr>
            </w:pPr>
            <w:r w:rsidRPr="00154472">
              <w:rPr>
                <w:sz w:val="18"/>
                <w:szCs w:val="18"/>
                <w:vertAlign w:val="superscript"/>
                <w:lang w:val="fr-FR"/>
              </w:rPr>
              <w:sym w:font="Wingdings 2" w:char="F0D6"/>
            </w:r>
            <w:r w:rsidRPr="00154472">
              <w:rPr>
                <w:sz w:val="18"/>
                <w:szCs w:val="18"/>
                <w:vertAlign w:val="superscript"/>
                <w:lang w:val="fr-FR"/>
              </w:rPr>
              <w:tab/>
            </w:r>
            <w:r w:rsidRPr="00154472">
              <w:rPr>
                <w:sz w:val="18"/>
                <w:szCs w:val="18"/>
                <w:lang w:val="fr-FR"/>
              </w:rPr>
              <w:t>Indication du groupe de compatibilité</w:t>
            </w:r>
            <w:r w:rsidRPr="00154472">
              <w:rPr>
                <w:sz w:val="18"/>
                <w:szCs w:val="18"/>
                <w:vertAlign w:val="superscript"/>
                <w:lang w:val="fr-FR"/>
              </w:rPr>
              <w:t xml:space="preserve"> </w:t>
            </w:r>
          </w:p>
        </w:tc>
      </w:tr>
      <w:tr w:rsidR="00826B2C" w:rsidRPr="00154472" w14:paraId="2743C121" w14:textId="77777777" w:rsidTr="00E871C8">
        <w:trPr>
          <w:cantSplit/>
          <w:trHeight w:val="1648"/>
        </w:trPr>
        <w:tc>
          <w:tcPr>
            <w:tcW w:w="0" w:type="auto"/>
            <w:shd w:val="clear" w:color="auto" w:fill="auto"/>
          </w:tcPr>
          <w:p w14:paraId="224B326D" w14:textId="77777777" w:rsidR="00826B2C" w:rsidRPr="00154472" w:rsidRDefault="00826B2C" w:rsidP="00E871C8">
            <w:pPr>
              <w:spacing w:before="40" w:after="80" w:line="220" w:lineRule="exact"/>
              <w:ind w:right="115"/>
              <w:jc w:val="center"/>
              <w:textDirection w:val="tbLrV"/>
              <w:rPr>
                <w:sz w:val="18"/>
                <w:szCs w:val="18"/>
                <w:lang w:val="fr-FR"/>
              </w:rPr>
            </w:pPr>
            <w:r w:rsidRPr="00154472">
              <w:rPr>
                <w:sz w:val="18"/>
                <w:szCs w:val="18"/>
                <w:lang w:val="fr-FR"/>
              </w:rPr>
              <w:t>1.6</w:t>
            </w:r>
          </w:p>
        </w:tc>
        <w:tc>
          <w:tcPr>
            <w:tcW w:w="0" w:type="auto"/>
            <w:shd w:val="clear" w:color="auto" w:fill="auto"/>
          </w:tcPr>
          <w:p w14:paraId="39DA4E33" w14:textId="77777777" w:rsidR="00826B2C" w:rsidRPr="00154472" w:rsidRDefault="00826B2C" w:rsidP="00E871C8">
            <w:pPr>
              <w:spacing w:before="40" w:after="80" w:line="220" w:lineRule="exact"/>
              <w:ind w:right="115"/>
              <w:jc w:val="center"/>
              <w:textDirection w:val="tbLrV"/>
              <w:rPr>
                <w:sz w:val="18"/>
                <w:szCs w:val="18"/>
                <w:lang w:val="fr-FR"/>
              </w:rPr>
            </w:pPr>
            <w:r w:rsidRPr="00154472">
              <w:rPr>
                <w:sz w:val="18"/>
                <w:szCs w:val="18"/>
                <w:lang w:val="fr-FR"/>
              </w:rPr>
              <w:t>Division 1.6</w:t>
            </w:r>
          </w:p>
        </w:tc>
        <w:tc>
          <w:tcPr>
            <w:tcW w:w="0" w:type="auto"/>
            <w:shd w:val="clear" w:color="auto" w:fill="auto"/>
          </w:tcPr>
          <w:p w14:paraId="06F6C2C3" w14:textId="77777777" w:rsidR="00826B2C" w:rsidRPr="00154472" w:rsidRDefault="00826B2C" w:rsidP="00E871C8">
            <w:pPr>
              <w:spacing w:before="40" w:after="80" w:line="220" w:lineRule="exact"/>
              <w:ind w:right="115"/>
              <w:jc w:val="center"/>
              <w:textDirection w:val="tbLrV"/>
              <w:rPr>
                <w:sz w:val="18"/>
                <w:szCs w:val="18"/>
                <w:lang w:val="fr-FR"/>
              </w:rPr>
            </w:pPr>
            <w:r w:rsidRPr="00154472">
              <w:rPr>
                <w:sz w:val="18"/>
                <w:szCs w:val="18"/>
                <w:lang w:val="fr-FR"/>
              </w:rPr>
              <w:t>1.6: noir</w:t>
            </w:r>
          </w:p>
          <w:p w14:paraId="439A6A36"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Les chiffres doivent mesurer environ 30 mm de haut et 5 mm d’épaisseur (pour une étiquette de 100 mm x 100 mm)</w:t>
            </w:r>
          </w:p>
        </w:tc>
        <w:tc>
          <w:tcPr>
            <w:tcW w:w="0" w:type="auto"/>
            <w:shd w:val="clear" w:color="auto" w:fill="auto"/>
          </w:tcPr>
          <w:p w14:paraId="15E97C60" w14:textId="77777777" w:rsidR="00826B2C" w:rsidRPr="00154472" w:rsidRDefault="00826B2C" w:rsidP="00E871C8">
            <w:pPr>
              <w:spacing w:before="40" w:after="80" w:line="220" w:lineRule="exact"/>
              <w:ind w:right="115"/>
              <w:jc w:val="center"/>
              <w:textDirection w:val="tbLrV"/>
              <w:rPr>
                <w:sz w:val="18"/>
                <w:szCs w:val="18"/>
                <w:lang w:val="fr-FR"/>
              </w:rPr>
            </w:pPr>
            <w:r w:rsidRPr="00154472">
              <w:rPr>
                <w:sz w:val="18"/>
                <w:szCs w:val="18"/>
                <w:lang w:val="fr-FR"/>
              </w:rPr>
              <w:t>Orange</w:t>
            </w:r>
          </w:p>
        </w:tc>
        <w:tc>
          <w:tcPr>
            <w:tcW w:w="0" w:type="auto"/>
            <w:shd w:val="clear" w:color="auto" w:fill="auto"/>
          </w:tcPr>
          <w:p w14:paraId="395531C9" w14:textId="77777777" w:rsidR="00826B2C" w:rsidRPr="00154472" w:rsidRDefault="00826B2C" w:rsidP="00E871C8">
            <w:pPr>
              <w:spacing w:before="40" w:after="80" w:line="220" w:lineRule="exact"/>
              <w:ind w:right="115"/>
              <w:jc w:val="center"/>
              <w:textDirection w:val="tbLrV"/>
              <w:rPr>
                <w:sz w:val="18"/>
                <w:szCs w:val="18"/>
                <w:lang w:val="fr-FR" w:eastAsia="ru-RU"/>
              </w:rPr>
            </w:pPr>
            <w:r w:rsidRPr="00154472">
              <w:rPr>
                <w:sz w:val="18"/>
                <w:szCs w:val="18"/>
                <w:lang w:val="fr-FR"/>
              </w:rPr>
              <w:t xml:space="preserve">1 </w:t>
            </w:r>
            <w:r w:rsidRPr="00154472">
              <w:rPr>
                <w:sz w:val="18"/>
                <w:szCs w:val="18"/>
                <w:lang w:val="fr-FR"/>
              </w:rPr>
              <w:br/>
              <w:t>(noir)</w:t>
            </w:r>
          </w:p>
        </w:tc>
        <w:tc>
          <w:tcPr>
            <w:tcW w:w="0" w:type="auto"/>
            <w:shd w:val="clear" w:color="auto" w:fill="auto"/>
            <w:vAlign w:val="center"/>
          </w:tcPr>
          <w:p w14:paraId="1463CDBB" w14:textId="77777777" w:rsidR="00826B2C" w:rsidRPr="00154472" w:rsidRDefault="00826B2C" w:rsidP="00E871C8">
            <w:pPr>
              <w:spacing w:before="40" w:after="80" w:line="240" w:lineRule="auto"/>
              <w:ind w:right="115"/>
              <w:jc w:val="center"/>
              <w:rPr>
                <w:sz w:val="18"/>
                <w:szCs w:val="18"/>
                <w:lang w:val="fr-FR" w:eastAsia="ru-RU"/>
              </w:rPr>
            </w:pPr>
            <w:r w:rsidRPr="00154472">
              <w:rPr>
                <w:rFonts w:eastAsia="SimSun"/>
                <w:noProof/>
                <w:lang w:val="en-GB" w:eastAsia="en-GB"/>
              </w:rPr>
              <w:drawing>
                <wp:inline distT="0" distB="0" distL="0" distR="0" wp14:anchorId="34E1FAD5" wp14:editId="5C6095F1">
                  <wp:extent cx="828675" cy="828675"/>
                  <wp:effectExtent l="0" t="0" r="9525" b="9525"/>
                  <wp:docPr id="28" name="Picture 2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53D82D03" w14:textId="77777777" w:rsidR="00826B2C" w:rsidRPr="00154472" w:rsidRDefault="00826B2C" w:rsidP="00E871C8">
            <w:pPr>
              <w:spacing w:before="40" w:after="80" w:line="220" w:lineRule="exact"/>
              <w:ind w:right="115"/>
              <w:textDirection w:val="tbLrV"/>
              <w:rPr>
                <w:sz w:val="18"/>
                <w:szCs w:val="18"/>
                <w:lang w:val="fr-FR"/>
              </w:rPr>
            </w:pPr>
            <w:r w:rsidRPr="00154472">
              <w:rPr>
                <w:b/>
                <w:sz w:val="18"/>
                <w:szCs w:val="18"/>
                <w:vertAlign w:val="superscript"/>
                <w:lang w:val="fr-FR"/>
              </w:rPr>
              <w:sym w:font="Wingdings 2" w:char="F0D6"/>
            </w:r>
            <w:r w:rsidRPr="00154472">
              <w:rPr>
                <w:lang w:val="fr-FR"/>
              </w:rPr>
              <w:tab/>
            </w:r>
            <w:r w:rsidRPr="00154472">
              <w:rPr>
                <w:sz w:val="18"/>
                <w:szCs w:val="18"/>
                <w:lang w:val="fr-FR"/>
              </w:rPr>
              <w:t xml:space="preserve">Indication du groupe de compatibilité </w:t>
            </w:r>
          </w:p>
        </w:tc>
      </w:tr>
    </w:tbl>
    <w:p w14:paraId="6D54DE2F" w14:textId="77777777" w:rsidR="00826B2C" w:rsidRPr="00154472" w:rsidRDefault="00826B2C" w:rsidP="00826B2C">
      <w:pPr>
        <w:pStyle w:val="SingleTxt"/>
        <w:rPr>
          <w:lang w:val="fr-FR"/>
        </w:rPr>
      </w:pPr>
    </w:p>
    <w:p w14:paraId="6BDCB10D" w14:textId="77777777" w:rsidR="00826B2C" w:rsidRPr="00154472" w:rsidRDefault="00826B2C" w:rsidP="00826B2C">
      <w:pPr>
        <w:spacing w:line="240" w:lineRule="auto"/>
        <w:rPr>
          <w:lang w:val="fr-FR"/>
        </w:rPr>
      </w:pPr>
      <w:r w:rsidRPr="00154472">
        <w:rPr>
          <w:lang w:val="fr-FR"/>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9"/>
        <w:gridCol w:w="2090"/>
        <w:gridCol w:w="1872"/>
        <w:gridCol w:w="569"/>
        <w:gridCol w:w="1898"/>
        <w:gridCol w:w="2402"/>
        <w:gridCol w:w="1419"/>
        <w:gridCol w:w="1275"/>
      </w:tblGrid>
      <w:tr w:rsidR="00826B2C" w:rsidRPr="00154472" w14:paraId="661A18B5" w14:textId="77777777" w:rsidTr="00E871C8">
        <w:trPr>
          <w:cantSplit/>
        </w:trPr>
        <w:tc>
          <w:tcPr>
            <w:tcW w:w="0" w:type="auto"/>
            <w:shd w:val="clear" w:color="auto" w:fill="auto"/>
            <w:vAlign w:val="center"/>
          </w:tcPr>
          <w:p w14:paraId="0C8122DB"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lastRenderedPageBreak/>
              <w:t>No du modèle d’étiquette</w:t>
            </w:r>
          </w:p>
        </w:tc>
        <w:tc>
          <w:tcPr>
            <w:tcW w:w="0" w:type="auto"/>
            <w:shd w:val="clear" w:color="auto" w:fill="auto"/>
            <w:vAlign w:val="center"/>
          </w:tcPr>
          <w:p w14:paraId="5122EB06"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0" w:type="auto"/>
            <w:shd w:val="clear" w:color="auto" w:fill="auto"/>
            <w:vAlign w:val="center"/>
          </w:tcPr>
          <w:p w14:paraId="439F1940"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Signe conventionnel et couleur du signe</w:t>
            </w:r>
          </w:p>
        </w:tc>
        <w:tc>
          <w:tcPr>
            <w:tcW w:w="0" w:type="auto"/>
            <w:shd w:val="clear" w:color="auto" w:fill="auto"/>
            <w:vAlign w:val="center"/>
          </w:tcPr>
          <w:p w14:paraId="49987E72"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Fond</w:t>
            </w:r>
          </w:p>
        </w:tc>
        <w:tc>
          <w:tcPr>
            <w:tcW w:w="1898" w:type="dxa"/>
            <w:shd w:val="clear" w:color="auto" w:fill="auto"/>
            <w:vAlign w:val="center"/>
          </w:tcPr>
          <w:p w14:paraId="7A37BF37"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Chiffre figurant dans le coin inférieur (et couleur du chiffre)</w:t>
            </w:r>
          </w:p>
        </w:tc>
        <w:tc>
          <w:tcPr>
            <w:tcW w:w="2977" w:type="dxa"/>
            <w:gridSpan w:val="2"/>
            <w:shd w:val="clear" w:color="auto" w:fill="auto"/>
            <w:vAlign w:val="center"/>
          </w:tcPr>
          <w:p w14:paraId="47AF9F16"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Modèles d’étiquettes</w:t>
            </w:r>
          </w:p>
        </w:tc>
        <w:tc>
          <w:tcPr>
            <w:tcW w:w="1275" w:type="dxa"/>
            <w:shd w:val="clear" w:color="auto" w:fill="auto"/>
            <w:vAlign w:val="center"/>
          </w:tcPr>
          <w:p w14:paraId="3776DD71"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Nota</w:t>
            </w:r>
          </w:p>
        </w:tc>
      </w:tr>
      <w:tr w:rsidR="00826B2C" w:rsidRPr="00154472" w14:paraId="3FA590F1" w14:textId="77777777" w:rsidTr="00E871C8">
        <w:trPr>
          <w:cantSplit/>
        </w:trPr>
        <w:tc>
          <w:tcPr>
            <w:tcW w:w="0" w:type="auto"/>
            <w:gridSpan w:val="8"/>
            <w:shd w:val="clear" w:color="auto" w:fill="auto"/>
            <w:vAlign w:val="center"/>
          </w:tcPr>
          <w:p w14:paraId="1232BDBC" w14:textId="7F88A9E1" w:rsidR="00826B2C" w:rsidRPr="00154472" w:rsidRDefault="00826B2C" w:rsidP="00E871C8">
            <w:pPr>
              <w:spacing w:before="40" w:after="80"/>
              <w:ind w:right="43"/>
              <w:jc w:val="center"/>
              <w:textDirection w:val="tbLrV"/>
              <w:rPr>
                <w:b/>
                <w:sz w:val="18"/>
                <w:szCs w:val="18"/>
                <w:lang w:val="fr-FR"/>
              </w:rPr>
            </w:pPr>
            <w:r>
              <w:rPr>
                <w:b/>
                <w:sz w:val="18"/>
                <w:szCs w:val="18"/>
                <w:lang w:val="fr-FR"/>
              </w:rPr>
              <w:t>Danger de c</w:t>
            </w:r>
            <w:r w:rsidRPr="00154472">
              <w:rPr>
                <w:b/>
                <w:sz w:val="18"/>
                <w:szCs w:val="18"/>
                <w:lang w:val="fr-FR"/>
              </w:rPr>
              <w:t>lasse 2: Gaz</w:t>
            </w:r>
          </w:p>
        </w:tc>
      </w:tr>
      <w:tr w:rsidR="00826B2C" w:rsidRPr="00154472" w14:paraId="5ABFBD2D" w14:textId="77777777" w:rsidTr="00E871C8">
        <w:trPr>
          <w:cantSplit/>
        </w:trPr>
        <w:tc>
          <w:tcPr>
            <w:tcW w:w="0" w:type="auto"/>
            <w:shd w:val="clear" w:color="auto" w:fill="auto"/>
          </w:tcPr>
          <w:p w14:paraId="4DB63781"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2.1</w:t>
            </w:r>
          </w:p>
        </w:tc>
        <w:tc>
          <w:tcPr>
            <w:tcW w:w="0" w:type="auto"/>
            <w:shd w:val="clear" w:color="auto" w:fill="auto"/>
          </w:tcPr>
          <w:p w14:paraId="627C346A"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Gaz inflammables (sauf selon 5.2.2.2.1.6 d))</w:t>
            </w:r>
          </w:p>
        </w:tc>
        <w:tc>
          <w:tcPr>
            <w:tcW w:w="0" w:type="auto"/>
            <w:shd w:val="clear" w:color="auto" w:fill="auto"/>
          </w:tcPr>
          <w:p w14:paraId="51F3BD91"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 xml:space="preserve">Flamme: </w:t>
            </w:r>
            <w:r w:rsidRPr="00154472">
              <w:rPr>
                <w:sz w:val="18"/>
                <w:szCs w:val="18"/>
                <w:lang w:val="fr-FR"/>
              </w:rPr>
              <w:br/>
              <w:t>noir ou blanc</w:t>
            </w:r>
          </w:p>
        </w:tc>
        <w:tc>
          <w:tcPr>
            <w:tcW w:w="0" w:type="auto"/>
            <w:shd w:val="clear" w:color="auto" w:fill="auto"/>
          </w:tcPr>
          <w:p w14:paraId="0EBC5592"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Rouge</w:t>
            </w:r>
          </w:p>
        </w:tc>
        <w:tc>
          <w:tcPr>
            <w:tcW w:w="1898" w:type="dxa"/>
            <w:shd w:val="clear" w:color="auto" w:fill="auto"/>
          </w:tcPr>
          <w:p w14:paraId="6A2B791C"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 xml:space="preserve">2 </w:t>
            </w:r>
            <w:r w:rsidRPr="00154472">
              <w:rPr>
                <w:sz w:val="18"/>
                <w:szCs w:val="18"/>
                <w:lang w:val="fr-FR"/>
              </w:rPr>
              <w:br/>
              <w:t>(noir ou blanc)</w:t>
            </w:r>
          </w:p>
        </w:tc>
        <w:tc>
          <w:tcPr>
            <w:tcW w:w="2402" w:type="dxa"/>
            <w:shd w:val="clear" w:color="auto" w:fill="auto"/>
            <w:vAlign w:val="center"/>
          </w:tcPr>
          <w:p w14:paraId="20D2146B"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00653338" wp14:editId="456A97B4">
                  <wp:extent cx="828675" cy="828675"/>
                  <wp:effectExtent l="0" t="0" r="9525" b="9525"/>
                  <wp:docPr id="29" name="Picture 2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14:paraId="36662044"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254A9C40" wp14:editId="3A590C88">
                  <wp:extent cx="828675" cy="828675"/>
                  <wp:effectExtent l="0" t="0" r="9525" b="9525"/>
                  <wp:docPr id="30" name="Picture 30"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06F0B0EA"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w:t>
            </w:r>
          </w:p>
        </w:tc>
      </w:tr>
      <w:tr w:rsidR="00826B2C" w:rsidRPr="00154472" w14:paraId="517093BD" w14:textId="77777777" w:rsidTr="00E871C8">
        <w:trPr>
          <w:cantSplit/>
        </w:trPr>
        <w:tc>
          <w:tcPr>
            <w:tcW w:w="0" w:type="auto"/>
            <w:shd w:val="clear" w:color="auto" w:fill="auto"/>
          </w:tcPr>
          <w:p w14:paraId="08C93BB8"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2.2</w:t>
            </w:r>
          </w:p>
        </w:tc>
        <w:tc>
          <w:tcPr>
            <w:tcW w:w="0" w:type="auto"/>
            <w:shd w:val="clear" w:color="auto" w:fill="auto"/>
          </w:tcPr>
          <w:p w14:paraId="2B04C98D"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Gaz ininflammables, non toxiques</w:t>
            </w:r>
          </w:p>
        </w:tc>
        <w:tc>
          <w:tcPr>
            <w:tcW w:w="0" w:type="auto"/>
            <w:shd w:val="clear" w:color="auto" w:fill="auto"/>
          </w:tcPr>
          <w:p w14:paraId="71B4F98A"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Bouteille à gaz: noir ou blanc</w:t>
            </w:r>
          </w:p>
        </w:tc>
        <w:tc>
          <w:tcPr>
            <w:tcW w:w="0" w:type="auto"/>
            <w:shd w:val="clear" w:color="auto" w:fill="auto"/>
          </w:tcPr>
          <w:p w14:paraId="46D622BC"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Vert</w:t>
            </w:r>
          </w:p>
        </w:tc>
        <w:tc>
          <w:tcPr>
            <w:tcW w:w="1898" w:type="dxa"/>
            <w:shd w:val="clear" w:color="auto" w:fill="auto"/>
          </w:tcPr>
          <w:p w14:paraId="1FFF6D07"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 xml:space="preserve">2 </w:t>
            </w:r>
            <w:r w:rsidRPr="00154472">
              <w:rPr>
                <w:sz w:val="18"/>
                <w:szCs w:val="18"/>
                <w:lang w:val="fr-FR"/>
              </w:rPr>
              <w:br/>
              <w:t>(noir ou blanc)</w:t>
            </w:r>
          </w:p>
        </w:tc>
        <w:tc>
          <w:tcPr>
            <w:tcW w:w="2402" w:type="dxa"/>
            <w:shd w:val="clear" w:color="auto" w:fill="auto"/>
            <w:vAlign w:val="center"/>
          </w:tcPr>
          <w:p w14:paraId="25065A25"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0542899D" wp14:editId="64A5F518">
                  <wp:extent cx="828675" cy="828675"/>
                  <wp:effectExtent l="0" t="0" r="9525" b="9525"/>
                  <wp:docPr id="34" name="Picture 34"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14:paraId="7FBD048B"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4DB8883D" wp14:editId="3B4F62ED">
                  <wp:extent cx="828675" cy="828675"/>
                  <wp:effectExtent l="0" t="0" r="9525" b="9525"/>
                  <wp:docPr id="36" name="Picture 36"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1164572A"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w:t>
            </w:r>
          </w:p>
        </w:tc>
      </w:tr>
      <w:tr w:rsidR="00826B2C" w:rsidRPr="00154472" w14:paraId="40E643D5" w14:textId="77777777" w:rsidTr="00E871C8">
        <w:trPr>
          <w:cantSplit/>
        </w:trPr>
        <w:tc>
          <w:tcPr>
            <w:tcW w:w="0" w:type="auto"/>
            <w:shd w:val="clear" w:color="auto" w:fill="auto"/>
          </w:tcPr>
          <w:p w14:paraId="66E09D50"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2.3</w:t>
            </w:r>
          </w:p>
        </w:tc>
        <w:tc>
          <w:tcPr>
            <w:tcW w:w="0" w:type="auto"/>
            <w:shd w:val="clear" w:color="auto" w:fill="auto"/>
          </w:tcPr>
          <w:p w14:paraId="51FFF63B"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Gaz toxiques</w:t>
            </w:r>
          </w:p>
        </w:tc>
        <w:tc>
          <w:tcPr>
            <w:tcW w:w="0" w:type="auto"/>
            <w:shd w:val="clear" w:color="auto" w:fill="auto"/>
          </w:tcPr>
          <w:p w14:paraId="63960C0D"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Tête de mort sur deux tibias: noir</w:t>
            </w:r>
          </w:p>
        </w:tc>
        <w:tc>
          <w:tcPr>
            <w:tcW w:w="0" w:type="auto"/>
            <w:shd w:val="clear" w:color="auto" w:fill="auto"/>
          </w:tcPr>
          <w:p w14:paraId="0E5927AA"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Blanc</w:t>
            </w:r>
          </w:p>
        </w:tc>
        <w:tc>
          <w:tcPr>
            <w:tcW w:w="1898" w:type="dxa"/>
            <w:shd w:val="clear" w:color="auto" w:fill="auto"/>
          </w:tcPr>
          <w:p w14:paraId="0D536F8A"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 xml:space="preserve">2 </w:t>
            </w:r>
            <w:r w:rsidRPr="00154472">
              <w:rPr>
                <w:sz w:val="18"/>
                <w:szCs w:val="18"/>
                <w:lang w:val="fr-FR"/>
              </w:rPr>
              <w:br/>
              <w:t>(noir)</w:t>
            </w:r>
          </w:p>
        </w:tc>
        <w:tc>
          <w:tcPr>
            <w:tcW w:w="2977" w:type="dxa"/>
            <w:gridSpan w:val="2"/>
            <w:shd w:val="clear" w:color="auto" w:fill="auto"/>
          </w:tcPr>
          <w:p w14:paraId="54EABF3F" w14:textId="77777777" w:rsidR="00826B2C" w:rsidRPr="00154472" w:rsidRDefault="00826B2C" w:rsidP="00E871C8">
            <w:pPr>
              <w:spacing w:before="40" w:after="80" w:line="240" w:lineRule="auto"/>
              <w:ind w:right="43"/>
              <w:jc w:val="center"/>
              <w:rPr>
                <w:lang w:val="fr-FR"/>
              </w:rPr>
            </w:pPr>
            <w:r w:rsidRPr="00154472">
              <w:rPr>
                <w:rFonts w:eastAsia="SimSun"/>
                <w:noProof/>
                <w:lang w:val="en-GB" w:eastAsia="en-GB"/>
              </w:rPr>
              <w:drawing>
                <wp:inline distT="0" distB="0" distL="0" distR="0" wp14:anchorId="6F9304F9" wp14:editId="7632AD5B">
                  <wp:extent cx="828675" cy="828675"/>
                  <wp:effectExtent l="0" t="0" r="9525" b="9525"/>
                  <wp:docPr id="38" name="Picture 38"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4CB7C3FB" w14:textId="77777777" w:rsidR="00826B2C" w:rsidRPr="00154472" w:rsidRDefault="00826B2C" w:rsidP="00E871C8">
            <w:pPr>
              <w:spacing w:before="40" w:after="80"/>
              <w:ind w:right="43"/>
              <w:jc w:val="center"/>
              <w:textDirection w:val="tbLrV"/>
              <w:rPr>
                <w:sz w:val="18"/>
                <w:szCs w:val="18"/>
                <w:lang w:val="fr-FR"/>
              </w:rPr>
            </w:pPr>
            <w:r w:rsidRPr="00154472">
              <w:rPr>
                <w:sz w:val="18"/>
                <w:szCs w:val="18"/>
                <w:lang w:val="fr-FR"/>
              </w:rPr>
              <w:t xml:space="preserve">- </w:t>
            </w:r>
          </w:p>
        </w:tc>
      </w:tr>
    </w:tbl>
    <w:p w14:paraId="5CC51F70" w14:textId="77777777" w:rsidR="00826B2C" w:rsidRPr="00154472" w:rsidRDefault="00826B2C" w:rsidP="00826B2C">
      <w:pPr>
        <w:pStyle w:val="SingleTxt"/>
        <w:rPr>
          <w:lang w:val="fr-FR"/>
        </w:rPr>
      </w:pPr>
    </w:p>
    <w:p w14:paraId="1153FC75" w14:textId="77777777" w:rsidR="00826B2C" w:rsidRPr="00154472" w:rsidRDefault="00826B2C" w:rsidP="00826B2C">
      <w:pPr>
        <w:spacing w:line="240" w:lineRule="auto"/>
        <w:rPr>
          <w:lang w:val="fr-FR"/>
        </w:rPr>
      </w:pPr>
      <w:r w:rsidRPr="00154472">
        <w:rPr>
          <w:lang w:val="fr-FR"/>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1375"/>
        <w:gridCol w:w="2327"/>
        <w:gridCol w:w="1333"/>
        <w:gridCol w:w="1418"/>
        <w:gridCol w:w="2100"/>
        <w:gridCol w:w="1579"/>
        <w:gridCol w:w="1133"/>
      </w:tblGrid>
      <w:tr w:rsidR="00826B2C" w:rsidRPr="00154472" w14:paraId="6171B49C" w14:textId="77777777" w:rsidTr="00E871C8">
        <w:tc>
          <w:tcPr>
            <w:tcW w:w="0" w:type="auto"/>
            <w:tcBorders>
              <w:bottom w:val="single" w:sz="4" w:space="0" w:color="auto"/>
            </w:tcBorders>
            <w:shd w:val="clear" w:color="auto" w:fill="auto"/>
            <w:vAlign w:val="center"/>
          </w:tcPr>
          <w:p w14:paraId="5E08D624"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lastRenderedPageBreak/>
              <w:t>No du modèle d’étiquette</w:t>
            </w:r>
          </w:p>
        </w:tc>
        <w:tc>
          <w:tcPr>
            <w:tcW w:w="0" w:type="auto"/>
            <w:tcBorders>
              <w:bottom w:val="single" w:sz="4" w:space="0" w:color="auto"/>
            </w:tcBorders>
            <w:shd w:val="clear" w:color="auto" w:fill="auto"/>
            <w:vAlign w:val="center"/>
          </w:tcPr>
          <w:p w14:paraId="140C016A"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0" w:type="auto"/>
            <w:tcBorders>
              <w:bottom w:val="single" w:sz="4" w:space="0" w:color="auto"/>
            </w:tcBorders>
            <w:shd w:val="clear" w:color="auto" w:fill="auto"/>
            <w:vAlign w:val="center"/>
          </w:tcPr>
          <w:p w14:paraId="2B9F0D49"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Signe conventionnel et couleur du signe</w:t>
            </w:r>
          </w:p>
        </w:tc>
        <w:tc>
          <w:tcPr>
            <w:tcW w:w="1333" w:type="dxa"/>
            <w:tcBorders>
              <w:bottom w:val="single" w:sz="4" w:space="0" w:color="auto"/>
            </w:tcBorders>
            <w:shd w:val="clear" w:color="auto" w:fill="auto"/>
            <w:vAlign w:val="center"/>
          </w:tcPr>
          <w:p w14:paraId="0FCD71D4"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Fond</w:t>
            </w:r>
          </w:p>
        </w:tc>
        <w:tc>
          <w:tcPr>
            <w:tcW w:w="1418" w:type="dxa"/>
            <w:tcBorders>
              <w:bottom w:val="single" w:sz="4" w:space="0" w:color="auto"/>
            </w:tcBorders>
            <w:shd w:val="clear" w:color="auto" w:fill="auto"/>
            <w:vAlign w:val="center"/>
          </w:tcPr>
          <w:p w14:paraId="5794905B"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Chiffre figurant dans le coin inférieur (et couleur du chiffre)</w:t>
            </w:r>
          </w:p>
        </w:tc>
        <w:tc>
          <w:tcPr>
            <w:tcW w:w="3679" w:type="dxa"/>
            <w:gridSpan w:val="2"/>
            <w:tcBorders>
              <w:bottom w:val="single" w:sz="4" w:space="0" w:color="auto"/>
            </w:tcBorders>
            <w:shd w:val="clear" w:color="auto" w:fill="auto"/>
            <w:vAlign w:val="center"/>
          </w:tcPr>
          <w:p w14:paraId="7972D1B1"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Modèles d’étiquettes</w:t>
            </w:r>
          </w:p>
        </w:tc>
        <w:tc>
          <w:tcPr>
            <w:tcW w:w="1133" w:type="dxa"/>
            <w:tcBorders>
              <w:bottom w:val="single" w:sz="4" w:space="0" w:color="auto"/>
            </w:tcBorders>
            <w:shd w:val="clear" w:color="auto" w:fill="auto"/>
            <w:vAlign w:val="center"/>
          </w:tcPr>
          <w:p w14:paraId="44E35CF3"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Nota</w:t>
            </w:r>
          </w:p>
        </w:tc>
      </w:tr>
      <w:tr w:rsidR="00826B2C" w:rsidRPr="00154472" w14:paraId="1C00CBDF" w14:textId="77777777" w:rsidTr="00E871C8">
        <w:tblPrEx>
          <w:tblCellMar>
            <w:left w:w="108" w:type="dxa"/>
            <w:right w:w="108" w:type="dxa"/>
          </w:tblCellMar>
          <w:tblLook w:val="04A0" w:firstRow="1" w:lastRow="0" w:firstColumn="1" w:lastColumn="0" w:noHBand="0" w:noVBand="1"/>
        </w:tblPrEx>
        <w:tc>
          <w:tcPr>
            <w:tcW w:w="0" w:type="auto"/>
            <w:gridSpan w:val="8"/>
            <w:shd w:val="clear" w:color="auto" w:fill="auto"/>
          </w:tcPr>
          <w:p w14:paraId="622AB8CF" w14:textId="38EA106E"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lasse 3: Liquides inflammables</w:t>
            </w:r>
          </w:p>
        </w:tc>
      </w:tr>
      <w:tr w:rsidR="00826B2C" w:rsidRPr="00154472" w14:paraId="16C3B0BA" w14:textId="77777777" w:rsidTr="00E871C8">
        <w:tblPrEx>
          <w:tblCellMar>
            <w:left w:w="108" w:type="dxa"/>
            <w:right w:w="108" w:type="dxa"/>
          </w:tblCellMar>
          <w:tblLook w:val="04A0" w:firstRow="1" w:lastRow="0" w:firstColumn="1" w:lastColumn="0" w:noHBand="0" w:noVBand="1"/>
        </w:tblPrEx>
        <w:tc>
          <w:tcPr>
            <w:tcW w:w="0" w:type="auto"/>
            <w:shd w:val="clear" w:color="auto" w:fill="auto"/>
          </w:tcPr>
          <w:p w14:paraId="6599E85A" w14:textId="77777777" w:rsidR="00826B2C" w:rsidRPr="00154472" w:rsidRDefault="00826B2C" w:rsidP="00E871C8">
            <w:pPr>
              <w:spacing w:before="40" w:after="80"/>
              <w:ind w:right="43"/>
              <w:rPr>
                <w:sz w:val="18"/>
                <w:szCs w:val="18"/>
                <w:lang w:val="fr-FR"/>
              </w:rPr>
            </w:pPr>
            <w:r w:rsidRPr="00154472">
              <w:rPr>
                <w:sz w:val="18"/>
                <w:szCs w:val="18"/>
                <w:lang w:val="fr-FR"/>
              </w:rPr>
              <w:t>3</w:t>
            </w:r>
          </w:p>
        </w:tc>
        <w:tc>
          <w:tcPr>
            <w:tcW w:w="0" w:type="auto"/>
            <w:shd w:val="clear" w:color="auto" w:fill="auto"/>
          </w:tcPr>
          <w:p w14:paraId="5C73A354"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5B4DB72A"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Flamme: </w:t>
            </w:r>
            <w:r w:rsidRPr="00154472">
              <w:rPr>
                <w:sz w:val="18"/>
                <w:szCs w:val="18"/>
                <w:lang w:val="fr-FR"/>
              </w:rPr>
              <w:br/>
              <w:t>noir ou blanc</w:t>
            </w:r>
          </w:p>
        </w:tc>
        <w:tc>
          <w:tcPr>
            <w:tcW w:w="1333" w:type="dxa"/>
            <w:shd w:val="clear" w:color="auto" w:fill="auto"/>
          </w:tcPr>
          <w:p w14:paraId="4F78A471" w14:textId="77777777" w:rsidR="00826B2C" w:rsidRPr="00154472" w:rsidRDefault="00826B2C" w:rsidP="00E871C8">
            <w:pPr>
              <w:spacing w:before="40" w:after="80"/>
              <w:ind w:right="43"/>
              <w:jc w:val="center"/>
              <w:rPr>
                <w:sz w:val="18"/>
                <w:szCs w:val="18"/>
                <w:lang w:val="fr-FR"/>
              </w:rPr>
            </w:pPr>
            <w:r w:rsidRPr="00154472">
              <w:rPr>
                <w:sz w:val="18"/>
                <w:szCs w:val="18"/>
                <w:lang w:val="fr-FR"/>
              </w:rPr>
              <w:t>Rouge</w:t>
            </w:r>
          </w:p>
        </w:tc>
        <w:tc>
          <w:tcPr>
            <w:tcW w:w="1418" w:type="dxa"/>
            <w:shd w:val="clear" w:color="auto" w:fill="auto"/>
          </w:tcPr>
          <w:p w14:paraId="62496940"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3 </w:t>
            </w:r>
            <w:r w:rsidRPr="00154472">
              <w:rPr>
                <w:sz w:val="18"/>
                <w:szCs w:val="18"/>
                <w:lang w:val="fr-FR"/>
              </w:rPr>
              <w:br/>
              <w:t>(noir ou blanc)</w:t>
            </w:r>
          </w:p>
        </w:tc>
        <w:tc>
          <w:tcPr>
            <w:tcW w:w="2100" w:type="dxa"/>
            <w:shd w:val="clear" w:color="auto" w:fill="auto"/>
          </w:tcPr>
          <w:p w14:paraId="3557B32A"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1131614A" wp14:editId="2E6E16A5">
                  <wp:extent cx="833755" cy="833755"/>
                  <wp:effectExtent l="0" t="0" r="4445" b="4445"/>
                  <wp:docPr id="42" name="Picture 42"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6" w:type="dxa"/>
            <w:shd w:val="clear" w:color="auto" w:fill="auto"/>
          </w:tcPr>
          <w:p w14:paraId="00810FDA"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50678BB6" wp14:editId="2F67A1CE">
                  <wp:extent cx="833755" cy="833755"/>
                  <wp:effectExtent l="0" t="0" r="4445" b="4445"/>
                  <wp:docPr id="43" name="Picture 43"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uge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14:paraId="7249DD82"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w:t>
            </w:r>
          </w:p>
        </w:tc>
      </w:tr>
      <w:tr w:rsidR="00826B2C" w:rsidRPr="00154472" w14:paraId="2904E015" w14:textId="77777777" w:rsidTr="00E871C8">
        <w:tblPrEx>
          <w:tblCellMar>
            <w:left w:w="108" w:type="dxa"/>
            <w:right w:w="108" w:type="dxa"/>
          </w:tblCellMar>
          <w:tblLook w:val="04A0" w:firstRow="1" w:lastRow="0" w:firstColumn="1" w:lastColumn="0" w:noHBand="0" w:noVBand="1"/>
        </w:tblPrEx>
        <w:tc>
          <w:tcPr>
            <w:tcW w:w="0" w:type="auto"/>
            <w:gridSpan w:val="8"/>
            <w:shd w:val="clear" w:color="auto" w:fill="auto"/>
          </w:tcPr>
          <w:p w14:paraId="6C5F8F2F" w14:textId="06851F36"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lasse 4.1: Matières solides inflammables, matières autoréactives, matières qui polymérisent et matières solides explosibles désensibilisées</w:t>
            </w:r>
          </w:p>
        </w:tc>
      </w:tr>
      <w:tr w:rsidR="00826B2C" w:rsidRPr="00154472" w14:paraId="162BD68E" w14:textId="77777777" w:rsidTr="00E871C8">
        <w:tblPrEx>
          <w:tblCellMar>
            <w:left w:w="108" w:type="dxa"/>
            <w:right w:w="108" w:type="dxa"/>
          </w:tblCellMar>
          <w:tblLook w:val="04A0" w:firstRow="1" w:lastRow="0" w:firstColumn="1" w:lastColumn="0" w:noHBand="0" w:noVBand="1"/>
        </w:tblPrEx>
        <w:tc>
          <w:tcPr>
            <w:tcW w:w="0" w:type="auto"/>
            <w:shd w:val="clear" w:color="auto" w:fill="auto"/>
          </w:tcPr>
          <w:p w14:paraId="3B154F95" w14:textId="77777777" w:rsidR="00826B2C" w:rsidRPr="00154472" w:rsidRDefault="00826B2C" w:rsidP="00E871C8">
            <w:pPr>
              <w:spacing w:before="40" w:after="80"/>
              <w:ind w:right="43"/>
              <w:rPr>
                <w:sz w:val="18"/>
                <w:szCs w:val="18"/>
                <w:lang w:val="fr-FR"/>
              </w:rPr>
            </w:pPr>
            <w:r w:rsidRPr="00154472">
              <w:rPr>
                <w:sz w:val="18"/>
                <w:szCs w:val="18"/>
                <w:lang w:val="fr-FR"/>
              </w:rPr>
              <w:t>4.1</w:t>
            </w:r>
          </w:p>
        </w:tc>
        <w:tc>
          <w:tcPr>
            <w:tcW w:w="0" w:type="auto"/>
            <w:shd w:val="clear" w:color="auto" w:fill="auto"/>
          </w:tcPr>
          <w:p w14:paraId="3B9AEBAF"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41506946" w14:textId="77777777" w:rsidR="00826B2C" w:rsidRPr="00154472" w:rsidRDefault="00826B2C" w:rsidP="00E871C8">
            <w:pPr>
              <w:spacing w:before="40" w:after="80"/>
              <w:ind w:right="43"/>
              <w:jc w:val="center"/>
              <w:rPr>
                <w:sz w:val="18"/>
                <w:szCs w:val="18"/>
                <w:lang w:val="fr-FR"/>
              </w:rPr>
            </w:pPr>
            <w:r w:rsidRPr="00154472">
              <w:rPr>
                <w:sz w:val="18"/>
                <w:szCs w:val="18"/>
                <w:lang w:val="fr-FR"/>
              </w:rPr>
              <w:t>Flamme: noir</w:t>
            </w:r>
          </w:p>
        </w:tc>
        <w:tc>
          <w:tcPr>
            <w:tcW w:w="1333" w:type="dxa"/>
            <w:shd w:val="clear" w:color="auto" w:fill="auto"/>
          </w:tcPr>
          <w:p w14:paraId="44E36DF5" w14:textId="77777777" w:rsidR="00826B2C" w:rsidRPr="00154472" w:rsidRDefault="00826B2C" w:rsidP="00E871C8">
            <w:pPr>
              <w:spacing w:before="40" w:after="80"/>
              <w:ind w:right="43"/>
              <w:jc w:val="center"/>
              <w:rPr>
                <w:sz w:val="18"/>
                <w:szCs w:val="18"/>
                <w:lang w:val="fr-FR" w:eastAsia="ru-RU"/>
              </w:rPr>
            </w:pPr>
            <w:r w:rsidRPr="00154472">
              <w:rPr>
                <w:sz w:val="18"/>
                <w:szCs w:val="18"/>
                <w:lang w:val="fr-FR"/>
              </w:rPr>
              <w:t>Blanc, barré de sept bandes verticales rouges</w:t>
            </w:r>
          </w:p>
        </w:tc>
        <w:tc>
          <w:tcPr>
            <w:tcW w:w="1418" w:type="dxa"/>
            <w:shd w:val="clear" w:color="auto" w:fill="auto"/>
          </w:tcPr>
          <w:p w14:paraId="63FE2D70"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4 </w:t>
            </w:r>
            <w:r w:rsidRPr="00154472">
              <w:rPr>
                <w:sz w:val="18"/>
                <w:szCs w:val="18"/>
                <w:lang w:val="fr-FR"/>
              </w:rPr>
              <w:br/>
              <w:t>(noir)</w:t>
            </w:r>
          </w:p>
        </w:tc>
        <w:tc>
          <w:tcPr>
            <w:tcW w:w="3236" w:type="dxa"/>
            <w:gridSpan w:val="2"/>
            <w:shd w:val="clear" w:color="auto" w:fill="auto"/>
          </w:tcPr>
          <w:p w14:paraId="29220EEF"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35B729C3" wp14:editId="4EC9F415">
                  <wp:extent cx="843280" cy="833755"/>
                  <wp:effectExtent l="0" t="0" r="0" b="4445"/>
                  <wp:docPr id="44" name="Picture 44"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43280" cy="833755"/>
                          </a:xfrm>
                          <a:prstGeom prst="rect">
                            <a:avLst/>
                          </a:prstGeom>
                          <a:noFill/>
                          <a:ln>
                            <a:noFill/>
                          </a:ln>
                        </pic:spPr>
                      </pic:pic>
                    </a:graphicData>
                  </a:graphic>
                </wp:inline>
              </w:drawing>
            </w:r>
          </w:p>
        </w:tc>
        <w:tc>
          <w:tcPr>
            <w:tcW w:w="1133" w:type="dxa"/>
            <w:shd w:val="clear" w:color="auto" w:fill="auto"/>
          </w:tcPr>
          <w:p w14:paraId="1AA3BA39"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r>
      <w:tr w:rsidR="00826B2C" w:rsidRPr="00154472" w14:paraId="725FDD7B" w14:textId="77777777" w:rsidTr="00E871C8">
        <w:tblPrEx>
          <w:tblCellMar>
            <w:left w:w="108" w:type="dxa"/>
            <w:right w:w="108" w:type="dxa"/>
          </w:tblCellMar>
          <w:tblLook w:val="04A0" w:firstRow="1" w:lastRow="0" w:firstColumn="1" w:lastColumn="0" w:noHBand="0" w:noVBand="1"/>
        </w:tblPrEx>
        <w:tc>
          <w:tcPr>
            <w:tcW w:w="0" w:type="auto"/>
            <w:gridSpan w:val="8"/>
            <w:shd w:val="clear" w:color="auto" w:fill="auto"/>
          </w:tcPr>
          <w:p w14:paraId="2AD2C1C1" w14:textId="3C0B0687"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lasse 4.2: Matières sujettes à l'inflammation spontanée</w:t>
            </w:r>
          </w:p>
        </w:tc>
      </w:tr>
      <w:tr w:rsidR="00826B2C" w:rsidRPr="00154472" w14:paraId="3F4198CA" w14:textId="77777777" w:rsidTr="00E871C8">
        <w:tblPrEx>
          <w:tblCellMar>
            <w:left w:w="108" w:type="dxa"/>
            <w:right w:w="108" w:type="dxa"/>
          </w:tblCellMar>
          <w:tblLook w:val="04A0" w:firstRow="1" w:lastRow="0" w:firstColumn="1" w:lastColumn="0" w:noHBand="0" w:noVBand="1"/>
        </w:tblPrEx>
        <w:tc>
          <w:tcPr>
            <w:tcW w:w="0" w:type="auto"/>
            <w:shd w:val="clear" w:color="auto" w:fill="auto"/>
          </w:tcPr>
          <w:p w14:paraId="62C0A5C0" w14:textId="77777777" w:rsidR="00826B2C" w:rsidRPr="00154472" w:rsidRDefault="00826B2C" w:rsidP="00E871C8">
            <w:pPr>
              <w:spacing w:before="40" w:after="80"/>
              <w:ind w:right="43"/>
              <w:rPr>
                <w:sz w:val="18"/>
                <w:szCs w:val="18"/>
                <w:lang w:val="fr-FR"/>
              </w:rPr>
            </w:pPr>
            <w:r w:rsidRPr="00154472">
              <w:rPr>
                <w:sz w:val="18"/>
                <w:szCs w:val="18"/>
                <w:lang w:val="fr-FR"/>
              </w:rPr>
              <w:t>4.2</w:t>
            </w:r>
          </w:p>
        </w:tc>
        <w:tc>
          <w:tcPr>
            <w:tcW w:w="0" w:type="auto"/>
            <w:shd w:val="clear" w:color="auto" w:fill="auto"/>
          </w:tcPr>
          <w:p w14:paraId="13A3B083"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09B74B70" w14:textId="77777777" w:rsidR="00826B2C" w:rsidRPr="00154472" w:rsidRDefault="00826B2C" w:rsidP="00E871C8">
            <w:pPr>
              <w:spacing w:before="40" w:after="80"/>
              <w:ind w:right="43"/>
              <w:jc w:val="center"/>
              <w:rPr>
                <w:sz w:val="18"/>
                <w:szCs w:val="18"/>
                <w:lang w:val="fr-FR"/>
              </w:rPr>
            </w:pPr>
            <w:r w:rsidRPr="00154472">
              <w:rPr>
                <w:sz w:val="18"/>
                <w:szCs w:val="18"/>
                <w:lang w:val="fr-FR"/>
              </w:rPr>
              <w:t>Flamme: noir</w:t>
            </w:r>
          </w:p>
        </w:tc>
        <w:tc>
          <w:tcPr>
            <w:tcW w:w="1333" w:type="dxa"/>
            <w:shd w:val="clear" w:color="auto" w:fill="auto"/>
          </w:tcPr>
          <w:p w14:paraId="57D5C3DB" w14:textId="77777777" w:rsidR="00826B2C" w:rsidRPr="00154472" w:rsidRDefault="00826B2C" w:rsidP="00E871C8">
            <w:pPr>
              <w:spacing w:before="40" w:after="80"/>
              <w:ind w:right="43"/>
              <w:jc w:val="center"/>
              <w:rPr>
                <w:sz w:val="18"/>
                <w:szCs w:val="18"/>
                <w:lang w:val="fr-FR"/>
              </w:rPr>
            </w:pPr>
            <w:r w:rsidRPr="00154472">
              <w:rPr>
                <w:sz w:val="18"/>
                <w:szCs w:val="18"/>
                <w:lang w:val="fr-FR"/>
              </w:rPr>
              <w:t>Moitié supérieure: blanc;</w:t>
            </w:r>
            <w:r w:rsidRPr="00154472">
              <w:rPr>
                <w:sz w:val="18"/>
                <w:szCs w:val="18"/>
                <w:lang w:val="fr-FR"/>
              </w:rPr>
              <w:br/>
              <w:t>Moitié inférieure:</w:t>
            </w:r>
            <w:r w:rsidRPr="00154472">
              <w:rPr>
                <w:sz w:val="18"/>
                <w:szCs w:val="18"/>
                <w:lang w:val="fr-FR"/>
              </w:rPr>
              <w:br/>
              <w:t>rouge</w:t>
            </w:r>
          </w:p>
        </w:tc>
        <w:tc>
          <w:tcPr>
            <w:tcW w:w="1418" w:type="dxa"/>
            <w:shd w:val="clear" w:color="auto" w:fill="auto"/>
          </w:tcPr>
          <w:p w14:paraId="3EC77CEE"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4 </w:t>
            </w:r>
            <w:r w:rsidRPr="00154472">
              <w:rPr>
                <w:sz w:val="18"/>
                <w:szCs w:val="18"/>
                <w:lang w:val="fr-FR"/>
              </w:rPr>
              <w:br/>
              <w:t>(noir)</w:t>
            </w:r>
          </w:p>
        </w:tc>
        <w:tc>
          <w:tcPr>
            <w:tcW w:w="3236" w:type="dxa"/>
            <w:gridSpan w:val="2"/>
            <w:shd w:val="clear" w:color="auto" w:fill="auto"/>
          </w:tcPr>
          <w:p w14:paraId="06107E2C"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34A5A617" wp14:editId="51E19FBD">
                  <wp:extent cx="828675" cy="828675"/>
                  <wp:effectExtent l="0" t="0" r="9525" b="9525"/>
                  <wp:docPr id="45" name="Picture 45"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133" w:type="dxa"/>
            <w:shd w:val="clear" w:color="auto" w:fill="auto"/>
          </w:tcPr>
          <w:p w14:paraId="41C50AF1"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r>
      <w:tr w:rsidR="00826B2C" w:rsidRPr="00154472" w14:paraId="61FD8143" w14:textId="77777777" w:rsidTr="00E871C8">
        <w:tblPrEx>
          <w:tblCellMar>
            <w:left w:w="108" w:type="dxa"/>
            <w:right w:w="108" w:type="dxa"/>
          </w:tblCellMar>
          <w:tblLook w:val="04A0" w:firstRow="1" w:lastRow="0" w:firstColumn="1" w:lastColumn="0" w:noHBand="0" w:noVBand="1"/>
        </w:tblPrEx>
        <w:tc>
          <w:tcPr>
            <w:tcW w:w="0" w:type="auto"/>
            <w:gridSpan w:val="8"/>
            <w:shd w:val="clear" w:color="auto" w:fill="auto"/>
          </w:tcPr>
          <w:p w14:paraId="528F6409" w14:textId="0E062D75"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lasse 4.3: Matières qui, au contact de l'eau, dégagent des gaz inflammables</w:t>
            </w:r>
          </w:p>
        </w:tc>
      </w:tr>
      <w:tr w:rsidR="00826B2C" w:rsidRPr="00154472" w14:paraId="07FE77A3" w14:textId="77777777" w:rsidTr="00E871C8">
        <w:tblPrEx>
          <w:tblCellMar>
            <w:left w:w="108" w:type="dxa"/>
            <w:right w:w="108" w:type="dxa"/>
          </w:tblCellMar>
          <w:tblLook w:val="04A0" w:firstRow="1" w:lastRow="0" w:firstColumn="1" w:lastColumn="0" w:noHBand="0" w:noVBand="1"/>
        </w:tblPrEx>
        <w:tc>
          <w:tcPr>
            <w:tcW w:w="0" w:type="auto"/>
            <w:shd w:val="clear" w:color="auto" w:fill="auto"/>
          </w:tcPr>
          <w:p w14:paraId="5554D8EE" w14:textId="77777777" w:rsidR="00826B2C" w:rsidRPr="00154472" w:rsidRDefault="00826B2C" w:rsidP="00E871C8">
            <w:pPr>
              <w:spacing w:before="40" w:after="80"/>
              <w:ind w:right="43"/>
              <w:rPr>
                <w:sz w:val="18"/>
                <w:szCs w:val="18"/>
                <w:lang w:val="fr-FR"/>
              </w:rPr>
            </w:pPr>
            <w:r w:rsidRPr="00154472">
              <w:rPr>
                <w:sz w:val="18"/>
                <w:szCs w:val="18"/>
                <w:lang w:val="fr-FR"/>
              </w:rPr>
              <w:t>4.3</w:t>
            </w:r>
          </w:p>
        </w:tc>
        <w:tc>
          <w:tcPr>
            <w:tcW w:w="0" w:type="auto"/>
            <w:shd w:val="clear" w:color="auto" w:fill="auto"/>
          </w:tcPr>
          <w:p w14:paraId="33130A63"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7C824F54"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Flamme: </w:t>
            </w:r>
            <w:r w:rsidRPr="00154472">
              <w:rPr>
                <w:sz w:val="18"/>
                <w:szCs w:val="18"/>
                <w:lang w:val="fr-FR"/>
              </w:rPr>
              <w:br/>
              <w:t>noir ou blanc</w:t>
            </w:r>
          </w:p>
        </w:tc>
        <w:tc>
          <w:tcPr>
            <w:tcW w:w="1333" w:type="dxa"/>
            <w:shd w:val="clear" w:color="auto" w:fill="auto"/>
          </w:tcPr>
          <w:p w14:paraId="2E2A41C7" w14:textId="77777777" w:rsidR="00826B2C" w:rsidRPr="00154472" w:rsidRDefault="00826B2C" w:rsidP="00E871C8">
            <w:pPr>
              <w:spacing w:before="40" w:after="80"/>
              <w:ind w:right="43"/>
              <w:jc w:val="center"/>
              <w:rPr>
                <w:sz w:val="18"/>
                <w:szCs w:val="18"/>
                <w:lang w:val="fr-FR"/>
              </w:rPr>
            </w:pPr>
            <w:r w:rsidRPr="00154472">
              <w:rPr>
                <w:sz w:val="18"/>
                <w:szCs w:val="18"/>
                <w:lang w:val="fr-FR"/>
              </w:rPr>
              <w:t>Bleu</w:t>
            </w:r>
          </w:p>
        </w:tc>
        <w:tc>
          <w:tcPr>
            <w:tcW w:w="1418" w:type="dxa"/>
            <w:shd w:val="clear" w:color="auto" w:fill="auto"/>
          </w:tcPr>
          <w:p w14:paraId="262A374D"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4 </w:t>
            </w:r>
            <w:r w:rsidRPr="00154472">
              <w:rPr>
                <w:sz w:val="18"/>
                <w:szCs w:val="18"/>
                <w:lang w:val="fr-FR"/>
              </w:rPr>
              <w:br/>
              <w:t>(noir ou blanc)</w:t>
            </w:r>
          </w:p>
        </w:tc>
        <w:tc>
          <w:tcPr>
            <w:tcW w:w="2100" w:type="dxa"/>
            <w:shd w:val="clear" w:color="auto" w:fill="auto"/>
          </w:tcPr>
          <w:p w14:paraId="3C984DCE" w14:textId="77777777" w:rsidR="00826B2C" w:rsidRPr="00154472" w:rsidRDefault="00826B2C" w:rsidP="00E871C8">
            <w:pPr>
              <w:spacing w:before="40" w:after="80" w:line="240" w:lineRule="auto"/>
              <w:ind w:right="43"/>
              <w:rPr>
                <w:sz w:val="18"/>
                <w:szCs w:val="18"/>
                <w:lang w:val="fr-FR" w:eastAsia="ru-RU"/>
              </w:rPr>
            </w:pPr>
            <w:r w:rsidRPr="00154472">
              <w:rPr>
                <w:rFonts w:eastAsia="SimSun"/>
                <w:noProof/>
                <w:lang w:val="en-GB" w:eastAsia="en-GB"/>
              </w:rPr>
              <w:drawing>
                <wp:inline distT="0" distB="0" distL="0" distR="0" wp14:anchorId="57B9F844" wp14:editId="1476240B">
                  <wp:extent cx="833755" cy="833755"/>
                  <wp:effectExtent l="0" t="0" r="4445" b="4445"/>
                  <wp:docPr id="46" name="Picture 46"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79" w:type="dxa"/>
            <w:shd w:val="clear" w:color="auto" w:fill="auto"/>
          </w:tcPr>
          <w:p w14:paraId="39EDA098" w14:textId="77777777" w:rsidR="00826B2C" w:rsidRPr="00154472" w:rsidRDefault="00826B2C" w:rsidP="00E871C8">
            <w:pPr>
              <w:spacing w:before="40" w:after="80" w:line="240" w:lineRule="auto"/>
              <w:ind w:right="43"/>
              <w:rPr>
                <w:sz w:val="18"/>
                <w:szCs w:val="18"/>
                <w:lang w:val="fr-FR" w:eastAsia="ru-RU"/>
              </w:rPr>
            </w:pPr>
            <w:r w:rsidRPr="00154472">
              <w:rPr>
                <w:rFonts w:eastAsia="SimSun"/>
                <w:noProof/>
                <w:lang w:val="en-GB" w:eastAsia="en-GB"/>
              </w:rPr>
              <w:drawing>
                <wp:inline distT="0" distB="0" distL="0" distR="0" wp14:anchorId="13517D96" wp14:editId="384B90D3">
                  <wp:extent cx="833755" cy="833755"/>
                  <wp:effectExtent l="0" t="0" r="4445" b="4445"/>
                  <wp:docPr id="47" name="Picture 47"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14:paraId="6C36A901"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r>
    </w:tbl>
    <w:p w14:paraId="48406DD3" w14:textId="77777777" w:rsidR="00826B2C" w:rsidRPr="00154472" w:rsidRDefault="00826B2C" w:rsidP="00826B2C">
      <w:pPr>
        <w:spacing w:line="240" w:lineRule="auto"/>
        <w:rPr>
          <w:lang w:val="fr-FR"/>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0"/>
        <w:gridCol w:w="1033"/>
        <w:gridCol w:w="1609"/>
        <w:gridCol w:w="1330"/>
        <w:gridCol w:w="1695"/>
        <w:gridCol w:w="1508"/>
        <w:gridCol w:w="1538"/>
        <w:gridCol w:w="2961"/>
      </w:tblGrid>
      <w:tr w:rsidR="00826B2C" w:rsidRPr="00154472" w14:paraId="033C01D2" w14:textId="77777777" w:rsidTr="00E871C8">
        <w:tc>
          <w:tcPr>
            <w:tcW w:w="0" w:type="auto"/>
            <w:shd w:val="clear" w:color="auto" w:fill="auto"/>
            <w:vAlign w:val="center"/>
          </w:tcPr>
          <w:p w14:paraId="6AC207AC" w14:textId="77777777" w:rsidR="00826B2C" w:rsidRPr="00154472" w:rsidRDefault="00826B2C" w:rsidP="00E871C8">
            <w:pPr>
              <w:pageBreakBefore/>
              <w:spacing w:before="80" w:after="80" w:line="160" w:lineRule="exact"/>
              <w:ind w:right="45"/>
              <w:jc w:val="center"/>
              <w:rPr>
                <w:sz w:val="18"/>
                <w:szCs w:val="18"/>
                <w:lang w:val="fr-FR"/>
              </w:rPr>
            </w:pPr>
            <w:r w:rsidRPr="00154472">
              <w:rPr>
                <w:sz w:val="18"/>
                <w:szCs w:val="18"/>
                <w:lang w:val="fr-FR"/>
              </w:rPr>
              <w:lastRenderedPageBreak/>
              <w:t>No du modèle d’étiquette</w:t>
            </w:r>
          </w:p>
        </w:tc>
        <w:tc>
          <w:tcPr>
            <w:tcW w:w="0" w:type="auto"/>
            <w:shd w:val="clear" w:color="auto" w:fill="auto"/>
            <w:vAlign w:val="center"/>
          </w:tcPr>
          <w:p w14:paraId="30AD5163"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0" w:type="auto"/>
            <w:shd w:val="clear" w:color="auto" w:fill="auto"/>
            <w:vAlign w:val="center"/>
          </w:tcPr>
          <w:p w14:paraId="04181F21"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Signe conventionnel et couleur du signe</w:t>
            </w:r>
          </w:p>
        </w:tc>
        <w:tc>
          <w:tcPr>
            <w:tcW w:w="0" w:type="auto"/>
            <w:shd w:val="clear" w:color="auto" w:fill="auto"/>
            <w:vAlign w:val="center"/>
          </w:tcPr>
          <w:p w14:paraId="2C6EF880"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Fond</w:t>
            </w:r>
          </w:p>
        </w:tc>
        <w:tc>
          <w:tcPr>
            <w:tcW w:w="0" w:type="auto"/>
            <w:shd w:val="clear" w:color="auto" w:fill="auto"/>
            <w:vAlign w:val="center"/>
          </w:tcPr>
          <w:p w14:paraId="3840133A"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Chiffre figurant dans le coin inférieur (et couleur du chiffre)</w:t>
            </w:r>
          </w:p>
        </w:tc>
        <w:tc>
          <w:tcPr>
            <w:tcW w:w="0" w:type="auto"/>
            <w:gridSpan w:val="2"/>
            <w:shd w:val="clear" w:color="auto" w:fill="auto"/>
            <w:vAlign w:val="center"/>
          </w:tcPr>
          <w:p w14:paraId="0D2E71EA"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Modèles d’étiquettes</w:t>
            </w:r>
          </w:p>
        </w:tc>
        <w:tc>
          <w:tcPr>
            <w:tcW w:w="0" w:type="auto"/>
            <w:shd w:val="clear" w:color="auto" w:fill="auto"/>
            <w:vAlign w:val="center"/>
          </w:tcPr>
          <w:p w14:paraId="49D4C951"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Nota</w:t>
            </w:r>
          </w:p>
        </w:tc>
      </w:tr>
      <w:tr w:rsidR="00826B2C" w:rsidRPr="00154472" w14:paraId="1CB40CED" w14:textId="77777777" w:rsidTr="00E871C8">
        <w:tblPrEx>
          <w:tblCellMar>
            <w:left w:w="108" w:type="dxa"/>
            <w:right w:w="108" w:type="dxa"/>
          </w:tblCellMar>
          <w:tblLook w:val="04A0" w:firstRow="1" w:lastRow="0" w:firstColumn="1" w:lastColumn="0" w:noHBand="0" w:noVBand="1"/>
        </w:tblPrEx>
        <w:tc>
          <w:tcPr>
            <w:tcW w:w="0" w:type="auto"/>
            <w:gridSpan w:val="8"/>
            <w:shd w:val="clear" w:color="auto" w:fill="auto"/>
          </w:tcPr>
          <w:p w14:paraId="301E7D27" w14:textId="1E0A8EC3"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 xml:space="preserve">lasse 5.1: Matières comburantes </w:t>
            </w:r>
          </w:p>
        </w:tc>
      </w:tr>
      <w:tr w:rsidR="00826B2C" w:rsidRPr="00154472" w14:paraId="335F0E16" w14:textId="77777777" w:rsidTr="00E871C8">
        <w:tblPrEx>
          <w:tblCellMar>
            <w:left w:w="108" w:type="dxa"/>
            <w:right w:w="108" w:type="dxa"/>
          </w:tblCellMar>
          <w:tblLook w:val="04A0" w:firstRow="1" w:lastRow="0" w:firstColumn="1" w:lastColumn="0" w:noHBand="0" w:noVBand="1"/>
        </w:tblPrEx>
        <w:tc>
          <w:tcPr>
            <w:tcW w:w="0" w:type="auto"/>
            <w:shd w:val="clear" w:color="auto" w:fill="auto"/>
          </w:tcPr>
          <w:p w14:paraId="42609CB7" w14:textId="77777777" w:rsidR="00826B2C" w:rsidRPr="00154472" w:rsidRDefault="00826B2C" w:rsidP="00E871C8">
            <w:pPr>
              <w:spacing w:before="40" w:after="80"/>
              <w:ind w:right="43"/>
              <w:rPr>
                <w:sz w:val="18"/>
                <w:szCs w:val="18"/>
                <w:lang w:val="fr-FR"/>
              </w:rPr>
            </w:pPr>
            <w:r w:rsidRPr="00154472">
              <w:rPr>
                <w:sz w:val="18"/>
                <w:szCs w:val="18"/>
                <w:lang w:val="fr-FR"/>
              </w:rPr>
              <w:t>5.1</w:t>
            </w:r>
          </w:p>
        </w:tc>
        <w:tc>
          <w:tcPr>
            <w:tcW w:w="0" w:type="auto"/>
            <w:shd w:val="clear" w:color="auto" w:fill="auto"/>
          </w:tcPr>
          <w:p w14:paraId="0F68F04D"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47D768F4"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Flamme </w:t>
            </w:r>
            <w:r w:rsidRPr="00154472">
              <w:rPr>
                <w:sz w:val="18"/>
                <w:szCs w:val="18"/>
                <w:lang w:val="fr-FR"/>
              </w:rPr>
              <w:br/>
              <w:t>au-dessus d’un cercle: noir</w:t>
            </w:r>
          </w:p>
        </w:tc>
        <w:tc>
          <w:tcPr>
            <w:tcW w:w="0" w:type="auto"/>
            <w:shd w:val="clear" w:color="auto" w:fill="auto"/>
          </w:tcPr>
          <w:p w14:paraId="2DE22E36" w14:textId="77777777" w:rsidR="00826B2C" w:rsidRPr="00154472" w:rsidRDefault="00826B2C" w:rsidP="00E871C8">
            <w:pPr>
              <w:spacing w:before="40" w:after="80"/>
              <w:ind w:right="43"/>
              <w:jc w:val="center"/>
              <w:rPr>
                <w:sz w:val="18"/>
                <w:szCs w:val="18"/>
                <w:lang w:val="fr-FR"/>
              </w:rPr>
            </w:pPr>
            <w:r w:rsidRPr="00154472">
              <w:rPr>
                <w:sz w:val="18"/>
                <w:szCs w:val="18"/>
                <w:lang w:val="fr-FR"/>
              </w:rPr>
              <w:t>Jaune</w:t>
            </w:r>
          </w:p>
        </w:tc>
        <w:tc>
          <w:tcPr>
            <w:tcW w:w="0" w:type="auto"/>
            <w:shd w:val="clear" w:color="auto" w:fill="auto"/>
          </w:tcPr>
          <w:p w14:paraId="591391BA" w14:textId="77777777" w:rsidR="00826B2C" w:rsidRPr="00154472" w:rsidRDefault="00826B2C" w:rsidP="00E871C8">
            <w:pPr>
              <w:spacing w:before="40" w:after="80"/>
              <w:ind w:right="43"/>
              <w:jc w:val="center"/>
              <w:rPr>
                <w:sz w:val="18"/>
                <w:szCs w:val="18"/>
                <w:lang w:val="fr-FR" w:eastAsia="ru-RU"/>
              </w:rPr>
            </w:pPr>
            <w:r w:rsidRPr="00154472">
              <w:rPr>
                <w:sz w:val="18"/>
                <w:szCs w:val="18"/>
                <w:lang w:val="fr-FR"/>
              </w:rPr>
              <w:t xml:space="preserve">5.1 </w:t>
            </w:r>
            <w:r w:rsidRPr="00154472">
              <w:rPr>
                <w:sz w:val="18"/>
                <w:szCs w:val="18"/>
                <w:lang w:val="fr-FR"/>
              </w:rPr>
              <w:br/>
            </w:r>
            <w:r w:rsidRPr="00154472">
              <w:rPr>
                <w:sz w:val="18"/>
                <w:szCs w:val="18"/>
                <w:lang w:val="fr-FR" w:eastAsia="ru-RU"/>
              </w:rPr>
              <w:t>(noir)</w:t>
            </w:r>
          </w:p>
        </w:tc>
        <w:tc>
          <w:tcPr>
            <w:tcW w:w="0" w:type="auto"/>
            <w:gridSpan w:val="2"/>
            <w:shd w:val="clear" w:color="auto" w:fill="auto"/>
            <w:vAlign w:val="center"/>
          </w:tcPr>
          <w:p w14:paraId="5ECA6AAE"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45FFC45F" wp14:editId="001D4290">
                  <wp:extent cx="833755" cy="833755"/>
                  <wp:effectExtent l="0" t="0" r="4445" b="4445"/>
                  <wp:docPr id="48" name="Picture 48"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une5-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0" w:type="auto"/>
            <w:shd w:val="clear" w:color="auto" w:fill="auto"/>
          </w:tcPr>
          <w:p w14:paraId="166B7473" w14:textId="77777777" w:rsidR="00826B2C" w:rsidRPr="00154472" w:rsidRDefault="00826B2C" w:rsidP="00E871C8">
            <w:pPr>
              <w:spacing w:before="40" w:after="80" w:line="220" w:lineRule="exact"/>
              <w:jc w:val="center"/>
              <w:textDirection w:val="tbLrV"/>
              <w:rPr>
                <w:sz w:val="18"/>
                <w:szCs w:val="18"/>
                <w:lang w:val="fr-FR"/>
              </w:rPr>
            </w:pPr>
            <w:r w:rsidRPr="00154472">
              <w:rPr>
                <w:sz w:val="18"/>
                <w:szCs w:val="18"/>
                <w:lang w:val="fr-FR"/>
              </w:rPr>
              <w:t>-</w:t>
            </w:r>
          </w:p>
        </w:tc>
      </w:tr>
      <w:tr w:rsidR="00826B2C" w:rsidRPr="00154472" w14:paraId="46361D74" w14:textId="77777777" w:rsidTr="00E871C8">
        <w:tblPrEx>
          <w:tblCellMar>
            <w:left w:w="108" w:type="dxa"/>
            <w:right w:w="108" w:type="dxa"/>
          </w:tblCellMar>
          <w:tblLook w:val="04A0" w:firstRow="1" w:lastRow="0" w:firstColumn="1" w:lastColumn="0" w:noHBand="0" w:noVBand="1"/>
        </w:tblPrEx>
        <w:tc>
          <w:tcPr>
            <w:tcW w:w="0" w:type="auto"/>
            <w:gridSpan w:val="8"/>
            <w:shd w:val="clear" w:color="auto" w:fill="auto"/>
          </w:tcPr>
          <w:p w14:paraId="60AC1F35" w14:textId="16139D98"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 xml:space="preserve">lasse 5.2: Peroxydes organiques </w:t>
            </w:r>
          </w:p>
        </w:tc>
      </w:tr>
      <w:tr w:rsidR="00826B2C" w:rsidRPr="00154472" w14:paraId="4AEF13B9" w14:textId="77777777" w:rsidTr="00E871C8">
        <w:tblPrEx>
          <w:tblCellMar>
            <w:left w:w="108" w:type="dxa"/>
            <w:right w:w="108" w:type="dxa"/>
          </w:tblCellMar>
          <w:tblLook w:val="04A0" w:firstRow="1" w:lastRow="0" w:firstColumn="1" w:lastColumn="0" w:noHBand="0" w:noVBand="1"/>
        </w:tblPrEx>
        <w:tc>
          <w:tcPr>
            <w:tcW w:w="0" w:type="auto"/>
            <w:shd w:val="clear" w:color="auto" w:fill="auto"/>
          </w:tcPr>
          <w:p w14:paraId="2514C5E1" w14:textId="77777777" w:rsidR="00826B2C" w:rsidRPr="00154472" w:rsidRDefault="00826B2C" w:rsidP="00E871C8">
            <w:pPr>
              <w:spacing w:before="40" w:after="80"/>
              <w:ind w:right="43"/>
              <w:rPr>
                <w:sz w:val="18"/>
                <w:szCs w:val="18"/>
                <w:lang w:val="fr-FR"/>
              </w:rPr>
            </w:pPr>
            <w:r w:rsidRPr="00154472">
              <w:rPr>
                <w:sz w:val="18"/>
                <w:szCs w:val="18"/>
                <w:lang w:val="fr-FR"/>
              </w:rPr>
              <w:t>5.2</w:t>
            </w:r>
          </w:p>
        </w:tc>
        <w:tc>
          <w:tcPr>
            <w:tcW w:w="0" w:type="auto"/>
            <w:shd w:val="clear" w:color="auto" w:fill="auto"/>
          </w:tcPr>
          <w:p w14:paraId="28F8214E" w14:textId="77777777" w:rsidR="00826B2C" w:rsidRPr="00154472" w:rsidRDefault="00826B2C" w:rsidP="00E871C8">
            <w:pPr>
              <w:spacing w:before="40" w:after="80"/>
              <w:ind w:right="43"/>
              <w:jc w:val="center"/>
              <w:rPr>
                <w:sz w:val="18"/>
                <w:szCs w:val="18"/>
                <w:lang w:val="fr-FR"/>
              </w:rPr>
            </w:pPr>
            <w:r w:rsidRPr="00154472">
              <w:rPr>
                <w:sz w:val="18"/>
                <w:szCs w:val="18"/>
                <w:lang w:val="fr-FR" w:eastAsia="ru-RU"/>
              </w:rPr>
              <w:t>-</w:t>
            </w:r>
          </w:p>
        </w:tc>
        <w:tc>
          <w:tcPr>
            <w:tcW w:w="0" w:type="auto"/>
            <w:shd w:val="clear" w:color="auto" w:fill="auto"/>
          </w:tcPr>
          <w:p w14:paraId="52227BA3"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Flamme: </w:t>
            </w:r>
            <w:r w:rsidRPr="00154472">
              <w:rPr>
                <w:sz w:val="18"/>
                <w:szCs w:val="18"/>
                <w:lang w:val="fr-FR"/>
              </w:rPr>
              <w:br/>
              <w:t>noir ou blanc</w:t>
            </w:r>
          </w:p>
        </w:tc>
        <w:tc>
          <w:tcPr>
            <w:tcW w:w="0" w:type="auto"/>
            <w:shd w:val="clear" w:color="auto" w:fill="auto"/>
          </w:tcPr>
          <w:p w14:paraId="0FEDEEF0" w14:textId="77777777" w:rsidR="00826B2C" w:rsidRPr="00154472" w:rsidRDefault="00826B2C" w:rsidP="00E871C8">
            <w:pPr>
              <w:spacing w:before="40" w:after="80"/>
              <w:ind w:right="43"/>
              <w:jc w:val="center"/>
              <w:rPr>
                <w:sz w:val="18"/>
                <w:szCs w:val="18"/>
                <w:lang w:val="fr-FR" w:eastAsia="ru-RU"/>
              </w:rPr>
            </w:pPr>
            <w:r w:rsidRPr="00154472">
              <w:rPr>
                <w:sz w:val="18"/>
                <w:szCs w:val="18"/>
                <w:lang w:val="fr-FR"/>
              </w:rPr>
              <w:t>Moitié supérieure: rouge;</w:t>
            </w:r>
            <w:r w:rsidRPr="00154472">
              <w:rPr>
                <w:sz w:val="18"/>
                <w:szCs w:val="18"/>
                <w:lang w:val="fr-FR"/>
              </w:rPr>
              <w:br/>
              <w:t>Moitié inférieure:</w:t>
            </w:r>
            <w:r w:rsidRPr="00154472">
              <w:rPr>
                <w:sz w:val="18"/>
                <w:szCs w:val="18"/>
                <w:lang w:val="fr-FR"/>
              </w:rPr>
              <w:br/>
              <w:t>jaune</w:t>
            </w:r>
          </w:p>
        </w:tc>
        <w:tc>
          <w:tcPr>
            <w:tcW w:w="0" w:type="auto"/>
            <w:shd w:val="clear" w:color="auto" w:fill="auto"/>
          </w:tcPr>
          <w:p w14:paraId="35F4350B"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5.2 </w:t>
            </w:r>
            <w:r w:rsidRPr="00154472">
              <w:rPr>
                <w:sz w:val="18"/>
                <w:szCs w:val="18"/>
                <w:lang w:val="fr-FR"/>
              </w:rPr>
              <w:br/>
              <w:t>(noir)</w:t>
            </w:r>
          </w:p>
        </w:tc>
        <w:tc>
          <w:tcPr>
            <w:tcW w:w="0" w:type="auto"/>
            <w:shd w:val="clear" w:color="auto" w:fill="auto"/>
            <w:vAlign w:val="center"/>
          </w:tcPr>
          <w:p w14:paraId="74A3C840" w14:textId="77777777" w:rsidR="00826B2C" w:rsidRPr="00154472" w:rsidRDefault="00826B2C" w:rsidP="00E871C8">
            <w:pPr>
              <w:spacing w:before="40" w:after="80" w:line="240" w:lineRule="auto"/>
              <w:jc w:val="center"/>
              <w:rPr>
                <w:sz w:val="18"/>
                <w:szCs w:val="18"/>
                <w:lang w:val="fr-FR" w:eastAsia="ru-RU"/>
              </w:rPr>
            </w:pPr>
            <w:r w:rsidRPr="00154472">
              <w:rPr>
                <w:rFonts w:eastAsia="SimSun"/>
                <w:noProof/>
                <w:lang w:val="en-GB" w:eastAsia="en-GB"/>
              </w:rPr>
              <w:drawing>
                <wp:inline distT="0" distB="0" distL="0" distR="0" wp14:anchorId="7D8F3DD0" wp14:editId="7B435AE8">
                  <wp:extent cx="814705" cy="828675"/>
                  <wp:effectExtent l="0" t="0" r="4445" b="9525"/>
                  <wp:docPr id="52" name="Picture 52"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0" w:type="auto"/>
            <w:shd w:val="clear" w:color="auto" w:fill="auto"/>
            <w:vAlign w:val="center"/>
          </w:tcPr>
          <w:p w14:paraId="4A46369C" w14:textId="77777777" w:rsidR="00826B2C" w:rsidRPr="00154472" w:rsidRDefault="00826B2C" w:rsidP="00E871C8">
            <w:pPr>
              <w:spacing w:before="40" w:after="80" w:line="240" w:lineRule="auto"/>
              <w:rPr>
                <w:sz w:val="16"/>
                <w:szCs w:val="16"/>
                <w:lang w:val="fr-FR" w:eastAsia="ru-RU"/>
              </w:rPr>
            </w:pPr>
            <w:r w:rsidRPr="00154472">
              <w:rPr>
                <w:rFonts w:eastAsia="SimSun"/>
                <w:noProof/>
                <w:lang w:val="en-GB" w:eastAsia="en-GB"/>
              </w:rPr>
              <w:drawing>
                <wp:inline distT="0" distB="0" distL="0" distR="0" wp14:anchorId="620378BB" wp14:editId="3A3B80EA">
                  <wp:extent cx="828675" cy="828675"/>
                  <wp:effectExtent l="0" t="0" r="9525" b="9525"/>
                  <wp:docPr id="53" name="Picture 53"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02A9E627"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r>
      <w:tr w:rsidR="00826B2C" w:rsidRPr="00154472" w14:paraId="04DEEA12" w14:textId="77777777" w:rsidTr="00E871C8">
        <w:tblPrEx>
          <w:tblCellMar>
            <w:left w:w="108" w:type="dxa"/>
            <w:right w:w="108" w:type="dxa"/>
          </w:tblCellMar>
          <w:tblLook w:val="04A0" w:firstRow="1" w:lastRow="0" w:firstColumn="1" w:lastColumn="0" w:noHBand="0" w:noVBand="1"/>
        </w:tblPrEx>
        <w:tc>
          <w:tcPr>
            <w:tcW w:w="0" w:type="auto"/>
            <w:gridSpan w:val="8"/>
            <w:shd w:val="clear" w:color="auto" w:fill="auto"/>
          </w:tcPr>
          <w:p w14:paraId="50D48AD5" w14:textId="09918007"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lasse 6.1: Matières toxiques</w:t>
            </w:r>
          </w:p>
        </w:tc>
      </w:tr>
      <w:tr w:rsidR="00826B2C" w:rsidRPr="00154472" w14:paraId="21F9CDDE" w14:textId="77777777" w:rsidTr="00E871C8">
        <w:tblPrEx>
          <w:tblCellMar>
            <w:left w:w="108" w:type="dxa"/>
            <w:right w:w="108" w:type="dxa"/>
          </w:tblCellMar>
          <w:tblLook w:val="04A0" w:firstRow="1" w:lastRow="0" w:firstColumn="1" w:lastColumn="0" w:noHBand="0" w:noVBand="1"/>
        </w:tblPrEx>
        <w:trPr>
          <w:trHeight w:val="1783"/>
        </w:trPr>
        <w:tc>
          <w:tcPr>
            <w:tcW w:w="0" w:type="auto"/>
            <w:shd w:val="clear" w:color="auto" w:fill="auto"/>
          </w:tcPr>
          <w:p w14:paraId="76C65C19" w14:textId="77777777" w:rsidR="00826B2C" w:rsidRPr="00154472" w:rsidRDefault="00826B2C" w:rsidP="00E871C8">
            <w:pPr>
              <w:spacing w:before="40" w:after="80"/>
              <w:ind w:right="43"/>
              <w:rPr>
                <w:sz w:val="18"/>
                <w:szCs w:val="18"/>
                <w:lang w:val="fr-FR"/>
              </w:rPr>
            </w:pPr>
            <w:r w:rsidRPr="00154472">
              <w:rPr>
                <w:sz w:val="18"/>
                <w:szCs w:val="18"/>
                <w:lang w:val="fr-FR"/>
              </w:rPr>
              <w:t>6.1</w:t>
            </w:r>
          </w:p>
        </w:tc>
        <w:tc>
          <w:tcPr>
            <w:tcW w:w="0" w:type="auto"/>
            <w:shd w:val="clear" w:color="auto" w:fill="auto"/>
          </w:tcPr>
          <w:p w14:paraId="32C827B0"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43A76779" w14:textId="77777777" w:rsidR="00826B2C" w:rsidRPr="00154472" w:rsidRDefault="00826B2C" w:rsidP="00E871C8">
            <w:pPr>
              <w:spacing w:before="40" w:after="80"/>
              <w:ind w:right="43"/>
              <w:jc w:val="center"/>
              <w:rPr>
                <w:sz w:val="18"/>
                <w:szCs w:val="18"/>
                <w:lang w:val="fr-FR"/>
              </w:rPr>
            </w:pPr>
            <w:r w:rsidRPr="00154472">
              <w:rPr>
                <w:sz w:val="18"/>
                <w:szCs w:val="18"/>
                <w:lang w:val="fr-FR"/>
              </w:rPr>
              <w:t>Tête de mort sur deux tibias: noir</w:t>
            </w:r>
          </w:p>
        </w:tc>
        <w:tc>
          <w:tcPr>
            <w:tcW w:w="0" w:type="auto"/>
            <w:shd w:val="clear" w:color="auto" w:fill="auto"/>
          </w:tcPr>
          <w:p w14:paraId="08397350" w14:textId="77777777" w:rsidR="00826B2C" w:rsidRPr="00154472" w:rsidRDefault="00826B2C" w:rsidP="00E871C8">
            <w:pPr>
              <w:spacing w:before="40" w:after="80"/>
              <w:ind w:right="43"/>
              <w:jc w:val="center"/>
              <w:rPr>
                <w:sz w:val="18"/>
                <w:szCs w:val="18"/>
                <w:lang w:val="fr-FR"/>
              </w:rPr>
            </w:pPr>
            <w:r w:rsidRPr="00154472">
              <w:rPr>
                <w:sz w:val="18"/>
                <w:szCs w:val="18"/>
                <w:lang w:val="fr-FR"/>
              </w:rPr>
              <w:t>Blanc</w:t>
            </w:r>
          </w:p>
        </w:tc>
        <w:tc>
          <w:tcPr>
            <w:tcW w:w="0" w:type="auto"/>
            <w:shd w:val="clear" w:color="auto" w:fill="auto"/>
          </w:tcPr>
          <w:p w14:paraId="1F097C30"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6 </w:t>
            </w:r>
            <w:r w:rsidRPr="00154472">
              <w:rPr>
                <w:sz w:val="18"/>
                <w:szCs w:val="18"/>
                <w:lang w:val="fr-FR"/>
              </w:rPr>
              <w:br/>
              <w:t>(noir)</w:t>
            </w:r>
          </w:p>
        </w:tc>
        <w:tc>
          <w:tcPr>
            <w:tcW w:w="3058" w:type="dxa"/>
            <w:gridSpan w:val="2"/>
            <w:shd w:val="clear" w:color="auto" w:fill="auto"/>
            <w:vAlign w:val="center"/>
          </w:tcPr>
          <w:p w14:paraId="49EDF2C9" w14:textId="77777777" w:rsidR="00826B2C" w:rsidRPr="00154472" w:rsidRDefault="00826B2C" w:rsidP="00E871C8">
            <w:pPr>
              <w:spacing w:before="40" w:after="80" w:line="240" w:lineRule="auto"/>
              <w:jc w:val="center"/>
              <w:rPr>
                <w:sz w:val="18"/>
                <w:szCs w:val="18"/>
                <w:lang w:val="fr-FR" w:eastAsia="ru-RU"/>
              </w:rPr>
            </w:pPr>
            <w:r w:rsidRPr="00154472">
              <w:rPr>
                <w:rFonts w:eastAsia="SimSun"/>
                <w:noProof/>
                <w:lang w:val="en-GB" w:eastAsia="en-GB"/>
              </w:rPr>
              <w:drawing>
                <wp:inline distT="0" distB="0" distL="0" distR="0" wp14:anchorId="17CD68D4" wp14:editId="3E3B3BFF">
                  <wp:extent cx="828675" cy="828675"/>
                  <wp:effectExtent l="0" t="0" r="9525" b="9525"/>
                  <wp:docPr id="54" name="Picture 54"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14:paraId="4887EF72"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r>
      <w:tr w:rsidR="00826B2C" w:rsidRPr="00154472" w14:paraId="5F792BF6" w14:textId="77777777" w:rsidTr="00E871C8">
        <w:tblPrEx>
          <w:tblCellMar>
            <w:left w:w="108" w:type="dxa"/>
            <w:right w:w="108" w:type="dxa"/>
          </w:tblCellMar>
          <w:tblLook w:val="04A0" w:firstRow="1" w:lastRow="0" w:firstColumn="1" w:lastColumn="0" w:noHBand="0" w:noVBand="1"/>
        </w:tblPrEx>
        <w:tc>
          <w:tcPr>
            <w:tcW w:w="0" w:type="auto"/>
            <w:gridSpan w:val="8"/>
            <w:shd w:val="clear" w:color="auto" w:fill="auto"/>
          </w:tcPr>
          <w:p w14:paraId="075B953E" w14:textId="2DE93BAD"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lasse 6.2: Matières infectieuses</w:t>
            </w:r>
          </w:p>
        </w:tc>
      </w:tr>
      <w:tr w:rsidR="00826B2C" w:rsidRPr="00154472" w14:paraId="0733A5ED" w14:textId="77777777" w:rsidTr="00E871C8">
        <w:tblPrEx>
          <w:tblCellMar>
            <w:left w:w="108" w:type="dxa"/>
            <w:right w:w="108" w:type="dxa"/>
          </w:tblCellMar>
          <w:tblLook w:val="04A0" w:firstRow="1" w:lastRow="0" w:firstColumn="1" w:lastColumn="0" w:noHBand="0" w:noVBand="1"/>
        </w:tblPrEx>
        <w:trPr>
          <w:trHeight w:val="386"/>
        </w:trPr>
        <w:tc>
          <w:tcPr>
            <w:tcW w:w="0" w:type="auto"/>
            <w:shd w:val="clear" w:color="auto" w:fill="auto"/>
          </w:tcPr>
          <w:p w14:paraId="46985E4C" w14:textId="77777777" w:rsidR="00826B2C" w:rsidRPr="00154472" w:rsidRDefault="00826B2C" w:rsidP="00E871C8">
            <w:pPr>
              <w:spacing w:before="40" w:after="80"/>
              <w:ind w:right="43"/>
              <w:rPr>
                <w:sz w:val="18"/>
                <w:szCs w:val="18"/>
                <w:lang w:val="fr-FR"/>
              </w:rPr>
            </w:pPr>
            <w:r w:rsidRPr="00154472">
              <w:rPr>
                <w:sz w:val="18"/>
                <w:szCs w:val="18"/>
                <w:lang w:val="fr-FR"/>
              </w:rPr>
              <w:t>6.2</w:t>
            </w:r>
          </w:p>
        </w:tc>
        <w:tc>
          <w:tcPr>
            <w:tcW w:w="0" w:type="auto"/>
            <w:shd w:val="clear" w:color="auto" w:fill="auto"/>
          </w:tcPr>
          <w:p w14:paraId="5E6672F5"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c>
          <w:tcPr>
            <w:tcW w:w="0" w:type="auto"/>
            <w:shd w:val="clear" w:color="auto" w:fill="auto"/>
          </w:tcPr>
          <w:p w14:paraId="1B5509AE" w14:textId="77777777" w:rsidR="00826B2C" w:rsidRPr="00154472" w:rsidRDefault="00826B2C" w:rsidP="00E871C8">
            <w:pPr>
              <w:spacing w:before="40" w:after="80"/>
              <w:ind w:right="43"/>
              <w:jc w:val="center"/>
              <w:rPr>
                <w:sz w:val="18"/>
                <w:szCs w:val="18"/>
                <w:lang w:val="fr-FR"/>
              </w:rPr>
            </w:pPr>
            <w:r w:rsidRPr="00154472">
              <w:rPr>
                <w:sz w:val="18"/>
                <w:szCs w:val="18"/>
                <w:lang w:val="fr-FR"/>
              </w:rPr>
              <w:t>Trois croissants sur un cercle: noir</w:t>
            </w:r>
          </w:p>
        </w:tc>
        <w:tc>
          <w:tcPr>
            <w:tcW w:w="0" w:type="auto"/>
            <w:shd w:val="clear" w:color="auto" w:fill="auto"/>
          </w:tcPr>
          <w:p w14:paraId="28612889" w14:textId="77777777" w:rsidR="00826B2C" w:rsidRPr="00154472" w:rsidRDefault="00826B2C" w:rsidP="00E871C8">
            <w:pPr>
              <w:spacing w:before="40" w:after="80"/>
              <w:ind w:right="43"/>
              <w:jc w:val="center"/>
              <w:rPr>
                <w:sz w:val="18"/>
                <w:szCs w:val="18"/>
                <w:lang w:val="fr-FR"/>
              </w:rPr>
            </w:pPr>
            <w:r w:rsidRPr="00154472">
              <w:rPr>
                <w:sz w:val="18"/>
                <w:szCs w:val="18"/>
                <w:lang w:val="fr-FR"/>
              </w:rPr>
              <w:t>Blanc</w:t>
            </w:r>
          </w:p>
        </w:tc>
        <w:tc>
          <w:tcPr>
            <w:tcW w:w="0" w:type="auto"/>
            <w:shd w:val="clear" w:color="auto" w:fill="auto"/>
          </w:tcPr>
          <w:p w14:paraId="325CDED2"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6 </w:t>
            </w:r>
            <w:r w:rsidRPr="00154472">
              <w:rPr>
                <w:sz w:val="18"/>
                <w:szCs w:val="18"/>
                <w:lang w:val="fr-FR"/>
              </w:rPr>
              <w:br/>
              <w:t>(noir)</w:t>
            </w:r>
          </w:p>
        </w:tc>
        <w:tc>
          <w:tcPr>
            <w:tcW w:w="3058" w:type="dxa"/>
            <w:gridSpan w:val="2"/>
            <w:shd w:val="clear" w:color="auto" w:fill="auto"/>
            <w:vAlign w:val="center"/>
          </w:tcPr>
          <w:p w14:paraId="2FDCE9F8" w14:textId="77777777" w:rsidR="00826B2C" w:rsidRPr="00154472" w:rsidRDefault="00826B2C" w:rsidP="00E871C8">
            <w:pPr>
              <w:spacing w:before="40" w:after="80" w:line="240" w:lineRule="auto"/>
              <w:jc w:val="center"/>
              <w:rPr>
                <w:sz w:val="18"/>
                <w:szCs w:val="18"/>
                <w:lang w:val="fr-FR" w:eastAsia="ru-RU"/>
              </w:rPr>
            </w:pPr>
            <w:r w:rsidRPr="00154472">
              <w:rPr>
                <w:rFonts w:eastAsia="SimSun"/>
                <w:noProof/>
                <w:lang w:val="en-GB" w:eastAsia="en-GB"/>
              </w:rPr>
              <w:drawing>
                <wp:inline distT="0" distB="0" distL="0" distR="0" wp14:anchorId="01797B35" wp14:editId="2C78645E">
                  <wp:extent cx="828675" cy="828675"/>
                  <wp:effectExtent l="0" t="0" r="9525" b="9525"/>
                  <wp:docPr id="55" name="Picture 5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14:paraId="4908941A" w14:textId="77777777" w:rsidR="00826B2C" w:rsidRPr="00154472" w:rsidRDefault="00826B2C" w:rsidP="00E871C8">
            <w:pPr>
              <w:spacing w:before="20" w:after="20" w:line="200" w:lineRule="exact"/>
              <w:rPr>
                <w:sz w:val="18"/>
                <w:szCs w:val="18"/>
                <w:lang w:val="fr-FR"/>
              </w:rPr>
            </w:pPr>
            <w:r w:rsidRPr="00154472">
              <w:rPr>
                <w:sz w:val="18"/>
                <w:szCs w:val="18"/>
                <w:lang w:val="fr-FR"/>
              </w:rPr>
              <w:t>La moitié inférieure de l’étiquette peut porter les mentions :</w:t>
            </w:r>
            <w:r w:rsidRPr="00154472">
              <w:rPr>
                <w:sz w:val="18"/>
                <w:szCs w:val="18"/>
                <w:lang w:val="fr-FR"/>
              </w:rPr>
              <w:br/>
              <w:t>"MATIÈRES INFECTIEUSES" et</w:t>
            </w:r>
          </w:p>
          <w:p w14:paraId="69268E72" w14:textId="77777777" w:rsidR="00826B2C" w:rsidRPr="00154472" w:rsidRDefault="00826B2C" w:rsidP="00E871C8">
            <w:pPr>
              <w:spacing w:before="20" w:after="20" w:line="200" w:lineRule="exact"/>
              <w:rPr>
                <w:sz w:val="18"/>
                <w:szCs w:val="18"/>
                <w:lang w:val="fr-FR"/>
              </w:rPr>
            </w:pPr>
            <w:r w:rsidRPr="00154472">
              <w:rPr>
                <w:sz w:val="18"/>
                <w:szCs w:val="18"/>
                <w:lang w:val="fr-FR"/>
              </w:rPr>
              <w:t>"En cas de dommage ou de fuite avertir immédiatement les autorités de la santé publique" en noir.</w:t>
            </w:r>
          </w:p>
        </w:tc>
      </w:tr>
    </w:tbl>
    <w:p w14:paraId="637127E6" w14:textId="77777777" w:rsidR="00826B2C" w:rsidRPr="00154472" w:rsidRDefault="00826B2C" w:rsidP="00826B2C">
      <w:pPr>
        <w:spacing w:line="240" w:lineRule="auto"/>
        <w:rPr>
          <w:lang w:val="fr-FR"/>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196"/>
        <w:gridCol w:w="1733"/>
        <w:gridCol w:w="2291"/>
        <w:gridCol w:w="1869"/>
        <w:gridCol w:w="1628"/>
        <w:gridCol w:w="2703"/>
      </w:tblGrid>
      <w:tr w:rsidR="00826B2C" w:rsidRPr="00154472" w14:paraId="7F483CB1" w14:textId="77777777" w:rsidTr="00E871C8">
        <w:trPr>
          <w:tblHeader/>
        </w:trPr>
        <w:tc>
          <w:tcPr>
            <w:tcW w:w="0" w:type="auto"/>
            <w:shd w:val="clear" w:color="auto" w:fill="auto"/>
            <w:vAlign w:val="center"/>
          </w:tcPr>
          <w:p w14:paraId="0714823E" w14:textId="77777777" w:rsidR="00826B2C" w:rsidRPr="00154472" w:rsidRDefault="00826B2C" w:rsidP="00E871C8">
            <w:pPr>
              <w:pageBreakBefore/>
              <w:spacing w:before="80" w:after="80" w:line="160" w:lineRule="exact"/>
              <w:ind w:right="45"/>
              <w:jc w:val="center"/>
              <w:rPr>
                <w:sz w:val="18"/>
                <w:szCs w:val="18"/>
                <w:lang w:val="fr-FR"/>
              </w:rPr>
            </w:pPr>
            <w:r w:rsidRPr="00154472">
              <w:rPr>
                <w:sz w:val="18"/>
                <w:szCs w:val="18"/>
                <w:lang w:val="fr-FR"/>
              </w:rPr>
              <w:lastRenderedPageBreak/>
              <w:t>No du modèle d’étiquette</w:t>
            </w:r>
          </w:p>
        </w:tc>
        <w:tc>
          <w:tcPr>
            <w:tcW w:w="0" w:type="auto"/>
            <w:shd w:val="clear" w:color="auto" w:fill="auto"/>
            <w:vAlign w:val="center"/>
          </w:tcPr>
          <w:p w14:paraId="38D53647"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0" w:type="auto"/>
            <w:shd w:val="clear" w:color="auto" w:fill="auto"/>
            <w:vAlign w:val="center"/>
          </w:tcPr>
          <w:p w14:paraId="66900CA5" w14:textId="77777777" w:rsidR="00826B2C" w:rsidRPr="00154472" w:rsidRDefault="00826B2C" w:rsidP="00E871C8">
            <w:pPr>
              <w:spacing w:before="80" w:after="80" w:line="160" w:lineRule="exact"/>
              <w:jc w:val="center"/>
              <w:rPr>
                <w:sz w:val="18"/>
                <w:szCs w:val="18"/>
                <w:lang w:val="fr-FR"/>
              </w:rPr>
            </w:pPr>
            <w:r w:rsidRPr="00154472">
              <w:rPr>
                <w:sz w:val="18"/>
                <w:szCs w:val="18"/>
                <w:lang w:val="fr-FR"/>
              </w:rPr>
              <w:t>Signe conventionnel et couleur du signe</w:t>
            </w:r>
          </w:p>
        </w:tc>
        <w:tc>
          <w:tcPr>
            <w:tcW w:w="0" w:type="auto"/>
            <w:shd w:val="clear" w:color="auto" w:fill="auto"/>
            <w:vAlign w:val="center"/>
          </w:tcPr>
          <w:p w14:paraId="3F420164"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Fond</w:t>
            </w:r>
          </w:p>
        </w:tc>
        <w:tc>
          <w:tcPr>
            <w:tcW w:w="0" w:type="auto"/>
            <w:shd w:val="clear" w:color="auto" w:fill="auto"/>
            <w:vAlign w:val="center"/>
          </w:tcPr>
          <w:p w14:paraId="623C1EEF"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Chiffre figurant dans le coin inférieur (et couleur du chiffre)</w:t>
            </w:r>
          </w:p>
        </w:tc>
        <w:tc>
          <w:tcPr>
            <w:tcW w:w="0" w:type="auto"/>
            <w:shd w:val="clear" w:color="auto" w:fill="auto"/>
            <w:vAlign w:val="center"/>
          </w:tcPr>
          <w:p w14:paraId="377BAD36" w14:textId="77777777" w:rsidR="00826B2C" w:rsidRPr="00154472" w:rsidRDefault="00826B2C" w:rsidP="00E871C8">
            <w:pPr>
              <w:spacing w:before="80" w:after="80" w:line="160" w:lineRule="exact"/>
              <w:ind w:right="43"/>
              <w:jc w:val="center"/>
              <w:rPr>
                <w:sz w:val="18"/>
                <w:szCs w:val="18"/>
                <w:lang w:val="fr-FR" w:eastAsia="ru-RU"/>
              </w:rPr>
            </w:pPr>
            <w:r w:rsidRPr="00154472">
              <w:rPr>
                <w:sz w:val="18"/>
                <w:szCs w:val="18"/>
                <w:lang w:val="fr-FR"/>
              </w:rPr>
              <w:t>Modèles d’étiquettes</w:t>
            </w:r>
          </w:p>
        </w:tc>
        <w:tc>
          <w:tcPr>
            <w:tcW w:w="0" w:type="auto"/>
            <w:shd w:val="clear" w:color="auto" w:fill="auto"/>
            <w:vAlign w:val="center"/>
          </w:tcPr>
          <w:p w14:paraId="1EB0CA29"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Nota</w:t>
            </w:r>
          </w:p>
        </w:tc>
      </w:tr>
      <w:tr w:rsidR="00826B2C" w:rsidRPr="00154472" w14:paraId="5B0A5726" w14:textId="77777777" w:rsidTr="00E871C8">
        <w:trPr>
          <w:tblHeader/>
        </w:trPr>
        <w:tc>
          <w:tcPr>
            <w:tcW w:w="0" w:type="auto"/>
            <w:gridSpan w:val="7"/>
            <w:shd w:val="clear" w:color="auto" w:fill="auto"/>
          </w:tcPr>
          <w:p w14:paraId="114D3C2D" w14:textId="67A318FD"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lasse 7: Matières radioactives</w:t>
            </w:r>
          </w:p>
        </w:tc>
      </w:tr>
      <w:tr w:rsidR="00826B2C" w:rsidRPr="00154472" w14:paraId="1058C565" w14:textId="77777777" w:rsidTr="00E871C8">
        <w:tc>
          <w:tcPr>
            <w:tcW w:w="0" w:type="auto"/>
            <w:shd w:val="clear" w:color="auto" w:fill="auto"/>
          </w:tcPr>
          <w:p w14:paraId="36BE2D9D" w14:textId="77777777" w:rsidR="00826B2C" w:rsidRPr="00154472" w:rsidRDefault="00826B2C" w:rsidP="00E871C8">
            <w:pPr>
              <w:spacing w:before="40" w:after="80"/>
              <w:ind w:right="43"/>
              <w:rPr>
                <w:sz w:val="18"/>
                <w:szCs w:val="18"/>
                <w:lang w:val="fr-FR"/>
              </w:rPr>
            </w:pPr>
            <w:r w:rsidRPr="00154472">
              <w:rPr>
                <w:sz w:val="18"/>
                <w:szCs w:val="18"/>
                <w:lang w:val="fr-FR"/>
              </w:rPr>
              <w:t>7A</w:t>
            </w:r>
          </w:p>
        </w:tc>
        <w:tc>
          <w:tcPr>
            <w:tcW w:w="0" w:type="auto"/>
            <w:shd w:val="clear" w:color="auto" w:fill="auto"/>
          </w:tcPr>
          <w:p w14:paraId="38E8AD96"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Catégorie I </w:t>
            </w:r>
            <w:r>
              <w:rPr>
                <w:sz w:val="18"/>
                <w:szCs w:val="18"/>
                <w:lang w:val="fr-FR"/>
              </w:rPr>
              <w:t>– Blanche</w:t>
            </w:r>
          </w:p>
        </w:tc>
        <w:tc>
          <w:tcPr>
            <w:tcW w:w="0" w:type="auto"/>
            <w:shd w:val="clear" w:color="auto" w:fill="auto"/>
          </w:tcPr>
          <w:p w14:paraId="51582D41" w14:textId="77777777" w:rsidR="00826B2C" w:rsidRPr="00154472" w:rsidRDefault="00826B2C" w:rsidP="00E871C8">
            <w:pPr>
              <w:spacing w:before="40" w:after="80"/>
              <w:ind w:right="43"/>
              <w:jc w:val="center"/>
              <w:rPr>
                <w:sz w:val="18"/>
                <w:szCs w:val="18"/>
                <w:lang w:val="fr-FR"/>
              </w:rPr>
            </w:pPr>
            <w:r w:rsidRPr="00154472">
              <w:rPr>
                <w:sz w:val="18"/>
                <w:szCs w:val="18"/>
                <w:lang w:val="fr-FR"/>
              </w:rPr>
              <w:t>Trèfle: noir</w:t>
            </w:r>
          </w:p>
        </w:tc>
        <w:tc>
          <w:tcPr>
            <w:tcW w:w="0" w:type="auto"/>
            <w:shd w:val="clear" w:color="auto" w:fill="auto"/>
          </w:tcPr>
          <w:p w14:paraId="3ECD07AE" w14:textId="77777777" w:rsidR="00826B2C" w:rsidRPr="00154472" w:rsidRDefault="00826B2C" w:rsidP="00E871C8">
            <w:pPr>
              <w:spacing w:before="40" w:after="80"/>
              <w:ind w:right="43"/>
              <w:jc w:val="center"/>
              <w:rPr>
                <w:sz w:val="18"/>
                <w:szCs w:val="18"/>
                <w:lang w:val="fr-FR"/>
              </w:rPr>
            </w:pPr>
            <w:r w:rsidRPr="00154472">
              <w:rPr>
                <w:sz w:val="18"/>
                <w:szCs w:val="18"/>
                <w:lang w:val="fr-FR"/>
              </w:rPr>
              <w:t>Blanc</w:t>
            </w:r>
          </w:p>
        </w:tc>
        <w:tc>
          <w:tcPr>
            <w:tcW w:w="0" w:type="auto"/>
            <w:shd w:val="clear" w:color="auto" w:fill="auto"/>
          </w:tcPr>
          <w:p w14:paraId="5AAC7BB8"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7 </w:t>
            </w:r>
            <w:r w:rsidRPr="00154472">
              <w:rPr>
                <w:sz w:val="18"/>
                <w:szCs w:val="18"/>
                <w:lang w:val="fr-FR"/>
              </w:rPr>
              <w:br/>
              <w:t>(noir)</w:t>
            </w:r>
          </w:p>
        </w:tc>
        <w:tc>
          <w:tcPr>
            <w:tcW w:w="0" w:type="auto"/>
            <w:shd w:val="clear" w:color="auto" w:fill="auto"/>
            <w:vAlign w:val="center"/>
          </w:tcPr>
          <w:p w14:paraId="2613360F"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21AF21E6" wp14:editId="56B438ED">
                  <wp:extent cx="828675" cy="828675"/>
                  <wp:effectExtent l="0" t="0" r="9525" b="9525"/>
                  <wp:docPr id="56" name="Picture 56"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dioactive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4A0DACB9" w14:textId="77777777" w:rsidR="00826B2C" w:rsidRPr="00154472" w:rsidRDefault="00826B2C" w:rsidP="00E871C8">
            <w:pPr>
              <w:spacing w:before="40" w:after="80" w:line="238" w:lineRule="auto"/>
              <w:ind w:right="45"/>
              <w:rPr>
                <w:sz w:val="18"/>
                <w:szCs w:val="18"/>
                <w:lang w:val="fr-FR"/>
              </w:rPr>
            </w:pPr>
            <w:r w:rsidRPr="00154472">
              <w:rPr>
                <w:sz w:val="18"/>
                <w:szCs w:val="18"/>
                <w:lang w:val="fr-FR"/>
              </w:rPr>
              <w:t>Texte (obligatoire), en noir dans la moitié inférieure de l’étiquette :</w:t>
            </w:r>
            <w:r w:rsidRPr="00154472">
              <w:rPr>
                <w:sz w:val="18"/>
                <w:szCs w:val="18"/>
                <w:lang w:val="fr-FR"/>
              </w:rPr>
              <w:br/>
              <w:t>"RADIOACTIVE"</w:t>
            </w:r>
            <w:r w:rsidRPr="00154472">
              <w:rPr>
                <w:sz w:val="18"/>
                <w:szCs w:val="18"/>
                <w:lang w:val="fr-FR"/>
              </w:rPr>
              <w:br/>
              <w:t>"CONTENTS..."</w:t>
            </w:r>
            <w:r w:rsidRPr="00154472">
              <w:rPr>
                <w:sz w:val="18"/>
                <w:szCs w:val="18"/>
                <w:lang w:val="fr-FR"/>
              </w:rPr>
              <w:br/>
              <w:t>"ACTIVITY..."</w:t>
            </w:r>
          </w:p>
          <w:p w14:paraId="09A815CB" w14:textId="77777777" w:rsidR="00826B2C" w:rsidRPr="00154472" w:rsidRDefault="00826B2C" w:rsidP="00E871C8">
            <w:pPr>
              <w:spacing w:before="40" w:after="80" w:line="238" w:lineRule="auto"/>
              <w:ind w:right="45"/>
              <w:rPr>
                <w:sz w:val="18"/>
                <w:szCs w:val="18"/>
                <w:lang w:val="fr-FR"/>
              </w:rPr>
            </w:pPr>
            <w:r w:rsidRPr="00154472">
              <w:rPr>
                <w:sz w:val="18"/>
                <w:szCs w:val="18"/>
                <w:lang w:val="fr-FR"/>
              </w:rPr>
              <w:t>Le mot "RADIOACTIVE" doit être suivi d’une barre verticale rouge.</w:t>
            </w:r>
          </w:p>
        </w:tc>
      </w:tr>
      <w:tr w:rsidR="00826B2C" w:rsidRPr="00154472" w14:paraId="0B4DF4F1" w14:textId="77777777" w:rsidTr="00E871C8">
        <w:tc>
          <w:tcPr>
            <w:tcW w:w="0" w:type="auto"/>
            <w:shd w:val="clear" w:color="auto" w:fill="auto"/>
          </w:tcPr>
          <w:p w14:paraId="38997375" w14:textId="77777777" w:rsidR="00826B2C" w:rsidRPr="00154472" w:rsidRDefault="00826B2C" w:rsidP="00E871C8">
            <w:pPr>
              <w:spacing w:before="40" w:after="80"/>
              <w:ind w:right="43"/>
              <w:rPr>
                <w:sz w:val="18"/>
                <w:szCs w:val="18"/>
                <w:lang w:val="fr-FR"/>
              </w:rPr>
            </w:pPr>
            <w:r w:rsidRPr="00154472">
              <w:rPr>
                <w:sz w:val="18"/>
                <w:szCs w:val="18"/>
                <w:lang w:val="fr-FR"/>
              </w:rPr>
              <w:t>7B</w:t>
            </w:r>
          </w:p>
        </w:tc>
        <w:tc>
          <w:tcPr>
            <w:tcW w:w="0" w:type="auto"/>
            <w:shd w:val="clear" w:color="auto" w:fill="auto"/>
          </w:tcPr>
          <w:p w14:paraId="71EF1915" w14:textId="77777777" w:rsidR="00826B2C" w:rsidRPr="00154472" w:rsidRDefault="00826B2C" w:rsidP="00E871C8">
            <w:pPr>
              <w:spacing w:before="40" w:after="80"/>
              <w:ind w:right="43"/>
              <w:jc w:val="center"/>
              <w:rPr>
                <w:sz w:val="18"/>
                <w:szCs w:val="18"/>
                <w:lang w:val="fr-FR" w:eastAsia="ru-RU"/>
              </w:rPr>
            </w:pPr>
            <w:r w:rsidRPr="00154472">
              <w:rPr>
                <w:sz w:val="18"/>
                <w:szCs w:val="18"/>
                <w:lang w:val="fr-FR"/>
              </w:rPr>
              <w:t>Catégorie II</w:t>
            </w:r>
            <w:r>
              <w:rPr>
                <w:sz w:val="18"/>
                <w:szCs w:val="18"/>
                <w:lang w:val="fr-FR"/>
              </w:rPr>
              <w:t xml:space="preserve"> – Jaune</w:t>
            </w:r>
          </w:p>
        </w:tc>
        <w:tc>
          <w:tcPr>
            <w:tcW w:w="0" w:type="auto"/>
            <w:shd w:val="clear" w:color="auto" w:fill="auto"/>
          </w:tcPr>
          <w:p w14:paraId="7CA222B3" w14:textId="77777777" w:rsidR="00826B2C" w:rsidRPr="00154472" w:rsidRDefault="00826B2C" w:rsidP="00E871C8">
            <w:pPr>
              <w:spacing w:before="40" w:after="80"/>
              <w:ind w:right="43"/>
              <w:jc w:val="center"/>
              <w:rPr>
                <w:sz w:val="18"/>
                <w:szCs w:val="18"/>
                <w:lang w:val="fr-FR"/>
              </w:rPr>
            </w:pPr>
            <w:r w:rsidRPr="00154472">
              <w:rPr>
                <w:sz w:val="18"/>
                <w:szCs w:val="18"/>
                <w:lang w:val="fr-FR"/>
              </w:rPr>
              <w:t>Trèfle: noir</w:t>
            </w:r>
          </w:p>
        </w:tc>
        <w:tc>
          <w:tcPr>
            <w:tcW w:w="0" w:type="auto"/>
            <w:shd w:val="clear" w:color="auto" w:fill="auto"/>
          </w:tcPr>
          <w:p w14:paraId="731A38C4" w14:textId="77777777" w:rsidR="00826B2C" w:rsidRPr="00154472" w:rsidRDefault="00826B2C" w:rsidP="00E871C8">
            <w:pPr>
              <w:spacing w:before="40" w:after="80"/>
              <w:ind w:right="43"/>
              <w:jc w:val="center"/>
              <w:rPr>
                <w:sz w:val="18"/>
                <w:szCs w:val="18"/>
                <w:lang w:val="fr-FR" w:eastAsia="ru-RU"/>
              </w:rPr>
            </w:pPr>
            <w:r w:rsidRPr="00154472">
              <w:rPr>
                <w:sz w:val="18"/>
                <w:szCs w:val="18"/>
                <w:lang w:val="fr-FR"/>
              </w:rPr>
              <w:t>Jaune avec bordure blanche (moitié supérieure) et blanc (moitié inférieure)</w:t>
            </w:r>
          </w:p>
        </w:tc>
        <w:tc>
          <w:tcPr>
            <w:tcW w:w="0" w:type="auto"/>
            <w:shd w:val="clear" w:color="auto" w:fill="auto"/>
          </w:tcPr>
          <w:p w14:paraId="5000AE43"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7 </w:t>
            </w:r>
            <w:r w:rsidRPr="00154472">
              <w:rPr>
                <w:sz w:val="18"/>
                <w:szCs w:val="18"/>
                <w:lang w:val="fr-FR"/>
              </w:rPr>
              <w:br/>
              <w:t>(noir)</w:t>
            </w:r>
          </w:p>
        </w:tc>
        <w:tc>
          <w:tcPr>
            <w:tcW w:w="0" w:type="auto"/>
            <w:shd w:val="clear" w:color="auto" w:fill="auto"/>
            <w:vAlign w:val="center"/>
          </w:tcPr>
          <w:p w14:paraId="452A324E"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5AF8BF6A" wp14:editId="13D42977">
                  <wp:extent cx="828675" cy="828675"/>
                  <wp:effectExtent l="0" t="0" r="9525" b="9525"/>
                  <wp:docPr id="57" name="Picture 57"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dioactive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7ED8BEBD" w14:textId="77777777" w:rsidR="00826B2C" w:rsidRPr="00154472" w:rsidRDefault="00826B2C" w:rsidP="00E871C8">
            <w:pPr>
              <w:spacing w:before="40" w:after="80" w:line="238" w:lineRule="auto"/>
              <w:ind w:right="45"/>
              <w:rPr>
                <w:sz w:val="18"/>
                <w:szCs w:val="18"/>
                <w:lang w:val="fr-FR"/>
              </w:rPr>
            </w:pPr>
            <w:r w:rsidRPr="00154472">
              <w:rPr>
                <w:sz w:val="18"/>
                <w:szCs w:val="18"/>
                <w:lang w:val="fr-FR"/>
              </w:rPr>
              <w:t>Texte (obligatoire), en noir dans la moitié inférieure de l’étiquette :</w:t>
            </w:r>
            <w:r w:rsidRPr="00154472">
              <w:rPr>
                <w:sz w:val="18"/>
                <w:szCs w:val="18"/>
                <w:lang w:val="fr-FR"/>
              </w:rPr>
              <w:br/>
              <w:t>"RADIOACTIVE"</w:t>
            </w:r>
            <w:r w:rsidRPr="00154472">
              <w:rPr>
                <w:sz w:val="18"/>
                <w:szCs w:val="18"/>
                <w:lang w:val="fr-FR"/>
              </w:rPr>
              <w:br/>
              <w:t>"CONTENTS..."</w:t>
            </w:r>
            <w:r w:rsidRPr="00154472">
              <w:rPr>
                <w:sz w:val="18"/>
                <w:szCs w:val="18"/>
                <w:lang w:val="fr-FR"/>
              </w:rPr>
              <w:br/>
              <w:t>"ACTIVITY..."</w:t>
            </w:r>
          </w:p>
          <w:p w14:paraId="5C1A41C8" w14:textId="77777777" w:rsidR="00826B2C" w:rsidRPr="00154472" w:rsidRDefault="00826B2C" w:rsidP="00E871C8">
            <w:pPr>
              <w:spacing w:before="40" w:after="80" w:line="238" w:lineRule="auto"/>
              <w:ind w:right="45"/>
              <w:rPr>
                <w:sz w:val="18"/>
                <w:szCs w:val="18"/>
                <w:lang w:val="fr-FR"/>
              </w:rPr>
            </w:pPr>
            <w:r w:rsidRPr="00154472">
              <w:rPr>
                <w:sz w:val="18"/>
                <w:szCs w:val="18"/>
                <w:lang w:val="fr-FR"/>
              </w:rPr>
              <w:t>Dans un encadré à bord noir : "TRANSPORT INDEX".</w:t>
            </w:r>
          </w:p>
          <w:p w14:paraId="765A8FDC" w14:textId="77777777" w:rsidR="00826B2C" w:rsidRPr="00154472" w:rsidRDefault="00826B2C" w:rsidP="00E871C8">
            <w:pPr>
              <w:spacing w:before="40" w:after="80" w:line="238" w:lineRule="auto"/>
              <w:ind w:right="45"/>
              <w:rPr>
                <w:sz w:val="18"/>
                <w:szCs w:val="18"/>
                <w:lang w:val="fr-FR"/>
              </w:rPr>
            </w:pPr>
            <w:r w:rsidRPr="00154472">
              <w:rPr>
                <w:sz w:val="18"/>
                <w:szCs w:val="18"/>
                <w:lang w:val="fr-FR"/>
              </w:rPr>
              <w:t>Le mot "RADIOACTIVE" doit être suivi de deux barres verticales rouges.</w:t>
            </w:r>
          </w:p>
        </w:tc>
      </w:tr>
      <w:tr w:rsidR="00826B2C" w:rsidRPr="00154472" w14:paraId="47C63FCB" w14:textId="77777777" w:rsidTr="00E871C8">
        <w:tc>
          <w:tcPr>
            <w:tcW w:w="0" w:type="auto"/>
            <w:shd w:val="clear" w:color="auto" w:fill="auto"/>
          </w:tcPr>
          <w:p w14:paraId="48BA8B81" w14:textId="77777777" w:rsidR="00826B2C" w:rsidRPr="00154472" w:rsidRDefault="00826B2C" w:rsidP="00E871C8">
            <w:pPr>
              <w:spacing w:before="40" w:after="80"/>
              <w:ind w:right="43"/>
              <w:rPr>
                <w:sz w:val="18"/>
                <w:szCs w:val="18"/>
                <w:lang w:val="fr-FR"/>
              </w:rPr>
            </w:pPr>
            <w:r w:rsidRPr="00154472">
              <w:rPr>
                <w:sz w:val="18"/>
                <w:szCs w:val="18"/>
                <w:lang w:val="fr-FR"/>
              </w:rPr>
              <w:t>7C</w:t>
            </w:r>
          </w:p>
        </w:tc>
        <w:tc>
          <w:tcPr>
            <w:tcW w:w="0" w:type="auto"/>
            <w:shd w:val="clear" w:color="auto" w:fill="auto"/>
          </w:tcPr>
          <w:p w14:paraId="3786B86B" w14:textId="77777777" w:rsidR="00826B2C" w:rsidRPr="00154472" w:rsidRDefault="00826B2C" w:rsidP="00E871C8">
            <w:pPr>
              <w:spacing w:before="40" w:after="80"/>
              <w:ind w:right="43"/>
              <w:jc w:val="center"/>
              <w:rPr>
                <w:sz w:val="18"/>
                <w:szCs w:val="18"/>
                <w:lang w:val="fr-FR" w:eastAsia="ru-RU"/>
              </w:rPr>
            </w:pPr>
            <w:r w:rsidRPr="00154472">
              <w:rPr>
                <w:sz w:val="18"/>
                <w:szCs w:val="18"/>
                <w:lang w:val="fr-FR"/>
              </w:rPr>
              <w:t>Catégorie III</w:t>
            </w:r>
            <w:r>
              <w:rPr>
                <w:sz w:val="18"/>
                <w:szCs w:val="18"/>
                <w:lang w:val="fr-FR"/>
              </w:rPr>
              <w:t xml:space="preserve"> – Jaune</w:t>
            </w:r>
          </w:p>
        </w:tc>
        <w:tc>
          <w:tcPr>
            <w:tcW w:w="0" w:type="auto"/>
            <w:shd w:val="clear" w:color="auto" w:fill="auto"/>
          </w:tcPr>
          <w:p w14:paraId="465DB192" w14:textId="77777777" w:rsidR="00826B2C" w:rsidRPr="00154472" w:rsidRDefault="00826B2C" w:rsidP="00E871C8">
            <w:pPr>
              <w:spacing w:before="40" w:after="80"/>
              <w:ind w:right="43"/>
              <w:jc w:val="center"/>
              <w:rPr>
                <w:sz w:val="18"/>
                <w:szCs w:val="18"/>
                <w:lang w:val="fr-FR"/>
              </w:rPr>
            </w:pPr>
            <w:r w:rsidRPr="00154472">
              <w:rPr>
                <w:sz w:val="18"/>
                <w:szCs w:val="18"/>
                <w:lang w:val="fr-FR"/>
              </w:rPr>
              <w:t>Trèfle: noir</w:t>
            </w:r>
          </w:p>
        </w:tc>
        <w:tc>
          <w:tcPr>
            <w:tcW w:w="0" w:type="auto"/>
            <w:shd w:val="clear" w:color="auto" w:fill="auto"/>
          </w:tcPr>
          <w:p w14:paraId="1371F992" w14:textId="77777777" w:rsidR="00826B2C" w:rsidRPr="00154472" w:rsidRDefault="00826B2C" w:rsidP="00E871C8">
            <w:pPr>
              <w:spacing w:before="40" w:after="80"/>
              <w:ind w:right="43"/>
              <w:jc w:val="center"/>
              <w:rPr>
                <w:sz w:val="18"/>
                <w:szCs w:val="18"/>
                <w:lang w:val="fr-FR" w:eastAsia="ru-RU"/>
              </w:rPr>
            </w:pPr>
            <w:r w:rsidRPr="00154472">
              <w:rPr>
                <w:sz w:val="18"/>
                <w:szCs w:val="18"/>
                <w:lang w:val="fr-FR"/>
              </w:rPr>
              <w:t>Jaune avec bordure blanche (moitié supérieure) et blanc (moitié inférieure)</w:t>
            </w:r>
          </w:p>
        </w:tc>
        <w:tc>
          <w:tcPr>
            <w:tcW w:w="0" w:type="auto"/>
            <w:shd w:val="clear" w:color="auto" w:fill="auto"/>
          </w:tcPr>
          <w:p w14:paraId="16800D1D"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7 </w:t>
            </w:r>
            <w:r w:rsidRPr="00154472">
              <w:rPr>
                <w:sz w:val="18"/>
                <w:szCs w:val="18"/>
                <w:lang w:val="fr-FR"/>
              </w:rPr>
              <w:br/>
              <w:t>(noir)</w:t>
            </w:r>
          </w:p>
        </w:tc>
        <w:tc>
          <w:tcPr>
            <w:tcW w:w="0" w:type="auto"/>
            <w:shd w:val="clear" w:color="auto" w:fill="auto"/>
            <w:vAlign w:val="center"/>
          </w:tcPr>
          <w:p w14:paraId="4983D86B"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4D47798B" wp14:editId="4A0EB5FE">
                  <wp:extent cx="828675" cy="828675"/>
                  <wp:effectExtent l="0" t="0" r="9525" b="9525"/>
                  <wp:docPr id="58" name="Picture 6"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dioactive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62125444" w14:textId="77777777" w:rsidR="00826B2C" w:rsidRPr="00154472" w:rsidRDefault="00826B2C" w:rsidP="00E871C8">
            <w:pPr>
              <w:spacing w:before="40" w:after="80" w:line="238" w:lineRule="auto"/>
              <w:ind w:right="45"/>
              <w:rPr>
                <w:sz w:val="18"/>
                <w:szCs w:val="18"/>
                <w:lang w:val="fr-FR"/>
              </w:rPr>
            </w:pPr>
            <w:r w:rsidRPr="00154472">
              <w:rPr>
                <w:sz w:val="18"/>
                <w:szCs w:val="18"/>
                <w:lang w:val="fr-FR"/>
              </w:rPr>
              <w:t>Texte (obligatoire), en noir dans la moitié inférieure de l’étiquette:</w:t>
            </w:r>
            <w:r w:rsidRPr="00154472">
              <w:rPr>
                <w:sz w:val="18"/>
                <w:szCs w:val="18"/>
                <w:lang w:val="fr-FR"/>
              </w:rPr>
              <w:br/>
              <w:t>"RADIOACTIVE"</w:t>
            </w:r>
            <w:r w:rsidRPr="00154472">
              <w:rPr>
                <w:sz w:val="18"/>
                <w:szCs w:val="18"/>
                <w:lang w:val="fr-FR"/>
              </w:rPr>
              <w:br/>
              <w:t>"CONTENTS... "</w:t>
            </w:r>
            <w:r w:rsidRPr="00154472">
              <w:rPr>
                <w:sz w:val="18"/>
                <w:szCs w:val="18"/>
                <w:lang w:val="fr-FR"/>
              </w:rPr>
              <w:br/>
              <w:t>"ACTIVITY... "</w:t>
            </w:r>
          </w:p>
          <w:p w14:paraId="743794E8" w14:textId="77777777" w:rsidR="00826B2C" w:rsidRPr="00154472" w:rsidRDefault="00826B2C" w:rsidP="00E871C8">
            <w:pPr>
              <w:spacing w:before="40" w:after="80" w:line="238" w:lineRule="auto"/>
              <w:ind w:right="45"/>
              <w:rPr>
                <w:sz w:val="18"/>
                <w:szCs w:val="18"/>
                <w:lang w:val="fr-FR"/>
              </w:rPr>
            </w:pPr>
            <w:r w:rsidRPr="00154472">
              <w:rPr>
                <w:sz w:val="18"/>
                <w:szCs w:val="18"/>
                <w:lang w:val="fr-FR"/>
              </w:rPr>
              <w:t xml:space="preserve">Dans un encadré à bord noir: </w:t>
            </w:r>
            <w:r w:rsidRPr="00154472">
              <w:rPr>
                <w:sz w:val="18"/>
                <w:szCs w:val="18"/>
                <w:lang w:val="fr-FR"/>
              </w:rPr>
              <w:br/>
              <w:t>"TRANSPORT INDEX".</w:t>
            </w:r>
          </w:p>
          <w:p w14:paraId="1358912E" w14:textId="77777777" w:rsidR="00826B2C" w:rsidRPr="00154472" w:rsidRDefault="00826B2C" w:rsidP="00E871C8">
            <w:pPr>
              <w:spacing w:before="40" w:after="80" w:line="238" w:lineRule="auto"/>
              <w:ind w:right="45"/>
              <w:rPr>
                <w:sz w:val="18"/>
                <w:szCs w:val="18"/>
                <w:lang w:val="fr-FR"/>
              </w:rPr>
            </w:pPr>
            <w:r w:rsidRPr="00154472">
              <w:rPr>
                <w:sz w:val="18"/>
                <w:szCs w:val="18"/>
                <w:lang w:val="fr-FR"/>
              </w:rPr>
              <w:t>Le mot "RADIOACTIVE" doit être suivi de trois barres verticales rouges.</w:t>
            </w:r>
          </w:p>
        </w:tc>
      </w:tr>
    </w:tbl>
    <w:p w14:paraId="1B8A1D6C" w14:textId="77777777" w:rsidR="00826B2C" w:rsidRPr="00154472" w:rsidRDefault="00826B2C" w:rsidP="00826B2C">
      <w:pPr>
        <w:spacing w:line="240" w:lineRule="auto"/>
        <w:rPr>
          <w:lang w:val="fr-FR"/>
        </w:rPr>
      </w:pPr>
    </w:p>
    <w:p w14:paraId="1C978770" w14:textId="77777777" w:rsidR="00826B2C" w:rsidRPr="00154472" w:rsidRDefault="00826B2C" w:rsidP="00826B2C">
      <w:pPr>
        <w:spacing w:line="240" w:lineRule="auto"/>
        <w:rPr>
          <w:lang w:val="fr-FR"/>
        </w:rPr>
      </w:pPr>
      <w:r w:rsidRPr="00154472">
        <w:rPr>
          <w:lang w:val="fr-FR"/>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55"/>
        <w:gridCol w:w="3369"/>
        <w:gridCol w:w="2402"/>
        <w:gridCol w:w="1118"/>
        <w:gridCol w:w="1599"/>
        <w:gridCol w:w="2068"/>
      </w:tblGrid>
      <w:tr w:rsidR="00826B2C" w:rsidRPr="00154472" w14:paraId="271775FD" w14:textId="77777777" w:rsidTr="00E871C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386EF"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lastRenderedPageBreak/>
              <w:t>No du modèle d’étiquette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CC8851" w14:textId="77777777" w:rsidR="00826B2C" w:rsidRPr="00154472" w:rsidRDefault="00826B2C" w:rsidP="00E871C8">
            <w:pPr>
              <w:spacing w:before="80" w:after="80" w:line="160" w:lineRule="exact"/>
              <w:ind w:right="43"/>
              <w:jc w:val="center"/>
              <w:textDirection w:val="tbLrV"/>
              <w:rPr>
                <w:sz w:val="18"/>
                <w:szCs w:val="18"/>
                <w:lang w:val="fr-FR"/>
              </w:rPr>
            </w:pPr>
            <w:r w:rsidRPr="00154472">
              <w:rPr>
                <w:sz w:val="18"/>
                <w:szCs w:val="18"/>
                <w:lang w:val="fr-FR"/>
              </w:rPr>
              <w:t>Division ou Catégorie</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44967141" w14:textId="77777777" w:rsidR="00826B2C" w:rsidRPr="00154472" w:rsidRDefault="00826B2C" w:rsidP="00E871C8">
            <w:pPr>
              <w:spacing w:before="80" w:after="80" w:line="160" w:lineRule="exact"/>
              <w:jc w:val="center"/>
              <w:rPr>
                <w:sz w:val="18"/>
                <w:szCs w:val="18"/>
                <w:lang w:val="fr-FR"/>
              </w:rPr>
            </w:pPr>
            <w:r w:rsidRPr="00154472">
              <w:rPr>
                <w:sz w:val="18"/>
                <w:szCs w:val="18"/>
                <w:lang w:val="fr-FR"/>
              </w:rPr>
              <w:t>Signe conventionnel et couleur du signe</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5A839EAE"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Fond</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66B71C6"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Chiffre figurant dans le coin inférieur (et couleur du chiffre)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8765E" w14:textId="77777777" w:rsidR="00826B2C" w:rsidRPr="00154472" w:rsidRDefault="00826B2C" w:rsidP="00E871C8">
            <w:pPr>
              <w:spacing w:before="80" w:after="80" w:line="160" w:lineRule="exact"/>
              <w:ind w:right="43"/>
              <w:jc w:val="center"/>
              <w:rPr>
                <w:sz w:val="18"/>
                <w:szCs w:val="18"/>
                <w:lang w:val="fr-FR" w:eastAsia="ru-RU"/>
              </w:rPr>
            </w:pPr>
            <w:r w:rsidRPr="00154472">
              <w:rPr>
                <w:sz w:val="18"/>
                <w:szCs w:val="18"/>
                <w:lang w:val="fr-FR"/>
              </w:rPr>
              <w:t>Modèles d’étiquettes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E1F240" w14:textId="77777777" w:rsidR="00826B2C" w:rsidRPr="00154472" w:rsidRDefault="00826B2C" w:rsidP="00E871C8">
            <w:pPr>
              <w:spacing w:before="80" w:after="80" w:line="160" w:lineRule="exact"/>
              <w:ind w:right="43"/>
              <w:jc w:val="center"/>
              <w:rPr>
                <w:sz w:val="18"/>
                <w:szCs w:val="18"/>
                <w:lang w:val="fr-FR"/>
              </w:rPr>
            </w:pPr>
            <w:r w:rsidRPr="00154472">
              <w:rPr>
                <w:sz w:val="18"/>
                <w:szCs w:val="18"/>
                <w:lang w:val="fr-FR"/>
              </w:rPr>
              <w:t>Note</w:t>
            </w:r>
          </w:p>
        </w:tc>
      </w:tr>
      <w:tr w:rsidR="00826B2C" w:rsidRPr="00154472" w14:paraId="53584B6C" w14:textId="77777777" w:rsidTr="00E871C8">
        <w:trPr>
          <w:tblHeader/>
        </w:trPr>
        <w:tc>
          <w:tcPr>
            <w:tcW w:w="0" w:type="auto"/>
            <w:gridSpan w:val="7"/>
            <w:shd w:val="clear" w:color="auto" w:fill="auto"/>
          </w:tcPr>
          <w:p w14:paraId="4A1644C0" w14:textId="77028423"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lasse 7: Matières radioactives</w:t>
            </w:r>
          </w:p>
        </w:tc>
      </w:tr>
      <w:tr w:rsidR="00826B2C" w:rsidRPr="00154472" w14:paraId="750A9D87" w14:textId="77777777" w:rsidTr="00E871C8">
        <w:tc>
          <w:tcPr>
            <w:tcW w:w="0" w:type="auto"/>
            <w:shd w:val="clear" w:color="auto" w:fill="auto"/>
          </w:tcPr>
          <w:p w14:paraId="7D52479F" w14:textId="77777777" w:rsidR="00826B2C" w:rsidRPr="00154472" w:rsidRDefault="00826B2C" w:rsidP="00E871C8">
            <w:pPr>
              <w:spacing w:before="80" w:after="80"/>
              <w:ind w:right="43"/>
              <w:rPr>
                <w:sz w:val="18"/>
                <w:szCs w:val="18"/>
                <w:lang w:val="fr-FR"/>
              </w:rPr>
            </w:pPr>
            <w:r w:rsidRPr="00154472">
              <w:rPr>
                <w:sz w:val="18"/>
                <w:szCs w:val="18"/>
                <w:lang w:val="fr-FR"/>
              </w:rPr>
              <w:t>7E</w:t>
            </w:r>
          </w:p>
        </w:tc>
        <w:tc>
          <w:tcPr>
            <w:tcW w:w="0" w:type="auto"/>
            <w:shd w:val="clear" w:color="auto" w:fill="auto"/>
          </w:tcPr>
          <w:p w14:paraId="58929359" w14:textId="77777777" w:rsidR="00826B2C" w:rsidRPr="00154472" w:rsidRDefault="00826B2C" w:rsidP="00E871C8">
            <w:pPr>
              <w:spacing w:before="80" w:after="80"/>
              <w:ind w:right="43"/>
              <w:jc w:val="center"/>
              <w:rPr>
                <w:sz w:val="18"/>
                <w:szCs w:val="18"/>
                <w:lang w:val="fr-FR"/>
              </w:rPr>
            </w:pPr>
            <w:r w:rsidRPr="00154472">
              <w:rPr>
                <w:sz w:val="18"/>
                <w:szCs w:val="18"/>
                <w:lang w:val="fr-FR"/>
              </w:rPr>
              <w:t>Matières fissiles</w:t>
            </w:r>
          </w:p>
        </w:tc>
        <w:tc>
          <w:tcPr>
            <w:tcW w:w="3369" w:type="dxa"/>
            <w:shd w:val="clear" w:color="auto" w:fill="auto"/>
          </w:tcPr>
          <w:p w14:paraId="0A2BAF74" w14:textId="77777777" w:rsidR="00826B2C" w:rsidRPr="00154472" w:rsidRDefault="00826B2C" w:rsidP="00E871C8">
            <w:pPr>
              <w:spacing w:before="80" w:after="80"/>
              <w:ind w:right="43"/>
              <w:jc w:val="center"/>
              <w:rPr>
                <w:sz w:val="18"/>
                <w:szCs w:val="18"/>
                <w:lang w:val="fr-FR"/>
              </w:rPr>
            </w:pPr>
            <w:r w:rsidRPr="00154472">
              <w:rPr>
                <w:sz w:val="18"/>
                <w:szCs w:val="18"/>
                <w:lang w:val="fr-FR"/>
              </w:rPr>
              <w:t>-</w:t>
            </w:r>
          </w:p>
        </w:tc>
        <w:tc>
          <w:tcPr>
            <w:tcW w:w="2402" w:type="dxa"/>
            <w:shd w:val="clear" w:color="auto" w:fill="auto"/>
          </w:tcPr>
          <w:p w14:paraId="48F69AC1" w14:textId="77777777" w:rsidR="00826B2C" w:rsidRPr="00154472" w:rsidRDefault="00826B2C" w:rsidP="00E871C8">
            <w:pPr>
              <w:spacing w:before="80" w:after="80"/>
              <w:ind w:right="43"/>
              <w:jc w:val="center"/>
              <w:rPr>
                <w:sz w:val="18"/>
                <w:szCs w:val="18"/>
                <w:lang w:val="fr-FR"/>
              </w:rPr>
            </w:pPr>
            <w:r w:rsidRPr="00154472">
              <w:rPr>
                <w:sz w:val="18"/>
                <w:szCs w:val="18"/>
                <w:lang w:val="fr-FR"/>
              </w:rPr>
              <w:t>Blanc</w:t>
            </w:r>
          </w:p>
        </w:tc>
        <w:tc>
          <w:tcPr>
            <w:tcW w:w="1118" w:type="dxa"/>
            <w:shd w:val="clear" w:color="auto" w:fill="auto"/>
          </w:tcPr>
          <w:p w14:paraId="379BBEFF" w14:textId="77777777" w:rsidR="00826B2C" w:rsidRPr="00154472" w:rsidRDefault="00826B2C" w:rsidP="00E871C8">
            <w:pPr>
              <w:spacing w:before="80" w:after="80"/>
              <w:ind w:right="43"/>
              <w:jc w:val="center"/>
              <w:rPr>
                <w:sz w:val="18"/>
                <w:szCs w:val="18"/>
                <w:lang w:val="fr-FR"/>
              </w:rPr>
            </w:pPr>
            <w:r w:rsidRPr="00154472">
              <w:rPr>
                <w:sz w:val="18"/>
                <w:szCs w:val="18"/>
                <w:lang w:val="fr-FR"/>
              </w:rPr>
              <w:t>7</w:t>
            </w:r>
            <w:r w:rsidRPr="00154472">
              <w:rPr>
                <w:sz w:val="18"/>
                <w:szCs w:val="18"/>
                <w:lang w:val="fr-FR"/>
              </w:rPr>
              <w:br/>
              <w:t>(noir)</w:t>
            </w:r>
          </w:p>
        </w:tc>
        <w:tc>
          <w:tcPr>
            <w:tcW w:w="0" w:type="auto"/>
            <w:shd w:val="clear" w:color="auto" w:fill="auto"/>
            <w:vAlign w:val="center"/>
          </w:tcPr>
          <w:p w14:paraId="6CFB1127" w14:textId="77777777" w:rsidR="00826B2C" w:rsidRPr="00154472" w:rsidRDefault="00826B2C" w:rsidP="00E871C8">
            <w:pPr>
              <w:spacing w:before="8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3168ABB7" wp14:editId="1790482D">
                  <wp:extent cx="828675" cy="828675"/>
                  <wp:effectExtent l="0" t="0" r="9525" b="9525"/>
                  <wp:docPr id="59" name="Picture 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ssil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76CE012C" w14:textId="77777777" w:rsidR="00826B2C" w:rsidRPr="00154472" w:rsidRDefault="00826B2C" w:rsidP="00E871C8">
            <w:pPr>
              <w:spacing w:before="80" w:after="80" w:line="238" w:lineRule="auto"/>
              <w:ind w:right="45"/>
              <w:rPr>
                <w:sz w:val="18"/>
                <w:szCs w:val="18"/>
                <w:lang w:val="fr-FR"/>
              </w:rPr>
            </w:pPr>
            <w:r w:rsidRPr="00154472">
              <w:rPr>
                <w:sz w:val="18"/>
                <w:szCs w:val="18"/>
                <w:lang w:val="fr-FR"/>
              </w:rPr>
              <w:t xml:space="preserve">Texte (obligatoire) : en noir dans la moitié supérieure de l’étiquette : "FISSILE" </w:t>
            </w:r>
          </w:p>
          <w:p w14:paraId="580FE680" w14:textId="77777777" w:rsidR="00826B2C" w:rsidRPr="00154472" w:rsidRDefault="00826B2C" w:rsidP="00E871C8">
            <w:pPr>
              <w:spacing w:before="80" w:after="80" w:line="238" w:lineRule="auto"/>
              <w:ind w:right="45"/>
              <w:rPr>
                <w:sz w:val="18"/>
                <w:szCs w:val="18"/>
                <w:lang w:val="fr-FR"/>
              </w:rPr>
            </w:pPr>
            <w:r w:rsidRPr="00154472">
              <w:rPr>
                <w:sz w:val="18"/>
                <w:szCs w:val="18"/>
                <w:lang w:val="fr-FR"/>
              </w:rPr>
              <w:t>Dans un encadré noir à la partie inférieure de l’étiquette : "CRITICALITY SAFETY INDEX"</w:t>
            </w:r>
          </w:p>
        </w:tc>
      </w:tr>
      <w:tr w:rsidR="00826B2C" w:rsidRPr="00154472" w14:paraId="447387D6" w14:textId="77777777" w:rsidTr="00E871C8">
        <w:tc>
          <w:tcPr>
            <w:tcW w:w="0" w:type="auto"/>
            <w:gridSpan w:val="7"/>
            <w:shd w:val="clear" w:color="auto" w:fill="auto"/>
          </w:tcPr>
          <w:p w14:paraId="334A4CDD" w14:textId="369437F0" w:rsidR="00826B2C" w:rsidRPr="00154472" w:rsidRDefault="00826B2C" w:rsidP="00E871C8">
            <w:pPr>
              <w:spacing w:before="80" w:after="80"/>
              <w:ind w:right="43"/>
              <w:jc w:val="center"/>
              <w:rPr>
                <w:b/>
                <w:sz w:val="18"/>
                <w:szCs w:val="18"/>
                <w:lang w:val="fr-FR"/>
              </w:rPr>
            </w:pPr>
            <w:r>
              <w:rPr>
                <w:b/>
                <w:sz w:val="18"/>
                <w:szCs w:val="18"/>
                <w:lang w:val="fr-FR"/>
              </w:rPr>
              <w:t>Danger de c</w:t>
            </w:r>
            <w:r w:rsidRPr="00154472">
              <w:rPr>
                <w:b/>
                <w:sz w:val="18"/>
                <w:szCs w:val="18"/>
                <w:lang w:val="fr-FR"/>
              </w:rPr>
              <w:t>lasse 8: Matières corrosives</w:t>
            </w:r>
          </w:p>
        </w:tc>
      </w:tr>
      <w:tr w:rsidR="00826B2C" w:rsidRPr="00154472" w14:paraId="469F05E8" w14:textId="77777777" w:rsidTr="00E871C8">
        <w:tc>
          <w:tcPr>
            <w:tcW w:w="0" w:type="auto"/>
            <w:shd w:val="clear" w:color="auto" w:fill="auto"/>
          </w:tcPr>
          <w:p w14:paraId="1F2EF682" w14:textId="77777777" w:rsidR="00826B2C" w:rsidRPr="00154472" w:rsidRDefault="00826B2C" w:rsidP="00E871C8">
            <w:pPr>
              <w:spacing w:before="80" w:after="80"/>
              <w:ind w:right="43"/>
              <w:rPr>
                <w:sz w:val="18"/>
                <w:szCs w:val="18"/>
                <w:lang w:val="fr-FR"/>
              </w:rPr>
            </w:pPr>
            <w:r w:rsidRPr="00154472">
              <w:rPr>
                <w:sz w:val="18"/>
                <w:szCs w:val="18"/>
                <w:lang w:val="fr-FR"/>
              </w:rPr>
              <w:t>8</w:t>
            </w:r>
          </w:p>
        </w:tc>
        <w:tc>
          <w:tcPr>
            <w:tcW w:w="0" w:type="auto"/>
            <w:shd w:val="clear" w:color="auto" w:fill="auto"/>
          </w:tcPr>
          <w:p w14:paraId="67B3A3EE" w14:textId="77777777" w:rsidR="00826B2C" w:rsidRPr="00154472" w:rsidRDefault="00826B2C" w:rsidP="00E871C8">
            <w:pPr>
              <w:spacing w:before="80" w:after="80"/>
              <w:ind w:right="43"/>
              <w:jc w:val="center"/>
              <w:rPr>
                <w:sz w:val="18"/>
                <w:szCs w:val="18"/>
                <w:lang w:val="fr-FR"/>
              </w:rPr>
            </w:pPr>
            <w:r w:rsidRPr="00154472">
              <w:rPr>
                <w:sz w:val="18"/>
                <w:szCs w:val="18"/>
                <w:lang w:val="fr-FR"/>
              </w:rPr>
              <w:t>-</w:t>
            </w:r>
          </w:p>
        </w:tc>
        <w:tc>
          <w:tcPr>
            <w:tcW w:w="3369" w:type="dxa"/>
            <w:shd w:val="clear" w:color="auto" w:fill="auto"/>
          </w:tcPr>
          <w:p w14:paraId="71A4BEF8" w14:textId="77777777" w:rsidR="00826B2C" w:rsidRPr="00154472" w:rsidRDefault="00826B2C" w:rsidP="00E871C8">
            <w:pPr>
              <w:spacing w:before="80" w:after="80"/>
              <w:ind w:right="43"/>
              <w:jc w:val="center"/>
              <w:rPr>
                <w:sz w:val="18"/>
                <w:szCs w:val="18"/>
                <w:lang w:val="fr-FR"/>
              </w:rPr>
            </w:pPr>
            <w:r w:rsidRPr="00154472">
              <w:rPr>
                <w:sz w:val="18"/>
                <w:szCs w:val="18"/>
                <w:lang w:val="fr-FR"/>
              </w:rPr>
              <w:t>Liquides déversés de deux tubes à essai en verre et attaquant une main et un métal: noir</w:t>
            </w:r>
          </w:p>
        </w:tc>
        <w:tc>
          <w:tcPr>
            <w:tcW w:w="2402" w:type="dxa"/>
            <w:shd w:val="clear" w:color="auto" w:fill="auto"/>
          </w:tcPr>
          <w:p w14:paraId="583F244E" w14:textId="77777777" w:rsidR="00826B2C" w:rsidRPr="00154472" w:rsidRDefault="00826B2C" w:rsidP="00E871C8">
            <w:pPr>
              <w:spacing w:before="80" w:after="80"/>
              <w:ind w:right="43"/>
              <w:jc w:val="center"/>
              <w:rPr>
                <w:sz w:val="18"/>
                <w:szCs w:val="18"/>
                <w:lang w:val="fr-FR" w:eastAsia="ru-RU"/>
              </w:rPr>
            </w:pPr>
            <w:r w:rsidRPr="00154472">
              <w:rPr>
                <w:sz w:val="18"/>
                <w:szCs w:val="18"/>
                <w:lang w:val="fr-FR"/>
              </w:rPr>
              <w:t xml:space="preserve">Blanc (moitié supérieure) </w:t>
            </w:r>
            <w:r w:rsidRPr="00154472">
              <w:rPr>
                <w:sz w:val="18"/>
                <w:szCs w:val="18"/>
                <w:lang w:val="fr-FR"/>
              </w:rPr>
              <w:br/>
              <w:t>et noir avec bordure blanche (moitié inférieure)</w:t>
            </w:r>
          </w:p>
        </w:tc>
        <w:tc>
          <w:tcPr>
            <w:tcW w:w="0" w:type="auto"/>
            <w:shd w:val="clear" w:color="auto" w:fill="auto"/>
          </w:tcPr>
          <w:p w14:paraId="0960BA0D" w14:textId="77777777" w:rsidR="00826B2C" w:rsidRPr="00154472" w:rsidRDefault="00826B2C" w:rsidP="00E871C8">
            <w:pPr>
              <w:spacing w:before="80" w:after="80"/>
              <w:ind w:right="43"/>
              <w:jc w:val="center"/>
              <w:rPr>
                <w:sz w:val="18"/>
                <w:szCs w:val="18"/>
                <w:lang w:val="fr-FR"/>
              </w:rPr>
            </w:pPr>
            <w:r w:rsidRPr="00154472">
              <w:rPr>
                <w:sz w:val="18"/>
                <w:szCs w:val="18"/>
                <w:lang w:val="fr-FR"/>
              </w:rPr>
              <w:t xml:space="preserve">8 </w:t>
            </w:r>
            <w:r w:rsidRPr="00154472">
              <w:rPr>
                <w:sz w:val="18"/>
                <w:szCs w:val="18"/>
                <w:lang w:val="fr-FR"/>
              </w:rPr>
              <w:br/>
              <w:t>(blanc)</w:t>
            </w:r>
          </w:p>
        </w:tc>
        <w:tc>
          <w:tcPr>
            <w:tcW w:w="0" w:type="auto"/>
            <w:shd w:val="clear" w:color="auto" w:fill="auto"/>
            <w:vAlign w:val="center"/>
          </w:tcPr>
          <w:p w14:paraId="5ECE45E9" w14:textId="77777777" w:rsidR="00826B2C" w:rsidRPr="00154472" w:rsidRDefault="00826B2C" w:rsidP="00E871C8">
            <w:pPr>
              <w:spacing w:before="8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152D9EC6" wp14:editId="1230BCCB">
                  <wp:extent cx="828675" cy="828675"/>
                  <wp:effectExtent l="0" t="0" r="9525" b="9525"/>
                  <wp:docPr id="60" name="Picture 4"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2A5CD689" w14:textId="77777777" w:rsidR="00826B2C" w:rsidRPr="00154472" w:rsidRDefault="00826B2C" w:rsidP="00E871C8">
            <w:pPr>
              <w:spacing w:before="80" w:after="80"/>
              <w:ind w:right="43"/>
              <w:jc w:val="center"/>
              <w:rPr>
                <w:sz w:val="18"/>
                <w:szCs w:val="18"/>
                <w:lang w:val="fr-FR"/>
              </w:rPr>
            </w:pPr>
            <w:r w:rsidRPr="00154472">
              <w:rPr>
                <w:sz w:val="18"/>
                <w:szCs w:val="18"/>
                <w:lang w:val="fr-FR"/>
              </w:rPr>
              <w:t>-</w:t>
            </w:r>
          </w:p>
        </w:tc>
      </w:tr>
      <w:tr w:rsidR="00826B2C" w:rsidRPr="00154472" w14:paraId="2426A9DD" w14:textId="77777777" w:rsidTr="00E871C8">
        <w:tc>
          <w:tcPr>
            <w:tcW w:w="0" w:type="auto"/>
            <w:gridSpan w:val="7"/>
            <w:shd w:val="clear" w:color="auto" w:fill="auto"/>
          </w:tcPr>
          <w:p w14:paraId="5DB281B3" w14:textId="6F32CA87" w:rsidR="00826B2C" w:rsidRPr="00154472" w:rsidRDefault="00826B2C" w:rsidP="00E871C8">
            <w:pPr>
              <w:spacing w:before="40" w:after="80"/>
              <w:ind w:right="43"/>
              <w:jc w:val="center"/>
              <w:rPr>
                <w:b/>
                <w:sz w:val="18"/>
                <w:szCs w:val="18"/>
                <w:lang w:val="fr-FR"/>
              </w:rPr>
            </w:pPr>
            <w:r>
              <w:rPr>
                <w:b/>
                <w:sz w:val="18"/>
                <w:szCs w:val="18"/>
                <w:lang w:val="fr-FR"/>
              </w:rPr>
              <w:t>Danger de c</w:t>
            </w:r>
            <w:r w:rsidRPr="00154472">
              <w:rPr>
                <w:b/>
                <w:sz w:val="18"/>
                <w:szCs w:val="18"/>
                <w:lang w:val="fr-FR"/>
              </w:rPr>
              <w:t>lasse 9: Matières et objets dangereux divers, y compris les matières dangereuses pour l’environnement</w:t>
            </w:r>
          </w:p>
        </w:tc>
      </w:tr>
      <w:tr w:rsidR="00826B2C" w:rsidRPr="00154472" w14:paraId="21BC14B7" w14:textId="77777777" w:rsidTr="00E871C8">
        <w:tc>
          <w:tcPr>
            <w:tcW w:w="0" w:type="auto"/>
            <w:shd w:val="clear" w:color="auto" w:fill="auto"/>
          </w:tcPr>
          <w:p w14:paraId="7A4F4418" w14:textId="77777777" w:rsidR="00826B2C" w:rsidRPr="00154472" w:rsidRDefault="00826B2C" w:rsidP="00E871C8">
            <w:pPr>
              <w:spacing w:before="40" w:after="80"/>
              <w:ind w:right="43"/>
              <w:rPr>
                <w:sz w:val="18"/>
                <w:szCs w:val="18"/>
                <w:lang w:val="fr-FR"/>
              </w:rPr>
            </w:pPr>
            <w:r w:rsidRPr="00154472">
              <w:rPr>
                <w:sz w:val="18"/>
                <w:szCs w:val="18"/>
                <w:lang w:val="fr-FR"/>
              </w:rPr>
              <w:t>9</w:t>
            </w:r>
          </w:p>
        </w:tc>
        <w:tc>
          <w:tcPr>
            <w:tcW w:w="0" w:type="auto"/>
            <w:shd w:val="clear" w:color="auto" w:fill="auto"/>
          </w:tcPr>
          <w:p w14:paraId="4DF4517E"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c>
          <w:tcPr>
            <w:tcW w:w="3369" w:type="dxa"/>
            <w:shd w:val="clear" w:color="auto" w:fill="auto"/>
          </w:tcPr>
          <w:p w14:paraId="30E72385" w14:textId="77777777" w:rsidR="00826B2C" w:rsidRPr="00154472" w:rsidRDefault="00826B2C" w:rsidP="00E871C8">
            <w:pPr>
              <w:spacing w:before="40" w:after="80"/>
              <w:ind w:right="43"/>
              <w:jc w:val="center"/>
              <w:rPr>
                <w:sz w:val="18"/>
                <w:szCs w:val="18"/>
                <w:lang w:val="fr-FR"/>
              </w:rPr>
            </w:pPr>
            <w:r w:rsidRPr="00154472">
              <w:rPr>
                <w:sz w:val="18"/>
                <w:szCs w:val="18"/>
                <w:lang w:val="fr-FR"/>
              </w:rPr>
              <w:t>7 lignes verticales dans la moitié supérieure: noir</w:t>
            </w:r>
          </w:p>
        </w:tc>
        <w:tc>
          <w:tcPr>
            <w:tcW w:w="2402" w:type="dxa"/>
            <w:shd w:val="clear" w:color="auto" w:fill="auto"/>
          </w:tcPr>
          <w:p w14:paraId="2E4A6981" w14:textId="77777777" w:rsidR="00826B2C" w:rsidRPr="00154472" w:rsidRDefault="00826B2C" w:rsidP="00E871C8">
            <w:pPr>
              <w:spacing w:before="40" w:after="80"/>
              <w:ind w:right="43"/>
              <w:jc w:val="center"/>
              <w:rPr>
                <w:sz w:val="18"/>
                <w:szCs w:val="18"/>
                <w:lang w:val="fr-FR"/>
              </w:rPr>
            </w:pPr>
            <w:r w:rsidRPr="00154472">
              <w:rPr>
                <w:sz w:val="18"/>
                <w:szCs w:val="18"/>
                <w:lang w:val="fr-FR"/>
              </w:rPr>
              <w:t>Blanc</w:t>
            </w:r>
          </w:p>
        </w:tc>
        <w:tc>
          <w:tcPr>
            <w:tcW w:w="0" w:type="auto"/>
            <w:shd w:val="clear" w:color="auto" w:fill="auto"/>
          </w:tcPr>
          <w:p w14:paraId="77BE3893"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9 souligné </w:t>
            </w:r>
            <w:r w:rsidRPr="00154472">
              <w:rPr>
                <w:sz w:val="18"/>
                <w:szCs w:val="18"/>
                <w:lang w:val="fr-FR"/>
              </w:rPr>
              <w:br/>
              <w:t>(noir)</w:t>
            </w:r>
          </w:p>
        </w:tc>
        <w:tc>
          <w:tcPr>
            <w:tcW w:w="0" w:type="auto"/>
            <w:shd w:val="clear" w:color="auto" w:fill="auto"/>
            <w:vAlign w:val="center"/>
          </w:tcPr>
          <w:p w14:paraId="578D60E1" w14:textId="77777777" w:rsidR="00826B2C" w:rsidRPr="00154472" w:rsidRDefault="00826B2C" w:rsidP="00E871C8">
            <w:pPr>
              <w:spacing w:before="40" w:after="80" w:line="240" w:lineRule="auto"/>
              <w:ind w:right="43"/>
              <w:jc w:val="center"/>
              <w:rPr>
                <w:sz w:val="18"/>
                <w:szCs w:val="18"/>
                <w:lang w:val="fr-FR" w:eastAsia="ru-RU"/>
              </w:rPr>
            </w:pPr>
            <w:r w:rsidRPr="00154472">
              <w:rPr>
                <w:rFonts w:eastAsia="SimSun"/>
                <w:noProof/>
                <w:lang w:val="en-GB" w:eastAsia="en-GB"/>
              </w:rPr>
              <w:drawing>
                <wp:inline distT="0" distB="0" distL="0" distR="0" wp14:anchorId="72C76753" wp14:editId="66D3C21A">
                  <wp:extent cx="828675" cy="833755"/>
                  <wp:effectExtent l="0" t="0" r="9525" b="4445"/>
                  <wp:docPr id="61" name="Picture 3"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28675" cy="833755"/>
                          </a:xfrm>
                          <a:prstGeom prst="rect">
                            <a:avLst/>
                          </a:prstGeom>
                          <a:noFill/>
                          <a:ln>
                            <a:noFill/>
                          </a:ln>
                        </pic:spPr>
                      </pic:pic>
                    </a:graphicData>
                  </a:graphic>
                </wp:inline>
              </w:drawing>
            </w:r>
          </w:p>
        </w:tc>
        <w:tc>
          <w:tcPr>
            <w:tcW w:w="0" w:type="auto"/>
            <w:shd w:val="clear" w:color="auto" w:fill="auto"/>
          </w:tcPr>
          <w:p w14:paraId="65CA6CC8"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r>
      <w:tr w:rsidR="00826B2C" w:rsidRPr="00154472" w14:paraId="1116F569" w14:textId="77777777" w:rsidTr="00E871C8">
        <w:tc>
          <w:tcPr>
            <w:tcW w:w="0" w:type="auto"/>
            <w:tcBorders>
              <w:top w:val="single" w:sz="4" w:space="0" w:color="auto"/>
              <w:left w:val="single" w:sz="4" w:space="0" w:color="auto"/>
              <w:bottom w:val="single" w:sz="4" w:space="0" w:color="auto"/>
              <w:right w:val="single" w:sz="4" w:space="0" w:color="auto"/>
            </w:tcBorders>
            <w:shd w:val="clear" w:color="auto" w:fill="auto"/>
          </w:tcPr>
          <w:p w14:paraId="47738513" w14:textId="77777777" w:rsidR="00826B2C" w:rsidRPr="00154472" w:rsidRDefault="00826B2C" w:rsidP="00E871C8">
            <w:pPr>
              <w:spacing w:before="40" w:after="80"/>
              <w:ind w:right="43"/>
              <w:rPr>
                <w:sz w:val="18"/>
                <w:szCs w:val="18"/>
                <w:lang w:val="fr-FR"/>
              </w:rPr>
            </w:pPr>
            <w:r w:rsidRPr="00154472">
              <w:rPr>
                <w:sz w:val="18"/>
                <w:szCs w:val="18"/>
                <w:lang w:val="fr-FR"/>
              </w:rPr>
              <w:t>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50684" w14:textId="77777777" w:rsidR="00826B2C" w:rsidRPr="00154472" w:rsidRDefault="00826B2C" w:rsidP="00E871C8">
            <w:pPr>
              <w:spacing w:before="40" w:after="80"/>
              <w:ind w:right="43"/>
              <w:jc w:val="center"/>
              <w:rPr>
                <w:sz w:val="18"/>
                <w:szCs w:val="18"/>
                <w:lang w:val="fr-FR" w:eastAsia="ru-RU"/>
              </w:rPr>
            </w:pPr>
            <w:r w:rsidRPr="00154472">
              <w:rPr>
                <w:sz w:val="18"/>
                <w:szCs w:val="18"/>
                <w:lang w:val="fr-FR"/>
              </w:rPr>
              <w:t>-</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6297BCE9"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7 lignes verticales dans la moitié supérieure: noir; </w:t>
            </w:r>
            <w:r w:rsidRPr="00154472">
              <w:rPr>
                <w:sz w:val="18"/>
                <w:szCs w:val="18"/>
                <w:lang w:val="fr-FR"/>
              </w:rPr>
              <w:br/>
              <w:t>Dans la moitié inférieure un groupe de piles et batteries, l’une endommagée, avec une flamme: noir</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72371101" w14:textId="77777777" w:rsidR="00826B2C" w:rsidRPr="00154472" w:rsidRDefault="00826B2C" w:rsidP="00E871C8">
            <w:pPr>
              <w:spacing w:before="40" w:after="80"/>
              <w:ind w:right="43"/>
              <w:jc w:val="center"/>
              <w:rPr>
                <w:sz w:val="18"/>
                <w:szCs w:val="18"/>
                <w:lang w:val="fr-FR"/>
              </w:rPr>
            </w:pPr>
            <w:r w:rsidRPr="00154472">
              <w:rPr>
                <w:sz w:val="18"/>
                <w:szCs w:val="18"/>
                <w:lang w:val="fr-FR"/>
              </w:rPr>
              <w:t>Blanc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455D0" w14:textId="77777777" w:rsidR="00826B2C" w:rsidRPr="00154472" w:rsidRDefault="00826B2C" w:rsidP="00E871C8">
            <w:pPr>
              <w:spacing w:before="40" w:after="80"/>
              <w:ind w:right="43"/>
              <w:jc w:val="center"/>
              <w:rPr>
                <w:sz w:val="18"/>
                <w:szCs w:val="18"/>
                <w:lang w:val="fr-FR"/>
              </w:rPr>
            </w:pPr>
            <w:r w:rsidRPr="00154472">
              <w:rPr>
                <w:sz w:val="18"/>
                <w:szCs w:val="18"/>
                <w:lang w:val="fr-FR"/>
              </w:rPr>
              <w:t xml:space="preserve">9 souligné </w:t>
            </w:r>
            <w:r w:rsidRPr="00154472">
              <w:rPr>
                <w:sz w:val="18"/>
                <w:szCs w:val="18"/>
                <w:lang w:val="fr-FR"/>
              </w:rPr>
              <w:br/>
              <w:t>(noir)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CEF8A" w14:textId="77777777" w:rsidR="00826B2C" w:rsidRPr="00154472" w:rsidRDefault="00826B2C" w:rsidP="00E871C8">
            <w:pPr>
              <w:spacing w:before="40" w:after="80" w:line="240" w:lineRule="auto"/>
              <w:ind w:right="43"/>
              <w:jc w:val="center"/>
              <w:rPr>
                <w:noProof/>
                <w:sz w:val="18"/>
                <w:szCs w:val="18"/>
                <w:lang w:val="fr-FR" w:eastAsia="en-GB"/>
              </w:rPr>
            </w:pPr>
            <w:r w:rsidRPr="00154472">
              <w:rPr>
                <w:rFonts w:eastAsia="SimSun"/>
                <w:noProof/>
                <w:lang w:val="en-GB" w:eastAsia="en-GB"/>
              </w:rPr>
              <w:drawing>
                <wp:inline distT="0" distB="0" distL="0" distR="0" wp14:anchorId="64CA4F76" wp14:editId="405750E9">
                  <wp:extent cx="828675" cy="828675"/>
                  <wp:effectExtent l="0" t="0" r="9525" b="9525"/>
                  <wp:docPr id="62" name="Picture 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E7F51" w14:textId="77777777" w:rsidR="00826B2C" w:rsidRPr="00154472" w:rsidRDefault="00826B2C" w:rsidP="00E871C8">
            <w:pPr>
              <w:spacing w:before="40" w:after="80"/>
              <w:ind w:right="43"/>
              <w:jc w:val="center"/>
              <w:rPr>
                <w:sz w:val="18"/>
                <w:szCs w:val="18"/>
                <w:lang w:val="fr-FR"/>
              </w:rPr>
            </w:pPr>
            <w:r w:rsidRPr="00154472">
              <w:rPr>
                <w:sz w:val="18"/>
                <w:szCs w:val="18"/>
                <w:lang w:val="fr-FR"/>
              </w:rPr>
              <w:t>-</w:t>
            </w:r>
          </w:p>
        </w:tc>
      </w:tr>
    </w:tbl>
    <w:p w14:paraId="1F88594B" w14:textId="5AD6AD1D" w:rsidR="00826B2C" w:rsidRDefault="00286CE7">
      <w:r>
        <w:rPr>
          <w:iCs/>
          <w:lang w:val="fr-FR"/>
        </w:rPr>
        <w:t> </w:t>
      </w:r>
      <w:r w:rsidR="00826B2C" w:rsidRPr="00154472">
        <w:rPr>
          <w:iCs/>
          <w:lang w:val="fr-FR"/>
        </w:rPr>
        <w:t>»</w:t>
      </w:r>
      <w:r w:rsidR="00826B2C">
        <w:rPr>
          <w:iCs/>
          <w:lang w:val="fr-FR"/>
        </w:rPr>
        <w:t>.</w:t>
      </w:r>
    </w:p>
    <w:p w14:paraId="73A6E089" w14:textId="4EBB6F55" w:rsidR="00D53F01" w:rsidRPr="00116ECE" w:rsidRDefault="00D53F01" w:rsidP="00D53F01">
      <w:pPr>
        <w:pStyle w:val="SingleTxtG"/>
        <w:rPr>
          <w:i/>
        </w:rPr>
      </w:pPr>
    </w:p>
    <w:p w14:paraId="4F603402" w14:textId="437A3A20" w:rsidR="00196C06" w:rsidRPr="00116ECE" w:rsidRDefault="00196C06" w:rsidP="00196C06">
      <w:pPr>
        <w:rPr>
          <w:lang w:val="fr-FR"/>
        </w:rPr>
        <w:sectPr w:rsidR="00196C06" w:rsidRPr="00116ECE" w:rsidSect="006201FD">
          <w:headerReference w:type="even" r:id="rId60"/>
          <w:headerReference w:type="default" r:id="rId61"/>
          <w:footerReference w:type="even" r:id="rId62"/>
          <w:footerReference w:type="default" r:id="rId63"/>
          <w:headerReference w:type="first" r:id="rId64"/>
          <w:endnotePr>
            <w:numFmt w:val="decimal"/>
          </w:endnotePr>
          <w:pgSz w:w="16840" w:h="11907" w:orient="landscape" w:code="9"/>
          <w:pgMar w:top="1134" w:right="1701" w:bottom="1134" w:left="2268" w:header="567" w:footer="567" w:gutter="0"/>
          <w:cols w:space="720"/>
          <w:docGrid w:linePitch="272"/>
        </w:sectPr>
      </w:pPr>
    </w:p>
    <w:p w14:paraId="38B822C5" w14:textId="77777777" w:rsidR="00196C06" w:rsidRPr="00116ECE" w:rsidRDefault="00196C06" w:rsidP="00196C06">
      <w:pPr>
        <w:pStyle w:val="H1G"/>
        <w:spacing w:before="0"/>
        <w:rPr>
          <w:lang w:val="fr-FR"/>
        </w:rPr>
      </w:pPr>
      <w:r w:rsidRPr="00116ECE">
        <w:rPr>
          <w:lang w:val="fr-FR"/>
        </w:rPr>
        <w:lastRenderedPageBreak/>
        <w:tab/>
      </w:r>
      <w:r w:rsidRPr="00116ECE">
        <w:rPr>
          <w:lang w:val="fr-FR"/>
        </w:rPr>
        <w:tab/>
        <w:t>Chapitre 5.3</w:t>
      </w:r>
    </w:p>
    <w:p w14:paraId="1ABCEA5B" w14:textId="764C5538" w:rsidR="005860E1" w:rsidRPr="00116ECE" w:rsidRDefault="005860E1" w:rsidP="005860E1">
      <w:pPr>
        <w:pStyle w:val="SingleTxtG"/>
        <w:rPr>
          <w:iCs/>
          <w:lang w:val="fr-FR"/>
        </w:rPr>
      </w:pPr>
      <w:r w:rsidRPr="00116ECE">
        <w:rPr>
          <w:iCs/>
          <w:lang w:val="fr-FR"/>
        </w:rPr>
        <w:t>Dans le titre du chapitre 5.3, après « CONTENEURS, » ajouter « CONTENEURS POUR VRAC, ».</w:t>
      </w:r>
    </w:p>
    <w:p w14:paraId="78FC7040" w14:textId="0AC92357" w:rsidR="005860E1" w:rsidRPr="00116ECE" w:rsidRDefault="005860E1" w:rsidP="005860E1">
      <w:pPr>
        <w:pStyle w:val="SingleTxtG"/>
        <w:rPr>
          <w:iCs/>
          <w:lang w:val="fr-FR"/>
        </w:rPr>
      </w:pPr>
      <w:r w:rsidRPr="00116ECE">
        <w:rPr>
          <w:iCs/>
          <w:lang w:val="fr-FR"/>
        </w:rPr>
        <w:t>5.3</w:t>
      </w:r>
      <w:r w:rsidRPr="00116ECE">
        <w:rPr>
          <w:iCs/>
          <w:lang w:val="fr-FR"/>
        </w:rPr>
        <w:tab/>
        <w:t>Après le titre, renuméroter le Nota existant en tant que Nota 1 et après « conteneurs, » ajouter « conteneurs pour vrac, ». Ajouter un nouveau Nota 2 pour lire comme suit:</w:t>
      </w:r>
    </w:p>
    <w:p w14:paraId="644C7C0B" w14:textId="23C678E4" w:rsidR="00116ECE" w:rsidRPr="00116ECE" w:rsidRDefault="00116ECE" w:rsidP="00116ECE">
      <w:pPr>
        <w:pStyle w:val="SingleTxtG"/>
        <w:rPr>
          <w:iCs/>
          <w:lang w:val="fr-FR"/>
        </w:rPr>
      </w:pPr>
      <w:r w:rsidRPr="00116ECE">
        <w:rPr>
          <w:iCs/>
          <w:lang w:val="fr-FR"/>
        </w:rPr>
        <w:t>«</w:t>
      </w:r>
      <w:r w:rsidRPr="00116ECE">
        <w:rPr>
          <w:lang w:val="fr-FR"/>
        </w:rPr>
        <w:t> </w:t>
      </w:r>
      <w:r w:rsidR="00286CE7">
        <w:rPr>
          <w:b/>
          <w:i/>
          <w:iCs/>
          <w:lang w:val="fr-FR"/>
        </w:rPr>
        <w:tab/>
      </w:r>
      <w:r w:rsidRPr="00116ECE">
        <w:rPr>
          <w:b/>
          <w:i/>
          <w:iCs/>
          <w:lang w:val="fr-FR"/>
        </w:rPr>
        <w:t>2</w:t>
      </w:r>
      <w:r w:rsidRPr="00116ECE">
        <w:rPr>
          <w:lang w:val="fr-FR"/>
        </w:rPr>
        <w:t> </w:t>
      </w:r>
      <w:r w:rsidRPr="00116ECE">
        <w:rPr>
          <w:b/>
          <w:i/>
          <w:iCs/>
          <w:lang w:val="fr-FR"/>
        </w:rPr>
        <w:t>:</w:t>
      </w:r>
      <w:r w:rsidRPr="00116ECE">
        <w:rPr>
          <w:i/>
          <w:iCs/>
          <w:lang w:val="fr-FR"/>
        </w:rPr>
        <w:tab/>
      </w:r>
      <w:r w:rsidRPr="00116ECE">
        <w:rPr>
          <w:i/>
          <w:lang w:val="fr-FR"/>
        </w:rPr>
        <w:t>Conformément au SGH, pendant le transport, un pictogramme SGH non exigé par l’ADR ne devrait apparaître que dans le cadre d’une étiquette SGH complète, et pas de manière indépendante (voir SGH, 1.4.10.4.4).</w:t>
      </w:r>
      <w:r w:rsidRPr="00116ECE">
        <w:rPr>
          <w:lang w:val="fr-FR"/>
        </w:rPr>
        <w:t> </w:t>
      </w:r>
      <w:r w:rsidRPr="00116ECE">
        <w:rPr>
          <w:iCs/>
          <w:lang w:val="fr-FR"/>
        </w:rPr>
        <w:t>».</w:t>
      </w:r>
    </w:p>
    <w:p w14:paraId="2E8704F7" w14:textId="626A6855" w:rsidR="005953EF" w:rsidRPr="003714FD" w:rsidRDefault="005953EF" w:rsidP="005953EF">
      <w:pPr>
        <w:pStyle w:val="SingleTxtG"/>
        <w:rPr>
          <w:iCs/>
          <w:lang w:val="fr-FR"/>
        </w:rPr>
      </w:pPr>
      <w:r w:rsidRPr="003714FD">
        <w:rPr>
          <w:iCs/>
          <w:lang w:val="fr-FR"/>
        </w:rPr>
        <w:t>5.3.1.1.1</w:t>
      </w:r>
      <w:r w:rsidRPr="003714FD">
        <w:rPr>
          <w:iCs/>
          <w:lang w:val="fr-FR"/>
        </w:rPr>
        <w:tab/>
        <w:t>Dans la première phrase, après « conteneurs, » ajouter « conteneurs pour vrac, ». Dans la deuxième phrase, après « conteneur, » ajouter « conteneur pour vrac, ».</w:t>
      </w:r>
    </w:p>
    <w:p w14:paraId="36E53814" w14:textId="77777777" w:rsidR="000B1500" w:rsidRPr="005953EF" w:rsidRDefault="000B1500" w:rsidP="000B1500">
      <w:pPr>
        <w:pStyle w:val="SingleTxtG"/>
      </w:pPr>
      <w:r w:rsidRPr="005953EF">
        <w:t>5.3.1.1.1</w:t>
      </w:r>
      <w:r w:rsidRPr="005953EF">
        <w:tab/>
        <w:t>À la fin, ajouter : « Les plaques-étiquettes doivent résister aux intempéries et elles doivent permettre de garantir la présence de la signalisation pendant toute la durée du transport. ».</w:t>
      </w:r>
    </w:p>
    <w:p w14:paraId="2B80AFC3" w14:textId="51981A01" w:rsidR="005860E1" w:rsidRPr="007D79D5" w:rsidRDefault="005860E1" w:rsidP="005860E1">
      <w:pPr>
        <w:pStyle w:val="SingleTxtG"/>
        <w:rPr>
          <w:iCs/>
          <w:lang w:val="fr-FR"/>
        </w:rPr>
      </w:pPr>
      <w:r w:rsidRPr="007D79D5">
        <w:rPr>
          <w:iCs/>
          <w:lang w:val="fr-FR"/>
        </w:rPr>
        <w:t>5.3.1.1.3</w:t>
      </w:r>
      <w:r w:rsidRPr="007D79D5">
        <w:rPr>
          <w:iCs/>
          <w:lang w:val="fr-FR"/>
        </w:rPr>
        <w:tab/>
        <w:t>Dans le premier paragraphe, remplacer « risque » par « danger ».</w:t>
      </w:r>
    </w:p>
    <w:p w14:paraId="44FFFA5E" w14:textId="79F2A1DB" w:rsidR="0061335E" w:rsidRPr="007D79D5" w:rsidRDefault="0061335E" w:rsidP="005860E1">
      <w:pPr>
        <w:pStyle w:val="SingleTxtG"/>
        <w:rPr>
          <w:iCs/>
          <w:lang w:val="fr-FR"/>
        </w:rPr>
      </w:pPr>
      <w:r w:rsidRPr="007D79D5">
        <w:rPr>
          <w:iCs/>
          <w:lang w:val="fr-FR"/>
        </w:rPr>
        <w:t>5.3.1.1.5</w:t>
      </w:r>
      <w:r w:rsidRPr="007D79D5">
        <w:rPr>
          <w:iCs/>
          <w:lang w:val="fr-FR"/>
        </w:rPr>
        <w:tab/>
        <w:t>Remplacer « risque » par « danger » (trois fois).</w:t>
      </w:r>
    </w:p>
    <w:p w14:paraId="14AC06F4" w14:textId="5EEA86FF" w:rsidR="005759BC" w:rsidRPr="007D79D5" w:rsidRDefault="0061335E" w:rsidP="005759BC">
      <w:pPr>
        <w:pStyle w:val="SingleTxtG"/>
        <w:rPr>
          <w:iCs/>
          <w:lang w:val="fr-FR"/>
        </w:rPr>
      </w:pPr>
      <w:r w:rsidRPr="007D79D5">
        <w:rPr>
          <w:iCs/>
          <w:lang w:val="fr-FR"/>
        </w:rPr>
        <w:t>5.3.1.2</w:t>
      </w:r>
      <w:r w:rsidRPr="007D79D5">
        <w:rPr>
          <w:iCs/>
          <w:lang w:val="fr-FR"/>
        </w:rPr>
        <w:tab/>
      </w:r>
      <w:r w:rsidRPr="007D79D5">
        <w:rPr>
          <w:iCs/>
          <w:lang w:val="fr-FR"/>
        </w:rPr>
        <w:tab/>
        <w:t>Dans le ti</w:t>
      </w:r>
      <w:r w:rsidR="005759BC" w:rsidRPr="007D79D5">
        <w:rPr>
          <w:iCs/>
          <w:lang w:val="fr-FR"/>
        </w:rPr>
        <w:t>tre</w:t>
      </w:r>
      <w:r w:rsidRPr="007D79D5">
        <w:rPr>
          <w:iCs/>
          <w:lang w:val="fr-FR"/>
        </w:rPr>
        <w:t xml:space="preserve">, </w:t>
      </w:r>
      <w:r w:rsidR="005759BC" w:rsidRPr="007D79D5">
        <w:rPr>
          <w:iCs/>
          <w:lang w:val="fr-FR"/>
        </w:rPr>
        <w:t>après « conteneurs, » ajouter « conteneurs pour vrac, ». Dans le paragraphe figurant après le Nota, à la fin, ajouter « et sur deux faces opposées du conteneur pour vrac ».</w:t>
      </w:r>
    </w:p>
    <w:p w14:paraId="6E9EAC43" w14:textId="2FD130CD" w:rsidR="005759BC" w:rsidRPr="007D79D5" w:rsidRDefault="005759BC" w:rsidP="005759BC">
      <w:pPr>
        <w:pStyle w:val="SingleTxtG"/>
        <w:rPr>
          <w:iCs/>
          <w:lang w:val="fr-FR"/>
        </w:rPr>
      </w:pPr>
      <w:r w:rsidRPr="007D79D5">
        <w:rPr>
          <w:iCs/>
          <w:lang w:val="fr-FR"/>
        </w:rPr>
        <w:t>5.3.1.3</w:t>
      </w:r>
      <w:r w:rsidRPr="007D79D5">
        <w:rPr>
          <w:iCs/>
          <w:lang w:val="fr-FR"/>
        </w:rPr>
        <w:tab/>
      </w:r>
      <w:r w:rsidRPr="007D79D5">
        <w:rPr>
          <w:iCs/>
          <w:lang w:val="fr-FR"/>
        </w:rPr>
        <w:tab/>
        <w:t>Dans le titre, après « conteneurs, » ajouter « conteneurs pour vrac, ». Dans le paragraphe figurant après le Nota, après « les conteneurs, » ajouter « les conteneurs pour vrac, ».</w:t>
      </w:r>
    </w:p>
    <w:p w14:paraId="26765030" w14:textId="01F5D129" w:rsidR="00D74AB5" w:rsidRPr="00E13FA3" w:rsidRDefault="00D74AB5" w:rsidP="00D74AB5">
      <w:pPr>
        <w:pStyle w:val="SingleTxtG"/>
        <w:rPr>
          <w:iCs/>
          <w:lang w:val="fr-FR"/>
        </w:rPr>
      </w:pPr>
      <w:r w:rsidRPr="00E13FA3">
        <w:rPr>
          <w:iCs/>
          <w:lang w:val="fr-FR"/>
        </w:rPr>
        <w:t>5.3.2.1.4</w:t>
      </w:r>
      <w:r w:rsidRPr="00E13FA3">
        <w:rPr>
          <w:iCs/>
          <w:lang w:val="fr-FR"/>
        </w:rPr>
        <w:tab/>
        <w:t>Remplacer « unités de transport » par « véhicules » et « unité de transport » par « véhicule » partout où le terme apparaît.</w:t>
      </w:r>
    </w:p>
    <w:p w14:paraId="1797982A" w14:textId="24A50B95" w:rsidR="005759BC" w:rsidRPr="007D79D5" w:rsidRDefault="005759BC" w:rsidP="00D53F01">
      <w:pPr>
        <w:pStyle w:val="SingleTxtG"/>
        <w:rPr>
          <w:iCs/>
          <w:lang w:val="fr-FR"/>
        </w:rPr>
      </w:pPr>
      <w:r w:rsidRPr="007D79D5">
        <w:rPr>
          <w:iCs/>
          <w:lang w:val="fr-FR"/>
        </w:rPr>
        <w:t>5.3.2.1.4</w:t>
      </w:r>
      <w:r w:rsidRPr="007D79D5">
        <w:rPr>
          <w:iCs/>
          <w:lang w:val="fr-FR"/>
        </w:rPr>
        <w:tab/>
        <w:t>Dans la première phrase, remplacer « et les conteneurs » par « , les conteneurs et les conteneurs pour vrac » et remplacer « ou de chaque conteneur » par « , de chaque conteneur ou de chaque conteneur pour vrac ».Dans la deuxième phrase, remplacer « ou dans le conteneur » (première mention) par « , dans le conteneur ou dans le conteneur pour vrac ».</w:t>
      </w:r>
    </w:p>
    <w:p w14:paraId="279D3FC0" w14:textId="009F40DC" w:rsidR="00530783" w:rsidRPr="007D79D5" w:rsidRDefault="00530783" w:rsidP="00530783">
      <w:pPr>
        <w:pStyle w:val="SingleTxtG"/>
        <w:rPr>
          <w:iCs/>
          <w:lang w:val="fr-FR"/>
        </w:rPr>
      </w:pPr>
      <w:r w:rsidRPr="007D79D5">
        <w:rPr>
          <w:iCs/>
          <w:lang w:val="fr-FR"/>
        </w:rPr>
        <w:t>5.3.2.1.5</w:t>
      </w:r>
      <w:r w:rsidRPr="007D79D5">
        <w:rPr>
          <w:iCs/>
          <w:lang w:val="fr-FR"/>
        </w:rPr>
        <w:tab/>
        <w:t>Après « conteneurs, » ajouter « conteneurs pour vrac, ».</w:t>
      </w:r>
    </w:p>
    <w:p w14:paraId="04993BA5" w14:textId="36A2D4A0" w:rsidR="000706F2" w:rsidRPr="007D79D5" w:rsidRDefault="000706F2" w:rsidP="00196C06">
      <w:pPr>
        <w:pStyle w:val="SingleTxtG"/>
        <w:rPr>
          <w:iCs/>
          <w:lang w:val="fr-FR"/>
        </w:rPr>
      </w:pPr>
      <w:r w:rsidRPr="007D79D5">
        <w:rPr>
          <w:iCs/>
          <w:lang w:val="fr-FR"/>
        </w:rPr>
        <w:t>5.3.2.3.2</w:t>
      </w:r>
      <w:r w:rsidRPr="007D79D5">
        <w:rPr>
          <w:iCs/>
          <w:lang w:val="fr-FR"/>
        </w:rPr>
        <w:tab/>
        <w:t>Pour le numéro d’identification du danger « 20 », remplacer « risque » par « danger ».</w:t>
      </w:r>
    </w:p>
    <w:p w14:paraId="3A12A9F5" w14:textId="77777777" w:rsidR="000B1500" w:rsidRPr="00A8435F" w:rsidRDefault="000B1500" w:rsidP="000B1500">
      <w:pPr>
        <w:pStyle w:val="SingleTxtG"/>
        <w:rPr>
          <w:lang w:val="fr-FR"/>
        </w:rPr>
      </w:pPr>
      <w:r w:rsidRPr="00A8435F">
        <w:rPr>
          <w:lang w:val="fr-FR"/>
        </w:rPr>
        <w:t>5.3.3</w:t>
      </w:r>
      <w:r w:rsidRPr="00A8435F">
        <w:rPr>
          <w:lang w:val="fr-FR"/>
        </w:rPr>
        <w:tab/>
        <w:t xml:space="preserve">Ajouter la phrase suivante à la fin du deuxième paragraphe: « La marque doit être résistante aux intempéries et la présence </w:t>
      </w:r>
      <w:r w:rsidRPr="00A06354">
        <w:rPr>
          <w:lang w:val="fr-FR"/>
        </w:rPr>
        <w:t>de la signalisation</w:t>
      </w:r>
      <w:r w:rsidRPr="00A8435F">
        <w:rPr>
          <w:lang w:val="fr-FR"/>
        </w:rPr>
        <w:t xml:space="preserve"> doit être garantie pendant toute la durée du transport. ».</w:t>
      </w:r>
    </w:p>
    <w:p w14:paraId="0E8F930A" w14:textId="7DA01B95" w:rsidR="00196C06" w:rsidRPr="007D79D5" w:rsidRDefault="000706F2" w:rsidP="003567B8">
      <w:pPr>
        <w:pStyle w:val="SingleTxtG"/>
        <w:rPr>
          <w:iCs/>
          <w:lang w:val="fr-FR"/>
        </w:rPr>
      </w:pPr>
      <w:r w:rsidRPr="007D79D5">
        <w:rPr>
          <w:iCs/>
          <w:lang w:val="fr-FR"/>
        </w:rPr>
        <w:t>5.3.6.1 et 5.3.6.2</w:t>
      </w:r>
      <w:r w:rsidRPr="007D79D5">
        <w:rPr>
          <w:iCs/>
          <w:lang w:val="fr-FR"/>
        </w:rPr>
        <w:tab/>
        <w:t>Après « les conteneurs, » ajouter « les conteneurs pour vrac, ».</w:t>
      </w:r>
    </w:p>
    <w:p w14:paraId="5344D72B" w14:textId="77777777" w:rsidR="000B1500" w:rsidRPr="00A8435F" w:rsidRDefault="000B1500" w:rsidP="000B1500">
      <w:pPr>
        <w:pStyle w:val="SingleTxtG"/>
      </w:pPr>
      <w:r w:rsidRPr="00A8435F">
        <w:t>5.3.6.1</w:t>
      </w:r>
      <w:r w:rsidRPr="00A8435F">
        <w:tab/>
      </w:r>
      <w:r w:rsidRPr="00A8435F">
        <w:tab/>
        <w:t>Ajouter la nouvelle phrase suivante à la fin : « Cette prescription ne s’applique pas aux exceptions prévues au 5.2.1.8.1. ».</w:t>
      </w:r>
    </w:p>
    <w:p w14:paraId="2806DF16" w14:textId="77777777" w:rsidR="00196C06" w:rsidRPr="00894FFE" w:rsidRDefault="00196C06" w:rsidP="00196C06">
      <w:pPr>
        <w:pStyle w:val="H1G"/>
        <w:rPr>
          <w:lang w:val="fr-FR"/>
        </w:rPr>
      </w:pPr>
      <w:r w:rsidRPr="00894FFE">
        <w:rPr>
          <w:lang w:val="fr-FR"/>
        </w:rPr>
        <w:tab/>
      </w:r>
      <w:r w:rsidRPr="00894FFE">
        <w:rPr>
          <w:lang w:val="fr-FR"/>
        </w:rPr>
        <w:tab/>
        <w:t>Chapitre 5.4</w:t>
      </w:r>
    </w:p>
    <w:p w14:paraId="2AA9059E" w14:textId="111B93E1" w:rsidR="00196C06" w:rsidRPr="00894FFE" w:rsidRDefault="00306094" w:rsidP="00196C06">
      <w:pPr>
        <w:pStyle w:val="SingleTxtG"/>
        <w:rPr>
          <w:i/>
          <w:iCs/>
          <w:lang w:val="fr-FR"/>
        </w:rPr>
      </w:pPr>
      <w:r w:rsidRPr="00894FFE">
        <w:rPr>
          <w:lang w:val="fr-FR"/>
        </w:rPr>
        <w:t>5.4.1.1.1</w:t>
      </w:r>
      <w:r w:rsidR="00196C06" w:rsidRPr="00894FFE">
        <w:rPr>
          <w:lang w:val="fr-FR"/>
        </w:rPr>
        <w:t xml:space="preserve"> c)</w:t>
      </w:r>
      <w:r w:rsidR="00196C06" w:rsidRPr="00894FFE">
        <w:rPr>
          <w:lang w:val="fr-FR"/>
        </w:rPr>
        <w:tab/>
      </w:r>
      <w:r w:rsidRPr="00894FFE">
        <w:rPr>
          <w:lang w:val="fr-FR"/>
        </w:rPr>
        <w:t>Dans le Nota, r</w:t>
      </w:r>
      <w:r w:rsidR="00196C06" w:rsidRPr="00894FFE">
        <w:rPr>
          <w:lang w:val="fr-FR"/>
        </w:rPr>
        <w:t>emplacer «</w:t>
      </w:r>
      <w:r w:rsidR="003567B8" w:rsidRPr="00894FFE">
        <w:rPr>
          <w:lang w:val="fr-FR"/>
        </w:rPr>
        <w:t> </w:t>
      </w:r>
      <w:r w:rsidR="00196C06" w:rsidRPr="00894FFE">
        <w:rPr>
          <w:lang w:val="fr-FR"/>
        </w:rPr>
        <w:t>risque</w:t>
      </w:r>
      <w:r w:rsidR="003567B8" w:rsidRPr="00894FFE">
        <w:rPr>
          <w:lang w:val="fr-FR"/>
        </w:rPr>
        <w:t> </w:t>
      </w:r>
      <w:r w:rsidR="00196C06" w:rsidRPr="00894FFE">
        <w:rPr>
          <w:lang w:val="fr-FR"/>
        </w:rPr>
        <w:t>» par «</w:t>
      </w:r>
      <w:r w:rsidR="003567B8" w:rsidRPr="00894FFE">
        <w:rPr>
          <w:lang w:val="fr-FR"/>
        </w:rPr>
        <w:t> </w:t>
      </w:r>
      <w:r w:rsidR="00196C06" w:rsidRPr="00894FFE">
        <w:rPr>
          <w:lang w:val="fr-FR"/>
        </w:rPr>
        <w:t>danger</w:t>
      </w:r>
      <w:r w:rsidR="003567B8" w:rsidRPr="00894FFE">
        <w:rPr>
          <w:lang w:val="fr-FR"/>
        </w:rPr>
        <w:t> </w:t>
      </w:r>
      <w:r w:rsidR="00196C06" w:rsidRPr="00894FFE">
        <w:rPr>
          <w:lang w:val="fr-FR"/>
        </w:rPr>
        <w:t>».</w:t>
      </w:r>
    </w:p>
    <w:p w14:paraId="626F7480" w14:textId="1150B5BE" w:rsidR="00196C06" w:rsidRPr="00894FFE" w:rsidRDefault="00306094" w:rsidP="00196C06">
      <w:pPr>
        <w:pStyle w:val="SingleTxtG"/>
        <w:rPr>
          <w:iCs/>
          <w:lang w:val="fr-FR"/>
        </w:rPr>
      </w:pPr>
      <w:r w:rsidRPr="00894FFE">
        <w:rPr>
          <w:lang w:val="fr-FR" w:eastAsia="en-GB"/>
        </w:rPr>
        <w:t>5.4.1.1.1</w:t>
      </w:r>
      <w:r w:rsidR="00196C06" w:rsidRPr="00894FFE">
        <w:rPr>
          <w:lang w:val="fr-FR" w:eastAsia="en-GB"/>
        </w:rPr>
        <w:t> d)</w:t>
      </w:r>
      <w:r w:rsidR="00196C06" w:rsidRPr="00894FFE">
        <w:rPr>
          <w:lang w:val="fr-FR" w:eastAsia="en-GB"/>
        </w:rPr>
        <w:tab/>
      </w:r>
      <w:r w:rsidRPr="00894FFE">
        <w:rPr>
          <w:lang w:val="fr-FR"/>
        </w:rPr>
        <w:t xml:space="preserve">Dans le Nota, </w:t>
      </w:r>
      <w:r w:rsidRPr="00894FFE">
        <w:rPr>
          <w:lang w:val="fr-FR" w:eastAsia="en-GB"/>
        </w:rPr>
        <w:t>r</w:t>
      </w:r>
      <w:r w:rsidR="00196C06" w:rsidRPr="00894FFE">
        <w:rPr>
          <w:lang w:val="fr-FR" w:eastAsia="en-GB"/>
        </w:rPr>
        <w:t>emplacer «</w:t>
      </w:r>
      <w:r w:rsidR="003567B8" w:rsidRPr="00894FFE">
        <w:rPr>
          <w:lang w:val="fr-FR"/>
        </w:rPr>
        <w:t> </w:t>
      </w:r>
      <w:r w:rsidR="00196C06" w:rsidRPr="00894FFE">
        <w:rPr>
          <w:lang w:val="fr-FR" w:eastAsia="en-GB"/>
        </w:rPr>
        <w:t>risque</w:t>
      </w:r>
      <w:r w:rsidR="003567B8" w:rsidRPr="00894FFE">
        <w:rPr>
          <w:lang w:val="fr-FR"/>
        </w:rPr>
        <w:t> </w:t>
      </w:r>
      <w:r w:rsidR="00196C06" w:rsidRPr="00894FFE">
        <w:rPr>
          <w:lang w:val="fr-FR" w:eastAsia="en-GB"/>
        </w:rPr>
        <w:t>» par «</w:t>
      </w:r>
      <w:r w:rsidR="003567B8" w:rsidRPr="00894FFE">
        <w:rPr>
          <w:lang w:val="fr-FR"/>
        </w:rPr>
        <w:t> </w:t>
      </w:r>
      <w:r w:rsidR="00196C06" w:rsidRPr="00894FFE">
        <w:rPr>
          <w:lang w:val="fr-FR" w:eastAsia="en-GB"/>
        </w:rPr>
        <w:t>danger</w:t>
      </w:r>
      <w:r w:rsidR="003567B8" w:rsidRPr="00894FFE">
        <w:rPr>
          <w:lang w:val="fr-FR"/>
        </w:rPr>
        <w:t> </w:t>
      </w:r>
      <w:r w:rsidR="00196C06" w:rsidRPr="00894FFE">
        <w:rPr>
          <w:lang w:val="fr-FR" w:eastAsia="en-GB"/>
        </w:rPr>
        <w:t>».</w:t>
      </w:r>
    </w:p>
    <w:p w14:paraId="204DF062" w14:textId="284381BA" w:rsidR="00E114C7" w:rsidRPr="00960BA7" w:rsidRDefault="00E114C7" w:rsidP="00E114C7">
      <w:pPr>
        <w:pStyle w:val="ParNoG"/>
        <w:numPr>
          <w:ilvl w:val="0"/>
          <w:numId w:val="0"/>
        </w:numPr>
        <w:kinsoku w:val="0"/>
        <w:overflowPunct w:val="0"/>
        <w:autoSpaceDE w:val="0"/>
        <w:autoSpaceDN w:val="0"/>
        <w:adjustRightInd w:val="0"/>
        <w:snapToGrid w:val="0"/>
        <w:ind w:left="1134"/>
        <w:rPr>
          <w:lang w:val="fr-FR"/>
        </w:rPr>
      </w:pPr>
      <w:r w:rsidRPr="00960BA7">
        <w:rPr>
          <w:lang w:val="fr-FR"/>
        </w:rPr>
        <w:t>5.4.1.1.1 f)</w:t>
      </w:r>
      <w:r w:rsidRPr="00960BA7">
        <w:rPr>
          <w:lang w:val="fr-FR"/>
        </w:rPr>
        <w:tab/>
        <w:t xml:space="preserve">Modifier le NOTA 1 </w:t>
      </w:r>
      <w:r w:rsidR="0052051F" w:rsidRPr="00960BA7">
        <w:rPr>
          <w:lang w:val="fr-FR"/>
        </w:rPr>
        <w:t xml:space="preserve">pour lire </w:t>
      </w:r>
      <w:r w:rsidRPr="00960BA7">
        <w:rPr>
          <w:lang w:val="fr-FR"/>
        </w:rPr>
        <w:t>comme suit :</w:t>
      </w:r>
    </w:p>
    <w:p w14:paraId="690BA31C" w14:textId="51BBDDC4" w:rsidR="00E114C7" w:rsidRPr="00960BA7" w:rsidRDefault="00E114C7" w:rsidP="00E114C7">
      <w:pPr>
        <w:pStyle w:val="SingleTxtG"/>
        <w:rPr>
          <w:i/>
          <w:iCs/>
          <w:lang w:val="fr-FR"/>
        </w:rPr>
      </w:pPr>
      <w:r w:rsidRPr="00960BA7">
        <w:rPr>
          <w:i/>
          <w:iCs/>
          <w:lang w:val="fr-FR"/>
        </w:rPr>
        <w:lastRenderedPageBreak/>
        <w:t>« </w:t>
      </w:r>
      <w:r w:rsidRPr="00960BA7">
        <w:rPr>
          <w:b/>
          <w:bCs/>
          <w:i/>
          <w:iCs/>
          <w:lang w:val="fr-FR"/>
        </w:rPr>
        <w:t>NOTA 1</w:t>
      </w:r>
      <w:r w:rsidRPr="00960BA7">
        <w:rPr>
          <w:b/>
          <w:i/>
          <w:iCs/>
          <w:lang w:val="fr-FR"/>
        </w:rPr>
        <w:t xml:space="preserve">: </w:t>
      </w:r>
      <w:r w:rsidRPr="00960BA7">
        <w:rPr>
          <w:i/>
          <w:iCs/>
          <w:lang w:val="fr-FR"/>
        </w:rPr>
        <w:t>Dans le cas où il est envisagé d’appliquer le 1.1.3.6, la quantité totale et la valeur calculée des marchandises dangereuses pour chaque catégorie de transport doivent être indiquées dans le document de transport conformément aux 1.1.3.6.3 et 1.1.3.6.4. ».</w:t>
      </w:r>
    </w:p>
    <w:p w14:paraId="55B0F02A" w14:textId="5EF20FEA" w:rsidR="008935F5" w:rsidRPr="00894FFE" w:rsidRDefault="005B4781" w:rsidP="008935F5">
      <w:pPr>
        <w:pStyle w:val="SingleTxtG"/>
        <w:rPr>
          <w:lang w:val="fr-FR"/>
        </w:rPr>
      </w:pPr>
      <w:r w:rsidRPr="00894FFE">
        <w:rPr>
          <w:lang w:val="fr-FR"/>
        </w:rPr>
        <w:t>5.4.1.1.5</w:t>
      </w:r>
      <w:r w:rsidR="008935F5" w:rsidRPr="00894FFE">
        <w:rPr>
          <w:lang w:val="fr-FR"/>
        </w:rPr>
        <w:tab/>
      </w:r>
      <w:r w:rsidR="00EC70C8" w:rsidRPr="00894FFE">
        <w:rPr>
          <w:lang w:val="fr-FR"/>
        </w:rPr>
        <w:t>Dans le titre</w:t>
      </w:r>
      <w:r w:rsidRPr="00894FFE">
        <w:rPr>
          <w:lang w:val="fr-FR"/>
        </w:rPr>
        <w:t>, après « emballages de secours », ajouter « , y compris grands emballages de secours,</w:t>
      </w:r>
      <w:r w:rsidR="003567B8" w:rsidRPr="00894FFE">
        <w:rPr>
          <w:lang w:val="fr-FR"/>
        </w:rPr>
        <w:t> »</w:t>
      </w:r>
      <w:r w:rsidR="00EC70C8" w:rsidRPr="00894FFE">
        <w:rPr>
          <w:lang w:val="fr-FR"/>
        </w:rPr>
        <w:t xml:space="preserve"> et dans le texte suivant le titre, a</w:t>
      </w:r>
      <w:r w:rsidR="008935F5" w:rsidRPr="00894FFE">
        <w:rPr>
          <w:lang w:val="fr-FR"/>
        </w:rPr>
        <w:t>près «</w:t>
      </w:r>
      <w:r w:rsidR="003567B8" w:rsidRPr="00894FFE">
        <w:rPr>
          <w:lang w:val="fr-FR"/>
        </w:rPr>
        <w:t> </w:t>
      </w:r>
      <w:r w:rsidR="008935F5" w:rsidRPr="00894FFE">
        <w:rPr>
          <w:lang w:val="fr-FR"/>
        </w:rPr>
        <w:t>dans un emballage de secours</w:t>
      </w:r>
      <w:r w:rsidR="003567B8" w:rsidRPr="00894FFE">
        <w:rPr>
          <w:lang w:val="fr-FR"/>
        </w:rPr>
        <w:t> </w:t>
      </w:r>
      <w:r w:rsidR="008935F5" w:rsidRPr="00894FFE">
        <w:rPr>
          <w:lang w:val="fr-FR"/>
        </w:rPr>
        <w:t>» ajouter «</w:t>
      </w:r>
      <w:r w:rsidR="003567B8" w:rsidRPr="00894FFE">
        <w:rPr>
          <w:lang w:val="fr-FR"/>
        </w:rPr>
        <w:t> </w:t>
      </w:r>
      <w:r w:rsidR="008935F5" w:rsidRPr="00894FFE">
        <w:rPr>
          <w:lang w:val="fr-FR"/>
        </w:rPr>
        <w:t>, y compris dans un grand emballage de secours,</w:t>
      </w:r>
      <w:r w:rsidR="003567B8" w:rsidRPr="00894FFE">
        <w:rPr>
          <w:lang w:val="fr-FR"/>
        </w:rPr>
        <w:t> </w:t>
      </w:r>
      <w:r w:rsidR="008935F5" w:rsidRPr="00894FFE">
        <w:rPr>
          <w:lang w:val="fr-FR"/>
        </w:rPr>
        <w:t>».</w:t>
      </w:r>
    </w:p>
    <w:p w14:paraId="490ED88C" w14:textId="1180FE98" w:rsidR="00306094" w:rsidRPr="00894FFE" w:rsidRDefault="00306094" w:rsidP="00196C06">
      <w:pPr>
        <w:pStyle w:val="SingleTxtG"/>
        <w:tabs>
          <w:tab w:val="left" w:pos="1854"/>
        </w:tabs>
        <w:rPr>
          <w:lang w:val="fr-FR"/>
        </w:rPr>
      </w:pPr>
      <w:r w:rsidRPr="00894FFE">
        <w:rPr>
          <w:lang w:val="fr-FR"/>
        </w:rPr>
        <w:t>5.4.1.1.6.2.1</w:t>
      </w:r>
      <w:r w:rsidR="006C307E" w:rsidRPr="00894FFE">
        <w:rPr>
          <w:lang w:val="fr-FR"/>
        </w:rPr>
        <w:t xml:space="preserve"> </w:t>
      </w:r>
      <w:r w:rsidRPr="00894FFE">
        <w:rPr>
          <w:lang w:val="fr-FR"/>
        </w:rPr>
        <w:t>b)</w:t>
      </w:r>
      <w:r w:rsidR="006C307E" w:rsidRPr="00894FFE">
        <w:rPr>
          <w:lang w:val="fr-FR"/>
        </w:rPr>
        <w:tab/>
        <w:t>Dans le premier paragraphe, remplacer « risque » par « danger ». Dans le deuxième</w:t>
      </w:r>
      <w:r w:rsidR="00FD3C88" w:rsidRPr="00894FFE">
        <w:rPr>
          <w:lang w:val="fr-FR"/>
        </w:rPr>
        <w:t xml:space="preserve"> paragraphe, remplacer « risque</w:t>
      </w:r>
      <w:r w:rsidR="006C307E" w:rsidRPr="00894FFE">
        <w:rPr>
          <w:lang w:val="fr-FR"/>
        </w:rPr>
        <w:t>(s) » par « danger(s) ».</w:t>
      </w:r>
    </w:p>
    <w:p w14:paraId="15CF35DB" w14:textId="00C85874" w:rsidR="006C307E" w:rsidRPr="00894FFE" w:rsidRDefault="006C307E" w:rsidP="00D53F01">
      <w:pPr>
        <w:pStyle w:val="SingleTxtG"/>
        <w:spacing w:before="120"/>
        <w:rPr>
          <w:lang w:val="fr-FR"/>
        </w:rPr>
      </w:pPr>
      <w:r w:rsidRPr="00894FFE">
        <w:rPr>
          <w:lang w:val="fr-FR"/>
        </w:rPr>
        <w:t>5.4.1.1.15</w:t>
      </w:r>
      <w:r w:rsidRPr="00894FFE">
        <w:rPr>
          <w:lang w:val="fr-FR"/>
        </w:rPr>
        <w:tab/>
        <w:t>Remplacer « 2.2.41.1.17 » par « 7.1.7 ».</w:t>
      </w:r>
    </w:p>
    <w:p w14:paraId="6BFE0087" w14:textId="61C46F75" w:rsidR="006C307E" w:rsidRPr="00894FFE" w:rsidRDefault="009D0C02" w:rsidP="00196C06">
      <w:pPr>
        <w:pStyle w:val="SingleTxtG"/>
        <w:tabs>
          <w:tab w:val="left" w:pos="1854"/>
        </w:tabs>
        <w:rPr>
          <w:lang w:val="fr-FR"/>
        </w:rPr>
      </w:pPr>
      <w:r w:rsidRPr="00894FFE">
        <w:rPr>
          <w:lang w:val="fr-FR"/>
        </w:rPr>
        <w:t>5.4.1.1.19</w:t>
      </w:r>
      <w:r w:rsidRPr="00894FFE">
        <w:rPr>
          <w:lang w:val="fr-FR"/>
        </w:rPr>
        <w:tab/>
        <w:t>Dans le premier paragraphe, remplacer « risque(s) » par « danger(s) ». Dans le deuxième pa</w:t>
      </w:r>
      <w:r w:rsidR="003F03A4" w:rsidRPr="00894FFE">
        <w:rPr>
          <w:lang w:val="fr-FR"/>
        </w:rPr>
        <w:t>ragraphe, remplacer « risque » par « danger</w:t>
      </w:r>
      <w:r w:rsidRPr="00894FFE">
        <w:rPr>
          <w:lang w:val="fr-FR"/>
        </w:rPr>
        <w:t> ».</w:t>
      </w:r>
    </w:p>
    <w:p w14:paraId="47F4C9B9" w14:textId="7CFABBF3" w:rsidR="00FD3C88" w:rsidRPr="00894FFE" w:rsidRDefault="00FD3C88" w:rsidP="00D53F01">
      <w:pPr>
        <w:pStyle w:val="SingleTxtG"/>
        <w:rPr>
          <w:lang w:val="fr-FR"/>
        </w:rPr>
      </w:pPr>
      <w:r w:rsidRPr="00894FFE">
        <w:rPr>
          <w:lang w:val="fr-FR"/>
        </w:rPr>
        <w:t xml:space="preserve">5.4.1.2.3.1 </w:t>
      </w:r>
      <w:r w:rsidRPr="00894FFE">
        <w:rPr>
          <w:lang w:val="fr-FR"/>
        </w:rPr>
        <w:tab/>
        <w:t>Remplacer « 2.2.52.1.15 à 2.2.52.1.17 » par « 2.2.52.1.15 ».</w:t>
      </w:r>
    </w:p>
    <w:p w14:paraId="7A462083" w14:textId="3A68F164" w:rsidR="00196C06" w:rsidRPr="00894FFE" w:rsidRDefault="00FD3C88" w:rsidP="009C2E03">
      <w:pPr>
        <w:pStyle w:val="SingleTxtG"/>
        <w:tabs>
          <w:tab w:val="left" w:pos="1854"/>
          <w:tab w:val="left" w:pos="2268"/>
        </w:tabs>
        <w:rPr>
          <w:lang w:val="fr-FR"/>
        </w:rPr>
      </w:pPr>
      <w:r w:rsidRPr="00894FFE">
        <w:rPr>
          <w:lang w:val="fr-FR"/>
        </w:rPr>
        <w:t>5.4.1.2.5.1 b)</w:t>
      </w:r>
      <w:r w:rsidRPr="00894FFE">
        <w:rPr>
          <w:lang w:val="fr-FR"/>
        </w:rPr>
        <w:tab/>
      </w:r>
      <w:r w:rsidR="00196C06" w:rsidRPr="00894FFE">
        <w:rPr>
          <w:lang w:val="fr-FR"/>
        </w:rPr>
        <w:tab/>
      </w:r>
      <w:r w:rsidRPr="00894FFE">
        <w:rPr>
          <w:lang w:val="fr-FR" w:eastAsia="en-GB"/>
        </w:rPr>
        <w:t xml:space="preserve">Dans la dernière phrase, remplacer </w:t>
      </w:r>
      <w:r w:rsidR="00196C06" w:rsidRPr="00894FFE">
        <w:rPr>
          <w:lang w:val="fr-FR" w:eastAsia="en-GB"/>
        </w:rPr>
        <w:t>«</w:t>
      </w:r>
      <w:r w:rsidR="003567B8" w:rsidRPr="00894FFE">
        <w:rPr>
          <w:lang w:val="fr-FR"/>
        </w:rPr>
        <w:t> </w:t>
      </w:r>
      <w:r w:rsidR="00196C06" w:rsidRPr="00894FFE">
        <w:rPr>
          <w:lang w:val="fr-FR" w:eastAsia="en-GB"/>
        </w:rPr>
        <w:t>risque</w:t>
      </w:r>
      <w:r w:rsidR="003567B8" w:rsidRPr="00894FFE">
        <w:rPr>
          <w:lang w:val="fr-FR"/>
        </w:rPr>
        <w:t> </w:t>
      </w:r>
      <w:r w:rsidR="00196C06" w:rsidRPr="00894FFE">
        <w:rPr>
          <w:lang w:val="fr-FR" w:eastAsia="en-GB"/>
        </w:rPr>
        <w:t>» par «</w:t>
      </w:r>
      <w:r w:rsidR="003567B8" w:rsidRPr="00894FFE">
        <w:rPr>
          <w:lang w:val="fr-FR"/>
        </w:rPr>
        <w:t> </w:t>
      </w:r>
      <w:r w:rsidR="00196C06" w:rsidRPr="00894FFE">
        <w:rPr>
          <w:lang w:val="fr-FR" w:eastAsia="en-GB"/>
        </w:rPr>
        <w:t>danger</w:t>
      </w:r>
      <w:r w:rsidR="003567B8" w:rsidRPr="00894FFE">
        <w:rPr>
          <w:lang w:val="fr-FR"/>
        </w:rPr>
        <w:t> </w:t>
      </w:r>
      <w:r w:rsidR="00196C06" w:rsidRPr="00894FFE">
        <w:rPr>
          <w:lang w:val="fr-FR" w:eastAsia="en-GB"/>
        </w:rPr>
        <w:t>».</w:t>
      </w:r>
    </w:p>
    <w:p w14:paraId="39C6D6F6" w14:textId="77777777" w:rsidR="00196C06" w:rsidRPr="00894FFE" w:rsidRDefault="00196C06" w:rsidP="00196C06">
      <w:pPr>
        <w:pStyle w:val="H1G"/>
        <w:rPr>
          <w:lang w:val="fr-FR"/>
        </w:rPr>
      </w:pPr>
      <w:r w:rsidRPr="00894FFE">
        <w:rPr>
          <w:lang w:val="fr-FR"/>
        </w:rPr>
        <w:tab/>
      </w:r>
      <w:r w:rsidRPr="00894FFE">
        <w:rPr>
          <w:lang w:val="fr-FR"/>
        </w:rPr>
        <w:tab/>
        <w:t>Chapitre 6.1</w:t>
      </w:r>
    </w:p>
    <w:p w14:paraId="2EDE0155" w14:textId="77777777" w:rsidR="000B1500" w:rsidRPr="00A8435F" w:rsidRDefault="000B1500" w:rsidP="000B1500">
      <w:pPr>
        <w:pStyle w:val="SingleTxtG"/>
        <w:rPr>
          <w:b/>
          <w:i/>
          <w:lang w:val="fr-FR"/>
        </w:rPr>
      </w:pPr>
      <w:r w:rsidRPr="00A8435F">
        <w:t>6.1.1.1 b)</w:t>
      </w:r>
      <w:r w:rsidRPr="00A8435F">
        <w:rPr>
          <w:b/>
        </w:rPr>
        <w:tab/>
      </w:r>
      <w:r w:rsidRPr="00A8435F">
        <w:t>Remplacer « </w:t>
      </w:r>
      <w:r w:rsidRPr="00A8435F">
        <w:rPr>
          <w:rFonts w:eastAsia="TimesNewRomanPSMT"/>
          <w:spacing w:val="4"/>
          <w:w w:val="103"/>
        </w:rPr>
        <w:t>(voir chapitre 6.3, NOTA et instruction d’emballage P621 du 4.1.4.1) </w:t>
      </w:r>
      <w:r w:rsidRPr="00A8435F">
        <w:t>» par « (voir NOTA sous le titre du Chapitre 6.3 et instruction d’emballage P621 du 4.1.4.1) ».</w:t>
      </w:r>
    </w:p>
    <w:p w14:paraId="0C809BEA" w14:textId="5F36FC8A" w:rsidR="00196C06" w:rsidRPr="00894FFE" w:rsidRDefault="00196C06" w:rsidP="00196C06">
      <w:pPr>
        <w:pStyle w:val="SingleTxtG"/>
        <w:tabs>
          <w:tab w:val="left" w:pos="1854"/>
        </w:tabs>
        <w:rPr>
          <w:lang w:val="fr-FR"/>
        </w:rPr>
      </w:pPr>
      <w:r w:rsidRPr="00894FFE">
        <w:rPr>
          <w:lang w:val="fr-FR"/>
        </w:rPr>
        <w:t>6.1.3</w:t>
      </w:r>
      <w:r w:rsidR="00734569">
        <w:rPr>
          <w:lang w:val="fr-FR"/>
        </w:rPr>
        <w:t>,</w:t>
      </w:r>
      <w:r w:rsidRPr="00894FFE">
        <w:rPr>
          <w:lang w:val="fr-FR"/>
        </w:rPr>
        <w:t xml:space="preserve"> Nota 3</w:t>
      </w:r>
      <w:r w:rsidRPr="00894FFE">
        <w:rPr>
          <w:lang w:val="fr-FR"/>
        </w:rPr>
        <w:tab/>
        <w:t>Remplacer «</w:t>
      </w:r>
      <w:r w:rsidR="003567B8" w:rsidRPr="00894FFE">
        <w:rPr>
          <w:lang w:val="fr-FR"/>
        </w:rPr>
        <w:t> </w:t>
      </w:r>
      <w:r w:rsidRPr="00894FFE">
        <w:rPr>
          <w:lang w:val="fr-FR"/>
        </w:rPr>
        <w:t>risque</w:t>
      </w:r>
      <w:r w:rsidR="003567B8" w:rsidRPr="00894FFE">
        <w:rPr>
          <w:lang w:val="fr-FR"/>
        </w:rPr>
        <w:t> </w:t>
      </w:r>
      <w:r w:rsidRPr="00894FFE">
        <w:rPr>
          <w:lang w:val="fr-FR"/>
        </w:rPr>
        <w:t>» par «</w:t>
      </w:r>
      <w:r w:rsidR="003567B8" w:rsidRPr="00894FFE">
        <w:rPr>
          <w:lang w:val="fr-FR"/>
        </w:rPr>
        <w:t> </w:t>
      </w:r>
      <w:r w:rsidRPr="00894FFE">
        <w:rPr>
          <w:lang w:val="fr-FR"/>
        </w:rPr>
        <w:t>danger</w:t>
      </w:r>
      <w:r w:rsidR="003567B8" w:rsidRPr="00894FFE">
        <w:rPr>
          <w:lang w:val="fr-FR"/>
        </w:rPr>
        <w:t> </w:t>
      </w:r>
      <w:r w:rsidRPr="00894FFE">
        <w:rPr>
          <w:lang w:val="fr-FR"/>
        </w:rPr>
        <w:t>».</w:t>
      </w:r>
    </w:p>
    <w:p w14:paraId="4D587492" w14:textId="5D7AEC71" w:rsidR="00196C06" w:rsidRPr="00894FFE" w:rsidRDefault="00FD3C88" w:rsidP="00196C06">
      <w:pPr>
        <w:pStyle w:val="SingleTxtG"/>
        <w:rPr>
          <w:iCs/>
          <w:lang w:val="fr-FR"/>
        </w:rPr>
      </w:pPr>
      <w:r w:rsidRPr="00894FFE">
        <w:rPr>
          <w:iCs/>
          <w:lang w:val="fr-FR"/>
        </w:rPr>
        <w:t>6.1.5.8.1</w:t>
      </w:r>
      <w:r w:rsidR="00196C06" w:rsidRPr="00894FFE">
        <w:rPr>
          <w:iCs/>
          <w:lang w:val="fr-FR"/>
        </w:rPr>
        <w:tab/>
        <w:t>Ajouter la phrase suivante à la fin du point 8.</w:t>
      </w:r>
      <w:r w:rsidR="003567B8" w:rsidRPr="00894FFE">
        <w:rPr>
          <w:lang w:val="fr-FR"/>
        </w:rPr>
        <w:t> </w:t>
      </w:r>
      <w:r w:rsidR="00196C06" w:rsidRPr="00894FFE">
        <w:rPr>
          <w:iCs/>
          <w:lang w:val="fr-FR"/>
        </w:rPr>
        <w:t>: «</w:t>
      </w:r>
      <w:r w:rsidR="003567B8" w:rsidRPr="00894FFE">
        <w:rPr>
          <w:lang w:val="fr-FR"/>
        </w:rPr>
        <w:t> </w:t>
      </w:r>
      <w:r w:rsidR="00196C06" w:rsidRPr="00894FFE">
        <w:rPr>
          <w:iCs/>
          <w:lang w:val="fr-FR"/>
        </w:rPr>
        <w:t>Pour les emballages en plastique soumis à l’épreuve de pression interne du 6.1.5.5, la température de l’eau utilisée.</w:t>
      </w:r>
      <w:r w:rsidR="003567B8" w:rsidRPr="00894FFE">
        <w:rPr>
          <w:lang w:val="fr-FR"/>
        </w:rPr>
        <w:t> </w:t>
      </w:r>
      <w:r w:rsidR="00196C06" w:rsidRPr="00894FFE">
        <w:rPr>
          <w:iCs/>
          <w:lang w:val="fr-FR"/>
        </w:rPr>
        <w:t>».</w:t>
      </w:r>
    </w:p>
    <w:p w14:paraId="30F56121" w14:textId="77777777" w:rsidR="00196C06" w:rsidRPr="00894FFE" w:rsidRDefault="00196C06" w:rsidP="00196C06">
      <w:pPr>
        <w:pStyle w:val="H1G"/>
        <w:rPr>
          <w:lang w:val="fr-FR"/>
        </w:rPr>
      </w:pPr>
      <w:r w:rsidRPr="00894FFE">
        <w:rPr>
          <w:lang w:val="fr-FR"/>
        </w:rPr>
        <w:tab/>
      </w:r>
      <w:r w:rsidRPr="00894FFE">
        <w:rPr>
          <w:lang w:val="fr-FR"/>
        </w:rPr>
        <w:tab/>
        <w:t>Chapitre 6.2</w:t>
      </w:r>
    </w:p>
    <w:p w14:paraId="509BFD83" w14:textId="192D933E" w:rsidR="00196C06" w:rsidRPr="00894FFE" w:rsidRDefault="00196C06" w:rsidP="00196C06">
      <w:pPr>
        <w:pStyle w:val="SingleTxtG"/>
        <w:tabs>
          <w:tab w:val="left" w:pos="2268"/>
        </w:tabs>
        <w:spacing w:before="120"/>
        <w:rPr>
          <w:lang w:val="fr-FR"/>
        </w:rPr>
      </w:pPr>
      <w:r w:rsidRPr="00894FFE">
        <w:rPr>
          <w:lang w:val="fr-FR"/>
        </w:rPr>
        <w:t>6.2.1.6.1</w:t>
      </w:r>
      <w:r w:rsidRPr="00894FFE">
        <w:rPr>
          <w:lang w:val="fr-FR"/>
        </w:rPr>
        <w:tab/>
        <w:t>Modifier le Nota 2 pour lire comme suit</w:t>
      </w:r>
      <w:r w:rsidR="003567B8" w:rsidRPr="00894FFE">
        <w:rPr>
          <w:lang w:val="fr-FR"/>
        </w:rPr>
        <w:t> </w:t>
      </w:r>
      <w:r w:rsidRPr="00894FFE">
        <w:rPr>
          <w:lang w:val="fr-FR"/>
        </w:rPr>
        <w:t xml:space="preserve">: </w:t>
      </w:r>
    </w:p>
    <w:p w14:paraId="0B597238" w14:textId="345C050C" w:rsidR="00196C06" w:rsidRPr="00894FFE" w:rsidRDefault="00196C06" w:rsidP="00286CE7">
      <w:pPr>
        <w:pStyle w:val="SingleTxtG"/>
        <w:tabs>
          <w:tab w:val="left" w:pos="1701"/>
        </w:tabs>
        <w:spacing w:before="120"/>
        <w:rPr>
          <w:lang w:val="fr-FR"/>
        </w:rPr>
      </w:pPr>
      <w:r w:rsidRPr="00894FFE">
        <w:rPr>
          <w:lang w:val="fr-FR"/>
        </w:rPr>
        <w:t>«</w:t>
      </w:r>
      <w:r w:rsidR="003567B8" w:rsidRPr="00894FFE">
        <w:rPr>
          <w:lang w:val="fr-FR"/>
        </w:rPr>
        <w:t> </w:t>
      </w:r>
      <w:r w:rsidR="00894FFE">
        <w:rPr>
          <w:b/>
          <w:i/>
          <w:lang w:val="fr-FR"/>
        </w:rPr>
        <w:tab/>
      </w:r>
      <w:r w:rsidRPr="00894FFE">
        <w:rPr>
          <w:b/>
          <w:i/>
          <w:lang w:val="fr-FR"/>
        </w:rPr>
        <w:t>2:</w:t>
      </w:r>
      <w:r w:rsidRPr="00894FFE">
        <w:rPr>
          <w:i/>
          <w:lang w:val="fr-FR"/>
        </w:rPr>
        <w:t xml:space="preserve"> Pour les bouteilles et tubes en acier sans soudure, le contrôle du 6.2.1.6.1 b) et l’épreuve de pression hydraulique du 6.2.1.6.1 d) peuvent être remplacés par une procédure conforme à la norme ISO 16148:2016 </w:t>
      </w:r>
      <w:r w:rsidR="003567B8" w:rsidRPr="00894FFE">
        <w:rPr>
          <w:i/>
          <w:lang w:val="fr-FR"/>
        </w:rPr>
        <w:t>"</w:t>
      </w:r>
      <w:r w:rsidRPr="00894FFE">
        <w:rPr>
          <w:i/>
          <w:lang w:val="fr-FR"/>
        </w:rPr>
        <w:t>Bouteilles à gaz – Bouteilles à gaz rechargeables en acier sans soudure et tubes – Essais d'émission acoustique et examen ultrasonique complémentaire pour l'inspection périodique et l'essai</w:t>
      </w:r>
      <w:r w:rsidR="003567B8" w:rsidRPr="00894FFE">
        <w:rPr>
          <w:i/>
          <w:lang w:val="fr-FR"/>
        </w:rPr>
        <w:t>"</w:t>
      </w:r>
      <w:r w:rsidRPr="00894FFE">
        <w:rPr>
          <w:i/>
          <w:lang w:val="fr-FR"/>
        </w:rPr>
        <w:t>.</w:t>
      </w:r>
      <w:r w:rsidR="003567B8" w:rsidRPr="00894FFE">
        <w:rPr>
          <w:lang w:val="fr-FR"/>
        </w:rPr>
        <w:t> </w:t>
      </w:r>
      <w:r w:rsidRPr="00894FFE">
        <w:rPr>
          <w:lang w:val="fr-FR"/>
        </w:rPr>
        <w:t>».</w:t>
      </w:r>
    </w:p>
    <w:p w14:paraId="14D7B920" w14:textId="7F057BB1" w:rsidR="00196C06" w:rsidRPr="00894FFE" w:rsidRDefault="00196C06" w:rsidP="00196C06">
      <w:pPr>
        <w:pStyle w:val="SingleTxtG"/>
        <w:tabs>
          <w:tab w:val="left" w:pos="2268"/>
        </w:tabs>
        <w:spacing w:before="120"/>
        <w:rPr>
          <w:lang w:val="fr-FR"/>
        </w:rPr>
      </w:pPr>
      <w:r w:rsidRPr="00894FFE">
        <w:rPr>
          <w:lang w:val="fr-FR"/>
        </w:rPr>
        <w:t>6.2.1.6.1</w:t>
      </w:r>
      <w:r w:rsidRPr="00894FFE">
        <w:rPr>
          <w:lang w:val="fr-FR"/>
        </w:rPr>
        <w:tab/>
        <w:t>Dans le Nota 3, remplacer «</w:t>
      </w:r>
      <w:r w:rsidR="003567B8" w:rsidRPr="00894FFE">
        <w:rPr>
          <w:lang w:val="fr-FR"/>
        </w:rPr>
        <w:t> </w:t>
      </w:r>
      <w:r w:rsidRPr="00894FFE">
        <w:rPr>
          <w:i/>
          <w:iCs/>
          <w:lang w:val="fr-FR"/>
        </w:rPr>
        <w:t>L’épreuve de pression hydraulique peut être remplacée</w:t>
      </w:r>
      <w:r w:rsidR="003567B8" w:rsidRPr="00894FFE">
        <w:rPr>
          <w:lang w:val="fr-FR"/>
        </w:rPr>
        <w:t> </w:t>
      </w:r>
      <w:r w:rsidRPr="00894FFE">
        <w:rPr>
          <w:lang w:val="fr-FR"/>
        </w:rPr>
        <w:t xml:space="preserve">» </w:t>
      </w:r>
      <w:r w:rsidR="00894FFE" w:rsidRPr="00894FFE">
        <w:rPr>
          <w:lang w:val="fr-FR"/>
        </w:rPr>
        <w:t xml:space="preserve">par </w:t>
      </w:r>
      <w:r w:rsidRPr="00894FFE">
        <w:rPr>
          <w:lang w:val="fr-FR"/>
        </w:rPr>
        <w:t>«</w:t>
      </w:r>
      <w:r w:rsidR="003567B8" w:rsidRPr="00894FFE">
        <w:rPr>
          <w:lang w:val="fr-FR"/>
        </w:rPr>
        <w:t> </w:t>
      </w:r>
      <w:r w:rsidRPr="00894FFE">
        <w:rPr>
          <w:i/>
          <w:lang w:val="fr-FR"/>
        </w:rPr>
        <w:t>Le contrôle du 6.2.1.6.1 b) et l</w:t>
      </w:r>
      <w:r w:rsidRPr="00894FFE">
        <w:rPr>
          <w:i/>
          <w:iCs/>
          <w:lang w:val="fr-FR"/>
        </w:rPr>
        <w:t>’épreuve de pression hydraulique</w:t>
      </w:r>
      <w:r w:rsidRPr="00894FFE">
        <w:rPr>
          <w:i/>
          <w:lang w:val="fr-FR"/>
        </w:rPr>
        <w:t xml:space="preserve"> du 6.2.1.6.1 d) peuvent être remplacés</w:t>
      </w:r>
      <w:r w:rsidR="003567B8" w:rsidRPr="00894FFE">
        <w:rPr>
          <w:lang w:val="fr-FR"/>
        </w:rPr>
        <w:t> </w:t>
      </w:r>
      <w:r w:rsidRPr="00894FFE">
        <w:rPr>
          <w:lang w:val="fr-FR"/>
        </w:rPr>
        <w:t>».</w:t>
      </w:r>
    </w:p>
    <w:p w14:paraId="341265E6" w14:textId="1EE287B0" w:rsidR="00196C06" w:rsidRPr="00894FFE" w:rsidRDefault="00196C06" w:rsidP="00196C06">
      <w:pPr>
        <w:pStyle w:val="SingleTxtG"/>
        <w:spacing w:before="120"/>
        <w:rPr>
          <w:lang w:val="fr-FR"/>
        </w:rPr>
      </w:pPr>
      <w:r w:rsidRPr="00894FFE">
        <w:rPr>
          <w:lang w:val="fr-FR"/>
        </w:rPr>
        <w:t>6.2.2.1.1</w:t>
      </w:r>
      <w:r w:rsidRPr="00894FFE">
        <w:rPr>
          <w:lang w:val="fr-FR"/>
        </w:rPr>
        <w:tab/>
        <w:t>Dans le tableau, pour la norme «</w:t>
      </w:r>
      <w:r w:rsidR="003567B8" w:rsidRPr="00894FFE">
        <w:rPr>
          <w:lang w:val="fr-FR"/>
        </w:rPr>
        <w:t> </w:t>
      </w:r>
      <w:r w:rsidRPr="00894FFE">
        <w:rPr>
          <w:lang w:val="fr-FR"/>
        </w:rPr>
        <w:t>ISO 11118:1999</w:t>
      </w:r>
      <w:r w:rsidR="003567B8" w:rsidRPr="00894FFE">
        <w:rPr>
          <w:lang w:val="fr-FR"/>
        </w:rPr>
        <w:t> </w:t>
      </w:r>
      <w:r w:rsidRPr="00894FFE">
        <w:rPr>
          <w:lang w:val="fr-FR"/>
        </w:rPr>
        <w:t>», dans la colonne «</w:t>
      </w:r>
      <w:r w:rsidR="003567B8" w:rsidRPr="00894FFE">
        <w:rPr>
          <w:lang w:val="fr-FR"/>
        </w:rPr>
        <w:t> </w:t>
      </w:r>
      <w:r w:rsidRPr="00894FFE">
        <w:rPr>
          <w:lang w:val="fr-FR"/>
        </w:rPr>
        <w:t>Applicable à la fabrication</w:t>
      </w:r>
      <w:r w:rsidR="003567B8" w:rsidRPr="00894FFE">
        <w:rPr>
          <w:lang w:val="fr-FR"/>
        </w:rPr>
        <w:t> </w:t>
      </w:r>
      <w:r w:rsidRPr="00894FFE">
        <w:rPr>
          <w:lang w:val="fr-FR"/>
        </w:rPr>
        <w:t>», remplacer «</w:t>
      </w:r>
      <w:r w:rsidR="003567B8" w:rsidRPr="00894FFE">
        <w:rPr>
          <w:lang w:val="fr-FR"/>
        </w:rPr>
        <w:t> </w:t>
      </w:r>
      <w:r w:rsidRPr="00894FFE">
        <w:rPr>
          <w:lang w:val="fr-FR"/>
        </w:rPr>
        <w:t>Jusqu’à nouvel ordre</w:t>
      </w:r>
      <w:r w:rsidR="00894FFE">
        <w:rPr>
          <w:lang w:val="fr-FR"/>
        </w:rPr>
        <w:t> </w:t>
      </w:r>
      <w:r w:rsidRPr="00894FFE">
        <w:rPr>
          <w:lang w:val="fr-FR"/>
        </w:rPr>
        <w:t>» par «</w:t>
      </w:r>
      <w:r w:rsidR="00286CE7">
        <w:rPr>
          <w:lang w:val="fr-FR"/>
        </w:rPr>
        <w:t> </w:t>
      </w:r>
      <w:r w:rsidRPr="00894FFE">
        <w:rPr>
          <w:lang w:val="fr-FR"/>
        </w:rPr>
        <w:t>Jusqu’au 31 décembre 2020</w:t>
      </w:r>
      <w:r w:rsidR="003567B8" w:rsidRPr="00894FFE">
        <w:rPr>
          <w:lang w:val="fr-FR"/>
        </w:rPr>
        <w:t> </w:t>
      </w:r>
      <w:r w:rsidRPr="00894FFE">
        <w:rPr>
          <w:lang w:val="fr-FR"/>
        </w:rPr>
        <w:t>».</w:t>
      </w:r>
    </w:p>
    <w:p w14:paraId="40DC09C6" w14:textId="4444E93C" w:rsidR="00196C06" w:rsidRPr="00894FFE" w:rsidRDefault="00196C06" w:rsidP="00196C06">
      <w:pPr>
        <w:pStyle w:val="SingleTxtG"/>
        <w:spacing w:before="120"/>
        <w:rPr>
          <w:lang w:val="fr-FR"/>
        </w:rPr>
      </w:pPr>
      <w:r w:rsidRPr="00894FFE">
        <w:rPr>
          <w:lang w:val="fr-FR"/>
        </w:rPr>
        <w:t>6.2.2.1.1</w:t>
      </w:r>
      <w:r w:rsidRPr="00894FFE">
        <w:rPr>
          <w:lang w:val="fr-FR"/>
        </w:rPr>
        <w:tab/>
        <w:t>Dans le tableau, après la norme «</w:t>
      </w:r>
      <w:r w:rsidR="003567B8" w:rsidRPr="00894FFE">
        <w:rPr>
          <w:lang w:val="fr-FR"/>
        </w:rPr>
        <w:t> </w:t>
      </w:r>
      <w:r w:rsidRPr="00894FFE">
        <w:rPr>
          <w:lang w:val="fr-FR"/>
        </w:rPr>
        <w:t>ISO 11118:1999</w:t>
      </w:r>
      <w:r w:rsidR="003567B8" w:rsidRPr="00894FFE">
        <w:rPr>
          <w:lang w:val="fr-FR"/>
        </w:rPr>
        <w:t> </w:t>
      </w:r>
      <w:r w:rsidRPr="00894FFE">
        <w:rPr>
          <w:lang w:val="fr-FR"/>
        </w:rPr>
        <w:t>», ajouter la nouvelle ligne suivante</w:t>
      </w:r>
      <w:r w:rsidR="003567B8" w:rsidRPr="00894FFE">
        <w:rPr>
          <w:lang w:val="fr-FR"/>
        </w:rPr>
        <w:t> </w:t>
      </w:r>
      <w:r w:rsidRPr="00894FFE">
        <w:rPr>
          <w:lang w:val="fr-FR"/>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A074FC" w:rsidRPr="00894FFE" w14:paraId="5D713EE5" w14:textId="77777777" w:rsidTr="006201FD">
        <w:trPr>
          <w:cantSplit/>
        </w:trPr>
        <w:tc>
          <w:tcPr>
            <w:tcW w:w="1814" w:type="dxa"/>
            <w:shd w:val="clear" w:color="auto" w:fill="auto"/>
          </w:tcPr>
          <w:p w14:paraId="546FD1A0" w14:textId="77777777" w:rsidR="00196C06" w:rsidRPr="00894FFE" w:rsidRDefault="00196C06" w:rsidP="006201FD">
            <w:pPr>
              <w:suppressAutoHyphens w:val="0"/>
              <w:spacing w:before="60" w:after="60" w:line="240" w:lineRule="auto"/>
              <w:ind w:right="113"/>
              <w:rPr>
                <w:lang w:val="fr-FR"/>
              </w:rPr>
            </w:pPr>
            <w:r w:rsidRPr="00894FFE">
              <w:rPr>
                <w:lang w:val="fr-FR"/>
              </w:rPr>
              <w:t>ISO 11118:2015</w:t>
            </w:r>
          </w:p>
        </w:tc>
        <w:tc>
          <w:tcPr>
            <w:tcW w:w="4763" w:type="dxa"/>
            <w:shd w:val="clear" w:color="auto" w:fill="auto"/>
          </w:tcPr>
          <w:p w14:paraId="60C9BD71" w14:textId="77777777" w:rsidR="00196C06" w:rsidRPr="00894FFE" w:rsidRDefault="00196C06" w:rsidP="006201FD">
            <w:pPr>
              <w:suppressAutoHyphens w:val="0"/>
              <w:spacing w:before="60" w:after="60" w:line="240" w:lineRule="auto"/>
              <w:ind w:right="113"/>
              <w:rPr>
                <w:lang w:val="fr-FR"/>
              </w:rPr>
            </w:pPr>
            <w:r w:rsidRPr="00894FFE">
              <w:rPr>
                <w:lang w:val="fr-FR"/>
              </w:rPr>
              <w:t>Bouteilles à gaz − Bouteilles à gaz métalliques non rechargeables – Spécifications et méthodes d’essai</w:t>
            </w:r>
          </w:p>
          <w:p w14:paraId="36757B7B" w14:textId="77777777" w:rsidR="00196C06" w:rsidRPr="00894FFE" w:rsidRDefault="00196C06" w:rsidP="006201FD">
            <w:pPr>
              <w:suppressAutoHyphens w:val="0"/>
              <w:spacing w:before="60" w:after="60" w:line="240" w:lineRule="auto"/>
              <w:ind w:right="113"/>
              <w:rPr>
                <w:lang w:val="fr-FR"/>
              </w:rPr>
            </w:pPr>
          </w:p>
        </w:tc>
        <w:tc>
          <w:tcPr>
            <w:tcW w:w="1985" w:type="dxa"/>
            <w:shd w:val="clear" w:color="auto" w:fill="auto"/>
          </w:tcPr>
          <w:p w14:paraId="540EF8F2" w14:textId="77777777" w:rsidR="00196C06" w:rsidRPr="00894FFE" w:rsidRDefault="00196C06" w:rsidP="006201FD">
            <w:pPr>
              <w:suppressAutoHyphens w:val="0"/>
              <w:spacing w:before="60" w:after="60" w:line="240" w:lineRule="auto"/>
              <w:ind w:right="113"/>
              <w:rPr>
                <w:lang w:val="fr-FR"/>
              </w:rPr>
            </w:pPr>
            <w:r w:rsidRPr="00894FFE">
              <w:rPr>
                <w:lang w:val="fr-FR"/>
              </w:rPr>
              <w:t>Jusqu’à nouvel ordre</w:t>
            </w:r>
          </w:p>
        </w:tc>
      </w:tr>
    </w:tbl>
    <w:p w14:paraId="35F4B512" w14:textId="565A8B72" w:rsidR="00196C06" w:rsidRPr="00894FFE" w:rsidRDefault="00196C06" w:rsidP="00196C06">
      <w:pPr>
        <w:pStyle w:val="SingleTxtG"/>
        <w:spacing w:before="120"/>
        <w:rPr>
          <w:lang w:val="fr-FR"/>
        </w:rPr>
      </w:pPr>
      <w:r w:rsidRPr="00894FFE">
        <w:rPr>
          <w:lang w:val="fr-FR"/>
        </w:rPr>
        <w:lastRenderedPageBreak/>
        <w:t>6.2.2.1.2</w:t>
      </w:r>
      <w:r w:rsidRPr="00894FFE">
        <w:rPr>
          <w:lang w:val="fr-FR"/>
        </w:rPr>
        <w:tab/>
        <w:t>Dans le tableau, pour la norme «</w:t>
      </w:r>
      <w:r w:rsidR="003567B8" w:rsidRPr="00894FFE">
        <w:rPr>
          <w:lang w:val="fr-FR"/>
        </w:rPr>
        <w:t> </w:t>
      </w:r>
      <w:r w:rsidRPr="00894FFE">
        <w:rPr>
          <w:lang w:val="fr-FR"/>
        </w:rPr>
        <w:t>ISO 11120:1999</w:t>
      </w:r>
      <w:r w:rsidR="003567B8" w:rsidRPr="00894FFE">
        <w:rPr>
          <w:lang w:val="fr-FR"/>
        </w:rPr>
        <w:t> </w:t>
      </w:r>
      <w:r w:rsidRPr="00894FFE">
        <w:rPr>
          <w:lang w:val="fr-FR"/>
        </w:rPr>
        <w:t>», dans la colonne «</w:t>
      </w:r>
      <w:r w:rsidR="003567B8" w:rsidRPr="00894FFE">
        <w:rPr>
          <w:lang w:val="fr-FR"/>
        </w:rPr>
        <w:t> </w:t>
      </w:r>
      <w:r w:rsidRPr="00894FFE">
        <w:rPr>
          <w:lang w:val="fr-FR"/>
        </w:rPr>
        <w:t>Applicable à la fabrication</w:t>
      </w:r>
      <w:r w:rsidR="003567B8" w:rsidRPr="00894FFE">
        <w:rPr>
          <w:lang w:val="fr-FR"/>
        </w:rPr>
        <w:t> </w:t>
      </w:r>
      <w:r w:rsidRPr="00894FFE">
        <w:rPr>
          <w:lang w:val="fr-FR"/>
        </w:rPr>
        <w:t>», remplacer «</w:t>
      </w:r>
      <w:r w:rsidR="003567B8" w:rsidRPr="00894FFE">
        <w:rPr>
          <w:lang w:val="fr-FR"/>
        </w:rPr>
        <w:t> </w:t>
      </w:r>
      <w:r w:rsidRPr="00894FFE">
        <w:rPr>
          <w:lang w:val="fr-FR"/>
        </w:rPr>
        <w:t>Jusqu’à nouvel ordre</w:t>
      </w:r>
      <w:r w:rsidR="003567B8" w:rsidRPr="00894FFE">
        <w:rPr>
          <w:lang w:val="fr-FR"/>
        </w:rPr>
        <w:t> </w:t>
      </w:r>
      <w:r w:rsidRPr="00894FFE">
        <w:rPr>
          <w:lang w:val="fr-FR"/>
        </w:rPr>
        <w:t>» par «</w:t>
      </w:r>
      <w:r w:rsidR="003567B8" w:rsidRPr="00894FFE">
        <w:rPr>
          <w:lang w:val="fr-FR"/>
        </w:rPr>
        <w:t> </w:t>
      </w:r>
      <w:r w:rsidRPr="00894FFE">
        <w:rPr>
          <w:lang w:val="fr-FR"/>
        </w:rPr>
        <w:t>Jusqu’au 31 décembre 2022</w:t>
      </w:r>
      <w:r w:rsidR="003567B8" w:rsidRPr="00894FFE">
        <w:rPr>
          <w:lang w:val="fr-FR"/>
        </w:rPr>
        <w:t> </w:t>
      </w:r>
      <w:r w:rsidRPr="00894FFE">
        <w:rPr>
          <w:lang w:val="fr-FR"/>
        </w:rPr>
        <w:t>».</w:t>
      </w:r>
    </w:p>
    <w:p w14:paraId="07D3491C" w14:textId="7915F5EA" w:rsidR="00196C06" w:rsidRPr="00CC088A" w:rsidRDefault="00196C06" w:rsidP="00196C06">
      <w:pPr>
        <w:pStyle w:val="SingleTxtG"/>
        <w:spacing w:before="120"/>
        <w:rPr>
          <w:lang w:val="fr-FR"/>
        </w:rPr>
      </w:pPr>
      <w:r w:rsidRPr="00CC088A">
        <w:rPr>
          <w:lang w:val="fr-FR"/>
        </w:rPr>
        <w:t>6.2.2.1.2</w:t>
      </w:r>
      <w:r w:rsidRPr="00CC088A">
        <w:rPr>
          <w:lang w:val="fr-FR"/>
        </w:rPr>
        <w:tab/>
        <w:t>Dans le tableau, après la norme «</w:t>
      </w:r>
      <w:r w:rsidR="003567B8" w:rsidRPr="00CC088A">
        <w:rPr>
          <w:lang w:val="fr-FR"/>
        </w:rPr>
        <w:t> </w:t>
      </w:r>
      <w:r w:rsidRPr="00CC088A">
        <w:rPr>
          <w:lang w:val="fr-FR"/>
        </w:rPr>
        <w:t>ISO 11120:1999</w:t>
      </w:r>
      <w:r w:rsidR="003567B8" w:rsidRPr="00CC088A">
        <w:rPr>
          <w:lang w:val="fr-FR"/>
        </w:rPr>
        <w:t> </w:t>
      </w:r>
      <w:r w:rsidRPr="00CC088A">
        <w:rPr>
          <w:lang w:val="fr-FR"/>
        </w:rPr>
        <w:t>», ajouter la nouvelle ligne suivante</w:t>
      </w:r>
      <w:r w:rsidR="003567B8" w:rsidRPr="00CC088A">
        <w:rPr>
          <w:lang w:val="fr-FR"/>
        </w:rPr>
        <w:t> </w:t>
      </w:r>
      <w:r w:rsidRPr="00CC088A">
        <w:rPr>
          <w:lang w:val="fr-FR"/>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A074FC" w:rsidRPr="00CC088A" w14:paraId="62F6EE23" w14:textId="77777777" w:rsidTr="006201FD">
        <w:trPr>
          <w:cantSplit/>
        </w:trPr>
        <w:tc>
          <w:tcPr>
            <w:tcW w:w="1814" w:type="dxa"/>
            <w:shd w:val="clear" w:color="auto" w:fill="auto"/>
          </w:tcPr>
          <w:p w14:paraId="4FA87B48" w14:textId="77777777" w:rsidR="00196C06" w:rsidRPr="00CC088A" w:rsidRDefault="00196C06" w:rsidP="006201FD">
            <w:pPr>
              <w:suppressAutoHyphens w:val="0"/>
              <w:spacing w:before="60" w:after="60" w:line="240" w:lineRule="auto"/>
              <w:ind w:right="113"/>
              <w:rPr>
                <w:lang w:val="fr-FR"/>
              </w:rPr>
            </w:pPr>
            <w:r w:rsidRPr="00CC088A">
              <w:rPr>
                <w:lang w:val="fr-FR"/>
              </w:rPr>
              <w:t>ISO 11120:2015</w:t>
            </w:r>
          </w:p>
        </w:tc>
        <w:tc>
          <w:tcPr>
            <w:tcW w:w="4763" w:type="dxa"/>
            <w:shd w:val="clear" w:color="auto" w:fill="auto"/>
          </w:tcPr>
          <w:p w14:paraId="28B6AAF0" w14:textId="4263C931" w:rsidR="00196C06" w:rsidRPr="00CC088A" w:rsidRDefault="00196C06" w:rsidP="006201FD">
            <w:pPr>
              <w:suppressAutoHyphens w:val="0"/>
              <w:spacing w:before="60" w:after="60" w:line="240" w:lineRule="auto"/>
              <w:ind w:right="113"/>
              <w:rPr>
                <w:lang w:val="fr-FR"/>
              </w:rPr>
            </w:pPr>
            <w:r w:rsidRPr="00CC088A">
              <w:rPr>
                <w:lang w:val="fr-FR"/>
              </w:rPr>
              <w:t xml:space="preserve">Bouteilles à gaz – Tubes en acier sans soudure rechargeables d’une contenance en eau de 150 </w:t>
            </w:r>
            <w:r w:rsidRPr="00CC088A">
              <w:rPr>
                <w:i/>
                <w:lang w:val="fr-FR"/>
              </w:rPr>
              <w:t xml:space="preserve">l </w:t>
            </w:r>
            <w:r w:rsidRPr="00CC088A">
              <w:rPr>
                <w:lang w:val="fr-FR"/>
              </w:rPr>
              <w:t xml:space="preserve">à 3000 </w:t>
            </w:r>
            <w:r w:rsidRPr="00CC088A">
              <w:rPr>
                <w:i/>
                <w:lang w:val="fr-FR"/>
              </w:rPr>
              <w:t xml:space="preserve">l </w:t>
            </w:r>
            <w:r w:rsidRPr="00CC088A">
              <w:rPr>
                <w:lang w:val="fr-FR"/>
              </w:rPr>
              <w:t>– Con</w:t>
            </w:r>
            <w:r w:rsidR="003567B8" w:rsidRPr="00CC088A">
              <w:rPr>
                <w:lang w:val="fr-FR"/>
              </w:rPr>
              <w:t>ception, construction et essais</w:t>
            </w:r>
          </w:p>
        </w:tc>
        <w:tc>
          <w:tcPr>
            <w:tcW w:w="1985" w:type="dxa"/>
            <w:shd w:val="clear" w:color="auto" w:fill="auto"/>
          </w:tcPr>
          <w:p w14:paraId="02C88DDC" w14:textId="77777777" w:rsidR="00196C06" w:rsidRPr="00CC088A" w:rsidRDefault="00196C06" w:rsidP="006201FD">
            <w:pPr>
              <w:suppressAutoHyphens w:val="0"/>
              <w:spacing w:before="60" w:after="60" w:line="240" w:lineRule="auto"/>
              <w:ind w:right="113"/>
              <w:rPr>
                <w:lang w:val="fr-FR"/>
              </w:rPr>
            </w:pPr>
            <w:r w:rsidRPr="00CC088A">
              <w:rPr>
                <w:lang w:val="fr-FR"/>
              </w:rPr>
              <w:t>Jusqu’à nouvel ordre</w:t>
            </w:r>
          </w:p>
        </w:tc>
      </w:tr>
    </w:tbl>
    <w:p w14:paraId="36290BC0" w14:textId="6957F3EC" w:rsidR="00196C06" w:rsidRPr="00CC088A" w:rsidRDefault="00196C06" w:rsidP="00196C06">
      <w:pPr>
        <w:pStyle w:val="SingleTxtG"/>
        <w:tabs>
          <w:tab w:val="left" w:pos="2268"/>
        </w:tabs>
        <w:spacing w:before="120"/>
        <w:rPr>
          <w:lang w:val="fr-FR"/>
        </w:rPr>
      </w:pPr>
      <w:r w:rsidRPr="00CC088A">
        <w:rPr>
          <w:lang w:val="fr-FR"/>
        </w:rPr>
        <w:t>6.2.2.1</w:t>
      </w:r>
      <w:r w:rsidRPr="00CC088A">
        <w:rPr>
          <w:lang w:val="fr-FR"/>
        </w:rPr>
        <w:tab/>
        <w:t>Ajouter le nouveau paragraphe 6.2.2.1.8 suivant</w:t>
      </w:r>
      <w:r w:rsidR="003567B8" w:rsidRPr="00CC088A">
        <w:rPr>
          <w:lang w:val="fr-FR"/>
        </w:rPr>
        <w:t> </w:t>
      </w:r>
      <w:r w:rsidRPr="00CC088A">
        <w:rPr>
          <w:lang w:val="fr-FR"/>
        </w:rPr>
        <w:t>:</w:t>
      </w:r>
    </w:p>
    <w:p w14:paraId="5FB4943F" w14:textId="1FAF52A2" w:rsidR="00196C06" w:rsidRPr="00CC088A" w:rsidRDefault="00196C06" w:rsidP="00196C06">
      <w:pPr>
        <w:pStyle w:val="SingleTxtG"/>
        <w:spacing w:before="120"/>
        <w:rPr>
          <w:lang w:val="fr-FR"/>
        </w:rPr>
      </w:pPr>
      <w:r w:rsidRPr="00CC088A">
        <w:rPr>
          <w:lang w:val="fr-FR"/>
        </w:rPr>
        <w:t>«</w:t>
      </w:r>
      <w:r w:rsidR="003567B8" w:rsidRPr="00CC088A">
        <w:rPr>
          <w:lang w:val="fr-FR"/>
        </w:rPr>
        <w:t> </w:t>
      </w:r>
      <w:r w:rsidRPr="00CC088A">
        <w:rPr>
          <w:lang w:val="fr-FR"/>
        </w:rPr>
        <w:t>6.2.2.1.8</w:t>
      </w:r>
      <w:r w:rsidRPr="00CC088A">
        <w:rPr>
          <w:lang w:val="fr-FR"/>
        </w:rPr>
        <w:tab/>
        <w:t xml:space="preserve">Les normes ci-après s’appliquent à la conception, à la construction ainsi qu’aux contrôles et aux épreuves initiaux des fûts à pression </w:t>
      </w:r>
      <w:r w:rsidR="003567B8" w:rsidRPr="00CC088A">
        <w:rPr>
          <w:lang w:val="fr-FR"/>
        </w:rPr>
        <w:t>"</w:t>
      </w:r>
      <w:r w:rsidRPr="00CC088A">
        <w:rPr>
          <w:lang w:val="fr-FR"/>
        </w:rPr>
        <w:t>UN</w:t>
      </w:r>
      <w:r w:rsidR="003567B8" w:rsidRPr="00CC088A">
        <w:rPr>
          <w:lang w:val="fr-FR"/>
        </w:rPr>
        <w:t>"</w:t>
      </w:r>
      <w:r w:rsidRPr="00CC088A">
        <w:rPr>
          <w:lang w:val="fr-FR"/>
        </w:rPr>
        <w:t>, si ce n’est que les prescriptions de contrôle relatives au système d’évaluation de conformité et à l’agrément doivent être conformes au 6.2.2.5:</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A074FC" w:rsidRPr="00CC088A" w14:paraId="2244700E" w14:textId="77777777" w:rsidTr="003567B8">
        <w:trPr>
          <w:cantSplit/>
          <w:tblHeader/>
        </w:trPr>
        <w:tc>
          <w:tcPr>
            <w:tcW w:w="1814" w:type="dxa"/>
            <w:shd w:val="clear" w:color="auto" w:fill="auto"/>
            <w:vAlign w:val="center"/>
          </w:tcPr>
          <w:p w14:paraId="2DA82A60" w14:textId="77777777" w:rsidR="00196C06" w:rsidRPr="00CC088A" w:rsidRDefault="00196C06" w:rsidP="006201FD">
            <w:pPr>
              <w:jc w:val="center"/>
              <w:rPr>
                <w:b/>
                <w:lang w:val="fr-FR"/>
              </w:rPr>
            </w:pPr>
            <w:r w:rsidRPr="00CC088A">
              <w:rPr>
                <w:b/>
                <w:lang w:val="fr-FR"/>
              </w:rPr>
              <w:t>Référence</w:t>
            </w:r>
          </w:p>
        </w:tc>
        <w:tc>
          <w:tcPr>
            <w:tcW w:w="4763" w:type="dxa"/>
            <w:shd w:val="clear" w:color="auto" w:fill="auto"/>
            <w:vAlign w:val="center"/>
          </w:tcPr>
          <w:p w14:paraId="276E7786" w14:textId="77777777" w:rsidR="00196C06" w:rsidRPr="00CC088A" w:rsidRDefault="00196C06" w:rsidP="006201FD">
            <w:pPr>
              <w:jc w:val="center"/>
              <w:rPr>
                <w:b/>
                <w:lang w:val="fr-FR"/>
              </w:rPr>
            </w:pPr>
            <w:r w:rsidRPr="00CC088A">
              <w:rPr>
                <w:b/>
                <w:lang w:val="fr-FR"/>
              </w:rPr>
              <w:t>Titre</w:t>
            </w:r>
          </w:p>
        </w:tc>
        <w:tc>
          <w:tcPr>
            <w:tcW w:w="1985" w:type="dxa"/>
            <w:shd w:val="clear" w:color="auto" w:fill="auto"/>
            <w:vAlign w:val="center"/>
          </w:tcPr>
          <w:p w14:paraId="53EC1091" w14:textId="77777777" w:rsidR="00196C06" w:rsidRPr="00CC088A" w:rsidRDefault="00196C06" w:rsidP="006201FD">
            <w:pPr>
              <w:jc w:val="center"/>
              <w:rPr>
                <w:b/>
                <w:lang w:val="fr-FR"/>
              </w:rPr>
            </w:pPr>
            <w:r w:rsidRPr="00CC088A">
              <w:rPr>
                <w:b/>
                <w:lang w:val="fr-FR"/>
              </w:rPr>
              <w:t>Applicable à la fabrication</w:t>
            </w:r>
          </w:p>
        </w:tc>
      </w:tr>
      <w:tr w:rsidR="00A074FC" w:rsidRPr="00CC088A" w14:paraId="33BA32E0" w14:textId="77777777" w:rsidTr="006201FD">
        <w:trPr>
          <w:cantSplit/>
        </w:trPr>
        <w:tc>
          <w:tcPr>
            <w:tcW w:w="1814" w:type="dxa"/>
            <w:shd w:val="clear" w:color="auto" w:fill="auto"/>
          </w:tcPr>
          <w:p w14:paraId="368B99B6" w14:textId="61BB1CBE" w:rsidR="00196C06" w:rsidRPr="00CC088A" w:rsidRDefault="00C506B1" w:rsidP="006201FD">
            <w:pPr>
              <w:rPr>
                <w:lang w:val="fr-FR"/>
              </w:rPr>
            </w:pPr>
            <w:r w:rsidRPr="00CC088A">
              <w:rPr>
                <w:lang w:val="fr-FR"/>
              </w:rPr>
              <w:t>ISO 21172-1:</w:t>
            </w:r>
            <w:r w:rsidR="00196C06" w:rsidRPr="00CC088A">
              <w:rPr>
                <w:lang w:val="fr-FR"/>
              </w:rPr>
              <w:t>2015</w:t>
            </w:r>
          </w:p>
        </w:tc>
        <w:tc>
          <w:tcPr>
            <w:tcW w:w="4763" w:type="dxa"/>
            <w:shd w:val="clear" w:color="auto" w:fill="auto"/>
          </w:tcPr>
          <w:p w14:paraId="24949FAE" w14:textId="77777777" w:rsidR="00196C06" w:rsidRPr="00CC088A" w:rsidRDefault="00196C06" w:rsidP="006201FD">
            <w:pPr>
              <w:jc w:val="both"/>
              <w:rPr>
                <w:lang w:val="fr-FR"/>
              </w:rPr>
            </w:pPr>
            <w:r w:rsidRPr="00CC088A">
              <w:rPr>
                <w:lang w:val="fr-FR"/>
              </w:rPr>
              <w:t xml:space="preserve">Bouteilles à gaz – Fûts soudés de capacité inférieure ou égale à 3 000 litres destinés au transport des gaz – Partie 1: Capacité jusqu’à 1 000 litres </w:t>
            </w:r>
          </w:p>
          <w:p w14:paraId="74BE9167" w14:textId="35B19FC1" w:rsidR="00196C06" w:rsidRPr="00CC088A" w:rsidRDefault="00196C06" w:rsidP="009E7F13">
            <w:pPr>
              <w:jc w:val="both"/>
              <w:rPr>
                <w:lang w:val="fr-FR"/>
              </w:rPr>
            </w:pPr>
            <w:r w:rsidRPr="00CC088A">
              <w:rPr>
                <w:b/>
                <w:i/>
                <w:lang w:val="fr-FR"/>
              </w:rPr>
              <w:t>NOTA</w:t>
            </w:r>
            <w:r w:rsidR="003567B8" w:rsidRPr="00CC088A">
              <w:rPr>
                <w:lang w:val="fr-FR"/>
              </w:rPr>
              <w:t> </w:t>
            </w:r>
            <w:r w:rsidRPr="00CC088A">
              <w:rPr>
                <w:b/>
                <w:i/>
                <w:lang w:val="fr-FR"/>
              </w:rPr>
              <w:t>:</w:t>
            </w:r>
            <w:r w:rsidRPr="00CC088A">
              <w:rPr>
                <w:lang w:val="fr-FR"/>
              </w:rPr>
              <w:t xml:space="preserve"> </w:t>
            </w:r>
            <w:r w:rsidRPr="00CC088A">
              <w:rPr>
                <w:i/>
                <w:lang w:val="fr-FR"/>
              </w:rPr>
              <w:t xml:space="preserve">Indépendamment de la section 6.3.3.4 de la présente norme, les fûts à pression en acier soudés à fonds bombés convexes à la pression peuvent être utilisés aux fins de transport de matières corrosives, à condition de satisfaire à toutes les prescriptions applicables </w:t>
            </w:r>
            <w:r w:rsidR="00FD3C88" w:rsidRPr="00CC088A">
              <w:rPr>
                <w:i/>
                <w:lang w:val="fr-FR"/>
              </w:rPr>
              <w:t>de l’ADR.</w:t>
            </w:r>
          </w:p>
        </w:tc>
        <w:tc>
          <w:tcPr>
            <w:tcW w:w="1985" w:type="dxa"/>
            <w:shd w:val="clear" w:color="auto" w:fill="auto"/>
          </w:tcPr>
          <w:p w14:paraId="4DDD094A" w14:textId="77777777" w:rsidR="00196C06" w:rsidRPr="00CC088A" w:rsidRDefault="00196C06" w:rsidP="006201FD">
            <w:pPr>
              <w:jc w:val="both"/>
              <w:rPr>
                <w:lang w:val="fr-FR"/>
              </w:rPr>
            </w:pPr>
            <w:r w:rsidRPr="00CC088A">
              <w:rPr>
                <w:lang w:val="fr-FR"/>
              </w:rPr>
              <w:t>Jusqu’à nouvel ordre</w:t>
            </w:r>
          </w:p>
        </w:tc>
      </w:tr>
      <w:tr w:rsidR="00A074FC" w:rsidRPr="00CC088A" w14:paraId="36B7A1B6" w14:textId="77777777" w:rsidTr="006201FD">
        <w:trPr>
          <w:cantSplit/>
        </w:trPr>
        <w:tc>
          <w:tcPr>
            <w:tcW w:w="1814" w:type="dxa"/>
            <w:shd w:val="clear" w:color="auto" w:fill="auto"/>
          </w:tcPr>
          <w:p w14:paraId="093E90CC" w14:textId="77777777" w:rsidR="00196C06" w:rsidRPr="00CC088A" w:rsidRDefault="00196C06" w:rsidP="006201FD">
            <w:pPr>
              <w:rPr>
                <w:lang w:val="fr-FR"/>
              </w:rPr>
            </w:pPr>
            <w:r w:rsidRPr="00CC088A">
              <w:rPr>
                <w:lang w:val="fr-FR"/>
              </w:rPr>
              <w:t>ISO 4706:2008</w:t>
            </w:r>
          </w:p>
        </w:tc>
        <w:tc>
          <w:tcPr>
            <w:tcW w:w="4763" w:type="dxa"/>
            <w:shd w:val="clear" w:color="auto" w:fill="auto"/>
          </w:tcPr>
          <w:p w14:paraId="40459848" w14:textId="77777777" w:rsidR="00196C06" w:rsidRPr="00CC088A" w:rsidRDefault="00196C06" w:rsidP="006201FD">
            <w:pPr>
              <w:jc w:val="both"/>
              <w:rPr>
                <w:lang w:val="fr-FR"/>
              </w:rPr>
            </w:pPr>
            <w:r w:rsidRPr="00CC088A">
              <w:rPr>
                <w:lang w:val="fr-FR"/>
              </w:rPr>
              <w:t>Bouteilles à gaz − Bouteilles en acier soudées rechargeables − Pression d’essai de 60 bar et moins</w:t>
            </w:r>
          </w:p>
        </w:tc>
        <w:tc>
          <w:tcPr>
            <w:tcW w:w="1985" w:type="dxa"/>
            <w:shd w:val="clear" w:color="auto" w:fill="auto"/>
          </w:tcPr>
          <w:p w14:paraId="48EFE882" w14:textId="77777777" w:rsidR="00196C06" w:rsidRPr="00CC088A" w:rsidRDefault="00196C06" w:rsidP="006201FD">
            <w:pPr>
              <w:jc w:val="both"/>
              <w:rPr>
                <w:lang w:val="fr-FR"/>
              </w:rPr>
            </w:pPr>
            <w:r w:rsidRPr="00CC088A">
              <w:rPr>
                <w:lang w:val="fr-FR"/>
              </w:rPr>
              <w:t>Jusqu’à nouvel ordre</w:t>
            </w:r>
          </w:p>
        </w:tc>
      </w:tr>
      <w:tr w:rsidR="00A074FC" w:rsidRPr="00CC088A" w14:paraId="0A018975" w14:textId="77777777" w:rsidTr="006201FD">
        <w:trPr>
          <w:cantSplit/>
        </w:trPr>
        <w:tc>
          <w:tcPr>
            <w:tcW w:w="1814" w:type="dxa"/>
            <w:shd w:val="clear" w:color="auto" w:fill="auto"/>
          </w:tcPr>
          <w:p w14:paraId="3DC39ED4" w14:textId="77777777" w:rsidR="00196C06" w:rsidRPr="00CC088A" w:rsidRDefault="00196C06" w:rsidP="006201FD">
            <w:pPr>
              <w:rPr>
                <w:lang w:val="fr-FR"/>
              </w:rPr>
            </w:pPr>
            <w:r w:rsidRPr="00CC088A">
              <w:rPr>
                <w:spacing w:val="-2"/>
                <w:lang w:val="fr-FR"/>
              </w:rPr>
              <w:t>ISO 18172-1:2007</w:t>
            </w:r>
          </w:p>
        </w:tc>
        <w:tc>
          <w:tcPr>
            <w:tcW w:w="4763" w:type="dxa"/>
            <w:shd w:val="clear" w:color="auto" w:fill="auto"/>
          </w:tcPr>
          <w:p w14:paraId="14B11172" w14:textId="77777777" w:rsidR="00196C06" w:rsidRPr="00CC088A" w:rsidRDefault="00196C06" w:rsidP="006201FD">
            <w:pPr>
              <w:jc w:val="both"/>
              <w:rPr>
                <w:lang w:val="fr-FR"/>
              </w:rPr>
            </w:pPr>
            <w:r w:rsidRPr="00CC088A">
              <w:rPr>
                <w:lang w:val="fr-FR"/>
              </w:rPr>
              <w:t>Bouteilles à gaz − Bouteilles soudées en acier inoxydable rechargeables − Partie 1: Pression d’épreuve de 6 MPa et inférieure</w:t>
            </w:r>
          </w:p>
        </w:tc>
        <w:tc>
          <w:tcPr>
            <w:tcW w:w="1985" w:type="dxa"/>
            <w:shd w:val="clear" w:color="auto" w:fill="auto"/>
          </w:tcPr>
          <w:p w14:paraId="67F70180" w14:textId="77777777" w:rsidR="00196C06" w:rsidRPr="00CC088A" w:rsidRDefault="00196C06" w:rsidP="006201FD">
            <w:pPr>
              <w:jc w:val="both"/>
              <w:rPr>
                <w:lang w:val="fr-FR"/>
              </w:rPr>
            </w:pPr>
            <w:r w:rsidRPr="00CC088A">
              <w:rPr>
                <w:lang w:val="fr-FR"/>
              </w:rPr>
              <w:t xml:space="preserve">Jusqu’à nouvel ordre </w:t>
            </w:r>
          </w:p>
        </w:tc>
      </w:tr>
    </w:tbl>
    <w:p w14:paraId="1F6C75C0" w14:textId="536ADBE7" w:rsidR="0052051F" w:rsidRPr="00CC088A" w:rsidRDefault="0052051F" w:rsidP="0052051F">
      <w:pPr>
        <w:pStyle w:val="SingleTxtG"/>
        <w:jc w:val="right"/>
        <w:rPr>
          <w:i/>
        </w:rPr>
      </w:pPr>
      <w:r w:rsidRPr="00CC088A">
        <w:rPr>
          <w:lang w:val="fr-FR"/>
        </w:rPr>
        <w:t>».</w:t>
      </w:r>
    </w:p>
    <w:p w14:paraId="283AB87C" w14:textId="2D6EDC7F" w:rsidR="00196C06" w:rsidRPr="007C0FDC" w:rsidRDefault="00196C06" w:rsidP="00196C06">
      <w:pPr>
        <w:pStyle w:val="SingleTxtG"/>
        <w:tabs>
          <w:tab w:val="left" w:pos="2268"/>
        </w:tabs>
        <w:spacing w:before="120"/>
        <w:rPr>
          <w:lang w:val="fr-FR"/>
        </w:rPr>
      </w:pPr>
      <w:r w:rsidRPr="007C0FDC">
        <w:rPr>
          <w:lang w:val="fr-FR"/>
        </w:rPr>
        <w:t>6.2.2.3</w:t>
      </w:r>
      <w:r w:rsidRPr="007C0FDC">
        <w:rPr>
          <w:lang w:val="fr-FR"/>
        </w:rPr>
        <w:tab/>
      </w:r>
      <w:r w:rsidRPr="007C0FDC">
        <w:rPr>
          <w:lang w:val="fr-FR"/>
        </w:rPr>
        <w:tab/>
        <w:t>Dans le premier tableau, pour la norme ISO 13340:2001, dans la colonne «</w:t>
      </w:r>
      <w:r w:rsidR="003567B8" w:rsidRPr="007C0FDC">
        <w:rPr>
          <w:lang w:val="fr-FR"/>
        </w:rPr>
        <w:t> </w:t>
      </w:r>
      <w:r w:rsidRPr="007C0FDC">
        <w:rPr>
          <w:lang w:val="fr-FR"/>
        </w:rPr>
        <w:t>Applicable à la fabrication</w:t>
      </w:r>
      <w:r w:rsidR="003567B8" w:rsidRPr="007C0FDC">
        <w:rPr>
          <w:lang w:val="fr-FR"/>
        </w:rPr>
        <w:t> </w:t>
      </w:r>
      <w:r w:rsidRPr="007C0FDC">
        <w:rPr>
          <w:lang w:val="fr-FR"/>
        </w:rPr>
        <w:t>», remplacer «</w:t>
      </w:r>
      <w:r w:rsidR="003567B8" w:rsidRPr="007C0FDC">
        <w:rPr>
          <w:lang w:val="fr-FR"/>
        </w:rPr>
        <w:t> </w:t>
      </w:r>
      <w:r w:rsidRPr="007C0FDC">
        <w:rPr>
          <w:lang w:val="fr-FR"/>
        </w:rPr>
        <w:t>Jusqu’à nouvel ordre</w:t>
      </w:r>
      <w:r w:rsidR="003567B8" w:rsidRPr="007C0FDC">
        <w:rPr>
          <w:lang w:val="fr-FR"/>
        </w:rPr>
        <w:t> </w:t>
      </w:r>
      <w:r w:rsidRPr="007C0FDC">
        <w:rPr>
          <w:lang w:val="fr-FR"/>
        </w:rPr>
        <w:t>» par «</w:t>
      </w:r>
      <w:r w:rsidR="003567B8" w:rsidRPr="007C0FDC">
        <w:rPr>
          <w:lang w:val="fr-FR"/>
        </w:rPr>
        <w:t> </w:t>
      </w:r>
      <w:r w:rsidRPr="007C0FDC">
        <w:rPr>
          <w:lang w:val="fr-FR"/>
        </w:rPr>
        <w:t>Jusqu’au 31 décembre 2020</w:t>
      </w:r>
      <w:r w:rsidR="003567B8" w:rsidRPr="007C0FDC">
        <w:rPr>
          <w:lang w:val="fr-FR"/>
        </w:rPr>
        <w:t> </w:t>
      </w:r>
      <w:r w:rsidRPr="007C0FDC">
        <w:rPr>
          <w:lang w:val="fr-FR"/>
        </w:rPr>
        <w:t>».</w:t>
      </w:r>
    </w:p>
    <w:p w14:paraId="54766B73" w14:textId="74E386EE" w:rsidR="00196C06" w:rsidRPr="007C0FDC" w:rsidRDefault="00196C06" w:rsidP="00196C06">
      <w:pPr>
        <w:pStyle w:val="SingleTxtG"/>
        <w:tabs>
          <w:tab w:val="left" w:pos="2268"/>
        </w:tabs>
        <w:spacing w:before="120"/>
        <w:rPr>
          <w:lang w:val="fr-FR"/>
        </w:rPr>
      </w:pPr>
      <w:r w:rsidRPr="007C0FDC">
        <w:rPr>
          <w:lang w:val="fr-FR"/>
        </w:rPr>
        <w:t>6.2.2.3</w:t>
      </w:r>
      <w:r w:rsidRPr="007C0FDC">
        <w:rPr>
          <w:lang w:val="fr-FR"/>
        </w:rPr>
        <w:tab/>
      </w:r>
      <w:r w:rsidRPr="007C0FDC">
        <w:rPr>
          <w:lang w:val="fr-FR"/>
        </w:rPr>
        <w:tab/>
        <w:t xml:space="preserve">Dans le premier </w:t>
      </w:r>
      <w:r w:rsidR="00DD36E6" w:rsidRPr="007C0FDC">
        <w:rPr>
          <w:lang w:val="fr-FR"/>
        </w:rPr>
        <w:t>tableau, ajouter les</w:t>
      </w:r>
      <w:r w:rsidRPr="007C0FDC">
        <w:rPr>
          <w:lang w:val="fr-FR"/>
        </w:rPr>
        <w:t xml:space="preserve"> nouvelle</w:t>
      </w:r>
      <w:r w:rsidR="00DD36E6" w:rsidRPr="007C0FDC">
        <w:rPr>
          <w:lang w:val="fr-FR"/>
        </w:rPr>
        <w:t>s</w:t>
      </w:r>
      <w:r w:rsidRPr="007C0FDC">
        <w:rPr>
          <w:lang w:val="fr-FR"/>
        </w:rPr>
        <w:t xml:space="preserve"> ligne</w:t>
      </w:r>
      <w:r w:rsidR="00DD36E6" w:rsidRPr="007C0FDC">
        <w:rPr>
          <w:lang w:val="fr-FR"/>
        </w:rPr>
        <w:t>s</w:t>
      </w:r>
      <w:r w:rsidRPr="007C0FDC">
        <w:rPr>
          <w:lang w:val="fr-FR"/>
        </w:rPr>
        <w:t xml:space="preserve"> suivante</w:t>
      </w:r>
      <w:r w:rsidR="00DD36E6" w:rsidRPr="007C0FDC">
        <w:rPr>
          <w:lang w:val="fr-FR"/>
        </w:rPr>
        <w:t>s</w:t>
      </w:r>
      <w:r w:rsidRPr="007C0FDC">
        <w:rPr>
          <w:lang w:val="fr-FR"/>
        </w:rPr>
        <w:t xml:space="preserve"> à la fin</w:t>
      </w:r>
      <w:r w:rsidR="003567B8" w:rsidRPr="007C0FDC">
        <w:rPr>
          <w:lang w:val="fr-FR"/>
        </w:rPr>
        <w:t> </w:t>
      </w:r>
      <w:r w:rsidRPr="007C0FDC">
        <w:rPr>
          <w:lang w:val="fr-FR"/>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4907"/>
        <w:gridCol w:w="1793"/>
      </w:tblGrid>
      <w:tr w:rsidR="00A074FC" w:rsidRPr="007C0FDC" w14:paraId="35AD0085" w14:textId="77777777" w:rsidTr="009C2E03">
        <w:tc>
          <w:tcPr>
            <w:tcW w:w="1589" w:type="dxa"/>
            <w:shd w:val="clear" w:color="auto" w:fill="auto"/>
          </w:tcPr>
          <w:p w14:paraId="66170FDF" w14:textId="77777777" w:rsidR="00DD36E6" w:rsidRPr="007C0FDC" w:rsidRDefault="00DD36E6" w:rsidP="00FA4265">
            <w:pPr>
              <w:spacing w:before="40" w:after="80"/>
              <w:ind w:left="43" w:right="43"/>
              <w:rPr>
                <w:lang w:val="fr-FR"/>
              </w:rPr>
            </w:pPr>
            <w:r w:rsidRPr="007C0FDC">
              <w:rPr>
                <w:lang w:val="fr-FR"/>
              </w:rPr>
              <w:t>ISO 14246:2014</w:t>
            </w:r>
          </w:p>
        </w:tc>
        <w:tc>
          <w:tcPr>
            <w:tcW w:w="4320" w:type="dxa"/>
            <w:shd w:val="clear" w:color="auto" w:fill="auto"/>
          </w:tcPr>
          <w:p w14:paraId="1DC8D0E1" w14:textId="77777777" w:rsidR="00DD36E6" w:rsidRPr="007C0FDC" w:rsidRDefault="00DD36E6" w:rsidP="00FA4265">
            <w:pPr>
              <w:spacing w:before="40" w:after="80"/>
              <w:ind w:left="43" w:right="43"/>
              <w:rPr>
                <w:lang w:val="fr-FR"/>
              </w:rPr>
            </w:pPr>
            <w:r w:rsidRPr="007C0FDC">
              <w:rPr>
                <w:lang w:val="fr-FR"/>
              </w:rPr>
              <w:t>Bouteilles à gaz – Robinets de bouteille à gaz – Essais de fabrication et contrôles</w:t>
            </w:r>
          </w:p>
        </w:tc>
        <w:tc>
          <w:tcPr>
            <w:tcW w:w="1579" w:type="dxa"/>
            <w:shd w:val="clear" w:color="auto" w:fill="auto"/>
          </w:tcPr>
          <w:p w14:paraId="3C020CAC" w14:textId="77777777" w:rsidR="00DD36E6" w:rsidRPr="007C0FDC" w:rsidRDefault="00DD36E6" w:rsidP="00FA4265">
            <w:pPr>
              <w:spacing w:before="40" w:after="80"/>
              <w:ind w:left="43" w:right="43"/>
              <w:rPr>
                <w:lang w:val="fr-FR"/>
              </w:rPr>
            </w:pPr>
            <w:r w:rsidRPr="007C0FDC">
              <w:rPr>
                <w:lang w:val="fr-FR"/>
              </w:rPr>
              <w:t>Jusqu’à nouvel ordre</w:t>
            </w:r>
          </w:p>
        </w:tc>
      </w:tr>
      <w:tr w:rsidR="00A074FC" w:rsidRPr="007C0FDC" w14:paraId="04554ED6" w14:textId="77777777" w:rsidTr="009C2E03">
        <w:tc>
          <w:tcPr>
            <w:tcW w:w="1589" w:type="dxa"/>
            <w:shd w:val="clear" w:color="auto" w:fill="auto"/>
          </w:tcPr>
          <w:p w14:paraId="77B851D3" w14:textId="19A913F7" w:rsidR="00DD36E6" w:rsidRPr="007C0FDC" w:rsidRDefault="00DD36E6" w:rsidP="00DD36E6">
            <w:pPr>
              <w:spacing w:before="40" w:after="80"/>
              <w:ind w:left="43" w:right="43"/>
              <w:rPr>
                <w:lang w:val="fr-FR"/>
              </w:rPr>
            </w:pPr>
            <w:r w:rsidRPr="007C0FDC">
              <w:rPr>
                <w:bCs/>
                <w:lang w:val="fr-FR"/>
              </w:rPr>
              <w:t>ISO 17871:2015</w:t>
            </w:r>
          </w:p>
        </w:tc>
        <w:tc>
          <w:tcPr>
            <w:tcW w:w="4320" w:type="dxa"/>
            <w:shd w:val="clear" w:color="auto" w:fill="auto"/>
          </w:tcPr>
          <w:p w14:paraId="75280E8D" w14:textId="066FAC99" w:rsidR="00DD36E6" w:rsidRPr="007C0FDC" w:rsidRDefault="00DD36E6" w:rsidP="00DD36E6">
            <w:pPr>
              <w:spacing w:before="40" w:after="80"/>
              <w:ind w:left="43" w:right="43"/>
              <w:rPr>
                <w:lang w:val="fr-FR"/>
              </w:rPr>
            </w:pPr>
            <w:r w:rsidRPr="007C0FDC">
              <w:rPr>
                <w:bCs/>
                <w:lang w:val="fr-FR"/>
              </w:rPr>
              <w:t>Bouteilles à gaz transportables − Robinets de bouteilles à ouverture rapide − Spécifications et essais de type</w:t>
            </w:r>
          </w:p>
        </w:tc>
        <w:tc>
          <w:tcPr>
            <w:tcW w:w="1579" w:type="dxa"/>
            <w:shd w:val="clear" w:color="auto" w:fill="auto"/>
          </w:tcPr>
          <w:p w14:paraId="1CC31DA7" w14:textId="053D1019" w:rsidR="00DD36E6" w:rsidRPr="007C0FDC" w:rsidRDefault="00DD36E6" w:rsidP="00DD36E6">
            <w:pPr>
              <w:spacing w:before="40" w:after="80"/>
              <w:ind w:left="43" w:right="43"/>
              <w:rPr>
                <w:lang w:val="fr-FR"/>
              </w:rPr>
            </w:pPr>
            <w:r w:rsidRPr="007C0FDC">
              <w:rPr>
                <w:bCs/>
                <w:lang w:val="fr-FR"/>
              </w:rPr>
              <w:t>Jusqu’à nouvel ordre</w:t>
            </w:r>
          </w:p>
        </w:tc>
      </w:tr>
    </w:tbl>
    <w:p w14:paraId="550E9062" w14:textId="585E6413" w:rsidR="00196C06" w:rsidRPr="007C0FDC" w:rsidRDefault="00196C06" w:rsidP="00E15059">
      <w:pPr>
        <w:pStyle w:val="SingleTxtG"/>
        <w:spacing w:before="120"/>
        <w:rPr>
          <w:lang w:val="fr-FR"/>
        </w:rPr>
      </w:pPr>
      <w:r w:rsidRPr="007C0FDC">
        <w:rPr>
          <w:lang w:val="fr-FR"/>
        </w:rPr>
        <w:t>6.2.2.4</w:t>
      </w:r>
      <w:r w:rsidRPr="007C0FDC">
        <w:rPr>
          <w:lang w:val="fr-FR"/>
        </w:rPr>
        <w:tab/>
      </w:r>
      <w:r w:rsidRPr="007C0FDC">
        <w:rPr>
          <w:lang w:val="fr-FR"/>
        </w:rPr>
        <w:tab/>
        <w:t>Modifier la fin de la première phrase comme suit</w:t>
      </w:r>
      <w:r w:rsidR="003567B8" w:rsidRPr="007C0FDC">
        <w:rPr>
          <w:lang w:val="fr-FR"/>
        </w:rPr>
        <w:t> </w:t>
      </w:r>
      <w:r w:rsidRPr="007C0FDC">
        <w:rPr>
          <w:lang w:val="fr-FR"/>
        </w:rPr>
        <w:t>: «</w:t>
      </w:r>
      <w:r w:rsidR="003567B8" w:rsidRPr="007C0FDC">
        <w:rPr>
          <w:lang w:val="fr-FR"/>
        </w:rPr>
        <w:t> </w:t>
      </w:r>
      <w:r w:rsidRPr="007C0FDC">
        <w:rPr>
          <w:lang w:val="fr-FR"/>
        </w:rPr>
        <w:t xml:space="preserve">… les bouteilles </w:t>
      </w:r>
      <w:r w:rsidR="003567B8" w:rsidRPr="007C0FDC">
        <w:rPr>
          <w:lang w:val="fr-FR"/>
        </w:rPr>
        <w:t>"</w:t>
      </w:r>
      <w:r w:rsidRPr="007C0FDC">
        <w:rPr>
          <w:lang w:val="fr-FR"/>
        </w:rPr>
        <w:t>UN</w:t>
      </w:r>
      <w:r w:rsidR="003567B8" w:rsidRPr="007C0FDC">
        <w:rPr>
          <w:lang w:val="fr-FR"/>
        </w:rPr>
        <w:t>"</w:t>
      </w:r>
      <w:r w:rsidRPr="007C0FDC">
        <w:rPr>
          <w:lang w:val="fr-FR"/>
        </w:rPr>
        <w:t xml:space="preserve"> et leurs fermetures</w:t>
      </w:r>
      <w:r w:rsidR="003567B8" w:rsidRPr="007C0FDC">
        <w:rPr>
          <w:lang w:val="fr-FR"/>
        </w:rPr>
        <w:t> </w:t>
      </w:r>
      <w:r w:rsidRPr="007C0FDC">
        <w:rPr>
          <w:lang w:val="fr-FR"/>
        </w:rPr>
        <w:t>».</w:t>
      </w:r>
    </w:p>
    <w:p w14:paraId="2AC5E548" w14:textId="467DE0B1" w:rsidR="00196C06" w:rsidRPr="007C0FDC" w:rsidRDefault="00196C06" w:rsidP="00196C06">
      <w:pPr>
        <w:pStyle w:val="SingleTxtG"/>
        <w:rPr>
          <w:lang w:val="fr-FR"/>
        </w:rPr>
      </w:pPr>
      <w:r w:rsidRPr="007C0FDC">
        <w:rPr>
          <w:lang w:val="fr-FR"/>
        </w:rPr>
        <w:t>Transférer la dernière ligne du tableau dans un nouveau tableau avec les mêmes titres et avec la nouvelle phrase d’introduction suivante</w:t>
      </w:r>
      <w:r w:rsidR="003567B8" w:rsidRPr="007C0FDC">
        <w:rPr>
          <w:lang w:val="fr-FR"/>
        </w:rPr>
        <w:t> </w:t>
      </w:r>
      <w:r w:rsidRPr="007C0FDC">
        <w:rPr>
          <w:lang w:val="fr-FR"/>
        </w:rPr>
        <w:t>: «</w:t>
      </w:r>
      <w:r w:rsidR="003567B8" w:rsidRPr="007C0FDC">
        <w:rPr>
          <w:lang w:val="fr-FR"/>
        </w:rPr>
        <w:t> </w:t>
      </w:r>
      <w:r w:rsidRPr="007C0FDC">
        <w:rPr>
          <w:lang w:val="fr-FR"/>
        </w:rPr>
        <w:t xml:space="preserve">La norme ci-après s’applique aux contrôles et épreuves périodiques que doivent subir les dispositifs de stockage à hydrure métallique </w:t>
      </w:r>
      <w:r w:rsidR="003567B8" w:rsidRPr="007C0FDC">
        <w:rPr>
          <w:lang w:val="fr-FR"/>
        </w:rPr>
        <w:t>"</w:t>
      </w:r>
      <w:r w:rsidRPr="007C0FDC">
        <w:rPr>
          <w:lang w:val="fr-FR"/>
        </w:rPr>
        <w:t>UN</w:t>
      </w:r>
      <w:r w:rsidR="003567B8" w:rsidRPr="007C0FDC">
        <w:rPr>
          <w:lang w:val="fr-FR"/>
        </w:rPr>
        <w:t>"</w:t>
      </w:r>
      <w:r w:rsidR="00867522" w:rsidRPr="007C0FDC">
        <w:rPr>
          <w:lang w:val="fr-FR"/>
        </w:rPr>
        <w:t> </w:t>
      </w:r>
      <w:r w:rsidRPr="007C0FDC">
        <w:rPr>
          <w:lang w:val="fr-FR"/>
        </w:rPr>
        <w:t>».</w:t>
      </w:r>
    </w:p>
    <w:p w14:paraId="7C790E51" w14:textId="686781F9" w:rsidR="00196C06" w:rsidRPr="007C0FDC" w:rsidRDefault="00196C06" w:rsidP="00196C06">
      <w:pPr>
        <w:pStyle w:val="SingleTxtG"/>
        <w:tabs>
          <w:tab w:val="left" w:pos="2268"/>
        </w:tabs>
        <w:spacing w:before="120"/>
        <w:rPr>
          <w:lang w:val="fr-FR"/>
        </w:rPr>
      </w:pPr>
      <w:r w:rsidRPr="007C0FDC">
        <w:rPr>
          <w:lang w:val="fr-FR"/>
        </w:rPr>
        <w:t>6.2.2.4</w:t>
      </w:r>
      <w:r w:rsidRPr="007C0FDC">
        <w:rPr>
          <w:lang w:val="fr-FR"/>
        </w:rPr>
        <w:tab/>
      </w:r>
      <w:r w:rsidRPr="007C0FDC">
        <w:rPr>
          <w:lang w:val="fr-FR"/>
        </w:rPr>
        <w:tab/>
        <w:t xml:space="preserve">Dans le </w:t>
      </w:r>
      <w:r w:rsidR="00FD3C88" w:rsidRPr="007C0FDC">
        <w:rPr>
          <w:lang w:val="fr-FR"/>
        </w:rPr>
        <w:t xml:space="preserve">premier </w:t>
      </w:r>
      <w:r w:rsidRPr="007C0FDC">
        <w:rPr>
          <w:lang w:val="fr-FR"/>
        </w:rPr>
        <w:t>tableau, pour la norme ISO 11623:2002, dans la colonne «</w:t>
      </w:r>
      <w:r w:rsidR="003567B8" w:rsidRPr="007C0FDC">
        <w:rPr>
          <w:lang w:val="fr-FR"/>
        </w:rPr>
        <w:t> </w:t>
      </w:r>
      <w:r w:rsidRPr="007C0FDC">
        <w:rPr>
          <w:lang w:val="fr-FR"/>
        </w:rPr>
        <w:t>Applicable</w:t>
      </w:r>
      <w:r w:rsidR="003567B8" w:rsidRPr="007C0FDC">
        <w:rPr>
          <w:lang w:val="fr-FR"/>
        </w:rPr>
        <w:t> </w:t>
      </w:r>
      <w:r w:rsidRPr="007C0FDC">
        <w:rPr>
          <w:lang w:val="fr-FR"/>
        </w:rPr>
        <w:t>», remplacer «</w:t>
      </w:r>
      <w:r w:rsidR="003567B8" w:rsidRPr="007C0FDC">
        <w:rPr>
          <w:lang w:val="fr-FR"/>
        </w:rPr>
        <w:t> </w:t>
      </w:r>
      <w:r w:rsidRPr="007C0FDC">
        <w:rPr>
          <w:lang w:val="fr-FR"/>
        </w:rPr>
        <w:t>Jusqu’à nouvel ordre</w:t>
      </w:r>
      <w:r w:rsidR="003567B8" w:rsidRPr="007C0FDC">
        <w:rPr>
          <w:lang w:val="fr-FR"/>
        </w:rPr>
        <w:t> </w:t>
      </w:r>
      <w:r w:rsidRPr="007C0FDC">
        <w:rPr>
          <w:lang w:val="fr-FR"/>
        </w:rPr>
        <w:t>» par «</w:t>
      </w:r>
      <w:r w:rsidR="003567B8" w:rsidRPr="007C0FDC">
        <w:rPr>
          <w:lang w:val="fr-FR"/>
        </w:rPr>
        <w:t> </w:t>
      </w:r>
      <w:r w:rsidRPr="007C0FDC">
        <w:rPr>
          <w:lang w:val="fr-FR"/>
        </w:rPr>
        <w:t>Jusqu’au 31 décembre 2020</w:t>
      </w:r>
      <w:r w:rsidR="003567B8" w:rsidRPr="007C0FDC">
        <w:rPr>
          <w:lang w:val="fr-FR"/>
        </w:rPr>
        <w:t> </w:t>
      </w:r>
      <w:r w:rsidRPr="007C0FDC">
        <w:rPr>
          <w:lang w:val="fr-FR"/>
        </w:rPr>
        <w:t>».</w:t>
      </w:r>
    </w:p>
    <w:p w14:paraId="4B2742D8" w14:textId="47E49D8F" w:rsidR="00196C06" w:rsidRPr="007C0FDC" w:rsidRDefault="00196C06" w:rsidP="00196C06">
      <w:pPr>
        <w:pStyle w:val="SingleTxtG"/>
        <w:rPr>
          <w:lang w:val="fr-FR"/>
        </w:rPr>
      </w:pPr>
      <w:r w:rsidRPr="007C0FDC">
        <w:rPr>
          <w:lang w:val="fr-FR"/>
        </w:rPr>
        <w:lastRenderedPageBreak/>
        <w:t>Après la ligne pour la norme «</w:t>
      </w:r>
      <w:r w:rsidR="003567B8" w:rsidRPr="007C0FDC">
        <w:rPr>
          <w:lang w:val="fr-FR"/>
        </w:rPr>
        <w:t> </w:t>
      </w:r>
      <w:r w:rsidRPr="007C0FDC">
        <w:rPr>
          <w:lang w:val="fr-FR"/>
        </w:rPr>
        <w:t>ISO 11623:2002</w:t>
      </w:r>
      <w:r w:rsidR="003567B8" w:rsidRPr="007C0FDC">
        <w:rPr>
          <w:lang w:val="fr-FR"/>
        </w:rPr>
        <w:t> </w:t>
      </w:r>
      <w:r w:rsidRPr="007C0FDC">
        <w:rPr>
          <w:lang w:val="fr-FR"/>
        </w:rPr>
        <w:t>» ajouter la nouvelle ligne suivante</w:t>
      </w:r>
      <w:r w:rsidR="003567B8" w:rsidRPr="007C0FDC">
        <w:rPr>
          <w:lang w:val="fr-FR"/>
        </w:rPr>
        <w:t> </w:t>
      </w:r>
      <w:r w:rsidRPr="007C0FDC">
        <w:rPr>
          <w:lang w:val="fr-FR"/>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10"/>
        <w:gridCol w:w="4933"/>
        <w:gridCol w:w="1762"/>
      </w:tblGrid>
      <w:tr w:rsidR="00A074FC" w:rsidRPr="007C0FDC" w14:paraId="160A3D02" w14:textId="77777777" w:rsidTr="009C2E03">
        <w:tc>
          <w:tcPr>
            <w:tcW w:w="1569" w:type="dxa"/>
            <w:tcBorders>
              <w:top w:val="single" w:sz="4" w:space="0" w:color="auto"/>
              <w:left w:val="single" w:sz="4" w:space="0" w:color="auto"/>
              <w:bottom w:val="single" w:sz="4" w:space="0" w:color="auto"/>
              <w:right w:val="single" w:sz="4" w:space="0" w:color="auto"/>
            </w:tcBorders>
            <w:hideMark/>
          </w:tcPr>
          <w:p w14:paraId="3C3C3767" w14:textId="77777777" w:rsidR="00196C06" w:rsidRPr="007C0FDC" w:rsidRDefault="00196C06" w:rsidP="006201FD">
            <w:pPr>
              <w:spacing w:before="60" w:after="60" w:line="220" w:lineRule="atLeast"/>
              <w:ind w:left="113" w:right="113"/>
              <w:jc w:val="both"/>
              <w:rPr>
                <w:bCs/>
                <w:lang w:val="fr-FR"/>
              </w:rPr>
            </w:pPr>
            <w:r w:rsidRPr="007C0FDC">
              <w:rPr>
                <w:bCs/>
                <w:lang w:val="fr-FR"/>
              </w:rPr>
              <w:t>ISO 11623:2015</w:t>
            </w:r>
          </w:p>
        </w:tc>
        <w:tc>
          <w:tcPr>
            <w:tcW w:w="4275" w:type="dxa"/>
            <w:tcBorders>
              <w:top w:val="single" w:sz="4" w:space="0" w:color="auto"/>
              <w:left w:val="single" w:sz="4" w:space="0" w:color="auto"/>
              <w:bottom w:val="single" w:sz="4" w:space="0" w:color="auto"/>
              <w:right w:val="single" w:sz="4" w:space="0" w:color="auto"/>
            </w:tcBorders>
            <w:hideMark/>
          </w:tcPr>
          <w:p w14:paraId="6D264993" w14:textId="77777777" w:rsidR="00196C06" w:rsidRPr="007C0FDC" w:rsidRDefault="00196C06" w:rsidP="006201FD">
            <w:pPr>
              <w:spacing w:before="60" w:after="60" w:line="220" w:lineRule="atLeast"/>
              <w:ind w:left="113" w:right="113"/>
              <w:rPr>
                <w:bCs/>
                <w:lang w:val="fr-FR"/>
              </w:rPr>
            </w:pPr>
            <w:r w:rsidRPr="007C0FDC">
              <w:rPr>
                <w:bCs/>
                <w:lang w:val="fr-FR"/>
              </w:rPr>
              <w:t>Bouteilles à gaz – Construction composite − Contrôle et essais périodiques</w:t>
            </w:r>
          </w:p>
        </w:tc>
        <w:tc>
          <w:tcPr>
            <w:tcW w:w="1527" w:type="dxa"/>
            <w:tcBorders>
              <w:top w:val="single" w:sz="4" w:space="0" w:color="auto"/>
              <w:left w:val="single" w:sz="4" w:space="0" w:color="auto"/>
              <w:bottom w:val="single" w:sz="4" w:space="0" w:color="auto"/>
              <w:right w:val="single" w:sz="4" w:space="0" w:color="auto"/>
            </w:tcBorders>
            <w:hideMark/>
          </w:tcPr>
          <w:p w14:paraId="70E18077" w14:textId="77777777" w:rsidR="00196C06" w:rsidRPr="007C0FDC" w:rsidRDefault="00196C06" w:rsidP="006201FD">
            <w:pPr>
              <w:spacing w:before="60" w:after="60" w:line="220" w:lineRule="atLeast"/>
              <w:ind w:left="113" w:right="113"/>
              <w:rPr>
                <w:bCs/>
                <w:lang w:val="fr-FR"/>
              </w:rPr>
            </w:pPr>
            <w:r w:rsidRPr="007C0FDC">
              <w:rPr>
                <w:bCs/>
                <w:lang w:val="fr-FR"/>
              </w:rPr>
              <w:t>Jusqu’à nouvel ordre</w:t>
            </w:r>
          </w:p>
        </w:tc>
      </w:tr>
    </w:tbl>
    <w:p w14:paraId="402D9B8A" w14:textId="77777777" w:rsidR="00196C06" w:rsidRPr="007C0FDC" w:rsidRDefault="00196C06" w:rsidP="003B47D4">
      <w:pPr>
        <w:pStyle w:val="SingleTxtG"/>
        <w:spacing w:before="120"/>
        <w:rPr>
          <w:lang w:val="fr-FR"/>
        </w:rPr>
      </w:pPr>
      <w:r w:rsidRPr="007C0FDC">
        <w:rPr>
          <w:lang w:val="fr-FR"/>
        </w:rPr>
        <w:t>6.2.2.4</w:t>
      </w:r>
      <w:r w:rsidRPr="007C0FDC">
        <w:rPr>
          <w:lang w:val="fr-FR"/>
        </w:rPr>
        <w:tab/>
      </w:r>
      <w:r w:rsidRPr="007C0FDC">
        <w:rPr>
          <w:lang w:val="fr-FR"/>
        </w:rPr>
        <w:tab/>
        <w:t>À la fin du premier tableau ajouter une nouvelle ligne ainsi conçue:</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4903"/>
        <w:gridCol w:w="1798"/>
      </w:tblGrid>
      <w:tr w:rsidR="00A074FC" w:rsidRPr="007C0FDC" w14:paraId="6BFA3210" w14:textId="77777777" w:rsidTr="009C2E03">
        <w:tc>
          <w:tcPr>
            <w:tcW w:w="1589" w:type="dxa"/>
            <w:shd w:val="clear" w:color="auto" w:fill="auto"/>
          </w:tcPr>
          <w:p w14:paraId="26FDC53B" w14:textId="77777777" w:rsidR="00196C06" w:rsidRPr="007C0FDC" w:rsidRDefault="00196C06" w:rsidP="006201FD">
            <w:pPr>
              <w:spacing w:before="40" w:after="80"/>
              <w:ind w:left="43" w:right="43"/>
              <w:rPr>
                <w:lang w:val="fr-FR"/>
              </w:rPr>
            </w:pPr>
            <w:r w:rsidRPr="007C0FDC">
              <w:rPr>
                <w:lang w:val="fr-FR"/>
              </w:rPr>
              <w:t>ISO 22434:2006</w:t>
            </w:r>
          </w:p>
        </w:tc>
        <w:tc>
          <w:tcPr>
            <w:tcW w:w="4320" w:type="dxa"/>
            <w:shd w:val="clear" w:color="auto" w:fill="auto"/>
          </w:tcPr>
          <w:p w14:paraId="708434A2" w14:textId="77777777" w:rsidR="00196C06" w:rsidRPr="007C0FDC" w:rsidRDefault="00196C06" w:rsidP="006201FD">
            <w:pPr>
              <w:spacing w:before="40" w:after="80"/>
              <w:ind w:left="43" w:right="43"/>
              <w:rPr>
                <w:lang w:val="fr-FR"/>
              </w:rPr>
            </w:pPr>
            <w:r w:rsidRPr="007C0FDC">
              <w:rPr>
                <w:lang w:val="fr-FR"/>
              </w:rPr>
              <w:t>Bouteilles à gaz transportables – Contrôle et maintenance des robinets de bouteilles</w:t>
            </w:r>
          </w:p>
          <w:p w14:paraId="1AE420A4" w14:textId="33AAD6C8" w:rsidR="00196C06" w:rsidRPr="007C0FDC" w:rsidRDefault="00196C06" w:rsidP="003567B8">
            <w:pPr>
              <w:spacing w:before="40" w:after="80"/>
              <w:ind w:left="43" w:right="43"/>
              <w:rPr>
                <w:lang w:val="fr-FR"/>
              </w:rPr>
            </w:pPr>
            <w:r w:rsidRPr="007C0FDC">
              <w:rPr>
                <w:b/>
                <w:i/>
                <w:lang w:val="fr-FR"/>
              </w:rPr>
              <w:t>NOTA:</w:t>
            </w:r>
            <w:r w:rsidRPr="007C0FDC">
              <w:rPr>
                <w:lang w:val="fr-FR"/>
              </w:rPr>
              <w:t xml:space="preserve"> </w:t>
            </w:r>
            <w:r w:rsidRPr="007C0FDC">
              <w:rPr>
                <w:i/>
                <w:lang w:val="fr-FR"/>
              </w:rPr>
              <w:t xml:space="preserve">Il peut être satisfait à ces prescriptions à d’autres moments que lors des contrôles et épreuves périodiques des bouteilles </w:t>
            </w:r>
            <w:r w:rsidR="003567B8" w:rsidRPr="007C0FDC">
              <w:rPr>
                <w:i/>
                <w:lang w:val="fr-FR"/>
              </w:rPr>
              <w:t>"</w:t>
            </w:r>
            <w:r w:rsidRPr="007C0FDC">
              <w:rPr>
                <w:i/>
                <w:lang w:val="fr-FR"/>
              </w:rPr>
              <w:t>UN</w:t>
            </w:r>
            <w:r w:rsidR="003567B8" w:rsidRPr="007C0FDC">
              <w:rPr>
                <w:i/>
                <w:lang w:val="fr-FR"/>
              </w:rPr>
              <w:t>"</w:t>
            </w:r>
            <w:r w:rsidRPr="007C0FDC">
              <w:rPr>
                <w:i/>
                <w:lang w:val="fr-FR"/>
              </w:rPr>
              <w:t>.</w:t>
            </w:r>
          </w:p>
        </w:tc>
        <w:tc>
          <w:tcPr>
            <w:tcW w:w="1584" w:type="dxa"/>
            <w:shd w:val="clear" w:color="auto" w:fill="auto"/>
          </w:tcPr>
          <w:p w14:paraId="3CC4FBBC" w14:textId="77777777" w:rsidR="00196C06" w:rsidRPr="007C0FDC" w:rsidRDefault="00196C06" w:rsidP="006201FD">
            <w:pPr>
              <w:spacing w:before="40" w:after="80"/>
              <w:ind w:left="43" w:right="43"/>
              <w:rPr>
                <w:lang w:val="fr-FR"/>
              </w:rPr>
            </w:pPr>
            <w:r w:rsidRPr="007C0FDC">
              <w:rPr>
                <w:lang w:val="fr-FR"/>
              </w:rPr>
              <w:t>Jusqu’à nouvel ordre</w:t>
            </w:r>
          </w:p>
        </w:tc>
      </w:tr>
    </w:tbl>
    <w:p w14:paraId="5436A4EA" w14:textId="4372170B" w:rsidR="00196C06" w:rsidRPr="007C0FDC" w:rsidRDefault="00196C06" w:rsidP="003567B8">
      <w:pPr>
        <w:pStyle w:val="SingleTxtG"/>
        <w:spacing w:before="120"/>
        <w:rPr>
          <w:lang w:val="fr-FR"/>
        </w:rPr>
      </w:pPr>
      <w:r w:rsidRPr="007C0FDC">
        <w:rPr>
          <w:lang w:val="fr-FR"/>
        </w:rPr>
        <w:t>6.2.2.7.4</w:t>
      </w:r>
      <w:r w:rsidRPr="007C0FDC">
        <w:rPr>
          <w:lang w:val="fr-FR"/>
        </w:rPr>
        <w:tab/>
        <w:t>Ajouter le nouveau NOTA suivant sous l’alinéa m)</w:t>
      </w:r>
      <w:r w:rsidR="003567B8" w:rsidRPr="007C0FDC">
        <w:rPr>
          <w:lang w:val="fr-FR"/>
        </w:rPr>
        <w:t> </w:t>
      </w:r>
      <w:r w:rsidRPr="007C0FDC">
        <w:rPr>
          <w:lang w:val="fr-FR"/>
        </w:rPr>
        <w:t>:</w:t>
      </w:r>
    </w:p>
    <w:p w14:paraId="4F6190E8" w14:textId="66D4F001" w:rsidR="00196C06" w:rsidRPr="007C0FDC" w:rsidRDefault="00196C06" w:rsidP="00196C06">
      <w:pPr>
        <w:pStyle w:val="SingleTxtG"/>
        <w:rPr>
          <w:i/>
          <w:lang w:val="fr-FR"/>
        </w:rPr>
      </w:pPr>
      <w:r w:rsidRPr="007C0FDC">
        <w:rPr>
          <w:lang w:val="fr-FR"/>
        </w:rPr>
        <w:t>«</w:t>
      </w:r>
      <w:r w:rsidR="003567B8" w:rsidRPr="007C0FDC">
        <w:rPr>
          <w:lang w:val="fr-FR"/>
        </w:rPr>
        <w:t> </w:t>
      </w:r>
      <w:r w:rsidRPr="007C0FDC">
        <w:rPr>
          <w:b/>
          <w:i/>
          <w:lang w:val="fr-FR"/>
        </w:rPr>
        <w:t>NOTA:</w:t>
      </w:r>
      <w:r w:rsidRPr="007C0FDC">
        <w:rPr>
          <w:i/>
          <w:lang w:val="fr-FR"/>
        </w:rPr>
        <w:t xml:space="preserve"> </w:t>
      </w:r>
      <w:r w:rsidRPr="007C0FDC">
        <w:rPr>
          <w:i/>
          <w:lang w:val="fr-FR"/>
        </w:rPr>
        <w:tab/>
        <w:t>Des informations sur les marques qui peuvent être utilisées pour identifier les filetages des bouteilles figurent dans le rapport ISO/TR 11364, Bouteilles à gaz – Compilation des filetages nationaux et internationaux des queues de robinets/goulots de bouteilles et leur système d’identification et de marquage.</w:t>
      </w:r>
      <w:r w:rsidR="003567B8" w:rsidRPr="007C0FDC">
        <w:rPr>
          <w:lang w:val="fr-FR"/>
        </w:rPr>
        <w:t> </w:t>
      </w:r>
      <w:r w:rsidRPr="007C0FDC">
        <w:rPr>
          <w:lang w:val="fr-FR"/>
        </w:rPr>
        <w:t>».</w:t>
      </w:r>
    </w:p>
    <w:p w14:paraId="55668D2D" w14:textId="77777777" w:rsidR="007062E3" w:rsidRPr="00A8435F" w:rsidRDefault="007062E3" w:rsidP="007062E3">
      <w:pPr>
        <w:pStyle w:val="SingleTxtG"/>
        <w:rPr>
          <w:lang w:val="fr-FR"/>
        </w:rPr>
      </w:pPr>
      <w:r w:rsidRPr="00A8435F">
        <w:rPr>
          <w:lang w:val="fr-FR"/>
        </w:rPr>
        <w:t>Ajouter un nouveau 6.2.3.5.3 libellé comme suit :</w:t>
      </w:r>
    </w:p>
    <w:p w14:paraId="5A42ED82" w14:textId="77777777" w:rsidR="007062E3" w:rsidRPr="00A8435F" w:rsidRDefault="007062E3" w:rsidP="007062E3">
      <w:pPr>
        <w:pStyle w:val="SingleTxtG"/>
        <w:rPr>
          <w:lang w:val="fr-FR"/>
        </w:rPr>
      </w:pPr>
      <w:r w:rsidRPr="00A8435F">
        <w:rPr>
          <w:lang w:val="fr-FR"/>
        </w:rPr>
        <w:t>« 6.2.3.5.3</w:t>
      </w:r>
      <w:r w:rsidRPr="00A8435F">
        <w:rPr>
          <w:lang w:val="fr-FR"/>
        </w:rPr>
        <w:tab/>
      </w:r>
      <w:r w:rsidRPr="00A8435F">
        <w:rPr>
          <w:i/>
          <w:lang w:val="fr-FR"/>
        </w:rPr>
        <w:t>Dispositions générales applicables à la substitution de contrôles spécifiques requis pour les contrôles et épreuves périodiques prescrits au 6.2.3.5.1</w:t>
      </w:r>
    </w:p>
    <w:p w14:paraId="549E7F39" w14:textId="77777777" w:rsidR="007062E3" w:rsidRPr="00A8435F" w:rsidRDefault="007062E3" w:rsidP="007062E3">
      <w:pPr>
        <w:pStyle w:val="SingleTxtG"/>
        <w:rPr>
          <w:i/>
          <w:lang w:val="fr-FR"/>
        </w:rPr>
      </w:pPr>
      <w:r w:rsidRPr="00A8435F">
        <w:rPr>
          <w:lang w:val="fr-FR"/>
        </w:rPr>
        <w:t>6.2.3.5.3.1</w:t>
      </w:r>
      <w:r w:rsidRPr="00A8435F">
        <w:rPr>
          <w:lang w:val="fr-FR"/>
        </w:rPr>
        <w:tab/>
        <w:t>Ce paragraphe ne s’applique qu’à des types de récipients à pression conçus et fabriqués selon les normes indiquées au 6.2.4.1 ou selon un code technique conformément au 6.2.5, et dont les propriétés inhérentes à leur conception empêchent d’effectuer les contrôles et épreuves prescrits au 6.2.1.6.1 b) ou d) ou ne permettent pas d’interpréter les résultats.</w:t>
      </w:r>
    </w:p>
    <w:p w14:paraId="5F83963B" w14:textId="77777777" w:rsidR="007062E3" w:rsidRPr="00A8435F" w:rsidRDefault="007062E3" w:rsidP="007062E3">
      <w:pPr>
        <w:pStyle w:val="SingleTxtG"/>
        <w:rPr>
          <w:lang w:val="fr-FR"/>
        </w:rPr>
      </w:pPr>
      <w:r w:rsidRPr="00A8435F">
        <w:rPr>
          <w:lang w:val="fr-FR"/>
        </w:rPr>
        <w:t xml:space="preserve">Pour de tels récipients à pression, lesdits contrôles doivent être remplacés par des méthodes alternatives adaptées à leurs caractéristiques particulières de conception, comme indiqué au 6.2.3.5.4 et détaillé dans une disposition spéciale du chapitre 3.3 ou une norme référencée au 6.2.4.2. </w:t>
      </w:r>
    </w:p>
    <w:p w14:paraId="56273E2F" w14:textId="77777777" w:rsidR="007062E3" w:rsidRPr="00A8435F" w:rsidRDefault="007062E3" w:rsidP="007062E3">
      <w:pPr>
        <w:pStyle w:val="SingleTxtG"/>
        <w:rPr>
          <w:lang w:val="fr-FR"/>
        </w:rPr>
      </w:pPr>
      <w:r w:rsidRPr="00A8435F">
        <w:rPr>
          <w:lang w:val="fr-FR"/>
        </w:rPr>
        <w:t xml:space="preserve">Les méthodes alternatives doivent spécifier quels contrôles et épreuves périodiques visés aux 6.2.1.6.1 b) et d) doivent être remplacés. </w:t>
      </w:r>
    </w:p>
    <w:p w14:paraId="3A89685E" w14:textId="77777777" w:rsidR="007062E3" w:rsidRPr="00A8435F" w:rsidRDefault="007062E3" w:rsidP="007062E3">
      <w:pPr>
        <w:pStyle w:val="SingleTxtG"/>
        <w:rPr>
          <w:lang w:val="fr-FR"/>
        </w:rPr>
      </w:pPr>
      <w:r w:rsidRPr="00A8435F">
        <w:rPr>
          <w:lang w:val="fr-FR"/>
        </w:rPr>
        <w:t>Les méthodes alternatives, combinées aux contrôles restants selon les 6.2.1.6.1 a) à e) doivent garantir un niveau de sécurité au moins équivalent à celui appliqué aux récipients à pression de taille et d’utilisation similaires contrôlés et éprouvés périodiquement conformément au 6.2.3.5.1.</w:t>
      </w:r>
    </w:p>
    <w:p w14:paraId="4475A914" w14:textId="77777777" w:rsidR="007062E3" w:rsidRPr="00A8435F" w:rsidRDefault="007062E3" w:rsidP="007062E3">
      <w:pPr>
        <w:pStyle w:val="SingleTxtG"/>
        <w:rPr>
          <w:lang w:val="fr-FR"/>
        </w:rPr>
      </w:pPr>
      <w:r w:rsidRPr="00A8435F">
        <w:rPr>
          <w:lang w:val="fr-FR"/>
        </w:rPr>
        <w:t>Les méthodes alternatives doivent en outre préciser tous les éléments suivants :</w:t>
      </w:r>
    </w:p>
    <w:p w14:paraId="70E43051" w14:textId="77777777" w:rsidR="007062E3" w:rsidRPr="00A8435F" w:rsidRDefault="007062E3" w:rsidP="007062E3">
      <w:pPr>
        <w:pStyle w:val="SingleTxtG"/>
        <w:rPr>
          <w:lang w:val="fr-FR"/>
        </w:rPr>
      </w:pPr>
      <w:r w:rsidRPr="00A8435F">
        <w:rPr>
          <w:lang w:val="fr-FR"/>
        </w:rPr>
        <w:t>-</w:t>
      </w:r>
      <w:r w:rsidRPr="00A8435F">
        <w:rPr>
          <w:lang w:val="fr-FR"/>
        </w:rPr>
        <w:tab/>
        <w:t>Une description des types de récipients à pression visés ;</w:t>
      </w:r>
    </w:p>
    <w:p w14:paraId="7D1E7B46" w14:textId="77777777" w:rsidR="007062E3" w:rsidRPr="00A8435F" w:rsidRDefault="007062E3" w:rsidP="007062E3">
      <w:pPr>
        <w:pStyle w:val="SingleTxtG"/>
        <w:rPr>
          <w:lang w:val="fr-FR"/>
        </w:rPr>
      </w:pPr>
      <w:r w:rsidRPr="00A8435F">
        <w:rPr>
          <w:lang w:val="fr-FR"/>
        </w:rPr>
        <w:t>-</w:t>
      </w:r>
      <w:r w:rsidRPr="00A8435F">
        <w:rPr>
          <w:lang w:val="fr-FR"/>
        </w:rPr>
        <w:tab/>
        <w:t>Les procédures d’essais ;</w:t>
      </w:r>
    </w:p>
    <w:p w14:paraId="156C2358" w14:textId="77777777" w:rsidR="007062E3" w:rsidRPr="00A8435F" w:rsidRDefault="007062E3" w:rsidP="007062E3">
      <w:pPr>
        <w:pStyle w:val="SingleTxtG"/>
        <w:rPr>
          <w:lang w:val="fr-FR"/>
        </w:rPr>
      </w:pPr>
      <w:r w:rsidRPr="00A8435F">
        <w:rPr>
          <w:lang w:val="fr-FR"/>
        </w:rPr>
        <w:t>-</w:t>
      </w:r>
      <w:r w:rsidRPr="00A8435F">
        <w:rPr>
          <w:lang w:val="fr-FR"/>
        </w:rPr>
        <w:tab/>
        <w:t xml:space="preserve">Les spécifications des critères d’acceptation ; </w:t>
      </w:r>
    </w:p>
    <w:p w14:paraId="7094A4A2" w14:textId="77777777" w:rsidR="007062E3" w:rsidRPr="00A8435F" w:rsidRDefault="007062E3" w:rsidP="007062E3">
      <w:pPr>
        <w:pStyle w:val="SingleTxtG"/>
        <w:rPr>
          <w:lang w:val="fr-FR"/>
        </w:rPr>
      </w:pPr>
      <w:r w:rsidRPr="00A8435F">
        <w:rPr>
          <w:lang w:val="fr-FR"/>
        </w:rPr>
        <w:t>-</w:t>
      </w:r>
      <w:r w:rsidRPr="00A8435F">
        <w:rPr>
          <w:lang w:val="fr-FR"/>
        </w:rPr>
        <w:tab/>
        <w:t>Une description des mesures à prendre en cas de rejet de récipients à pression.</w:t>
      </w:r>
    </w:p>
    <w:p w14:paraId="117CC780" w14:textId="77777777" w:rsidR="007062E3" w:rsidRPr="00A8435F" w:rsidRDefault="007062E3" w:rsidP="007062E3">
      <w:pPr>
        <w:pStyle w:val="SingleTxtG"/>
        <w:keepNext/>
        <w:rPr>
          <w:lang w:val="fr-FR"/>
        </w:rPr>
      </w:pPr>
      <w:r w:rsidRPr="00A8435F">
        <w:rPr>
          <w:lang w:val="fr-FR"/>
        </w:rPr>
        <w:t>6.2.3.5.3.2</w:t>
      </w:r>
      <w:r w:rsidRPr="00A8435F">
        <w:rPr>
          <w:lang w:val="fr-FR"/>
        </w:rPr>
        <w:tab/>
        <w:t>Contrôle non destructif en tant que méthode alternative</w:t>
      </w:r>
    </w:p>
    <w:p w14:paraId="7AFE3BA9" w14:textId="77777777" w:rsidR="007062E3" w:rsidRPr="00A8435F" w:rsidRDefault="007062E3" w:rsidP="007062E3">
      <w:pPr>
        <w:pStyle w:val="SingleTxtG"/>
        <w:rPr>
          <w:lang w:val="fr-FR"/>
        </w:rPr>
      </w:pPr>
      <w:r w:rsidRPr="00A8435F">
        <w:rPr>
          <w:lang w:val="fr-FR"/>
        </w:rPr>
        <w:t>Les contrôles précisés au 6.2.3.5.3.1 doivent être complétés ou remplacés par une ou plusieurs méthodes de contrôle non destructif effectuées sur chaque récipient à pression.</w:t>
      </w:r>
    </w:p>
    <w:p w14:paraId="0643AB26" w14:textId="77777777" w:rsidR="007062E3" w:rsidRPr="00A8435F" w:rsidRDefault="007062E3" w:rsidP="007062E3">
      <w:pPr>
        <w:pStyle w:val="SingleTxtG"/>
        <w:keepNext/>
        <w:rPr>
          <w:lang w:val="fr-FR"/>
        </w:rPr>
      </w:pPr>
      <w:r w:rsidRPr="00A8435F">
        <w:rPr>
          <w:lang w:val="fr-FR"/>
        </w:rPr>
        <w:lastRenderedPageBreak/>
        <w:t>6.2.3.5.3.3</w:t>
      </w:r>
      <w:r w:rsidRPr="00A8435F">
        <w:rPr>
          <w:lang w:val="fr-FR"/>
        </w:rPr>
        <w:tab/>
        <w:t>Essai destructif en tant que méthode alternative</w:t>
      </w:r>
    </w:p>
    <w:p w14:paraId="6D0981E1" w14:textId="77777777" w:rsidR="007062E3" w:rsidRPr="00A8435F" w:rsidRDefault="007062E3" w:rsidP="007062E3">
      <w:pPr>
        <w:pStyle w:val="SingleTxtG"/>
        <w:rPr>
          <w:lang w:val="fr-FR"/>
        </w:rPr>
      </w:pPr>
      <w:r w:rsidRPr="00A8435F">
        <w:rPr>
          <w:lang w:val="fr-FR"/>
        </w:rPr>
        <w:t>Si aucune méthode de contrôle non destructif n’assure un niveau de sécurité équivalent, le ou les contrôles identifiés au 6.2.3.5.3.1, à l’exception du contrôle de l’état intérieur mentionné au 6.2.1.6.1 b), doivent être complétés ou remplacés par une ou plusieurs méthodes d’essai destructif en combinaison avec leur évaluation statistique.</w:t>
      </w:r>
    </w:p>
    <w:p w14:paraId="20C893F8" w14:textId="77777777" w:rsidR="007062E3" w:rsidRPr="00A8435F" w:rsidRDefault="007062E3" w:rsidP="007062E3">
      <w:pPr>
        <w:pStyle w:val="SingleTxtG"/>
        <w:keepNext/>
        <w:rPr>
          <w:lang w:val="fr-FR"/>
        </w:rPr>
      </w:pPr>
      <w:r w:rsidRPr="00A8435F">
        <w:rPr>
          <w:lang w:val="fr-FR"/>
        </w:rPr>
        <w:t xml:space="preserve">Outre les éléments décrits ci-dessus, la méthode d’essai destructif détaillée doit préciser les éléments suivants : </w:t>
      </w:r>
    </w:p>
    <w:p w14:paraId="49E1550E" w14:textId="77777777" w:rsidR="007062E3" w:rsidRPr="00A8435F" w:rsidRDefault="007062E3" w:rsidP="007062E3">
      <w:pPr>
        <w:pStyle w:val="SingleTxtG"/>
        <w:rPr>
          <w:lang w:val="fr-FR"/>
        </w:rPr>
      </w:pPr>
      <w:r w:rsidRPr="00A8435F">
        <w:rPr>
          <w:lang w:val="fr-FR"/>
        </w:rPr>
        <w:t>-</w:t>
      </w:r>
      <w:r w:rsidRPr="00A8435F">
        <w:rPr>
          <w:lang w:val="fr-FR"/>
        </w:rPr>
        <w:tab/>
        <w:t>Une description de la population de base des récipients à pression visée ;</w:t>
      </w:r>
    </w:p>
    <w:p w14:paraId="6488CA42" w14:textId="77777777" w:rsidR="007062E3" w:rsidRPr="00A8435F" w:rsidRDefault="007062E3" w:rsidP="007062E3">
      <w:pPr>
        <w:pStyle w:val="SingleTxtG"/>
        <w:rPr>
          <w:lang w:val="fr-FR"/>
        </w:rPr>
      </w:pPr>
      <w:r w:rsidRPr="00A8435F">
        <w:rPr>
          <w:lang w:val="fr-FR"/>
        </w:rPr>
        <w:t>-</w:t>
      </w:r>
      <w:r w:rsidRPr="00A8435F">
        <w:rPr>
          <w:lang w:val="fr-FR"/>
        </w:rPr>
        <w:tab/>
        <w:t>Une procédure d’échantillonnage aléatoire des récipients à pression individuels devant être testés ;</w:t>
      </w:r>
    </w:p>
    <w:p w14:paraId="6EC42D73" w14:textId="77777777" w:rsidR="007062E3" w:rsidRPr="00A8435F" w:rsidRDefault="007062E3" w:rsidP="007062E3">
      <w:pPr>
        <w:pStyle w:val="SingleTxtG"/>
        <w:rPr>
          <w:lang w:val="fr-FR"/>
        </w:rPr>
      </w:pPr>
      <w:r w:rsidRPr="00A8435F">
        <w:rPr>
          <w:lang w:val="fr-FR"/>
        </w:rPr>
        <w:t>-</w:t>
      </w:r>
      <w:r w:rsidRPr="00A8435F">
        <w:rPr>
          <w:lang w:val="fr-FR"/>
        </w:rPr>
        <w:tab/>
        <w:t>Une procédure d’évaluation statistique des résultats d’essai, intégrant des critères de rejet ;</w:t>
      </w:r>
    </w:p>
    <w:p w14:paraId="77108F0F" w14:textId="77777777" w:rsidR="007062E3" w:rsidRPr="00A8435F" w:rsidRDefault="007062E3" w:rsidP="007062E3">
      <w:pPr>
        <w:pStyle w:val="SingleTxtG"/>
        <w:rPr>
          <w:lang w:val="fr-FR"/>
        </w:rPr>
      </w:pPr>
      <w:r w:rsidRPr="00A8435F">
        <w:rPr>
          <w:lang w:val="fr-FR"/>
        </w:rPr>
        <w:t>-</w:t>
      </w:r>
      <w:r w:rsidRPr="00A8435F">
        <w:rPr>
          <w:lang w:val="fr-FR"/>
        </w:rPr>
        <w:tab/>
        <w:t xml:space="preserve">Une spécification de la périodicité des essais destructifs ; </w:t>
      </w:r>
    </w:p>
    <w:p w14:paraId="514D1D12" w14:textId="77777777" w:rsidR="007062E3" w:rsidRPr="00A8435F" w:rsidRDefault="007062E3" w:rsidP="007062E3">
      <w:pPr>
        <w:pStyle w:val="SingleTxtG"/>
        <w:rPr>
          <w:lang w:val="fr-FR"/>
        </w:rPr>
      </w:pPr>
      <w:r w:rsidRPr="00A8435F">
        <w:rPr>
          <w:lang w:val="fr-FR"/>
        </w:rPr>
        <w:t>-</w:t>
      </w:r>
      <w:r w:rsidRPr="00A8435F">
        <w:rPr>
          <w:lang w:val="fr-FR"/>
        </w:rPr>
        <w:tab/>
        <w:t>Une description des mesures à prendre si les critères d’acceptation sont remplis mais qu’on observe une dégradation des propriétés des matériaux présentant un danger, qui doit être prise en considération pour déterminer la fin de la durée de service ;</w:t>
      </w:r>
    </w:p>
    <w:p w14:paraId="166127AA" w14:textId="77777777" w:rsidR="007062E3" w:rsidRPr="00A8435F" w:rsidRDefault="007062E3" w:rsidP="007062E3">
      <w:pPr>
        <w:pStyle w:val="SingleTxtG"/>
        <w:rPr>
          <w:lang w:val="fr-FR"/>
        </w:rPr>
      </w:pPr>
      <w:r w:rsidRPr="00A8435F">
        <w:rPr>
          <w:lang w:val="fr-FR"/>
        </w:rPr>
        <w:t>-</w:t>
      </w:r>
      <w:r w:rsidRPr="00A8435F">
        <w:rPr>
          <w:lang w:val="fr-FR"/>
        </w:rPr>
        <w:tab/>
        <w:t>Une évaluation statistique du niveau de sécurité atteint au moyen de la méthode alternative. ».</w:t>
      </w:r>
    </w:p>
    <w:p w14:paraId="7349BB8A" w14:textId="77777777" w:rsidR="00342D08" w:rsidRPr="00A8435F" w:rsidRDefault="00342D08" w:rsidP="00342D08">
      <w:pPr>
        <w:pStyle w:val="SingleTxtG"/>
        <w:rPr>
          <w:lang w:val="fr-FR"/>
        </w:rPr>
      </w:pPr>
      <w:r w:rsidRPr="00A8435F">
        <w:rPr>
          <w:lang w:val="fr-FR"/>
        </w:rPr>
        <w:t>Ajouter un nouveau 6.2.3.5.4 libellé comme suit :</w:t>
      </w:r>
    </w:p>
    <w:p w14:paraId="6EAC983D" w14:textId="77777777" w:rsidR="00342D08" w:rsidRPr="00A8435F" w:rsidRDefault="00342D08" w:rsidP="00342D08">
      <w:pPr>
        <w:pStyle w:val="SingleTxtG"/>
        <w:rPr>
          <w:lang w:val="fr-FR"/>
        </w:rPr>
      </w:pPr>
      <w:r w:rsidRPr="00A8435F">
        <w:rPr>
          <w:lang w:val="fr-FR"/>
        </w:rPr>
        <w:t>« 6.2.3.5.4</w:t>
      </w:r>
      <w:r w:rsidRPr="00A8435F">
        <w:rPr>
          <w:lang w:val="fr-FR"/>
        </w:rPr>
        <w:tab/>
        <w:t>Les bouteilles surmoulées pour lesquelles le 6.2.3.5.3.1 s’applique doivent subir des contrôles et épreuves périodiques conformément à la disposition spéciale 674 du chapitre 3.3. ».</w:t>
      </w:r>
    </w:p>
    <w:p w14:paraId="40ABAD9E" w14:textId="2BC3A6F2" w:rsidR="000B1500" w:rsidRPr="00A8435F" w:rsidRDefault="000B1500" w:rsidP="000B1500">
      <w:pPr>
        <w:pStyle w:val="SingleTxtG"/>
        <w:rPr>
          <w:lang w:val="fr-FR"/>
        </w:rPr>
      </w:pPr>
      <w:r w:rsidRPr="00A8435F">
        <w:rPr>
          <w:lang w:val="fr-FR"/>
        </w:rPr>
        <w:t>6.2.3.6.1</w:t>
      </w:r>
      <w:r w:rsidRPr="00A8435F">
        <w:rPr>
          <w:lang w:val="fr-FR"/>
        </w:rPr>
        <w:tab/>
        <w:t>Modifier le premier paragraphe après le tableau pour lire comme suit :</w:t>
      </w:r>
    </w:p>
    <w:p w14:paraId="153062B7" w14:textId="77777777" w:rsidR="000B1500" w:rsidRPr="00A8435F" w:rsidRDefault="000B1500" w:rsidP="000B1500">
      <w:pPr>
        <w:pStyle w:val="SingleTxtG"/>
        <w:rPr>
          <w:lang w:val="fr-FR"/>
        </w:rPr>
      </w:pPr>
      <w:r w:rsidRPr="00A8435F">
        <w:t>« Pour les récipients à pression rechargeables, l'évaluation de la conformité des robinets et autres accessoires démontables</w:t>
      </w:r>
      <w:r w:rsidRPr="00A8435F" w:rsidDel="00BB3ACC">
        <w:t xml:space="preserve"> </w:t>
      </w:r>
      <w:r w:rsidRPr="00A8435F">
        <w:t>ayant une fonction directe de sécurité peut être effectuée séparément de celle des récipients à pression. Pour les récipients à pression non-rechargeables l'évaluation de la conformité des robinets et autres accessoires démontables</w:t>
      </w:r>
      <w:r w:rsidRPr="00A8435F" w:rsidDel="00BB3ACC">
        <w:t xml:space="preserve"> </w:t>
      </w:r>
      <w:r w:rsidRPr="00A8435F">
        <w:t>ayant une fonction directe de sécurité doit être effectuée en même temps que celle des récipients à pression. ».</w:t>
      </w:r>
    </w:p>
    <w:p w14:paraId="26802CFE" w14:textId="0E407B1F" w:rsidR="00E114C7" w:rsidRPr="00960BA7" w:rsidRDefault="00E114C7" w:rsidP="00E114C7">
      <w:pPr>
        <w:pStyle w:val="SingleTxtG"/>
        <w:rPr>
          <w:lang w:val="fr-FR"/>
        </w:rPr>
      </w:pPr>
      <w:r w:rsidRPr="00960BA7">
        <w:rPr>
          <w:lang w:val="fr-FR"/>
        </w:rPr>
        <w:t>6.2.3.9.6</w:t>
      </w:r>
      <w:r w:rsidRPr="00960BA7">
        <w:rPr>
          <w:lang w:val="fr-FR"/>
        </w:rPr>
        <w:tab/>
        <w:t>Après « sur la bouteille », ajouter « ou le fût à pression ».</w:t>
      </w:r>
    </w:p>
    <w:p w14:paraId="389BED07" w14:textId="7D80F191" w:rsidR="00E114C7" w:rsidRPr="00960BA7" w:rsidRDefault="00A20C06" w:rsidP="00A20C06">
      <w:pPr>
        <w:pStyle w:val="SingleTxtG"/>
        <w:tabs>
          <w:tab w:val="left" w:pos="2268"/>
        </w:tabs>
        <w:rPr>
          <w:lang w:val="fr-FR"/>
        </w:rPr>
      </w:pPr>
      <w:r>
        <w:rPr>
          <w:lang w:val="fr-FR"/>
        </w:rPr>
        <w:t>6.2.4.1</w:t>
      </w:r>
      <w:r w:rsidR="00E114C7" w:rsidRPr="00960BA7">
        <w:rPr>
          <w:lang w:val="fr-FR"/>
        </w:rPr>
        <w:tab/>
        <w:t>Dans le tableau, sous « Pour la conception et la fabrication », pour « EN ISO 11120:1999 + A1:2013 », dans la colonne (4), remplacer « Jusqu’à nouvel ordre » par « Entre le 1er janvier 2015 et le 31 décembre 2020 ». Après la ligne pour « EN ISO 11120:1999 + A1:2013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3790"/>
        <w:gridCol w:w="1650"/>
        <w:gridCol w:w="1507"/>
      </w:tblGrid>
      <w:tr w:rsidR="00E114C7" w:rsidRPr="00960BA7" w14:paraId="3D1F3836" w14:textId="77777777" w:rsidTr="009C2E03">
        <w:tc>
          <w:tcPr>
            <w:tcW w:w="1350" w:type="dxa"/>
            <w:shd w:val="clear" w:color="auto" w:fill="auto"/>
          </w:tcPr>
          <w:p w14:paraId="50E10A3F" w14:textId="77777777" w:rsidR="00E114C7" w:rsidRPr="00960BA7" w:rsidRDefault="00E114C7" w:rsidP="003714FD">
            <w:pPr>
              <w:keepNext/>
              <w:spacing w:line="240" w:lineRule="auto"/>
              <w:ind w:hanging="22"/>
              <w:rPr>
                <w:bCs/>
                <w:lang w:val="fr-FR"/>
              </w:rPr>
            </w:pPr>
            <w:r w:rsidRPr="00960BA7">
              <w:rPr>
                <w:bCs/>
                <w:lang w:val="fr-FR"/>
              </w:rPr>
              <w:t>EN ISO 11120:2015</w:t>
            </w:r>
          </w:p>
        </w:tc>
        <w:tc>
          <w:tcPr>
            <w:tcW w:w="3285" w:type="dxa"/>
            <w:shd w:val="clear" w:color="auto" w:fill="auto"/>
          </w:tcPr>
          <w:p w14:paraId="6452F185" w14:textId="1C04DD79" w:rsidR="00E114C7" w:rsidRPr="00960BA7" w:rsidRDefault="00E114C7" w:rsidP="00A20C06">
            <w:pPr>
              <w:keepNext/>
              <w:spacing w:line="240" w:lineRule="auto"/>
              <w:ind w:hanging="22"/>
              <w:rPr>
                <w:bCs/>
                <w:lang w:val="fr-FR"/>
              </w:rPr>
            </w:pPr>
            <w:r w:rsidRPr="00960BA7">
              <w:rPr>
                <w:bCs/>
                <w:lang w:val="fr-FR"/>
              </w:rPr>
              <w:t xml:space="preserve">Bouteilles à gaz - Tubes en acier sans soudure rechargeables d'une contenance en eau de 150 </w:t>
            </w:r>
            <w:r w:rsidR="00A20C06" w:rsidRPr="00A20C06">
              <w:rPr>
                <w:bCs/>
                <w:i/>
                <w:lang w:val="fr-FR"/>
              </w:rPr>
              <w:t>l</w:t>
            </w:r>
            <w:r w:rsidR="00A20C06" w:rsidRPr="00960BA7">
              <w:rPr>
                <w:bCs/>
                <w:lang w:val="fr-FR"/>
              </w:rPr>
              <w:t xml:space="preserve"> </w:t>
            </w:r>
            <w:r w:rsidRPr="00960BA7">
              <w:rPr>
                <w:bCs/>
                <w:lang w:val="fr-FR"/>
              </w:rPr>
              <w:t xml:space="preserve">à 3 000 </w:t>
            </w:r>
            <w:r w:rsidR="00A20C06" w:rsidRPr="00A20C06">
              <w:rPr>
                <w:bCs/>
                <w:i/>
                <w:lang w:val="fr-FR"/>
              </w:rPr>
              <w:t>l</w:t>
            </w:r>
            <w:r w:rsidR="00A20C06" w:rsidRPr="00960BA7">
              <w:rPr>
                <w:bCs/>
                <w:lang w:val="fr-FR"/>
              </w:rPr>
              <w:t xml:space="preserve"> </w:t>
            </w:r>
            <w:r w:rsidRPr="00960BA7">
              <w:rPr>
                <w:bCs/>
                <w:lang w:val="fr-FR"/>
              </w:rPr>
              <w:t>- Conception, construction et essais</w:t>
            </w:r>
          </w:p>
        </w:tc>
        <w:tc>
          <w:tcPr>
            <w:tcW w:w="1430" w:type="dxa"/>
            <w:shd w:val="clear" w:color="auto" w:fill="auto"/>
          </w:tcPr>
          <w:p w14:paraId="5D0864F7" w14:textId="77777777" w:rsidR="00E114C7" w:rsidRPr="00960BA7" w:rsidRDefault="00E114C7" w:rsidP="003714FD">
            <w:pPr>
              <w:spacing w:line="240" w:lineRule="auto"/>
              <w:jc w:val="center"/>
              <w:rPr>
                <w:bCs/>
                <w:lang w:val="fr-FR"/>
              </w:rPr>
            </w:pPr>
            <w:r w:rsidRPr="00960BA7">
              <w:rPr>
                <w:bCs/>
                <w:lang w:val="fr-FR"/>
              </w:rPr>
              <w:t>6.2.3.1 et 6.2.3.4</w:t>
            </w:r>
          </w:p>
        </w:tc>
        <w:tc>
          <w:tcPr>
            <w:tcW w:w="1306" w:type="dxa"/>
            <w:shd w:val="clear" w:color="auto" w:fill="auto"/>
          </w:tcPr>
          <w:p w14:paraId="261635EB" w14:textId="77777777" w:rsidR="00E114C7" w:rsidRPr="00960BA7" w:rsidRDefault="00E114C7" w:rsidP="003714FD">
            <w:pPr>
              <w:spacing w:line="240" w:lineRule="auto"/>
              <w:jc w:val="center"/>
              <w:rPr>
                <w:lang w:val="fr-FR"/>
              </w:rPr>
            </w:pPr>
            <w:r w:rsidRPr="00960BA7">
              <w:rPr>
                <w:lang w:val="fr-FR"/>
              </w:rPr>
              <w:t>Jusqu’à nouvel ordre</w:t>
            </w:r>
          </w:p>
        </w:tc>
      </w:tr>
    </w:tbl>
    <w:p w14:paraId="5DF66F36" w14:textId="667D9727" w:rsidR="00E114C7" w:rsidRPr="00960BA7" w:rsidRDefault="00E114C7" w:rsidP="008B2D82">
      <w:pPr>
        <w:pStyle w:val="SingleTxtG"/>
        <w:tabs>
          <w:tab w:val="left" w:pos="2268"/>
        </w:tabs>
        <w:spacing w:before="120"/>
        <w:rPr>
          <w:b/>
          <w:lang w:val="fr-FR"/>
        </w:rPr>
      </w:pPr>
      <w:r w:rsidRPr="00960BA7">
        <w:rPr>
          <w:lang w:val="fr-FR"/>
        </w:rPr>
        <w:t>6.2</w:t>
      </w:r>
      <w:r w:rsidR="00A20C06">
        <w:rPr>
          <w:lang w:val="fr-FR"/>
        </w:rPr>
        <w:t>.4.1</w:t>
      </w:r>
      <w:r w:rsidRPr="00960BA7">
        <w:rPr>
          <w:lang w:val="fr-FR"/>
        </w:rPr>
        <w:tab/>
      </w:r>
      <w:r w:rsidRPr="00960BA7">
        <w:rPr>
          <w:rFonts w:cs="Arial"/>
          <w:szCs w:val="22"/>
          <w:lang w:val="fr-FR"/>
        </w:rPr>
        <w:t>Dans</w:t>
      </w:r>
      <w:r w:rsidRPr="00960BA7">
        <w:rPr>
          <w:lang w:val="fr-FR"/>
        </w:rPr>
        <w:t xml:space="preserve"> le tableau, sous « Pour la conception et la fabrication » :</w:t>
      </w:r>
    </w:p>
    <w:p w14:paraId="52155072" w14:textId="74181B43" w:rsidR="00E114C7" w:rsidRPr="00960BA7" w:rsidRDefault="00E114C7" w:rsidP="00E114C7">
      <w:pPr>
        <w:pStyle w:val="SingleTxtG"/>
        <w:rPr>
          <w:rFonts w:cs="Arial"/>
          <w:bCs/>
          <w:szCs w:val="22"/>
          <w:lang w:val="fr-FR"/>
        </w:rPr>
      </w:pPr>
      <w:r w:rsidRPr="00960BA7">
        <w:rPr>
          <w:lang w:val="fr-FR"/>
        </w:rPr>
        <w:t>–</w:t>
      </w:r>
      <w:r w:rsidRPr="00960BA7">
        <w:rPr>
          <w:lang w:val="fr-FR"/>
        </w:rPr>
        <w:tab/>
        <w:t>Pour</w:t>
      </w:r>
      <w:r w:rsidRPr="00960BA7">
        <w:rPr>
          <w:rFonts w:cs="Arial"/>
          <w:bCs/>
          <w:szCs w:val="22"/>
          <w:lang w:val="fr-FR"/>
        </w:rPr>
        <w:t xml:space="preserve"> la norme « </w:t>
      </w:r>
      <w:r w:rsidRPr="00960BA7">
        <w:rPr>
          <w:lang w:val="fr-FR"/>
        </w:rPr>
        <w:t>EN </w:t>
      </w:r>
      <w:r w:rsidRPr="00960BA7">
        <w:rPr>
          <w:rFonts w:cs="Arial"/>
          <w:szCs w:val="22"/>
          <w:lang w:val="fr-FR"/>
        </w:rPr>
        <w:t>1251</w:t>
      </w:r>
      <w:r w:rsidRPr="00960BA7">
        <w:rPr>
          <w:rFonts w:cs="Arial"/>
          <w:bCs/>
          <w:szCs w:val="22"/>
          <w:lang w:val="fr-FR"/>
        </w:rPr>
        <w:t xml:space="preserve">-2:2000 », modifier le nota figurant dans la colonne (2) pour lire comme suit: </w:t>
      </w:r>
    </w:p>
    <w:p w14:paraId="16BBF97D" w14:textId="773CD092" w:rsidR="00E114C7" w:rsidRPr="00960BA7" w:rsidRDefault="00E114C7" w:rsidP="00E114C7">
      <w:pPr>
        <w:pStyle w:val="SingleTxtG"/>
        <w:rPr>
          <w:rFonts w:cs="Arial"/>
          <w:szCs w:val="22"/>
          <w:lang w:val="fr-FR"/>
        </w:rPr>
      </w:pPr>
      <w:r w:rsidRPr="00960BA7">
        <w:rPr>
          <w:rFonts w:cs="Arial"/>
          <w:szCs w:val="22"/>
          <w:lang w:val="fr-FR"/>
        </w:rPr>
        <w:t>« </w:t>
      </w:r>
      <w:r w:rsidRPr="00960BA7">
        <w:rPr>
          <w:b/>
          <w:bCs/>
          <w:i/>
          <w:lang w:val="fr-FR"/>
        </w:rPr>
        <w:t>NOTA:</w:t>
      </w:r>
      <w:r w:rsidRPr="00960BA7">
        <w:rPr>
          <w:i/>
          <w:lang w:val="fr-FR"/>
        </w:rPr>
        <w:tab/>
        <w:t xml:space="preserve">Les </w:t>
      </w:r>
      <w:r w:rsidRPr="00960BA7">
        <w:rPr>
          <w:rFonts w:cs="Arial"/>
          <w:i/>
          <w:szCs w:val="22"/>
          <w:lang w:val="fr-FR"/>
        </w:rPr>
        <w:t>normes</w:t>
      </w:r>
      <w:r w:rsidRPr="00960BA7">
        <w:rPr>
          <w:i/>
          <w:lang w:val="fr-FR"/>
        </w:rPr>
        <w:t xml:space="preserve"> EN 1252-1:1998 et EN 1626 auxquelles il est fait référence dans cette norme sont également applicables aux récipients cryogéniques fermés pour le transport </w:t>
      </w:r>
      <w:r w:rsidRPr="00960BA7">
        <w:rPr>
          <w:i/>
          <w:lang w:val="fr-FR"/>
        </w:rPr>
        <w:lastRenderedPageBreak/>
        <w:t>du No ONU 1972 (MÉTHANE LIQUIDE RÉFRIGÉRÉ ou GAZ NATUREL LIQUIDE RÉFRIGÉRÉ). </w:t>
      </w:r>
      <w:r w:rsidRPr="00960BA7">
        <w:rPr>
          <w:rFonts w:cs="Arial"/>
          <w:szCs w:val="22"/>
          <w:lang w:val="fr-FR"/>
        </w:rPr>
        <w:t>».</w:t>
      </w:r>
    </w:p>
    <w:p w14:paraId="3D08A04F" w14:textId="28ECD30A" w:rsidR="00A51568" w:rsidRPr="00A8435F" w:rsidRDefault="00A20C06" w:rsidP="00A20C06">
      <w:pPr>
        <w:pStyle w:val="SingleTxtG"/>
        <w:tabs>
          <w:tab w:val="left" w:pos="2268"/>
        </w:tabs>
      </w:pPr>
      <w:r>
        <w:t>6.2.4.1</w:t>
      </w:r>
      <w:r w:rsidR="00A51568" w:rsidRPr="00A8435F">
        <w:tab/>
        <w:t>Dans le tableau, sous « Pour la conception et la fabrication », pour « EN 14140:2014 +AC:2015 », dans la colonne 1), supprimer « (sauf bouteilles surmoulées).</w:t>
      </w:r>
    </w:p>
    <w:p w14:paraId="06341A55" w14:textId="67192FD2" w:rsidR="00E114C7" w:rsidRPr="00960BA7" w:rsidRDefault="00A20C06" w:rsidP="00A20C06">
      <w:pPr>
        <w:pStyle w:val="SingleTxtG"/>
        <w:tabs>
          <w:tab w:val="left" w:pos="2268"/>
        </w:tabs>
        <w:rPr>
          <w:rFonts w:cs="Arial"/>
          <w:szCs w:val="22"/>
          <w:lang w:val="fr-FR"/>
        </w:rPr>
      </w:pPr>
      <w:r>
        <w:rPr>
          <w:rFonts w:cs="Arial"/>
          <w:szCs w:val="22"/>
          <w:lang w:val="fr-FR"/>
        </w:rPr>
        <w:t>6.2.4.1</w:t>
      </w:r>
      <w:r w:rsidR="00E114C7" w:rsidRPr="00960BA7">
        <w:rPr>
          <w:rFonts w:cs="Arial"/>
          <w:szCs w:val="22"/>
          <w:lang w:val="fr-FR"/>
        </w:rPr>
        <w:tab/>
        <w:t>Dans</w:t>
      </w:r>
      <w:r w:rsidR="00E114C7" w:rsidRPr="00960BA7">
        <w:rPr>
          <w:lang w:val="fr-FR"/>
        </w:rPr>
        <w:t xml:space="preserve"> le tableau, sous « Pour les fermetures » :</w:t>
      </w:r>
    </w:p>
    <w:p w14:paraId="17E2E042" w14:textId="0713598E" w:rsidR="00E114C7" w:rsidRPr="00960BA7" w:rsidRDefault="00E114C7" w:rsidP="00E114C7">
      <w:pPr>
        <w:pStyle w:val="SingleTxtG"/>
        <w:rPr>
          <w:bCs/>
          <w:lang w:val="fr-FR"/>
        </w:rPr>
      </w:pPr>
      <w:r w:rsidRPr="00960BA7">
        <w:rPr>
          <w:lang w:val="fr-FR"/>
        </w:rPr>
        <w:t>–</w:t>
      </w:r>
      <w:r w:rsidRPr="00960BA7">
        <w:rPr>
          <w:lang w:val="fr-FR"/>
        </w:rPr>
        <w:tab/>
      </w:r>
      <w:r w:rsidRPr="00960BA7">
        <w:rPr>
          <w:rFonts w:cs="Arial"/>
          <w:szCs w:val="22"/>
          <w:lang w:val="fr-FR"/>
        </w:rPr>
        <w:t>Pour</w:t>
      </w:r>
      <w:r w:rsidRPr="00960BA7">
        <w:rPr>
          <w:rFonts w:cs="Arial"/>
          <w:bCs/>
          <w:szCs w:val="22"/>
          <w:lang w:val="fr-FR"/>
        </w:rPr>
        <w:t xml:space="preserve"> la norme « EN ISO 10297:</w:t>
      </w:r>
      <w:r w:rsidRPr="00960BA7">
        <w:rPr>
          <w:rFonts w:cs="Arial"/>
          <w:szCs w:val="22"/>
          <w:lang w:val="fr-FR"/>
        </w:rPr>
        <w:t>2014 </w:t>
      </w:r>
      <w:r w:rsidRPr="00960BA7">
        <w:rPr>
          <w:rFonts w:cs="Arial"/>
          <w:bCs/>
          <w:szCs w:val="22"/>
          <w:lang w:val="fr-FR"/>
        </w:rPr>
        <w:t xml:space="preserve">», dans la colonne (2), supprimer </w:t>
      </w:r>
      <w:r w:rsidRPr="00960BA7">
        <w:rPr>
          <w:lang w:val="fr-FR"/>
        </w:rPr>
        <w:t>« </w:t>
      </w:r>
      <w:r w:rsidRPr="00960BA7">
        <w:rPr>
          <w:bCs/>
          <w:lang w:val="fr-FR"/>
        </w:rPr>
        <w:t>(ISO/DIS 10297:2012) ».</w:t>
      </w:r>
    </w:p>
    <w:p w14:paraId="3146E063" w14:textId="769CC212" w:rsidR="00E114C7" w:rsidRPr="00960BA7" w:rsidRDefault="00E114C7" w:rsidP="00E114C7">
      <w:pPr>
        <w:pStyle w:val="SingleTxtG"/>
        <w:rPr>
          <w:lang w:val="fr-FR"/>
        </w:rPr>
      </w:pPr>
      <w:r w:rsidRPr="00960BA7">
        <w:rPr>
          <w:lang w:val="fr-FR"/>
        </w:rPr>
        <w:tab/>
        <w:t>Pour la norme « EN ISO 10297:2014 », dans la colonne (4), remplacer « Jusqu’à nouvel ordre » par « Entre le 1</w:t>
      </w:r>
      <w:r w:rsidRPr="009040ED">
        <w:rPr>
          <w:lang w:val="fr-FR"/>
        </w:rPr>
        <w:t>er</w:t>
      </w:r>
      <w:r w:rsidRPr="00960BA7">
        <w:rPr>
          <w:lang w:val="fr-FR"/>
        </w:rPr>
        <w:t> janvier 2015 et le 31 décembre 2020 ».</w:t>
      </w:r>
    </w:p>
    <w:p w14:paraId="30ED0988" w14:textId="0CC7075D" w:rsidR="00E114C7" w:rsidRPr="00960BA7" w:rsidRDefault="00E114C7" w:rsidP="00E114C7">
      <w:pPr>
        <w:pStyle w:val="SingleTxtG"/>
        <w:rPr>
          <w:lang w:val="fr-FR"/>
        </w:rPr>
      </w:pPr>
      <w:r w:rsidRPr="00960BA7">
        <w:rPr>
          <w:lang w:val="fr-FR"/>
        </w:rPr>
        <w:t>–</w:t>
      </w:r>
      <w:r w:rsidRPr="00960BA7">
        <w:rPr>
          <w:lang w:val="fr-FR"/>
        </w:rPr>
        <w:tab/>
        <w:t>Après la norme « EN ISO 10297:2014 », insérer la nouvelle norme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658"/>
        <w:gridCol w:w="1150"/>
        <w:gridCol w:w="1303"/>
      </w:tblGrid>
      <w:tr w:rsidR="00E114C7" w:rsidRPr="00960BA7" w14:paraId="5E805CF4" w14:textId="77777777" w:rsidTr="009C2E03">
        <w:trPr>
          <w:cantSplit/>
        </w:trPr>
        <w:tc>
          <w:tcPr>
            <w:tcW w:w="2075" w:type="dxa"/>
          </w:tcPr>
          <w:p w14:paraId="10936FC4" w14:textId="361DD3E3" w:rsidR="00E114C7" w:rsidRPr="00960BA7" w:rsidRDefault="00E114C7" w:rsidP="007A2A1D">
            <w:pPr>
              <w:tabs>
                <w:tab w:val="left" w:pos="1418"/>
              </w:tabs>
              <w:rPr>
                <w:rFonts w:cs="Arial"/>
                <w:lang w:val="fr-FR"/>
              </w:rPr>
            </w:pPr>
            <w:r w:rsidRPr="00960BA7">
              <w:rPr>
                <w:rFonts w:cs="Arial"/>
                <w:lang w:val="fr-FR"/>
              </w:rPr>
              <w:t>EN ISO </w:t>
            </w:r>
            <w:r w:rsidRPr="00960BA7">
              <w:rPr>
                <w:rFonts w:cs="Arial"/>
                <w:bCs/>
                <w:szCs w:val="22"/>
                <w:lang w:val="fr-FR"/>
              </w:rPr>
              <w:t>10297:</w:t>
            </w:r>
            <w:r w:rsidRPr="00960BA7">
              <w:rPr>
                <w:rFonts w:cs="Arial"/>
                <w:szCs w:val="22"/>
                <w:lang w:val="fr-FR"/>
              </w:rPr>
              <w:t>2014+</w:t>
            </w:r>
            <w:r w:rsidRPr="00960BA7">
              <w:rPr>
                <w:rFonts w:cs="Arial"/>
                <w:szCs w:val="22"/>
                <w:lang w:val="fr-FR"/>
              </w:rPr>
              <w:br/>
              <w:t>A1:2017</w:t>
            </w:r>
          </w:p>
        </w:tc>
        <w:tc>
          <w:tcPr>
            <w:tcW w:w="3170" w:type="dxa"/>
            <w:vAlign w:val="center"/>
          </w:tcPr>
          <w:p w14:paraId="03335F04" w14:textId="31566F0D" w:rsidR="00E114C7" w:rsidRPr="00960BA7" w:rsidRDefault="00E114C7" w:rsidP="00140003">
            <w:pPr>
              <w:rPr>
                <w:rFonts w:cs="Arial"/>
                <w:lang w:val="fr-FR"/>
              </w:rPr>
            </w:pPr>
            <w:r w:rsidRPr="00960BA7">
              <w:rPr>
                <w:rFonts w:cs="Arial"/>
                <w:bCs/>
                <w:lang w:val="fr-FR"/>
              </w:rPr>
              <w:t>Bouteilles à gaz − Robinets de bouteilles − Spécifications et essais de type</w:t>
            </w:r>
          </w:p>
        </w:tc>
        <w:tc>
          <w:tcPr>
            <w:tcW w:w="997" w:type="dxa"/>
            <w:vAlign w:val="center"/>
          </w:tcPr>
          <w:p w14:paraId="64D0C164" w14:textId="77777777" w:rsidR="00E114C7" w:rsidRPr="00960BA7" w:rsidRDefault="00E114C7" w:rsidP="007A2A1D">
            <w:pPr>
              <w:rPr>
                <w:rFonts w:cs="Arial"/>
                <w:lang w:val="fr-FR"/>
              </w:rPr>
            </w:pPr>
            <w:r w:rsidRPr="00960BA7">
              <w:rPr>
                <w:rFonts w:cs="Arial"/>
                <w:lang w:val="fr-FR"/>
              </w:rPr>
              <w:t>6.2.3.1 et 6.2.3.3</w:t>
            </w:r>
          </w:p>
        </w:tc>
        <w:tc>
          <w:tcPr>
            <w:tcW w:w="1129" w:type="dxa"/>
            <w:vAlign w:val="center"/>
          </w:tcPr>
          <w:p w14:paraId="3798083A" w14:textId="77777777" w:rsidR="00E114C7" w:rsidRPr="00960BA7" w:rsidRDefault="00E114C7" w:rsidP="007A2A1D">
            <w:pPr>
              <w:jc w:val="center"/>
              <w:rPr>
                <w:rFonts w:cs="Arial"/>
                <w:lang w:val="fr-FR"/>
              </w:rPr>
            </w:pPr>
            <w:r w:rsidRPr="00960BA7">
              <w:rPr>
                <w:rFonts w:cs="Arial"/>
                <w:bCs/>
                <w:lang w:val="fr-FR"/>
              </w:rPr>
              <w:t>Jusqu’à nouvel ordre</w:t>
            </w:r>
          </w:p>
        </w:tc>
      </w:tr>
    </w:tbl>
    <w:p w14:paraId="6FC498D9" w14:textId="5061B746" w:rsidR="00E114C7" w:rsidRPr="00960BA7" w:rsidRDefault="00E114C7" w:rsidP="008B2D82">
      <w:pPr>
        <w:pStyle w:val="SingleTxtG"/>
        <w:spacing w:before="120"/>
        <w:rPr>
          <w:lang w:val="fr-FR"/>
        </w:rPr>
      </w:pPr>
      <w:r w:rsidRPr="00960BA7">
        <w:rPr>
          <w:lang w:val="fr-FR"/>
        </w:rPr>
        <w:t>–</w:t>
      </w:r>
      <w:r w:rsidRPr="00960BA7">
        <w:rPr>
          <w:lang w:val="fr-FR"/>
        </w:rPr>
        <w:tab/>
        <w:t>Pour la norme « EN 1626:2008 », dans la colonne (2), ajouter le nouveau nota suivant :</w:t>
      </w:r>
    </w:p>
    <w:p w14:paraId="6428B6BD" w14:textId="6070052D" w:rsidR="00E114C7" w:rsidRPr="00960BA7" w:rsidRDefault="00E114C7" w:rsidP="00E114C7">
      <w:pPr>
        <w:pStyle w:val="SingleTxtG"/>
        <w:rPr>
          <w:lang w:val="fr-FR"/>
        </w:rPr>
      </w:pPr>
      <w:r w:rsidRPr="00960BA7">
        <w:rPr>
          <w:lang w:val="fr-FR"/>
        </w:rPr>
        <w:t>« </w:t>
      </w:r>
      <w:r w:rsidRPr="00960BA7">
        <w:rPr>
          <w:b/>
          <w:i/>
          <w:lang w:val="fr-FR"/>
        </w:rPr>
        <w:t>NOTA:</w:t>
      </w:r>
      <w:r w:rsidRPr="00960BA7">
        <w:rPr>
          <w:i/>
          <w:lang w:val="fr-FR"/>
        </w:rPr>
        <w:tab/>
        <w:t>Cette norme est également applicable aux robinets pour le transport du No ONU 1972 (MÉTHANE LIQUIDE RÉFRIGÉRÉ ou GAZ NATUREL LIQUIDE RÉFRIGÉRÉ). </w:t>
      </w:r>
      <w:r w:rsidRPr="00960BA7">
        <w:rPr>
          <w:lang w:val="fr-FR"/>
        </w:rPr>
        <w:t>».</w:t>
      </w:r>
    </w:p>
    <w:p w14:paraId="5200643E" w14:textId="4C3A567B" w:rsidR="000B1500" w:rsidRPr="00A8435F" w:rsidRDefault="000B1500" w:rsidP="00A20C06">
      <w:pPr>
        <w:pStyle w:val="SingleTxtG"/>
        <w:tabs>
          <w:tab w:val="left" w:pos="2268"/>
        </w:tabs>
        <w:rPr>
          <w:lang w:val="fr-FR"/>
        </w:rPr>
      </w:pPr>
      <w:r w:rsidRPr="00A8435F">
        <w:rPr>
          <w:bCs/>
          <w:lang w:val="fr-FR"/>
        </w:rPr>
        <w:t>6.2.4.1</w:t>
      </w:r>
      <w:r w:rsidRPr="00A8435F">
        <w:rPr>
          <w:b/>
          <w:lang w:val="fr-FR"/>
        </w:rPr>
        <w:tab/>
      </w:r>
      <w:r w:rsidRPr="00A8435F">
        <w:rPr>
          <w:rFonts w:cs="Arial"/>
          <w:szCs w:val="22"/>
          <w:lang w:val="fr-FR"/>
        </w:rPr>
        <w:t>Dans</w:t>
      </w:r>
      <w:r w:rsidRPr="00A8435F">
        <w:rPr>
          <w:lang w:val="fr-FR"/>
        </w:rPr>
        <w:t xml:space="preserve"> le tableau, sous « Pour les fermetures », pour la norme « </w:t>
      </w:r>
      <w:r w:rsidRPr="00A8435F">
        <w:rPr>
          <w:rFonts w:eastAsia="MS Mincho"/>
          <w:lang w:val="fr-FR" w:eastAsia="de-DE"/>
        </w:rPr>
        <w:t>EN ISO 17871:2015 »</w:t>
      </w:r>
      <w:r w:rsidRPr="00A8435F">
        <w:rPr>
          <w:lang w:val="fr-FR"/>
        </w:rPr>
        <w:t>, dans la colonne (4), remplacer « Jusqu’à nouvel ordre » par « Entre le 1</w:t>
      </w:r>
      <w:r w:rsidRPr="009040ED">
        <w:rPr>
          <w:lang w:val="fr-FR"/>
        </w:rPr>
        <w:t>er</w:t>
      </w:r>
      <w:r w:rsidRPr="00A8435F">
        <w:rPr>
          <w:lang w:val="fr-FR"/>
        </w:rPr>
        <w:t> janvier 2017 et le 31 décembre 2020 ». Après la norme « </w:t>
      </w:r>
      <w:r w:rsidRPr="00A8435F">
        <w:rPr>
          <w:rFonts w:eastAsia="MS Mincho"/>
          <w:lang w:val="fr-FR" w:eastAsia="de-DE"/>
        </w:rPr>
        <w:t>EN ISO 17871:2015 »</w:t>
      </w:r>
      <w:r w:rsidRPr="00A8435F">
        <w:rPr>
          <w:lang w:val="fr-FR"/>
        </w:rPr>
        <w:t>, ajouter la nouvelle norme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530"/>
        <w:gridCol w:w="1290"/>
        <w:gridCol w:w="828"/>
        <w:gridCol w:w="866"/>
      </w:tblGrid>
      <w:tr w:rsidR="000B1500" w:rsidRPr="00A8435F" w14:paraId="5907F021" w14:textId="77777777" w:rsidTr="000B1500">
        <w:trPr>
          <w:cantSplit/>
        </w:trPr>
        <w:tc>
          <w:tcPr>
            <w:tcW w:w="1991" w:type="dxa"/>
          </w:tcPr>
          <w:p w14:paraId="74128A1E" w14:textId="50C9B73E" w:rsidR="000B1500" w:rsidRPr="00A8435F" w:rsidRDefault="000B1500" w:rsidP="000B1500">
            <w:pPr>
              <w:tabs>
                <w:tab w:val="left" w:pos="1418"/>
              </w:tabs>
              <w:rPr>
                <w:lang w:val="fr-FR"/>
              </w:rPr>
            </w:pPr>
            <w:r w:rsidRPr="00A8435F">
              <w:rPr>
                <w:lang w:val="fr-FR"/>
              </w:rPr>
              <w:t>EN ISO 17871:2015 + A1:2018</w:t>
            </w:r>
          </w:p>
        </w:tc>
        <w:tc>
          <w:tcPr>
            <w:tcW w:w="3530" w:type="dxa"/>
            <w:vAlign w:val="center"/>
          </w:tcPr>
          <w:p w14:paraId="06499AD0" w14:textId="6587ADAC" w:rsidR="000B1500" w:rsidRPr="00A8435F" w:rsidRDefault="000B1500" w:rsidP="00140003">
            <w:pPr>
              <w:rPr>
                <w:lang w:val="fr-FR"/>
              </w:rPr>
            </w:pPr>
            <w:r w:rsidRPr="00A8435F">
              <w:rPr>
                <w:bCs/>
                <w:lang w:val="fr-FR"/>
              </w:rPr>
              <w:t>Bouteilles à gaz − Robinets de bouteilles à ouverture rapide – Spécifications et essais de type</w:t>
            </w:r>
          </w:p>
        </w:tc>
        <w:tc>
          <w:tcPr>
            <w:tcW w:w="1290" w:type="dxa"/>
            <w:vAlign w:val="center"/>
          </w:tcPr>
          <w:p w14:paraId="50C4BF0E" w14:textId="77777777" w:rsidR="000B1500" w:rsidRPr="00A8435F" w:rsidRDefault="000B1500" w:rsidP="000B1500">
            <w:pPr>
              <w:rPr>
                <w:lang w:val="fr-FR"/>
              </w:rPr>
            </w:pPr>
            <w:r w:rsidRPr="00A8435F">
              <w:rPr>
                <w:lang w:val="fr-FR"/>
              </w:rPr>
              <w:t>6.2.3.1, 6.2.3.3 et 6.2.3.4</w:t>
            </w:r>
          </w:p>
        </w:tc>
        <w:tc>
          <w:tcPr>
            <w:tcW w:w="828" w:type="dxa"/>
            <w:vAlign w:val="center"/>
          </w:tcPr>
          <w:p w14:paraId="26E25D58" w14:textId="77777777" w:rsidR="000B1500" w:rsidRPr="00A8435F" w:rsidRDefault="000B1500" w:rsidP="000B1500">
            <w:pPr>
              <w:jc w:val="center"/>
              <w:rPr>
                <w:lang w:val="fr-FR"/>
              </w:rPr>
            </w:pPr>
            <w:r w:rsidRPr="00A8435F">
              <w:rPr>
                <w:bCs/>
                <w:lang w:val="fr-FR"/>
              </w:rPr>
              <w:t>Jusqu’à nouvel ordre</w:t>
            </w:r>
          </w:p>
        </w:tc>
        <w:tc>
          <w:tcPr>
            <w:tcW w:w="866" w:type="dxa"/>
          </w:tcPr>
          <w:p w14:paraId="5523C9F7" w14:textId="77777777" w:rsidR="000B1500" w:rsidRPr="00A8435F" w:rsidRDefault="000B1500" w:rsidP="000B1500">
            <w:pPr>
              <w:tabs>
                <w:tab w:val="left" w:pos="1418"/>
              </w:tabs>
              <w:rPr>
                <w:lang w:val="fr-FR"/>
              </w:rPr>
            </w:pPr>
          </w:p>
        </w:tc>
      </w:tr>
    </w:tbl>
    <w:p w14:paraId="6C0219B7" w14:textId="6DDCF0CE" w:rsidR="000B1500" w:rsidRPr="00A8435F" w:rsidRDefault="00A20C06" w:rsidP="006762D1">
      <w:pPr>
        <w:pStyle w:val="SingleTxtG"/>
        <w:tabs>
          <w:tab w:val="left" w:pos="2268"/>
        </w:tabs>
        <w:spacing w:before="120"/>
        <w:rPr>
          <w:lang w:val="fr-FR"/>
        </w:rPr>
      </w:pPr>
      <w:r>
        <w:rPr>
          <w:iCs/>
          <w:lang w:val="fr-FR"/>
        </w:rPr>
        <w:t>6.2.4.1</w:t>
      </w:r>
      <w:r w:rsidR="000B1500" w:rsidRPr="00A8435F">
        <w:rPr>
          <w:iCs/>
          <w:lang w:val="fr-FR"/>
        </w:rPr>
        <w:tab/>
        <w:t xml:space="preserve">Dans le tableau, </w:t>
      </w:r>
      <w:r w:rsidR="000B1500" w:rsidRPr="00A8435F">
        <w:rPr>
          <w:lang w:val="fr-FR"/>
        </w:rPr>
        <w:t>sous « Pour les fermetures », ajouter la nouvelle ligne suivante à la fin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3618"/>
        <w:gridCol w:w="992"/>
        <w:gridCol w:w="979"/>
        <w:gridCol w:w="892"/>
      </w:tblGrid>
      <w:tr w:rsidR="000B1500" w:rsidRPr="00A8435F" w14:paraId="463CC305" w14:textId="77777777" w:rsidTr="000B1500">
        <w:trPr>
          <w:cantSplit/>
        </w:trPr>
        <w:tc>
          <w:tcPr>
            <w:tcW w:w="2024" w:type="dxa"/>
          </w:tcPr>
          <w:p w14:paraId="27A16D27" w14:textId="77777777" w:rsidR="000B1500" w:rsidRPr="00A8435F" w:rsidRDefault="000B1500" w:rsidP="000B1500">
            <w:pPr>
              <w:tabs>
                <w:tab w:val="left" w:pos="1418"/>
              </w:tabs>
              <w:rPr>
                <w:lang w:val="fr-FR"/>
              </w:rPr>
            </w:pPr>
            <w:r w:rsidRPr="00A8435F">
              <w:rPr>
                <w:bCs/>
                <w:lang w:val="fr-FR"/>
              </w:rPr>
              <w:t>EN ISO 17879:2017</w:t>
            </w:r>
          </w:p>
        </w:tc>
        <w:tc>
          <w:tcPr>
            <w:tcW w:w="3618" w:type="dxa"/>
            <w:vAlign w:val="center"/>
          </w:tcPr>
          <w:p w14:paraId="76E54BC1" w14:textId="77777777" w:rsidR="000B1500" w:rsidRPr="00A8435F" w:rsidRDefault="000B1500" w:rsidP="000B1500">
            <w:pPr>
              <w:rPr>
                <w:lang w:val="fr-FR"/>
              </w:rPr>
            </w:pPr>
            <w:r w:rsidRPr="00A8435F">
              <w:rPr>
                <w:bCs/>
                <w:lang w:val="fr-FR"/>
              </w:rPr>
              <w:t>Bouteilles à gaz − Robinets de bouteilles équipés de clapets auto-obturants − Spécifications et essais de type</w:t>
            </w:r>
          </w:p>
        </w:tc>
        <w:tc>
          <w:tcPr>
            <w:tcW w:w="992" w:type="dxa"/>
            <w:vAlign w:val="center"/>
          </w:tcPr>
          <w:p w14:paraId="55981C1B" w14:textId="77777777" w:rsidR="000B1500" w:rsidRPr="00A8435F" w:rsidRDefault="000B1500" w:rsidP="000B1500">
            <w:pPr>
              <w:rPr>
                <w:lang w:val="fr-FR"/>
              </w:rPr>
            </w:pPr>
            <w:r w:rsidRPr="00A8435F">
              <w:rPr>
                <w:bCs/>
                <w:lang w:val="fr-FR"/>
              </w:rPr>
              <w:t>6.2.3.1 et 6.2.3.4</w:t>
            </w:r>
          </w:p>
        </w:tc>
        <w:tc>
          <w:tcPr>
            <w:tcW w:w="979" w:type="dxa"/>
            <w:vAlign w:val="center"/>
          </w:tcPr>
          <w:p w14:paraId="477B0E5A" w14:textId="77777777" w:rsidR="000B1500" w:rsidRPr="00A8435F" w:rsidRDefault="000B1500" w:rsidP="000B1500">
            <w:pPr>
              <w:jc w:val="center"/>
              <w:rPr>
                <w:lang w:val="fr-FR"/>
              </w:rPr>
            </w:pPr>
            <w:r w:rsidRPr="00A8435F">
              <w:rPr>
                <w:bCs/>
                <w:lang w:val="fr-FR"/>
              </w:rPr>
              <w:t>Jusqu’à nouvel ordre</w:t>
            </w:r>
          </w:p>
        </w:tc>
        <w:tc>
          <w:tcPr>
            <w:tcW w:w="892" w:type="dxa"/>
          </w:tcPr>
          <w:p w14:paraId="56E264AA" w14:textId="77777777" w:rsidR="000B1500" w:rsidRPr="00A8435F" w:rsidRDefault="000B1500" w:rsidP="000B1500">
            <w:pPr>
              <w:tabs>
                <w:tab w:val="left" w:pos="1418"/>
              </w:tabs>
              <w:rPr>
                <w:lang w:val="fr-FR"/>
              </w:rPr>
            </w:pPr>
          </w:p>
        </w:tc>
      </w:tr>
    </w:tbl>
    <w:p w14:paraId="1DEE0CA1" w14:textId="69F09C2F" w:rsidR="000B1500" w:rsidRPr="00A8435F" w:rsidRDefault="000B1500" w:rsidP="006762D1">
      <w:pPr>
        <w:pStyle w:val="SingleTxtG"/>
        <w:tabs>
          <w:tab w:val="left" w:pos="2268"/>
        </w:tabs>
        <w:spacing w:before="120"/>
      </w:pPr>
      <w:r w:rsidRPr="00A8435F">
        <w:t>6.2.4.2</w:t>
      </w:r>
      <w:r w:rsidRPr="00A8435F">
        <w:tab/>
        <w:t xml:space="preserve">Dans le tableau, supprimer les lignes pour « EN ISO 11623:2002 (sauf article 4) », « EN 14912:2005 » et « EN 1440:2008 +A1:2012 (sauf annexes G et H) ». Pour la norme « EN 1440:2016 (sauf annexe C) », en colonne 3), remplacer </w:t>
      </w:r>
      <w:r w:rsidRPr="00A8435F">
        <w:rPr>
          <w:lang w:val="fr-FR"/>
        </w:rPr>
        <w:t xml:space="preserve">« Obligatoirement à partir du 1er janvier 2019 » par « Jusqu’au 31 décembre 2020 ». Après </w:t>
      </w:r>
      <w:r w:rsidRPr="00A8435F">
        <w:t>la norme « EN 1440:2016 (sauf annexe C) »,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008"/>
        <w:gridCol w:w="2058"/>
      </w:tblGrid>
      <w:tr w:rsidR="000B1500" w:rsidRPr="00A8435F" w14:paraId="46D05C3C" w14:textId="77777777" w:rsidTr="000B1500">
        <w:trPr>
          <w:cantSplit/>
        </w:trPr>
        <w:tc>
          <w:tcPr>
            <w:tcW w:w="2439" w:type="dxa"/>
          </w:tcPr>
          <w:p w14:paraId="506750C8" w14:textId="7437F41B" w:rsidR="000B1500" w:rsidRPr="00A8435F" w:rsidRDefault="000B1500" w:rsidP="000B1500">
            <w:pPr>
              <w:tabs>
                <w:tab w:val="left" w:pos="1418"/>
              </w:tabs>
              <w:rPr>
                <w:lang w:val="fr-FR"/>
              </w:rPr>
            </w:pPr>
            <w:r w:rsidRPr="00A8435F">
              <w:rPr>
                <w:bCs/>
                <w:lang w:val="fr-FR"/>
              </w:rPr>
              <w:t>EN 1440:2016 +A1:2018 (sauf annexe C)</w:t>
            </w:r>
          </w:p>
        </w:tc>
        <w:tc>
          <w:tcPr>
            <w:tcW w:w="4008" w:type="dxa"/>
            <w:vAlign w:val="center"/>
          </w:tcPr>
          <w:p w14:paraId="2692EFC2" w14:textId="219CA958" w:rsidR="000B1500" w:rsidRPr="00A8435F" w:rsidRDefault="000B1500" w:rsidP="00140003">
            <w:pPr>
              <w:rPr>
                <w:lang w:val="fr-FR"/>
              </w:rPr>
            </w:pPr>
            <w:r w:rsidRPr="00A8435F">
              <w:rPr>
                <w:bCs/>
                <w:lang w:val="fr-FR"/>
              </w:rPr>
              <w:t xml:space="preserve">Équipement pour GPL et leurs accessoires – Bouteilles </w:t>
            </w:r>
            <w:r w:rsidR="00140003">
              <w:rPr>
                <w:bCs/>
                <w:lang w:val="fr-FR"/>
              </w:rPr>
              <w:t xml:space="preserve">de gaz de pétrole liquéfié (GPL) </w:t>
            </w:r>
            <w:r w:rsidR="00140003" w:rsidRPr="00140003">
              <w:rPr>
                <w:bCs/>
                <w:lang w:val="fr-FR"/>
              </w:rPr>
              <w:t xml:space="preserve">en acier soudé et brasé </w:t>
            </w:r>
            <w:r w:rsidRPr="00A8435F">
              <w:rPr>
                <w:bCs/>
                <w:lang w:val="fr-FR"/>
              </w:rPr>
              <w:t>transportables et rechargeables – Contrôle périodique</w:t>
            </w:r>
          </w:p>
        </w:tc>
        <w:tc>
          <w:tcPr>
            <w:tcW w:w="2058" w:type="dxa"/>
            <w:vAlign w:val="center"/>
          </w:tcPr>
          <w:p w14:paraId="6E04BCEA" w14:textId="77777777" w:rsidR="000B1500" w:rsidRPr="00A8435F" w:rsidRDefault="000B1500" w:rsidP="000B1500">
            <w:pPr>
              <w:jc w:val="center"/>
              <w:rPr>
                <w:lang w:val="fr-FR"/>
              </w:rPr>
            </w:pPr>
            <w:r w:rsidRPr="00A8435F">
              <w:rPr>
                <w:bCs/>
                <w:lang w:val="fr-FR"/>
              </w:rPr>
              <w:t>Obligatoirement à partir du 1er janvier 2021</w:t>
            </w:r>
          </w:p>
        </w:tc>
      </w:tr>
    </w:tbl>
    <w:p w14:paraId="43FAF96F" w14:textId="4DBA2755" w:rsidR="000B1500" w:rsidRPr="00A8435F" w:rsidRDefault="00627472" w:rsidP="00627472">
      <w:pPr>
        <w:pStyle w:val="SingleTxtG"/>
        <w:tabs>
          <w:tab w:val="left" w:pos="2268"/>
        </w:tabs>
        <w:spacing w:before="120"/>
        <w:rPr>
          <w:iCs/>
          <w:lang w:val="fr-FR"/>
        </w:rPr>
      </w:pPr>
      <w:r w:rsidRPr="00A8435F">
        <w:t>6.2.4.2</w:t>
      </w:r>
      <w:r w:rsidRPr="00A8435F">
        <w:tab/>
      </w:r>
      <w:r w:rsidR="000B1500" w:rsidRPr="00A8435F">
        <w:t xml:space="preserve">Pour la norme « EN 16728:2016 (sauf article 3.5, annexe F et annexe G) », en colonne 3), remplacer </w:t>
      </w:r>
      <w:r w:rsidR="000B1500" w:rsidRPr="00A8435F">
        <w:rPr>
          <w:lang w:val="fr-FR"/>
        </w:rPr>
        <w:t xml:space="preserve">« Obligatoirement à partir du 1er janvier 2019 » par « Jusqu’au 31 décembre 2020 ». Après </w:t>
      </w:r>
      <w:r w:rsidR="000B1500" w:rsidRPr="00A8435F">
        <w:t>la norme « EN 16728:2016 (sauf article 3.5, annexe F et annexe G) »,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008"/>
        <w:gridCol w:w="2058"/>
      </w:tblGrid>
      <w:tr w:rsidR="000B1500" w:rsidRPr="00A8435F" w14:paraId="27B4C653" w14:textId="77777777" w:rsidTr="000B1500">
        <w:trPr>
          <w:cantSplit/>
        </w:trPr>
        <w:tc>
          <w:tcPr>
            <w:tcW w:w="2439" w:type="dxa"/>
          </w:tcPr>
          <w:p w14:paraId="0E3FFECE" w14:textId="0EEB5F46" w:rsidR="000B1500" w:rsidRPr="00A8435F" w:rsidRDefault="009668E0" w:rsidP="009668E0">
            <w:pPr>
              <w:tabs>
                <w:tab w:val="left" w:pos="1418"/>
              </w:tabs>
              <w:rPr>
                <w:lang w:val="fr-FR"/>
              </w:rPr>
            </w:pPr>
            <w:r w:rsidRPr="00A8435F">
              <w:rPr>
                <w:bCs/>
                <w:lang w:val="fr-FR"/>
              </w:rPr>
              <w:lastRenderedPageBreak/>
              <w:t>EN 16728:2016 +A1:2018</w:t>
            </w:r>
          </w:p>
        </w:tc>
        <w:tc>
          <w:tcPr>
            <w:tcW w:w="4008" w:type="dxa"/>
            <w:vAlign w:val="center"/>
          </w:tcPr>
          <w:p w14:paraId="481ED264" w14:textId="77777777" w:rsidR="000B1500" w:rsidRPr="00A8435F" w:rsidRDefault="000B1500" w:rsidP="000B1500">
            <w:pPr>
              <w:rPr>
                <w:lang w:val="fr-FR"/>
              </w:rPr>
            </w:pPr>
            <w:r w:rsidRPr="00A8435F">
              <w:rPr>
                <w:bCs/>
                <w:lang w:val="fr-FR"/>
              </w:rPr>
              <w:t>Équipement pour GPL et leurs accessoires – Bouteilles transportables et rechargeables pour GPL autres que celles en acier soudé et brasé – Contrôle périodique</w:t>
            </w:r>
          </w:p>
        </w:tc>
        <w:tc>
          <w:tcPr>
            <w:tcW w:w="2058" w:type="dxa"/>
            <w:vAlign w:val="center"/>
          </w:tcPr>
          <w:p w14:paraId="617A30F3" w14:textId="77777777" w:rsidR="000B1500" w:rsidRPr="00A8435F" w:rsidRDefault="000B1500" w:rsidP="000B1500">
            <w:pPr>
              <w:jc w:val="center"/>
              <w:rPr>
                <w:lang w:val="fr-FR"/>
              </w:rPr>
            </w:pPr>
            <w:r w:rsidRPr="00A8435F">
              <w:rPr>
                <w:bCs/>
                <w:lang w:val="fr-FR"/>
              </w:rPr>
              <w:t>Obligatoirement à partir du 1er janvier 2021</w:t>
            </w:r>
          </w:p>
        </w:tc>
      </w:tr>
    </w:tbl>
    <w:p w14:paraId="14FFBF00" w14:textId="1F4213E6" w:rsidR="00E114C7" w:rsidRPr="00960BA7" w:rsidRDefault="00E114C7" w:rsidP="006762D1">
      <w:pPr>
        <w:pStyle w:val="SingleTxtG"/>
        <w:tabs>
          <w:tab w:val="left" w:pos="2268"/>
        </w:tabs>
        <w:spacing w:before="120"/>
        <w:rPr>
          <w:lang w:val="fr-FR"/>
        </w:rPr>
      </w:pPr>
      <w:r w:rsidRPr="00960BA7">
        <w:rPr>
          <w:lang w:val="fr-FR"/>
        </w:rPr>
        <w:t>6.2.6.4</w:t>
      </w:r>
      <w:r w:rsidRPr="00960BA7">
        <w:rPr>
          <w:lang w:val="fr-FR"/>
        </w:rPr>
        <w:tab/>
      </w:r>
      <w:r w:rsidRPr="00960BA7">
        <w:rPr>
          <w:iCs/>
          <w:lang w:val="fr-FR"/>
        </w:rPr>
        <w:t>Au troisième tiret, à la fin, supprimer « (sauf article 9) » et ajouter la nouvelle phrase suivante « Outre les marques prescrites par cette norme, la cartouche à gaz porte la marque "UN 2037/EN 16509". »</w:t>
      </w:r>
    </w:p>
    <w:p w14:paraId="0D299B20" w14:textId="77777777" w:rsidR="00196C06" w:rsidRPr="007C0FDC" w:rsidRDefault="00196C06" w:rsidP="00196C06">
      <w:pPr>
        <w:pStyle w:val="H1G"/>
        <w:rPr>
          <w:lang w:val="fr-FR"/>
        </w:rPr>
      </w:pPr>
      <w:r w:rsidRPr="007C0FDC">
        <w:rPr>
          <w:lang w:val="fr-FR"/>
        </w:rPr>
        <w:tab/>
      </w:r>
      <w:r w:rsidRPr="007C0FDC">
        <w:rPr>
          <w:lang w:val="fr-FR"/>
        </w:rPr>
        <w:tab/>
        <w:t>Chapitre 6.5</w:t>
      </w:r>
    </w:p>
    <w:p w14:paraId="7852FC73" w14:textId="77777777" w:rsidR="00196C06" w:rsidRPr="007C0FDC" w:rsidRDefault="00196C06" w:rsidP="00196C06">
      <w:pPr>
        <w:pStyle w:val="SingleTxtG"/>
        <w:rPr>
          <w:iCs/>
          <w:lang w:val="fr-FR"/>
        </w:rPr>
      </w:pPr>
      <w:r w:rsidRPr="007C0FDC">
        <w:rPr>
          <w:iCs/>
          <w:lang w:val="fr-FR"/>
        </w:rPr>
        <w:t>6.5.6.9.3</w:t>
      </w:r>
      <w:r w:rsidRPr="007C0FDC">
        <w:rPr>
          <w:iCs/>
          <w:lang w:val="fr-FR"/>
        </w:rPr>
        <w:tab/>
        <w:t>Modifier le dernier paragraphe pour lire comme suit:</w:t>
      </w:r>
    </w:p>
    <w:p w14:paraId="22ABAEF5" w14:textId="60EFB7DB" w:rsidR="00196C06" w:rsidRPr="007C0FDC" w:rsidRDefault="00196C06" w:rsidP="00196C06">
      <w:pPr>
        <w:pStyle w:val="SingleTxtG"/>
        <w:rPr>
          <w:iCs/>
          <w:lang w:val="fr-FR"/>
        </w:rPr>
      </w:pPr>
      <w:r w:rsidRPr="007C0FDC">
        <w:rPr>
          <w:iCs/>
          <w:lang w:val="fr-FR"/>
        </w:rPr>
        <w:t>«</w:t>
      </w:r>
      <w:r w:rsidR="003567B8" w:rsidRPr="007C0FDC">
        <w:rPr>
          <w:lang w:val="fr-FR"/>
        </w:rPr>
        <w:t> </w:t>
      </w:r>
      <w:r w:rsidRPr="007C0FDC">
        <w:rPr>
          <w:iCs/>
          <w:lang w:val="fr-FR"/>
        </w:rPr>
        <w:t>On peut utiliser le même GRV pour tous les essais ou un autre GRV du même modèle type pour chaque essai.</w:t>
      </w:r>
      <w:r w:rsidR="003567B8" w:rsidRPr="007C0FDC">
        <w:rPr>
          <w:lang w:val="fr-FR"/>
        </w:rPr>
        <w:t> </w:t>
      </w:r>
      <w:r w:rsidRPr="007C0FDC">
        <w:rPr>
          <w:iCs/>
          <w:lang w:val="fr-FR"/>
        </w:rPr>
        <w:t>»</w:t>
      </w:r>
      <w:r w:rsidR="00CE5D3F" w:rsidRPr="007C0FDC">
        <w:rPr>
          <w:iCs/>
          <w:lang w:val="fr-FR"/>
        </w:rPr>
        <w:t>.</w:t>
      </w:r>
    </w:p>
    <w:p w14:paraId="1CC29857" w14:textId="2877CAF7" w:rsidR="00196C06" w:rsidRPr="007C0FDC" w:rsidRDefault="00196C06" w:rsidP="00196C06">
      <w:pPr>
        <w:pStyle w:val="SingleTxtG"/>
        <w:rPr>
          <w:iCs/>
          <w:lang w:val="fr-FR"/>
        </w:rPr>
      </w:pPr>
      <w:r w:rsidRPr="007C0FDC">
        <w:rPr>
          <w:iCs/>
          <w:lang w:val="fr-FR"/>
        </w:rPr>
        <w:t>6.5.6.14.1</w:t>
      </w:r>
      <w:r w:rsidRPr="007C0FDC">
        <w:rPr>
          <w:iCs/>
          <w:lang w:val="fr-FR"/>
        </w:rPr>
        <w:tab/>
        <w:t>Ajouter la phrase suivante à la fin du point 8.</w:t>
      </w:r>
      <w:r w:rsidR="003567B8" w:rsidRPr="007C0FDC">
        <w:rPr>
          <w:lang w:val="fr-FR"/>
        </w:rPr>
        <w:t> </w:t>
      </w:r>
      <w:r w:rsidRPr="007C0FDC">
        <w:rPr>
          <w:iCs/>
          <w:lang w:val="fr-FR"/>
        </w:rPr>
        <w:t>: «</w:t>
      </w:r>
      <w:r w:rsidR="003567B8" w:rsidRPr="007C0FDC">
        <w:rPr>
          <w:lang w:val="fr-FR"/>
        </w:rPr>
        <w:t> </w:t>
      </w:r>
      <w:r w:rsidRPr="007C0FDC">
        <w:rPr>
          <w:iCs/>
          <w:lang w:val="fr-FR"/>
        </w:rPr>
        <w:t>Pour les GRV en plastique rigide et les GRV composites soumis à l’épreuve de pression interne du 6.5.6.8, la température de l’eau utilisée.</w:t>
      </w:r>
      <w:r w:rsidR="003567B8" w:rsidRPr="007C0FDC">
        <w:rPr>
          <w:lang w:val="fr-FR"/>
        </w:rPr>
        <w:t> </w:t>
      </w:r>
      <w:r w:rsidRPr="007C0FDC">
        <w:rPr>
          <w:iCs/>
          <w:lang w:val="fr-FR"/>
        </w:rPr>
        <w:t>».</w:t>
      </w:r>
    </w:p>
    <w:p w14:paraId="71EB202F" w14:textId="77777777" w:rsidR="00196C06" w:rsidRPr="00011D7C" w:rsidRDefault="00196C06" w:rsidP="00196C06">
      <w:pPr>
        <w:pStyle w:val="H1G"/>
        <w:rPr>
          <w:lang w:val="fr-FR"/>
        </w:rPr>
      </w:pPr>
      <w:r w:rsidRPr="00011D7C">
        <w:rPr>
          <w:lang w:val="fr-FR"/>
        </w:rPr>
        <w:tab/>
      </w:r>
      <w:r w:rsidRPr="00011D7C">
        <w:rPr>
          <w:lang w:val="fr-FR"/>
        </w:rPr>
        <w:tab/>
        <w:t>Chapitre 6.7</w:t>
      </w:r>
    </w:p>
    <w:p w14:paraId="643E9B64" w14:textId="42058B07" w:rsidR="00196C06" w:rsidRPr="00011D7C" w:rsidRDefault="00196C06" w:rsidP="00196C06">
      <w:pPr>
        <w:spacing w:before="120" w:after="120" w:line="240" w:lineRule="auto"/>
        <w:ind w:left="1134" w:right="1134"/>
        <w:jc w:val="both"/>
        <w:rPr>
          <w:i/>
          <w:iCs/>
          <w:lang w:val="fr-FR"/>
        </w:rPr>
      </w:pPr>
      <w:r w:rsidRPr="00011D7C">
        <w:rPr>
          <w:lang w:val="fr-FR"/>
        </w:rPr>
        <w:t>6.7.2.2.16</w:t>
      </w:r>
      <w:r w:rsidRPr="00011D7C">
        <w:rPr>
          <w:lang w:val="fr-FR"/>
        </w:rPr>
        <w:tab/>
        <w:t>Remplacer «</w:t>
      </w:r>
      <w:r w:rsidR="003567B8" w:rsidRPr="00011D7C">
        <w:rPr>
          <w:lang w:val="fr-FR"/>
        </w:rPr>
        <w:t> </w:t>
      </w:r>
      <w:r w:rsidRPr="00011D7C">
        <w:rPr>
          <w:lang w:val="fr-FR"/>
        </w:rPr>
        <w:t>des risques inhérents aux matières transportées</w:t>
      </w:r>
      <w:r w:rsidR="003567B8" w:rsidRPr="00011D7C">
        <w:rPr>
          <w:lang w:val="fr-FR"/>
        </w:rPr>
        <w:t> </w:t>
      </w:r>
      <w:r w:rsidRPr="00011D7C">
        <w:rPr>
          <w:lang w:val="fr-FR"/>
        </w:rPr>
        <w:t>» par «</w:t>
      </w:r>
      <w:r w:rsidR="003567B8" w:rsidRPr="00011D7C">
        <w:rPr>
          <w:lang w:val="fr-FR"/>
        </w:rPr>
        <w:t> </w:t>
      </w:r>
      <w:r w:rsidRPr="00011D7C">
        <w:rPr>
          <w:lang w:val="fr-FR"/>
        </w:rPr>
        <w:t>des risques inhérents au transport des matières concernées</w:t>
      </w:r>
      <w:r w:rsidR="003567B8" w:rsidRPr="00011D7C">
        <w:rPr>
          <w:lang w:val="fr-FR"/>
        </w:rPr>
        <w:t> </w:t>
      </w:r>
      <w:r w:rsidRPr="00011D7C">
        <w:rPr>
          <w:lang w:val="fr-FR"/>
        </w:rPr>
        <w:t>».</w:t>
      </w:r>
    </w:p>
    <w:p w14:paraId="5A6307A1" w14:textId="262651A9" w:rsidR="005612F9" w:rsidRPr="00960BA7" w:rsidRDefault="005612F9" w:rsidP="005612F9">
      <w:pPr>
        <w:pStyle w:val="H1G"/>
      </w:pPr>
      <w:r w:rsidRPr="00960BA7">
        <w:tab/>
      </w:r>
      <w:r w:rsidRPr="00960BA7">
        <w:tab/>
      </w:r>
      <w:r w:rsidR="00D226B0" w:rsidRPr="00960BA7">
        <w:t>Chapitre</w:t>
      </w:r>
      <w:r w:rsidRPr="00960BA7">
        <w:t xml:space="preserve"> 6.8</w:t>
      </w:r>
    </w:p>
    <w:p w14:paraId="24289870" w14:textId="77777777" w:rsidR="005612F9" w:rsidRPr="00960BA7" w:rsidRDefault="005612F9" w:rsidP="005612F9">
      <w:pPr>
        <w:pStyle w:val="SingleTxtG"/>
        <w:rPr>
          <w:lang w:val="fr-FR"/>
        </w:rPr>
      </w:pPr>
      <w:r w:rsidRPr="00960BA7">
        <w:rPr>
          <w:lang w:val="fr-FR"/>
        </w:rPr>
        <w:t>6.8.2.1.9</w:t>
      </w:r>
      <w:r w:rsidRPr="00960BA7">
        <w:rPr>
          <w:lang w:val="fr-FR"/>
        </w:rPr>
        <w:tab/>
        <w:t>La modification ne s’applique pas au texte français.</w:t>
      </w:r>
    </w:p>
    <w:p w14:paraId="4A2CE247" w14:textId="77777777" w:rsidR="000B1500" w:rsidRPr="00805662" w:rsidRDefault="000B1500" w:rsidP="000B1500">
      <w:pPr>
        <w:pStyle w:val="SingleTxtG"/>
        <w:rPr>
          <w:lang w:val="fr-FR"/>
        </w:rPr>
      </w:pPr>
      <w:r w:rsidRPr="00805662">
        <w:rPr>
          <w:lang w:val="fr-FR"/>
        </w:rPr>
        <w:t>6.8.2.1.23</w:t>
      </w:r>
      <w:r w:rsidRPr="00805662">
        <w:rPr>
          <w:lang w:val="fr-FR"/>
        </w:rPr>
        <w:tab/>
        <w:t>Dans la première phrase du premier paragraphe, après « L’aptitude du constructeur » ajouter « , ou de l’atelier de maintenance ou de réparation, » et, à la fin, supprimer « , qui délivre l’agrément de type ». Dans la deuxième phrase du premier paragraphe, à la fin, ajouter « ou l’atelier de maintenance ou de réparation ».</w:t>
      </w:r>
    </w:p>
    <w:p w14:paraId="77312DAD" w14:textId="6D3DEC5F" w:rsidR="00805662" w:rsidRPr="003714FD" w:rsidRDefault="00805662" w:rsidP="00805662">
      <w:pPr>
        <w:pStyle w:val="SingleTxtG"/>
      </w:pPr>
      <w:r w:rsidRPr="003714FD">
        <w:rPr>
          <w:bCs/>
        </w:rPr>
        <w:t>6.8.2.1.23</w:t>
      </w:r>
      <w:r w:rsidRPr="003714FD">
        <w:rPr>
          <w:b/>
        </w:rPr>
        <w:tab/>
      </w:r>
      <w:r w:rsidRPr="003714FD">
        <w:t xml:space="preserve">Dans la dernière phrase du premier paragraphe, après « par ultrasons », insérer la nouvelle note de bas de page </w:t>
      </w:r>
      <w:r w:rsidRPr="003714FD">
        <w:rPr>
          <w:b/>
          <w:vertAlign w:val="superscript"/>
        </w:rPr>
        <w:t>6</w:t>
      </w:r>
      <w:r w:rsidRPr="003714FD">
        <w:t xml:space="preserve"> libellée comme suit :</w:t>
      </w:r>
    </w:p>
    <w:p w14:paraId="34B24C32" w14:textId="7BA1FB7C" w:rsidR="00805662" w:rsidRPr="003714FD" w:rsidRDefault="00805662" w:rsidP="00805662">
      <w:pPr>
        <w:pStyle w:val="SingleTxtG"/>
      </w:pPr>
      <w:r w:rsidRPr="003714FD">
        <w:t>« </w:t>
      </w:r>
      <w:r w:rsidRPr="003714FD">
        <w:rPr>
          <w:b/>
          <w:vertAlign w:val="superscript"/>
        </w:rPr>
        <w:t>6</w:t>
      </w:r>
      <w:r w:rsidRPr="003714FD">
        <w:tab/>
        <w:t>Les assemblages à recouvrement d’un fond et de la virole peuvent être contrôlés par des méthodes alternatives à la radiographie ou aux ultrasons. ».</w:t>
      </w:r>
    </w:p>
    <w:p w14:paraId="3721E7DE" w14:textId="77777777" w:rsidR="00805662" w:rsidRPr="003714FD" w:rsidRDefault="00805662" w:rsidP="00805662">
      <w:pPr>
        <w:pStyle w:val="SingleTxtG"/>
      </w:pPr>
      <w:r w:rsidRPr="003714FD">
        <w:t>Dans le chapitre 6.8, renuméroter les notes de bas de page 6 à 16 en tant que 7 à 17.</w:t>
      </w:r>
    </w:p>
    <w:p w14:paraId="3E31D0E8" w14:textId="545BC8EA" w:rsidR="00D226B0" w:rsidRPr="00805662" w:rsidRDefault="003E4C75" w:rsidP="00D226B0">
      <w:pPr>
        <w:pStyle w:val="SingleTxtG"/>
      </w:pPr>
      <w:r w:rsidRPr="00805662">
        <w:rPr>
          <w:bCs/>
        </w:rPr>
        <w:t>6.8.2.1.23</w:t>
      </w:r>
      <w:r w:rsidRPr="00805662">
        <w:rPr>
          <w:b/>
        </w:rPr>
        <w:tab/>
      </w:r>
      <w:r w:rsidR="00D226B0" w:rsidRPr="00805662">
        <w:t>Pour « </w:t>
      </w:r>
      <w:r w:rsidR="00D226B0" w:rsidRPr="00805662">
        <w:rPr>
          <w:lang w:val="fr-FR"/>
        </w:rPr>
        <w:sym w:font="Symbol" w:char="F06C"/>
      </w:r>
      <w:r w:rsidR="00D226B0" w:rsidRPr="00805662">
        <w:t xml:space="preserve"> = 0,8 », modifier la deuxième phrase comme suit :</w:t>
      </w:r>
    </w:p>
    <w:p w14:paraId="18282EF2" w14:textId="56888CD6" w:rsidR="00D226B0" w:rsidRPr="00805662" w:rsidRDefault="00D226B0" w:rsidP="00D226B0">
      <w:pPr>
        <w:pStyle w:val="SingleTxtG"/>
        <w:rPr>
          <w:bCs/>
        </w:rPr>
      </w:pPr>
      <w:r w:rsidRPr="00805662">
        <w:t>« </w:t>
      </w:r>
      <w:r w:rsidRPr="00805662">
        <w:rPr>
          <w:bCs/>
        </w:rPr>
        <w:t xml:space="preserve">Les contrôles non destructifs doivent comprendre tous les nœuds de soudure en «T», tous les inserts </w:t>
      </w:r>
      <w:r w:rsidRPr="00805662">
        <w:t>utilisés</w:t>
      </w:r>
      <w:r w:rsidRPr="00805662">
        <w:rPr>
          <w:bCs/>
        </w:rPr>
        <w:t xml:space="preserve"> pour éviter des soudures en croix et toutes les soudures dans</w:t>
      </w:r>
      <w:r w:rsidRPr="00805662">
        <w:t xml:space="preserve"> la carre des fonds de la citerne</w:t>
      </w:r>
      <w:r w:rsidRPr="00805662">
        <w:rPr>
          <w:bCs/>
        </w:rPr>
        <w:t>. ».</w:t>
      </w:r>
    </w:p>
    <w:p w14:paraId="38953303" w14:textId="313B7C5A" w:rsidR="00D226B0" w:rsidRPr="00805662" w:rsidRDefault="00805662" w:rsidP="00D226B0">
      <w:pPr>
        <w:pStyle w:val="SingleTxtG"/>
      </w:pPr>
      <w:r w:rsidRPr="00805662">
        <w:rPr>
          <w:bCs/>
        </w:rPr>
        <w:t>6.8.2.1.23</w:t>
      </w:r>
      <w:r w:rsidRPr="00805662">
        <w:rPr>
          <w:b/>
        </w:rPr>
        <w:tab/>
      </w:r>
      <w:r w:rsidR="00D226B0" w:rsidRPr="00805662">
        <w:t>Pour « </w:t>
      </w:r>
      <w:r w:rsidR="00D226B0" w:rsidRPr="00805662">
        <w:rPr>
          <w:lang w:val="fr-FR"/>
        </w:rPr>
        <w:sym w:font="Symbol" w:char="F06C"/>
      </w:r>
      <w:r w:rsidR="00D226B0" w:rsidRPr="00805662">
        <w:t xml:space="preserve"> = 0,9 », modifier la deuxième phrase comme suit :</w:t>
      </w:r>
    </w:p>
    <w:p w14:paraId="4ED2CC6F" w14:textId="08B7482D" w:rsidR="00D226B0" w:rsidRPr="00805662" w:rsidRDefault="00D226B0" w:rsidP="00D226B0">
      <w:pPr>
        <w:pStyle w:val="SingleTxtG"/>
      </w:pPr>
      <w:r w:rsidRPr="00805662">
        <w:t xml:space="preserve">« Les contrôles non destructifs doivent comprendre tous les nœuds de soudure, tous les inserts utilisés pour éviter des soudures en croix, </w:t>
      </w:r>
      <w:r w:rsidRPr="00805662">
        <w:rPr>
          <w:bCs/>
        </w:rPr>
        <w:t xml:space="preserve">toutes les soudures dans la </w:t>
      </w:r>
      <w:r w:rsidRPr="00805662">
        <w:t>carre</w:t>
      </w:r>
      <w:r w:rsidRPr="00805662">
        <w:rPr>
          <w:bCs/>
        </w:rPr>
        <w:t xml:space="preserve"> des fonds </w:t>
      </w:r>
      <w:r w:rsidRPr="00805662">
        <w:t>de la citerne et toutes les soudures d'assemblage d'équipements de diamètre important. ».</w:t>
      </w:r>
    </w:p>
    <w:p w14:paraId="19E3B9F3" w14:textId="4A43FE98" w:rsidR="005612F9" w:rsidRPr="00FB35E2" w:rsidRDefault="005612F9" w:rsidP="005612F9">
      <w:pPr>
        <w:pStyle w:val="SingleTxtG"/>
        <w:spacing w:before="120"/>
        <w:rPr>
          <w:iCs/>
          <w:lang w:val="fr-FR"/>
        </w:rPr>
      </w:pPr>
      <w:r w:rsidRPr="00FB35E2">
        <w:rPr>
          <w:iCs/>
          <w:lang w:val="fr-FR"/>
        </w:rPr>
        <w:t>6.8.2.2.2</w:t>
      </w:r>
      <w:r w:rsidRPr="00FB35E2">
        <w:rPr>
          <w:iCs/>
          <w:lang w:val="fr-FR"/>
        </w:rPr>
        <w:tab/>
        <w:t>Remplacer « d'un revêtement en ébonite ou en thermoplastique » par « d’un revêtement protecteur ».</w:t>
      </w:r>
    </w:p>
    <w:p w14:paraId="5CBB5C28" w14:textId="4EAA9660" w:rsidR="007702E0" w:rsidRPr="00D966F5" w:rsidRDefault="007702E0" w:rsidP="00E03A3F">
      <w:pPr>
        <w:pStyle w:val="SingleTxtG"/>
        <w:rPr>
          <w:b/>
        </w:rPr>
      </w:pPr>
      <w:r w:rsidRPr="00D966F5">
        <w:rPr>
          <w:bCs/>
        </w:rPr>
        <w:t>6.8.2.2.3</w:t>
      </w:r>
      <w:r w:rsidRPr="00D966F5">
        <w:rPr>
          <w:b/>
        </w:rPr>
        <w:tab/>
      </w:r>
      <w:r w:rsidRPr="00D966F5">
        <w:t>Ajouter un nouveau dernier paragraphe libellé comme suit :</w:t>
      </w:r>
    </w:p>
    <w:p w14:paraId="1ACB6185" w14:textId="349906FB" w:rsidR="007702E0" w:rsidRPr="00D966F5" w:rsidRDefault="007702E0" w:rsidP="007702E0">
      <w:pPr>
        <w:pStyle w:val="SingleTxtG"/>
      </w:pPr>
      <w:r w:rsidRPr="00D966F5">
        <w:lastRenderedPageBreak/>
        <w:t>« Dans le cas des dispositifs de respiration, les arrête-flammes doivent être adaptés aux vapeurs émises par les matières transportées (</w:t>
      </w:r>
      <w:r w:rsidRPr="00D966F5">
        <w:rPr>
          <w:lang w:val="fr-FR"/>
        </w:rPr>
        <w:t>interstice expérimental maximal de sécurité</w:t>
      </w:r>
      <w:r w:rsidRPr="00D966F5">
        <w:t xml:space="preserve"> − IEMS), à la plage de température et à l’application prévue. Ils doivent répondre aux prescriptions et essais spécifiés dans la norme </w:t>
      </w:r>
      <w:r w:rsidRPr="00D966F5">
        <w:rPr>
          <w:lang w:val="fr-FR"/>
        </w:rPr>
        <w:t>EN ISO 16852:2016 (Arrête-flammes – Exigences de performance, méthodes d’essai et limites d’utilisation)</w:t>
      </w:r>
      <w:r w:rsidRPr="00D966F5">
        <w:t>, pour les cas énumérés dans le tableau ci-dessous:</w:t>
      </w:r>
    </w:p>
    <w:tbl>
      <w:tblPr>
        <w:tblStyle w:val="TableGrid"/>
        <w:tblW w:w="7797" w:type="dxa"/>
        <w:tblInd w:w="1139" w:type="dxa"/>
        <w:tblLayout w:type="fixed"/>
        <w:tblLook w:val="04A0" w:firstRow="1" w:lastRow="0" w:firstColumn="1" w:lastColumn="0" w:noHBand="0" w:noVBand="1"/>
      </w:tblPr>
      <w:tblGrid>
        <w:gridCol w:w="2693"/>
        <w:gridCol w:w="5104"/>
      </w:tblGrid>
      <w:tr w:rsidR="007702E0" w:rsidRPr="007702E0" w14:paraId="61E90EBE" w14:textId="77777777" w:rsidTr="007702E0">
        <w:trPr>
          <w:cantSplit/>
        </w:trPr>
        <w:tc>
          <w:tcPr>
            <w:tcW w:w="2693" w:type="dxa"/>
            <w:shd w:val="clear" w:color="auto" w:fill="auto"/>
            <w:vAlign w:val="bottom"/>
          </w:tcPr>
          <w:p w14:paraId="6ADA4D86" w14:textId="77777777" w:rsidR="007702E0" w:rsidRPr="007702E0" w:rsidRDefault="007702E0" w:rsidP="007702E0">
            <w:pPr>
              <w:spacing w:after="120"/>
              <w:ind w:left="127"/>
              <w:rPr>
                <w:b/>
              </w:rPr>
            </w:pPr>
            <w:r w:rsidRPr="007702E0">
              <w:rPr>
                <w:b/>
              </w:rPr>
              <w:t>Application/installation</w:t>
            </w:r>
          </w:p>
        </w:tc>
        <w:tc>
          <w:tcPr>
            <w:tcW w:w="5104" w:type="dxa"/>
            <w:shd w:val="clear" w:color="auto" w:fill="auto"/>
            <w:vAlign w:val="bottom"/>
          </w:tcPr>
          <w:p w14:paraId="53DD0A82" w14:textId="77777777" w:rsidR="007702E0" w:rsidRPr="007702E0" w:rsidRDefault="007702E0" w:rsidP="007702E0">
            <w:pPr>
              <w:spacing w:after="120"/>
              <w:ind w:left="134"/>
              <w:rPr>
                <w:b/>
              </w:rPr>
            </w:pPr>
            <w:r w:rsidRPr="007702E0">
              <w:rPr>
                <w:b/>
              </w:rPr>
              <w:t>Exigences relatives aux essais</w:t>
            </w:r>
          </w:p>
        </w:tc>
      </w:tr>
      <w:tr w:rsidR="007702E0" w:rsidRPr="00D966F5" w14:paraId="41F55702" w14:textId="77777777" w:rsidTr="007702E0">
        <w:trPr>
          <w:cantSplit/>
        </w:trPr>
        <w:tc>
          <w:tcPr>
            <w:tcW w:w="2693" w:type="dxa"/>
            <w:tcBorders>
              <w:bottom w:val="single" w:sz="4" w:space="0" w:color="auto"/>
            </w:tcBorders>
            <w:shd w:val="clear" w:color="auto" w:fill="auto"/>
          </w:tcPr>
          <w:p w14:paraId="44E76FFB" w14:textId="77777777" w:rsidR="007702E0" w:rsidRPr="00D966F5" w:rsidRDefault="007702E0" w:rsidP="007702E0">
            <w:pPr>
              <w:spacing w:after="120"/>
              <w:ind w:left="127"/>
            </w:pPr>
            <w:r w:rsidRPr="00D966F5">
              <w:t>Communication directe avec l’atmosphère</w:t>
            </w:r>
          </w:p>
        </w:tc>
        <w:tc>
          <w:tcPr>
            <w:tcW w:w="5104" w:type="dxa"/>
            <w:shd w:val="clear" w:color="auto" w:fill="auto"/>
          </w:tcPr>
          <w:p w14:paraId="7DBFCBAB" w14:textId="6D445D54" w:rsidR="007702E0" w:rsidRPr="00D966F5" w:rsidRDefault="007702E0" w:rsidP="007702E0">
            <w:pPr>
              <w:spacing w:after="120"/>
              <w:ind w:left="134"/>
            </w:pPr>
            <w:r w:rsidRPr="00D966F5">
              <w:rPr>
                <w:lang w:val="fr-FR"/>
              </w:rPr>
              <w:t>EN ISO 16852:2016</w:t>
            </w:r>
            <w:r w:rsidRPr="00D966F5">
              <w:t>, 7.3.2.1</w:t>
            </w:r>
          </w:p>
        </w:tc>
      </w:tr>
      <w:tr w:rsidR="007702E0" w:rsidRPr="00D966F5" w14:paraId="59C329DD" w14:textId="77777777" w:rsidTr="007702E0">
        <w:trPr>
          <w:cantSplit/>
        </w:trPr>
        <w:tc>
          <w:tcPr>
            <w:tcW w:w="2693" w:type="dxa"/>
            <w:tcBorders>
              <w:bottom w:val="nil"/>
            </w:tcBorders>
            <w:shd w:val="clear" w:color="auto" w:fill="auto"/>
          </w:tcPr>
          <w:p w14:paraId="7C17B32D" w14:textId="77777777" w:rsidR="007702E0" w:rsidRPr="00D966F5" w:rsidRDefault="007702E0" w:rsidP="007702E0">
            <w:pPr>
              <w:spacing w:after="120"/>
              <w:ind w:left="127"/>
            </w:pPr>
            <w:r w:rsidRPr="00D966F5">
              <w:t>Communication avec la tuyauterie</w:t>
            </w:r>
          </w:p>
        </w:tc>
        <w:tc>
          <w:tcPr>
            <w:tcW w:w="5104" w:type="dxa"/>
            <w:shd w:val="clear" w:color="auto" w:fill="auto"/>
            <w:vAlign w:val="bottom"/>
          </w:tcPr>
          <w:p w14:paraId="3441C22E" w14:textId="72BD4C62" w:rsidR="007702E0" w:rsidRPr="00D966F5" w:rsidRDefault="007702E0" w:rsidP="007702E0">
            <w:pPr>
              <w:spacing w:after="120"/>
              <w:ind w:left="134"/>
            </w:pPr>
            <w:r w:rsidRPr="00D966F5">
              <w:rPr>
                <w:lang w:val="fr-FR"/>
              </w:rPr>
              <w:t>EN ISO 16852:2016</w:t>
            </w:r>
            <w:r w:rsidRPr="00D966F5">
              <w:t>, 7.3.3.2 (s’applique à l’ensemble soupape/arrête-flamme lorsqu’ils sont soumis à l’essai conjointement)</w:t>
            </w:r>
          </w:p>
        </w:tc>
      </w:tr>
      <w:tr w:rsidR="007702E0" w:rsidRPr="00D966F5" w14:paraId="4CF5169D" w14:textId="77777777" w:rsidTr="007702E0">
        <w:trPr>
          <w:cantSplit/>
        </w:trPr>
        <w:tc>
          <w:tcPr>
            <w:tcW w:w="2693" w:type="dxa"/>
            <w:tcBorders>
              <w:top w:val="nil"/>
            </w:tcBorders>
            <w:shd w:val="clear" w:color="auto" w:fill="auto"/>
          </w:tcPr>
          <w:p w14:paraId="2F29E43E" w14:textId="77777777" w:rsidR="007702E0" w:rsidRPr="00D966F5" w:rsidRDefault="007702E0" w:rsidP="007702E0">
            <w:pPr>
              <w:spacing w:after="120"/>
              <w:ind w:left="127"/>
            </w:pPr>
          </w:p>
        </w:tc>
        <w:tc>
          <w:tcPr>
            <w:tcW w:w="5104" w:type="dxa"/>
            <w:shd w:val="clear" w:color="auto" w:fill="auto"/>
            <w:vAlign w:val="bottom"/>
          </w:tcPr>
          <w:p w14:paraId="7525FA02" w14:textId="632848F4" w:rsidR="007702E0" w:rsidRPr="00D966F5" w:rsidRDefault="007702E0" w:rsidP="007702E0">
            <w:pPr>
              <w:spacing w:after="120"/>
              <w:ind w:left="134"/>
            </w:pPr>
            <w:r w:rsidRPr="00D966F5">
              <w:rPr>
                <w:lang w:val="fr-FR"/>
              </w:rPr>
              <w:t>EN ISO 16852:2016</w:t>
            </w:r>
            <w:r w:rsidRPr="00D966F5">
              <w:t>, 7.3.3.3 (s’applique aux arrête-flammes soumis à l’essai indépendamment des soupapes)</w:t>
            </w:r>
          </w:p>
        </w:tc>
      </w:tr>
    </w:tbl>
    <w:p w14:paraId="7171507C" w14:textId="77777777" w:rsidR="007702E0" w:rsidRPr="00D966F5" w:rsidRDefault="007702E0" w:rsidP="007702E0">
      <w:pPr>
        <w:pStyle w:val="SingleTxtG"/>
      </w:pPr>
      <w:r w:rsidRPr="00D966F5">
        <w:t>».</w:t>
      </w:r>
    </w:p>
    <w:p w14:paraId="5A1205CE" w14:textId="5A9776D3" w:rsidR="00722C49" w:rsidRPr="00061B40" w:rsidRDefault="00722C49" w:rsidP="00722C49">
      <w:pPr>
        <w:pStyle w:val="SingleTxtG"/>
        <w:rPr>
          <w:b/>
        </w:rPr>
      </w:pPr>
      <w:r w:rsidRPr="00061B40">
        <w:rPr>
          <w:bCs/>
        </w:rPr>
        <w:t>6.8.2.2.10</w:t>
      </w:r>
      <w:r w:rsidRPr="00061B40">
        <w:rPr>
          <w:b/>
        </w:rPr>
        <w:tab/>
      </w:r>
      <w:r w:rsidRPr="00061B40">
        <w:t>Modifier le deuxième paragraphe pour lire comme suit :</w:t>
      </w:r>
    </w:p>
    <w:p w14:paraId="00758569" w14:textId="112AE662" w:rsidR="00722C49" w:rsidRPr="00061B40" w:rsidRDefault="00722C49" w:rsidP="00722C49">
      <w:pPr>
        <w:pStyle w:val="SingleTxtG"/>
      </w:pPr>
      <w:r w:rsidRPr="00061B40">
        <w:t>« Le disque de rupture doit céder à une pression nominale</w:t>
      </w:r>
      <w:r w:rsidRPr="00061B40">
        <w:rPr>
          <w:rFonts w:eastAsia="SimSun"/>
          <w:i/>
        </w:rPr>
        <w:t xml:space="preserve"> </w:t>
      </w:r>
      <w:r w:rsidRPr="00061B40">
        <w:rPr>
          <w:lang w:val="fr-FR"/>
        </w:rPr>
        <w:t>comprise entre 0,9 et 1 fois la pression d’épreuve</w:t>
      </w:r>
      <w:r w:rsidRPr="00061B40">
        <w:rPr>
          <w:rFonts w:eastAsia="SimSun"/>
        </w:rPr>
        <w:t xml:space="preserve">, sauf pour </w:t>
      </w:r>
      <w:r w:rsidRPr="00061B40">
        <w:t>les citernes destinées au transport de gaz comprimés, liquéfiés ou dissous pour lesquelles la disposition du disque de rupture et de la soupape de sécurité doit satisfaire l’autorité compétente. Un manomètre ou un autre indicateur approprié doit être installé dans l’espace entre le disque de rupture et la soupape de sécurité pour permettre de détecter une rupture, une perforation ou une fuite du disque. ».</w:t>
      </w:r>
    </w:p>
    <w:p w14:paraId="41C47B5F" w14:textId="29B55EED" w:rsidR="005612F9" w:rsidRPr="00FB35E2" w:rsidRDefault="005612F9" w:rsidP="005612F9">
      <w:pPr>
        <w:pStyle w:val="SingleTxtG"/>
        <w:rPr>
          <w:lang w:val="fr-FR"/>
        </w:rPr>
      </w:pPr>
      <w:r w:rsidRPr="00FB35E2">
        <w:rPr>
          <w:lang w:val="fr-FR"/>
        </w:rPr>
        <w:t>6.8.2.2.11</w:t>
      </w:r>
      <w:r w:rsidRPr="00FB35E2">
        <w:rPr>
          <w:lang w:val="fr-FR"/>
        </w:rPr>
        <w:tab/>
        <w:t>Ajouter le nouveau paragraphe suivant à la fin</w:t>
      </w:r>
      <w:r w:rsidRPr="00FB35E2">
        <w:rPr>
          <w:iCs/>
          <w:lang w:val="fr-FR"/>
        </w:rPr>
        <w:t> </w:t>
      </w:r>
      <w:r w:rsidRPr="00FB35E2">
        <w:rPr>
          <w:lang w:val="fr-FR"/>
        </w:rPr>
        <w:t>:</w:t>
      </w:r>
    </w:p>
    <w:p w14:paraId="29BDB8EA" w14:textId="3A84E500" w:rsidR="005612F9" w:rsidRPr="00FB35E2" w:rsidRDefault="005612F9" w:rsidP="005612F9">
      <w:pPr>
        <w:pStyle w:val="SingleTxtG"/>
        <w:rPr>
          <w:lang w:val="fr-FR"/>
        </w:rPr>
      </w:pPr>
      <w:r w:rsidRPr="00FB35E2">
        <w:rPr>
          <w:lang w:val="fr-FR"/>
        </w:rPr>
        <w:t>«</w:t>
      </w:r>
      <w:r w:rsidRPr="00FB35E2">
        <w:rPr>
          <w:iCs/>
          <w:lang w:val="fr-FR"/>
        </w:rPr>
        <w:t> </w:t>
      </w:r>
      <w:r w:rsidRPr="00FB35E2">
        <w:rPr>
          <w:lang w:val="fr-FR"/>
        </w:rPr>
        <w:t>Les jauges de niveau en verre ou en autres matériaux fragiles, qui sont en contact direct avec le contenu du réservoir, ne doivent pas être utilisées.</w:t>
      </w:r>
      <w:r w:rsidRPr="00FB35E2">
        <w:rPr>
          <w:iCs/>
          <w:lang w:val="fr-FR"/>
        </w:rPr>
        <w:t> </w:t>
      </w:r>
      <w:r w:rsidRPr="00FB35E2">
        <w:rPr>
          <w:lang w:val="fr-FR"/>
        </w:rPr>
        <w:t>».</w:t>
      </w:r>
    </w:p>
    <w:p w14:paraId="6FA20AAC" w14:textId="3CCF3EBF" w:rsidR="00D93212" w:rsidRPr="00D966F5" w:rsidRDefault="00D93212" w:rsidP="00D93212">
      <w:pPr>
        <w:pStyle w:val="SingleTxtG"/>
      </w:pPr>
      <w:r w:rsidRPr="00D966F5">
        <w:rPr>
          <w:bCs/>
        </w:rPr>
        <w:t>6.8.2.3.1</w:t>
      </w:r>
      <w:r w:rsidRPr="00D966F5">
        <w:rPr>
          <w:b/>
        </w:rPr>
        <w:tab/>
      </w:r>
      <w:r w:rsidRPr="00D966F5">
        <w:t>Modifier le deuxième tiret pour lire en pleine page :</w:t>
      </w:r>
    </w:p>
    <w:p w14:paraId="36804B9E" w14:textId="3A9458BB" w:rsidR="00D93212" w:rsidRPr="00D966F5" w:rsidRDefault="00D93212" w:rsidP="00D93212">
      <w:pPr>
        <w:pStyle w:val="SingleTxtG"/>
        <w:rPr>
          <w:b/>
        </w:rPr>
      </w:pPr>
      <w:r w:rsidRPr="00D966F5">
        <w:t>«</w:t>
      </w:r>
      <w:r w:rsidRPr="00D966F5">
        <w:rPr>
          <w:lang w:val="fr-FR"/>
        </w:rPr>
        <w:t>‒</w:t>
      </w:r>
      <w:r w:rsidRPr="00D966F5">
        <w:rPr>
          <w:lang w:val="fr-FR"/>
        </w:rPr>
        <w:tab/>
      </w:r>
      <w:r w:rsidRPr="00D966F5">
        <w:t>un numéro d'agrément pour le type qui doit se composer du signe distinctif utilisé sur les véhicules en circulation routière internationale</w:t>
      </w:r>
      <w:r w:rsidR="00892560">
        <w:rPr>
          <w:b/>
          <w:vertAlign w:val="superscript"/>
        </w:rPr>
        <w:t>9</w:t>
      </w:r>
      <w:r w:rsidRPr="00D966F5">
        <w:rPr>
          <w:vertAlign w:val="superscript"/>
        </w:rPr>
        <w:t xml:space="preserve"> </w:t>
      </w:r>
      <w:r w:rsidRPr="00D966F5">
        <w:t>pour l'État dans lequel l'agrément a été donné et d'un numéro d'immatriculation. ».</w:t>
      </w:r>
    </w:p>
    <w:p w14:paraId="350548B0" w14:textId="55524288" w:rsidR="005612F9" w:rsidRPr="00FB35E2" w:rsidRDefault="005612F9" w:rsidP="00286CE7">
      <w:pPr>
        <w:pStyle w:val="SingleTxtG"/>
        <w:tabs>
          <w:tab w:val="left" w:pos="3261"/>
        </w:tabs>
        <w:rPr>
          <w:iCs/>
          <w:lang w:val="fr-FR"/>
        </w:rPr>
      </w:pPr>
      <w:r w:rsidRPr="00FB35E2">
        <w:rPr>
          <w:iCs/>
          <w:lang w:val="fr-FR"/>
        </w:rPr>
        <w:t xml:space="preserve">6.8.2.4.2 </w:t>
      </w:r>
      <w:r w:rsidR="00FB35E2">
        <w:rPr>
          <w:iCs/>
          <w:lang w:val="fr-FR"/>
        </w:rPr>
        <w:t xml:space="preserve">et </w:t>
      </w:r>
      <w:r w:rsidRPr="00FB35E2">
        <w:rPr>
          <w:iCs/>
          <w:lang w:val="fr-FR"/>
        </w:rPr>
        <w:t>6.8.2.</w:t>
      </w:r>
      <w:r w:rsidR="00286CE7">
        <w:rPr>
          <w:iCs/>
          <w:lang w:val="fr-FR"/>
        </w:rPr>
        <w:t>4.3</w:t>
      </w:r>
      <w:r w:rsidR="00D226B0" w:rsidRPr="00FB35E2">
        <w:rPr>
          <w:iCs/>
          <w:lang w:val="fr-FR"/>
        </w:rPr>
        <w:tab/>
        <w:t>À</w:t>
      </w:r>
      <w:r w:rsidRPr="00FB35E2">
        <w:rPr>
          <w:iCs/>
          <w:lang w:val="fr-FR"/>
        </w:rPr>
        <w:t xml:space="preserve"> la fin, ajouter le nouveau paragraphe suivant :</w:t>
      </w:r>
    </w:p>
    <w:p w14:paraId="26C264C7" w14:textId="281D6498" w:rsidR="005612F9" w:rsidRPr="00FB35E2" w:rsidRDefault="005612F9" w:rsidP="005612F9">
      <w:pPr>
        <w:pStyle w:val="SingleTxtG"/>
        <w:rPr>
          <w:iCs/>
          <w:lang w:val="fr-FR"/>
        </w:rPr>
      </w:pPr>
      <w:r w:rsidRPr="00FB35E2">
        <w:rPr>
          <w:lang w:val="fr-FR"/>
        </w:rPr>
        <w:t>«</w:t>
      </w:r>
      <w:r w:rsidRPr="00FB35E2">
        <w:rPr>
          <w:iCs/>
          <w:lang w:val="fr-FR"/>
        </w:rPr>
        <w:t> </w:t>
      </w:r>
      <w:r w:rsidRPr="00FB35E2">
        <w:rPr>
          <w:lang w:val="fr-FR"/>
        </w:rPr>
        <w:t>Les revêtements protecteurs doivent faire l’objet d’un examen visuel visant à détecter d’éventuels défauts. En cas d’anomalie, l’état du revêtement doit être évalué par un ou des essais appropriés.</w:t>
      </w:r>
      <w:r w:rsidRPr="00FB35E2">
        <w:rPr>
          <w:iCs/>
          <w:lang w:val="fr-FR"/>
        </w:rPr>
        <w:t xml:space="preserve"> </w:t>
      </w:r>
      <w:r w:rsidRPr="00FB35E2">
        <w:rPr>
          <w:lang w:val="fr-FR"/>
        </w:rPr>
        <w:t>».</w:t>
      </w:r>
    </w:p>
    <w:p w14:paraId="634E2498" w14:textId="2DA68E64" w:rsidR="005612F9" w:rsidRPr="004C2793" w:rsidRDefault="005612F9" w:rsidP="005612F9">
      <w:pPr>
        <w:pStyle w:val="SingleTxtG"/>
        <w:rPr>
          <w:rFonts w:cs="Arial"/>
          <w:bCs/>
          <w:szCs w:val="22"/>
          <w:lang w:val="fr-FR"/>
        </w:rPr>
      </w:pPr>
      <w:r w:rsidRPr="004C2793">
        <w:rPr>
          <w:lang w:val="fr-FR"/>
        </w:rPr>
        <w:t>6.8.2.6.1</w:t>
      </w:r>
      <w:r w:rsidRPr="004C2793">
        <w:rPr>
          <w:lang w:val="fr-FR"/>
        </w:rPr>
        <w:tab/>
      </w:r>
      <w:r w:rsidR="00BF6344">
        <w:rPr>
          <w:rFonts w:cs="Arial"/>
          <w:szCs w:val="22"/>
          <w:lang w:val="fr-FR"/>
        </w:rPr>
        <w:t>Dans</w:t>
      </w:r>
      <w:r w:rsidR="00BF6344" w:rsidRPr="004C2793">
        <w:rPr>
          <w:rFonts w:cs="Arial"/>
          <w:szCs w:val="22"/>
          <w:lang w:val="fr-FR"/>
        </w:rPr>
        <w:t xml:space="preserve"> </w:t>
      </w:r>
      <w:r w:rsidRPr="004C2793">
        <w:rPr>
          <w:lang w:val="fr-FR"/>
        </w:rPr>
        <w:t>le tableau, sous «</w:t>
      </w:r>
      <w:r w:rsidRPr="004C2793">
        <w:rPr>
          <w:iCs/>
          <w:lang w:val="fr-FR"/>
        </w:rPr>
        <w:t> </w:t>
      </w:r>
      <w:r w:rsidRPr="004C2793">
        <w:rPr>
          <w:i/>
          <w:lang w:val="fr-FR"/>
        </w:rPr>
        <w:t>Pour la conception et la construction des citernes</w:t>
      </w:r>
      <w:r w:rsidRPr="004C2793">
        <w:rPr>
          <w:iCs/>
          <w:lang w:val="fr-FR"/>
        </w:rPr>
        <w:t> </w:t>
      </w:r>
      <w:r w:rsidRPr="004C2793">
        <w:rPr>
          <w:lang w:val="fr-FR"/>
        </w:rPr>
        <w:t>»</w:t>
      </w:r>
      <w:r w:rsidR="00100970">
        <w:rPr>
          <w:iCs/>
          <w:lang w:val="fr-FR"/>
        </w:rPr>
        <w:t>, p</w:t>
      </w:r>
      <w:r w:rsidRPr="004C2793">
        <w:rPr>
          <w:lang w:val="fr-FR"/>
        </w:rPr>
        <w:t>our</w:t>
      </w:r>
      <w:r w:rsidRPr="004C2793">
        <w:rPr>
          <w:rFonts w:cs="Arial"/>
          <w:bCs/>
          <w:szCs w:val="22"/>
          <w:lang w:val="fr-FR"/>
        </w:rPr>
        <w:t xml:space="preserve"> la norme «</w:t>
      </w:r>
      <w:r w:rsidRPr="004C2793">
        <w:rPr>
          <w:iCs/>
          <w:lang w:val="fr-FR"/>
        </w:rPr>
        <w:t> </w:t>
      </w:r>
      <w:r w:rsidRPr="004C2793">
        <w:rPr>
          <w:lang w:val="fr-FR"/>
        </w:rPr>
        <w:t>EN </w:t>
      </w:r>
      <w:r w:rsidRPr="004C2793">
        <w:rPr>
          <w:rFonts w:cs="Arial"/>
          <w:szCs w:val="22"/>
          <w:lang w:val="fr-FR"/>
        </w:rPr>
        <w:t>13530</w:t>
      </w:r>
      <w:r w:rsidRPr="004C2793">
        <w:rPr>
          <w:rFonts w:cs="Arial"/>
          <w:bCs/>
          <w:szCs w:val="22"/>
          <w:lang w:val="fr-FR"/>
        </w:rPr>
        <w:t>-2:2002 + A1:2004</w:t>
      </w:r>
      <w:r w:rsidRPr="004C2793">
        <w:rPr>
          <w:iCs/>
          <w:lang w:val="fr-FR"/>
        </w:rPr>
        <w:t> </w:t>
      </w:r>
      <w:r w:rsidRPr="004C2793">
        <w:rPr>
          <w:rFonts w:cs="Arial"/>
          <w:bCs/>
          <w:szCs w:val="22"/>
          <w:lang w:val="fr-FR"/>
        </w:rPr>
        <w:t>», modifier le nota figurant dans la colonne (2) comme suit</w:t>
      </w:r>
      <w:r w:rsidRPr="004C2793">
        <w:rPr>
          <w:iCs/>
          <w:lang w:val="fr-FR"/>
        </w:rPr>
        <w:t> </w:t>
      </w:r>
      <w:r w:rsidRPr="004C2793">
        <w:rPr>
          <w:rFonts w:cs="Arial"/>
          <w:bCs/>
          <w:szCs w:val="22"/>
          <w:lang w:val="fr-FR"/>
        </w:rPr>
        <w:t>:</w:t>
      </w:r>
    </w:p>
    <w:p w14:paraId="47DED9EC" w14:textId="20286DCE" w:rsidR="005612F9" w:rsidRPr="004C2793" w:rsidRDefault="005612F9" w:rsidP="005612F9">
      <w:pPr>
        <w:pStyle w:val="SingleTxtG"/>
        <w:rPr>
          <w:rFonts w:cs="Arial"/>
          <w:szCs w:val="22"/>
          <w:lang w:val="fr-FR"/>
        </w:rPr>
      </w:pPr>
      <w:r w:rsidRPr="004C2793">
        <w:rPr>
          <w:rFonts w:cs="Arial"/>
          <w:szCs w:val="22"/>
          <w:lang w:val="fr-FR"/>
        </w:rPr>
        <w:t>«</w:t>
      </w:r>
      <w:r w:rsidRPr="004C2793">
        <w:rPr>
          <w:iCs/>
          <w:lang w:val="fr-FR"/>
        </w:rPr>
        <w:t> </w:t>
      </w:r>
      <w:r w:rsidRPr="004C2793">
        <w:rPr>
          <w:b/>
          <w:i/>
          <w:lang w:val="fr-FR"/>
        </w:rPr>
        <w:t>NOTA:</w:t>
      </w:r>
      <w:r w:rsidRPr="004C2793">
        <w:rPr>
          <w:i/>
          <w:lang w:val="fr-FR"/>
        </w:rPr>
        <w:tab/>
        <w:t xml:space="preserve">Les </w:t>
      </w:r>
      <w:r w:rsidRPr="004C2793">
        <w:rPr>
          <w:rFonts w:cs="Arial"/>
          <w:i/>
          <w:szCs w:val="22"/>
          <w:lang w:val="fr-FR"/>
        </w:rPr>
        <w:t>normes</w:t>
      </w:r>
      <w:r w:rsidRPr="004C2793">
        <w:rPr>
          <w:i/>
          <w:lang w:val="fr-FR"/>
        </w:rPr>
        <w:t xml:space="preserve"> EN 1252-1:1998 et EN 1626 auxquelles il est fait référence dans cette norme sont également applicables aux citernes pour le transport du No ONU 1972 (MÉTHANE LIQUIDE RÉFRIGÉRÉ ou GAZ NATUREL LIQUIDE RÉFRIGÉRÉ).</w:t>
      </w:r>
      <w:r w:rsidRPr="004C2793">
        <w:rPr>
          <w:iCs/>
          <w:lang w:val="fr-FR"/>
        </w:rPr>
        <w:t xml:space="preserve"> </w:t>
      </w:r>
      <w:r w:rsidRPr="004C2793">
        <w:rPr>
          <w:rFonts w:cs="Arial"/>
          <w:szCs w:val="22"/>
          <w:lang w:val="fr-FR"/>
        </w:rPr>
        <w:t>».</w:t>
      </w:r>
    </w:p>
    <w:p w14:paraId="0101A0A9" w14:textId="0624C914" w:rsidR="005612F9" w:rsidRPr="004C2793" w:rsidRDefault="00F541B4" w:rsidP="005612F9">
      <w:pPr>
        <w:pStyle w:val="SingleTxtG"/>
        <w:rPr>
          <w:lang w:val="fr-FR"/>
        </w:rPr>
      </w:pPr>
      <w:r>
        <w:rPr>
          <w:lang w:val="fr-FR"/>
        </w:rPr>
        <w:t>6.8.2.6.1</w:t>
      </w:r>
      <w:r>
        <w:rPr>
          <w:lang w:val="fr-FR"/>
        </w:rPr>
        <w:tab/>
      </w:r>
      <w:r w:rsidR="00BF6344">
        <w:rPr>
          <w:lang w:val="fr-FR"/>
        </w:rPr>
        <w:t>Dans</w:t>
      </w:r>
      <w:r w:rsidR="00BF6344" w:rsidRPr="004C2793">
        <w:rPr>
          <w:lang w:val="fr-FR"/>
        </w:rPr>
        <w:t xml:space="preserve"> </w:t>
      </w:r>
      <w:r w:rsidR="005612F9" w:rsidRPr="004C2793">
        <w:rPr>
          <w:lang w:val="fr-FR"/>
        </w:rPr>
        <w:t>le tableau sous «</w:t>
      </w:r>
      <w:r w:rsidR="005612F9" w:rsidRPr="004C2793">
        <w:rPr>
          <w:iCs/>
          <w:lang w:val="fr-FR"/>
        </w:rPr>
        <w:t> </w:t>
      </w:r>
      <w:r w:rsidR="005612F9" w:rsidRPr="004C2793">
        <w:rPr>
          <w:bCs/>
          <w:i/>
          <w:iCs/>
          <w:lang w:val="fr-FR" w:eastAsia="en-GB"/>
        </w:rPr>
        <w:t>Pour les équipements</w:t>
      </w:r>
      <w:r w:rsidR="005612F9" w:rsidRPr="004C2793">
        <w:rPr>
          <w:iCs/>
          <w:lang w:val="fr-FR"/>
        </w:rPr>
        <w:t> </w:t>
      </w:r>
      <w:r w:rsidR="005612F9" w:rsidRPr="004C2793">
        <w:rPr>
          <w:lang w:val="fr-FR"/>
        </w:rPr>
        <w:t>»</w:t>
      </w:r>
      <w:r w:rsidR="0075175B">
        <w:rPr>
          <w:iCs/>
          <w:lang w:val="fr-FR"/>
        </w:rPr>
        <w:t>, p</w:t>
      </w:r>
      <w:r w:rsidR="005612F9" w:rsidRPr="004C2793">
        <w:rPr>
          <w:rFonts w:cs="Arial"/>
          <w:szCs w:val="22"/>
          <w:lang w:val="fr-FR"/>
        </w:rPr>
        <w:t>our la norme «</w:t>
      </w:r>
      <w:r w:rsidR="005612F9" w:rsidRPr="004C2793">
        <w:rPr>
          <w:iCs/>
          <w:lang w:val="fr-FR"/>
        </w:rPr>
        <w:t> </w:t>
      </w:r>
      <w:r w:rsidR="005612F9" w:rsidRPr="004C2793">
        <w:rPr>
          <w:rFonts w:cs="Arial"/>
          <w:szCs w:val="22"/>
          <w:lang w:val="fr-FR"/>
        </w:rPr>
        <w:t xml:space="preserve">EN 1626:2008 </w:t>
      </w:r>
      <w:r w:rsidR="005612F9" w:rsidRPr="004C2793">
        <w:rPr>
          <w:lang w:val="fr-FR"/>
        </w:rPr>
        <w:t>(sauf les robinets de catégorie B)</w:t>
      </w:r>
      <w:r w:rsidR="005612F9" w:rsidRPr="004C2793">
        <w:rPr>
          <w:iCs/>
          <w:lang w:val="fr-FR"/>
        </w:rPr>
        <w:t> </w:t>
      </w:r>
      <w:r w:rsidR="005612F9" w:rsidRPr="004C2793">
        <w:rPr>
          <w:lang w:val="fr-FR"/>
        </w:rPr>
        <w:t>», dans la colonne (2), ajouter le nouveau nota suivant</w:t>
      </w:r>
      <w:r w:rsidR="005612F9" w:rsidRPr="004C2793">
        <w:rPr>
          <w:iCs/>
          <w:lang w:val="fr-FR"/>
        </w:rPr>
        <w:t> </w:t>
      </w:r>
      <w:r w:rsidR="005612F9" w:rsidRPr="004C2793">
        <w:rPr>
          <w:lang w:val="fr-FR"/>
        </w:rPr>
        <w:t>:</w:t>
      </w:r>
    </w:p>
    <w:p w14:paraId="367D127E" w14:textId="521B0BA4" w:rsidR="005612F9" w:rsidRPr="004C2793" w:rsidRDefault="005612F9" w:rsidP="005612F9">
      <w:pPr>
        <w:pStyle w:val="SingleTxtG"/>
        <w:rPr>
          <w:rFonts w:cs="Arial"/>
          <w:szCs w:val="22"/>
          <w:lang w:val="fr-FR"/>
        </w:rPr>
      </w:pPr>
      <w:r w:rsidRPr="004C2793">
        <w:rPr>
          <w:rFonts w:cs="Arial"/>
          <w:szCs w:val="22"/>
          <w:lang w:val="fr-FR"/>
        </w:rPr>
        <w:t>«</w:t>
      </w:r>
      <w:r w:rsidRPr="004C2793">
        <w:rPr>
          <w:iCs/>
          <w:lang w:val="fr-FR"/>
        </w:rPr>
        <w:t> </w:t>
      </w:r>
      <w:r w:rsidRPr="004C2793">
        <w:rPr>
          <w:rFonts w:cs="Arial"/>
          <w:b/>
          <w:i/>
          <w:szCs w:val="22"/>
          <w:lang w:val="fr-FR"/>
        </w:rPr>
        <w:t>NOTA:</w:t>
      </w:r>
      <w:r w:rsidRPr="004C2793">
        <w:rPr>
          <w:rFonts w:cs="Arial"/>
          <w:i/>
          <w:szCs w:val="22"/>
          <w:lang w:val="fr-FR"/>
        </w:rPr>
        <w:tab/>
        <w:t xml:space="preserve">Cette norme est également applicable aux robinets </w:t>
      </w:r>
      <w:r w:rsidRPr="004C2793">
        <w:rPr>
          <w:i/>
          <w:lang w:val="fr-FR"/>
        </w:rPr>
        <w:t>pour le transport du No ONU 1972 (MÉTHANE LIQUIDE RÉFRIGÉRÉ ou GAZ NATUREL LIQUIDE RÉFRIGÉRÉ). </w:t>
      </w:r>
      <w:r w:rsidRPr="004C2793">
        <w:rPr>
          <w:rFonts w:cs="Arial"/>
          <w:szCs w:val="22"/>
          <w:lang w:val="fr-FR"/>
        </w:rPr>
        <w:t>».</w:t>
      </w:r>
    </w:p>
    <w:p w14:paraId="4B67C746" w14:textId="5B8AFC64" w:rsidR="000B1500" w:rsidRPr="00805662" w:rsidRDefault="000B1500" w:rsidP="000B1500">
      <w:pPr>
        <w:pStyle w:val="SingleTxtG"/>
        <w:rPr>
          <w:lang w:val="fr-FR"/>
        </w:rPr>
      </w:pPr>
      <w:r w:rsidRPr="00805662">
        <w:lastRenderedPageBreak/>
        <w:t>6.8.2.6.1</w:t>
      </w:r>
      <w:r w:rsidRPr="00805662">
        <w:tab/>
      </w:r>
      <w:r w:rsidR="00F541B4">
        <w:rPr>
          <w:lang w:val="fr-FR"/>
        </w:rPr>
        <w:t>Dans</w:t>
      </w:r>
      <w:r w:rsidR="00F541B4" w:rsidRPr="004C2793">
        <w:rPr>
          <w:lang w:val="fr-FR"/>
        </w:rPr>
        <w:t xml:space="preserve"> le tableau sous</w:t>
      </w:r>
      <w:r w:rsidR="00F541B4" w:rsidRPr="00805662" w:rsidDel="00F541B4">
        <w:t xml:space="preserve"> </w:t>
      </w:r>
      <w:r w:rsidRPr="00805662">
        <w:t>« </w:t>
      </w:r>
      <w:r w:rsidRPr="00F541B4">
        <w:rPr>
          <w:i/>
        </w:rPr>
        <w:t>Pour les équipements</w:t>
      </w:r>
      <w:r w:rsidRPr="00805662">
        <w:t xml:space="preserve"> », pour la norme « EN 13317:2002 + A1:2006 », en colonne 4), remplacer « Jusqu’à nouvel ordre » par </w:t>
      </w:r>
      <w:r w:rsidRPr="00805662">
        <w:rPr>
          <w:lang w:val="fr-FR"/>
        </w:rPr>
        <w:t>« Entre le 1</w:t>
      </w:r>
      <w:r w:rsidRPr="009040ED">
        <w:rPr>
          <w:lang w:val="fr-FR"/>
        </w:rPr>
        <w:t>er</w:t>
      </w:r>
      <w:r w:rsidRPr="00805662">
        <w:rPr>
          <w:lang w:val="fr-FR"/>
        </w:rPr>
        <w:t> janvier 2009 et le 31 décembre 2020 »</w:t>
      </w:r>
      <w:r w:rsidRPr="00805662">
        <w:t xml:space="preserve">. </w:t>
      </w:r>
      <w:r w:rsidRPr="00805662">
        <w:rPr>
          <w:lang w:val="fr-FR"/>
        </w:rPr>
        <w:t xml:space="preserve">Après la norme </w:t>
      </w:r>
      <w:r w:rsidRPr="00805662">
        <w:t>« EN 13317:2002 + A1:2006 »</w:t>
      </w:r>
      <w:r w:rsidRPr="00805662">
        <w:rPr>
          <w:lang w:val="fr-FR"/>
        </w:rPr>
        <w:t>, ajouter la nouvelle norme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3328"/>
        <w:gridCol w:w="1067"/>
        <w:gridCol w:w="1194"/>
        <w:gridCol w:w="892"/>
      </w:tblGrid>
      <w:tr w:rsidR="000B1500" w:rsidRPr="00805662" w14:paraId="754A6902" w14:textId="77777777" w:rsidTr="000B1500">
        <w:trPr>
          <w:cantSplit/>
        </w:trPr>
        <w:tc>
          <w:tcPr>
            <w:tcW w:w="2024" w:type="dxa"/>
          </w:tcPr>
          <w:p w14:paraId="6754AE2E" w14:textId="76811879" w:rsidR="000B1500" w:rsidRPr="00805662" w:rsidRDefault="000B1500" w:rsidP="000B1500">
            <w:pPr>
              <w:tabs>
                <w:tab w:val="left" w:pos="1418"/>
              </w:tabs>
              <w:rPr>
                <w:lang w:val="fr-FR"/>
              </w:rPr>
            </w:pPr>
            <w:r w:rsidRPr="00805662">
              <w:rPr>
                <w:lang w:val="fr-FR"/>
              </w:rPr>
              <w:t>EN 13317:2018</w:t>
            </w:r>
          </w:p>
        </w:tc>
        <w:tc>
          <w:tcPr>
            <w:tcW w:w="3328" w:type="dxa"/>
            <w:vAlign w:val="center"/>
          </w:tcPr>
          <w:p w14:paraId="36AB0E2D" w14:textId="77777777" w:rsidR="000B1500" w:rsidRPr="00805662" w:rsidRDefault="000B1500" w:rsidP="000B1500">
            <w:pPr>
              <w:rPr>
                <w:lang w:val="fr-FR"/>
              </w:rPr>
            </w:pPr>
            <w:r w:rsidRPr="00805662">
              <w:rPr>
                <w:bCs/>
                <w:lang w:val="fr-FR"/>
              </w:rPr>
              <w:t>Citernes destinées au transport de matières dangereuses - Équipements de service pour citernes - Couvercles de trou d'homme</w:t>
            </w:r>
          </w:p>
        </w:tc>
        <w:tc>
          <w:tcPr>
            <w:tcW w:w="1067" w:type="dxa"/>
            <w:vAlign w:val="center"/>
          </w:tcPr>
          <w:p w14:paraId="5B4BAAAA" w14:textId="77777777" w:rsidR="000B1500" w:rsidRPr="00805662" w:rsidRDefault="000B1500" w:rsidP="000B1500">
            <w:pPr>
              <w:rPr>
                <w:lang w:val="fr-FR"/>
              </w:rPr>
            </w:pPr>
            <w:r w:rsidRPr="00805662">
              <w:rPr>
                <w:bCs/>
                <w:lang w:val="fr-FR"/>
              </w:rPr>
              <w:t>6.8.2.2 et 6.8.2.4.1</w:t>
            </w:r>
          </w:p>
        </w:tc>
        <w:tc>
          <w:tcPr>
            <w:tcW w:w="1194" w:type="dxa"/>
            <w:vAlign w:val="center"/>
          </w:tcPr>
          <w:p w14:paraId="00DF1F31" w14:textId="77777777" w:rsidR="000B1500" w:rsidRPr="00805662" w:rsidRDefault="000B1500" w:rsidP="000B1500">
            <w:pPr>
              <w:jc w:val="center"/>
              <w:rPr>
                <w:lang w:val="fr-FR"/>
              </w:rPr>
            </w:pPr>
            <w:r w:rsidRPr="00805662">
              <w:rPr>
                <w:bCs/>
                <w:lang w:val="fr-FR"/>
              </w:rPr>
              <w:t>Jusqu’à nouvel ordre</w:t>
            </w:r>
          </w:p>
        </w:tc>
        <w:tc>
          <w:tcPr>
            <w:tcW w:w="892" w:type="dxa"/>
          </w:tcPr>
          <w:p w14:paraId="0ABC4FB4" w14:textId="77777777" w:rsidR="000B1500" w:rsidRPr="00805662" w:rsidRDefault="000B1500" w:rsidP="000B1500">
            <w:pPr>
              <w:tabs>
                <w:tab w:val="left" w:pos="1418"/>
              </w:tabs>
              <w:rPr>
                <w:lang w:val="fr-FR"/>
              </w:rPr>
            </w:pPr>
          </w:p>
        </w:tc>
      </w:tr>
    </w:tbl>
    <w:p w14:paraId="54D41482" w14:textId="12B43A75" w:rsidR="007E78A5" w:rsidRPr="006774AA" w:rsidRDefault="007E78A5" w:rsidP="007E78A5">
      <w:pPr>
        <w:tabs>
          <w:tab w:val="left" w:pos="1418"/>
        </w:tabs>
        <w:spacing w:before="120" w:after="120"/>
        <w:ind w:left="1134" w:right="1134"/>
        <w:jc w:val="both"/>
        <w:rPr>
          <w:lang w:val="fr-FR"/>
        </w:rPr>
      </w:pPr>
      <w:r w:rsidRPr="006774AA">
        <w:rPr>
          <w:lang w:val="fr-FR"/>
        </w:rPr>
        <w:t>6.8.2.6.1</w:t>
      </w:r>
      <w:r w:rsidRPr="006774AA">
        <w:rPr>
          <w:lang w:val="fr-FR"/>
        </w:rPr>
        <w:tab/>
      </w:r>
      <w:r w:rsidRPr="006774AA">
        <w:rPr>
          <w:rFonts w:cs="Arial"/>
          <w:szCs w:val="22"/>
          <w:lang w:val="fr-FR"/>
        </w:rPr>
        <w:t>Dans</w:t>
      </w:r>
      <w:r w:rsidRPr="006774AA">
        <w:rPr>
          <w:lang w:val="fr-FR"/>
        </w:rPr>
        <w:t xml:space="preserve"> le tableau</w:t>
      </w:r>
      <w:r w:rsidR="00F541B4" w:rsidRPr="00F541B4">
        <w:rPr>
          <w:lang w:val="fr-FR"/>
        </w:rPr>
        <w:t xml:space="preserve"> </w:t>
      </w:r>
      <w:r w:rsidR="00F541B4" w:rsidRPr="004C2793">
        <w:rPr>
          <w:lang w:val="fr-FR"/>
        </w:rPr>
        <w:t>sous</w:t>
      </w:r>
      <w:r w:rsidR="00F541B4" w:rsidRPr="00805662" w:rsidDel="00F541B4">
        <w:t xml:space="preserve"> </w:t>
      </w:r>
      <w:r w:rsidR="00F541B4" w:rsidRPr="00805662">
        <w:t>« </w:t>
      </w:r>
      <w:r w:rsidR="00F541B4" w:rsidRPr="00F541B4">
        <w:rPr>
          <w:i/>
        </w:rPr>
        <w:t>Pour les équipements</w:t>
      </w:r>
      <w:r w:rsidR="00F541B4" w:rsidRPr="00805662">
        <w:t> »</w:t>
      </w:r>
      <w:r w:rsidRPr="006774AA">
        <w:rPr>
          <w:lang w:val="fr-FR"/>
        </w:rPr>
        <w:t>:</w:t>
      </w:r>
    </w:p>
    <w:p w14:paraId="6723A068" w14:textId="4FC5D6F0" w:rsidR="007E78A5" w:rsidRPr="006774AA" w:rsidRDefault="007E78A5" w:rsidP="007E78A5">
      <w:pPr>
        <w:spacing w:before="120" w:after="120"/>
        <w:ind w:left="1134"/>
        <w:rPr>
          <w:lang w:val="fr-FR"/>
        </w:rPr>
      </w:pPr>
      <w:r w:rsidRPr="006774AA">
        <w:rPr>
          <w:lang w:val="fr-FR"/>
        </w:rPr>
        <w:t>–</w:t>
      </w:r>
      <w:r w:rsidRPr="006774AA">
        <w:rPr>
          <w:lang w:val="fr-FR"/>
        </w:rPr>
        <w:tab/>
        <w:t>Pour la norme «</w:t>
      </w:r>
      <w:r w:rsidR="000C4813">
        <w:rPr>
          <w:lang w:val="fr-FR"/>
        </w:rPr>
        <w:t> </w:t>
      </w:r>
      <w:r w:rsidRPr="006774AA">
        <w:rPr>
          <w:lang w:val="fr-FR"/>
        </w:rPr>
        <w:t>EN 14595:2005</w:t>
      </w:r>
      <w:r w:rsidR="000C4813">
        <w:rPr>
          <w:lang w:val="fr-FR"/>
        </w:rPr>
        <w:t> </w:t>
      </w:r>
      <w:r w:rsidRPr="006774AA">
        <w:rPr>
          <w:lang w:val="fr-FR"/>
        </w:rPr>
        <w:t>», dans la colonne (4), remplacer «</w:t>
      </w:r>
      <w:r w:rsidR="000C4813">
        <w:rPr>
          <w:lang w:val="fr-FR"/>
        </w:rPr>
        <w:t> </w:t>
      </w:r>
      <w:r w:rsidRPr="006774AA">
        <w:rPr>
          <w:lang w:val="fr-FR"/>
        </w:rPr>
        <w:t>Jusqu’à nouvel ordre</w:t>
      </w:r>
      <w:r w:rsidR="000C4813">
        <w:rPr>
          <w:lang w:val="fr-FR"/>
        </w:rPr>
        <w:t> </w:t>
      </w:r>
      <w:r w:rsidRPr="006774AA">
        <w:rPr>
          <w:lang w:val="fr-FR"/>
        </w:rPr>
        <w:t>» par «</w:t>
      </w:r>
      <w:r w:rsidR="000C4813">
        <w:rPr>
          <w:lang w:val="fr-FR"/>
        </w:rPr>
        <w:t> </w:t>
      </w:r>
      <w:r w:rsidRPr="006774AA">
        <w:rPr>
          <w:lang w:val="fr-FR"/>
        </w:rPr>
        <w:t>Entre le 1</w:t>
      </w:r>
      <w:r w:rsidRPr="009040ED">
        <w:rPr>
          <w:lang w:val="fr-FR"/>
        </w:rPr>
        <w:t>er</w:t>
      </w:r>
      <w:r w:rsidRPr="006774AA">
        <w:rPr>
          <w:lang w:val="fr-FR"/>
        </w:rPr>
        <w:t xml:space="preserve"> janvier 2007 et le 31 décembre </w:t>
      </w:r>
      <w:r w:rsidR="000C4813">
        <w:rPr>
          <w:lang w:val="fr-FR"/>
        </w:rPr>
        <w:t>2020 </w:t>
      </w:r>
      <w:r w:rsidRPr="006774AA">
        <w:rPr>
          <w:lang w:val="fr-FR"/>
        </w:rPr>
        <w:t>».</w:t>
      </w:r>
    </w:p>
    <w:p w14:paraId="5CCDA62C" w14:textId="77777777" w:rsidR="007E78A5" w:rsidRPr="006774AA" w:rsidRDefault="007E78A5" w:rsidP="007E78A5">
      <w:pPr>
        <w:spacing w:before="120" w:after="120"/>
        <w:ind w:left="1134"/>
        <w:rPr>
          <w:lang w:val="fr-FR"/>
        </w:rPr>
      </w:pPr>
      <w:r w:rsidRPr="006774AA">
        <w:rPr>
          <w:lang w:val="fr-FR"/>
        </w:rPr>
        <w:t>–</w:t>
      </w:r>
      <w:r w:rsidRPr="006774AA">
        <w:rPr>
          <w:lang w:val="fr-FR"/>
        </w:rPr>
        <w:tab/>
        <w:t>Après la norme «EN 14595:2005», insérer la nouvelle norme suivante:</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1040"/>
        <w:gridCol w:w="982"/>
        <w:gridCol w:w="682"/>
      </w:tblGrid>
      <w:tr w:rsidR="007B4D8D" w:rsidRPr="006774AA" w14:paraId="49982D44" w14:textId="77777777" w:rsidTr="006977EB">
        <w:tc>
          <w:tcPr>
            <w:tcW w:w="1724" w:type="dxa"/>
            <w:tcBorders>
              <w:top w:val="single" w:sz="4" w:space="0" w:color="auto"/>
              <w:left w:val="single" w:sz="4" w:space="0" w:color="auto"/>
              <w:bottom w:val="single" w:sz="4" w:space="0" w:color="auto"/>
              <w:right w:val="single" w:sz="4" w:space="0" w:color="auto"/>
            </w:tcBorders>
            <w:hideMark/>
          </w:tcPr>
          <w:p w14:paraId="586CD181" w14:textId="761EA231" w:rsidR="007E78A5" w:rsidRPr="006774AA" w:rsidRDefault="007E78A5" w:rsidP="006774AA">
            <w:pPr>
              <w:tabs>
                <w:tab w:val="left" w:pos="1418"/>
              </w:tabs>
              <w:rPr>
                <w:rFonts w:cs="Arial"/>
                <w:lang w:val="fr-FR"/>
              </w:rPr>
            </w:pPr>
            <w:r w:rsidRPr="006774AA">
              <w:rPr>
                <w:rFonts w:cs="Arial"/>
                <w:bCs/>
                <w:szCs w:val="22"/>
                <w:lang w:val="fr-FR"/>
              </w:rPr>
              <w:t>EN 14595:2016</w:t>
            </w:r>
          </w:p>
        </w:tc>
        <w:tc>
          <w:tcPr>
            <w:tcW w:w="4077" w:type="dxa"/>
            <w:tcBorders>
              <w:top w:val="single" w:sz="4" w:space="0" w:color="auto"/>
              <w:left w:val="single" w:sz="4" w:space="0" w:color="auto"/>
              <w:bottom w:val="single" w:sz="4" w:space="0" w:color="auto"/>
              <w:right w:val="single" w:sz="4" w:space="0" w:color="auto"/>
            </w:tcBorders>
            <w:vAlign w:val="center"/>
            <w:hideMark/>
          </w:tcPr>
          <w:p w14:paraId="61AE34CD" w14:textId="10412AE3" w:rsidR="007E78A5" w:rsidRPr="006774AA" w:rsidRDefault="007E78A5" w:rsidP="00F541B4">
            <w:pPr>
              <w:rPr>
                <w:rFonts w:cs="Arial"/>
                <w:lang w:val="fr-FR"/>
              </w:rPr>
            </w:pPr>
            <w:r w:rsidRPr="006774AA">
              <w:rPr>
                <w:rFonts w:cs="Arial"/>
                <w:lang w:val="fr-FR"/>
              </w:rPr>
              <w:t>Citernes destinées au transport de matières dangereuses - Équipement de service - Dispositif de respiration</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32C8EBC" w14:textId="77777777" w:rsidR="007E78A5" w:rsidRPr="006774AA" w:rsidRDefault="007E78A5" w:rsidP="006774AA">
            <w:pPr>
              <w:rPr>
                <w:rFonts w:cs="Arial"/>
                <w:lang w:val="fr-FR"/>
              </w:rPr>
            </w:pPr>
            <w:r w:rsidRPr="006774AA">
              <w:rPr>
                <w:rFonts w:cs="Arial"/>
                <w:lang w:val="fr-FR"/>
              </w:rPr>
              <w:t>6.8.2.2 et 6.8.2.4.1</w:t>
            </w:r>
          </w:p>
        </w:tc>
        <w:tc>
          <w:tcPr>
            <w:tcW w:w="982" w:type="dxa"/>
            <w:tcBorders>
              <w:top w:val="single" w:sz="4" w:space="0" w:color="auto"/>
              <w:left w:val="single" w:sz="4" w:space="0" w:color="auto"/>
              <w:bottom w:val="single" w:sz="4" w:space="0" w:color="auto"/>
              <w:right w:val="single" w:sz="4" w:space="0" w:color="auto"/>
            </w:tcBorders>
            <w:vAlign w:val="center"/>
            <w:hideMark/>
          </w:tcPr>
          <w:p w14:paraId="0F6CC294" w14:textId="77777777" w:rsidR="007E78A5" w:rsidRPr="006774AA" w:rsidRDefault="007E78A5" w:rsidP="006774AA">
            <w:pPr>
              <w:jc w:val="center"/>
              <w:rPr>
                <w:rFonts w:cs="Arial"/>
                <w:lang w:val="fr-FR"/>
              </w:rPr>
            </w:pPr>
            <w:r w:rsidRPr="006774AA">
              <w:rPr>
                <w:rFonts w:cs="Arial"/>
                <w:bCs/>
                <w:lang w:val="fr-FR"/>
              </w:rPr>
              <w:t>Jusqu’à nouvel ordre</w:t>
            </w:r>
          </w:p>
        </w:tc>
        <w:tc>
          <w:tcPr>
            <w:tcW w:w="682" w:type="dxa"/>
            <w:tcBorders>
              <w:top w:val="single" w:sz="4" w:space="0" w:color="auto"/>
              <w:left w:val="single" w:sz="4" w:space="0" w:color="auto"/>
              <w:bottom w:val="single" w:sz="4" w:space="0" w:color="auto"/>
              <w:right w:val="single" w:sz="4" w:space="0" w:color="auto"/>
            </w:tcBorders>
            <w:vAlign w:val="center"/>
          </w:tcPr>
          <w:p w14:paraId="5A715A0B" w14:textId="77777777" w:rsidR="007E78A5" w:rsidRPr="006774AA" w:rsidRDefault="007E78A5" w:rsidP="006774AA">
            <w:pPr>
              <w:widowControl w:val="0"/>
              <w:rPr>
                <w:rFonts w:cs="Arial"/>
                <w:sz w:val="18"/>
                <w:szCs w:val="18"/>
                <w:lang w:val="fr-FR"/>
              </w:rPr>
            </w:pPr>
          </w:p>
        </w:tc>
      </w:tr>
    </w:tbl>
    <w:p w14:paraId="345B3E2B" w14:textId="7DA4D6C0" w:rsidR="005612F9" w:rsidRPr="004C2793" w:rsidRDefault="005612F9" w:rsidP="00BC3F3E">
      <w:pPr>
        <w:pStyle w:val="SingleTxtG"/>
        <w:spacing w:before="120"/>
        <w:rPr>
          <w:lang w:val="fr-FR"/>
        </w:rPr>
      </w:pPr>
      <w:r w:rsidRPr="004C2793">
        <w:rPr>
          <w:lang w:val="fr-FR"/>
        </w:rPr>
        <w:t>6.8.3.2.6</w:t>
      </w:r>
      <w:r w:rsidRPr="004C2793">
        <w:rPr>
          <w:lang w:val="fr-FR"/>
        </w:rPr>
        <w:tab/>
        <w:t>Supprimer la première phrase.</w:t>
      </w:r>
    </w:p>
    <w:p w14:paraId="07BAF868" w14:textId="70329691" w:rsidR="005612F9" w:rsidRPr="004C2793" w:rsidRDefault="005612F9" w:rsidP="005612F9">
      <w:pPr>
        <w:pStyle w:val="SingleTxtG"/>
        <w:rPr>
          <w:rFonts w:cs="Arial"/>
          <w:bCs/>
          <w:szCs w:val="18"/>
          <w:lang w:val="fr-FR"/>
        </w:rPr>
      </w:pPr>
      <w:r w:rsidRPr="004C2793">
        <w:rPr>
          <w:bCs/>
          <w:lang w:val="fr-FR"/>
        </w:rPr>
        <w:t>6.8.3.2.9</w:t>
      </w:r>
      <w:r w:rsidRPr="004C2793">
        <w:rPr>
          <w:b/>
          <w:lang w:val="fr-FR"/>
        </w:rPr>
        <w:tab/>
      </w:r>
      <w:r w:rsidRPr="004C2793">
        <w:rPr>
          <w:lang w:val="fr-FR"/>
        </w:rPr>
        <w:t>À la fin, ajouter un nouveau paragraphe libellé comme suit</w:t>
      </w:r>
      <w:r w:rsidRPr="004C2793">
        <w:rPr>
          <w:iCs/>
          <w:lang w:val="fr-FR"/>
        </w:rPr>
        <w:t> </w:t>
      </w:r>
      <w:r w:rsidRPr="004C2793">
        <w:rPr>
          <w:lang w:val="fr-FR"/>
        </w:rPr>
        <w:t>:</w:t>
      </w:r>
    </w:p>
    <w:p w14:paraId="2AD861B5" w14:textId="3797F02E" w:rsidR="005612F9" w:rsidRPr="004C2793" w:rsidRDefault="005612F9" w:rsidP="005612F9">
      <w:pPr>
        <w:pStyle w:val="SingleTxtG"/>
        <w:rPr>
          <w:lang w:val="fr-FR"/>
        </w:rPr>
      </w:pPr>
      <w:r w:rsidRPr="004C2793">
        <w:rPr>
          <w:lang w:val="fr-FR"/>
        </w:rPr>
        <w:t>«</w:t>
      </w:r>
      <w:r w:rsidRPr="004C2793">
        <w:rPr>
          <w:iCs/>
          <w:lang w:val="fr-FR"/>
        </w:rPr>
        <w:t> Les soupapes de sécurité doivent être conçues ou protégées pour empêcher la pénétration d’eau ou d’autre substance étrangère qui pourrait nuire à leur bon fonctionnement. Cette protection ne doit pas affecter leurs performances</w:t>
      </w:r>
      <w:r w:rsidR="004C2793" w:rsidRPr="004C2793">
        <w:rPr>
          <w:iCs/>
          <w:lang w:val="fr-FR"/>
        </w:rPr>
        <w:t>.</w:t>
      </w:r>
      <w:r w:rsidR="004C2793">
        <w:rPr>
          <w:iCs/>
          <w:lang w:val="fr-FR"/>
        </w:rPr>
        <w:t> </w:t>
      </w:r>
      <w:r w:rsidRPr="004C2793">
        <w:rPr>
          <w:lang w:val="fr-FR"/>
        </w:rPr>
        <w:t>».</w:t>
      </w:r>
    </w:p>
    <w:p w14:paraId="6FDAF8C5" w14:textId="77777777" w:rsidR="000B1500" w:rsidRPr="00805662" w:rsidRDefault="000B1500" w:rsidP="000B1500">
      <w:pPr>
        <w:pStyle w:val="SingleTxtG"/>
        <w:rPr>
          <w:lang w:val="fr-FR"/>
        </w:rPr>
      </w:pPr>
      <w:r w:rsidRPr="00805662">
        <w:rPr>
          <w:lang w:val="fr-FR"/>
        </w:rPr>
        <w:t>6.8.3.2.21</w:t>
      </w:r>
      <w:r w:rsidRPr="00805662">
        <w:rPr>
          <w:lang w:val="fr-FR"/>
        </w:rPr>
        <w:tab/>
        <w:t xml:space="preserve">À la fin, supprimer « Il est réputé satisfait aux dispositions fondamentales de ce paragraphe si les normes suivantes sont appliquées: </w:t>
      </w:r>
      <w:r w:rsidRPr="00805662">
        <w:rPr>
          <w:i/>
          <w:lang w:val="fr-FR"/>
        </w:rPr>
        <w:t>(Réservé)</w:t>
      </w:r>
      <w:r w:rsidRPr="00805662">
        <w:rPr>
          <w:lang w:val="fr-FR"/>
        </w:rPr>
        <w:t>. ».</w:t>
      </w:r>
    </w:p>
    <w:p w14:paraId="654067F7" w14:textId="77777777" w:rsidR="000B1500" w:rsidRPr="00805662" w:rsidRDefault="000B1500" w:rsidP="000B1500">
      <w:pPr>
        <w:pStyle w:val="SingleTxtG"/>
      </w:pPr>
      <w:r w:rsidRPr="00805662">
        <w:t>6.8.3.6</w:t>
      </w:r>
      <w:r w:rsidRPr="00805662">
        <w:tab/>
      </w:r>
      <w:r w:rsidRPr="00805662">
        <w:tab/>
        <w:t xml:space="preserve">Dans le tableau, pour la norme « EN 13807:2003 », en colonne 4), remplacer « Jusqu’à nouvel ordre » par </w:t>
      </w:r>
      <w:r w:rsidRPr="00805662">
        <w:rPr>
          <w:lang w:val="fr-FR"/>
        </w:rPr>
        <w:t>« Entre le 1</w:t>
      </w:r>
      <w:r w:rsidRPr="009040ED">
        <w:rPr>
          <w:lang w:val="fr-FR"/>
        </w:rPr>
        <w:t>er</w:t>
      </w:r>
      <w:r w:rsidRPr="00805662">
        <w:rPr>
          <w:lang w:val="fr-FR"/>
        </w:rPr>
        <w:t> janvier 2005 et le 31 décembre 2020 ».</w:t>
      </w:r>
      <w:r w:rsidRPr="00805662">
        <w:t xml:space="preserve"> Après la norme « EN 13807:2003 », </w:t>
      </w:r>
      <w:r w:rsidRPr="00805662">
        <w:rPr>
          <w:lang w:val="fr-FR"/>
        </w:rPr>
        <w:t>ajouter la nouvelle norme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884"/>
        <w:gridCol w:w="1985"/>
        <w:gridCol w:w="992"/>
        <w:gridCol w:w="799"/>
      </w:tblGrid>
      <w:tr w:rsidR="000B1500" w:rsidRPr="00805662" w14:paraId="1B87858F" w14:textId="77777777" w:rsidTr="000B1500">
        <w:trPr>
          <w:cantSplit/>
        </w:trPr>
        <w:tc>
          <w:tcPr>
            <w:tcW w:w="0" w:type="auto"/>
          </w:tcPr>
          <w:p w14:paraId="72E166EA" w14:textId="77777777" w:rsidR="000B1500" w:rsidRPr="00805662" w:rsidRDefault="000B1500" w:rsidP="000B1500">
            <w:pPr>
              <w:tabs>
                <w:tab w:val="left" w:pos="1418"/>
              </w:tabs>
              <w:rPr>
                <w:lang w:val="fr-FR"/>
              </w:rPr>
            </w:pPr>
            <w:r w:rsidRPr="00805662">
              <w:rPr>
                <w:lang w:val="fr-FR"/>
              </w:rPr>
              <w:t>EN 13807:2017</w:t>
            </w:r>
          </w:p>
        </w:tc>
        <w:tc>
          <w:tcPr>
            <w:tcW w:w="2884" w:type="dxa"/>
          </w:tcPr>
          <w:p w14:paraId="4C360655" w14:textId="77777777" w:rsidR="000B1500" w:rsidRPr="00805662" w:rsidRDefault="000B1500" w:rsidP="000B1500">
            <w:pPr>
              <w:rPr>
                <w:lang w:val="fr-FR"/>
              </w:rPr>
            </w:pPr>
            <w:r w:rsidRPr="00805662">
              <w:rPr>
                <w:lang w:val="fr-FR"/>
              </w:rPr>
              <w:t>Bouteilles à gaz transportables – Véhicules-batteries et conteneurs à gaz à éléments multiples (CGEM) – Conception, fabrication, identification et essai</w:t>
            </w:r>
          </w:p>
        </w:tc>
        <w:tc>
          <w:tcPr>
            <w:tcW w:w="1985" w:type="dxa"/>
          </w:tcPr>
          <w:p w14:paraId="4F9DD74D" w14:textId="36A9B8AE" w:rsidR="000B1500" w:rsidRPr="00805662" w:rsidRDefault="000B1500" w:rsidP="009668E0">
            <w:pPr>
              <w:jc w:val="center"/>
              <w:rPr>
                <w:lang w:val="fr-FR"/>
              </w:rPr>
            </w:pPr>
            <w:r w:rsidRPr="00805662">
              <w:rPr>
                <w:lang w:val="fr-FR"/>
              </w:rPr>
              <w:t>6.8.3.1.4</w:t>
            </w:r>
            <w:r w:rsidR="009668E0" w:rsidRPr="00805662">
              <w:rPr>
                <w:lang w:val="fr-FR"/>
              </w:rPr>
              <w:t>,</w:t>
            </w:r>
            <w:r w:rsidRPr="00805662">
              <w:rPr>
                <w:lang w:val="fr-FR"/>
              </w:rPr>
              <w:t xml:space="preserve"> 6.8.3.1.5, 6.8.3.2.18 à 6.8.3.2.28, 6.8.3.4.12 à 6.8.3.4.14 et 6.8.3.5.10 à 6.8.3.5.13</w:t>
            </w:r>
          </w:p>
        </w:tc>
        <w:tc>
          <w:tcPr>
            <w:tcW w:w="992" w:type="dxa"/>
          </w:tcPr>
          <w:p w14:paraId="75597871" w14:textId="77777777" w:rsidR="000B1500" w:rsidRPr="00805662" w:rsidRDefault="000B1500" w:rsidP="000B1500">
            <w:pPr>
              <w:jc w:val="center"/>
              <w:rPr>
                <w:lang w:val="fr-FR"/>
              </w:rPr>
            </w:pPr>
            <w:r w:rsidRPr="00805662">
              <w:rPr>
                <w:lang w:val="fr-FR"/>
              </w:rPr>
              <w:t>Jusqu’à nouvel ordre</w:t>
            </w:r>
          </w:p>
        </w:tc>
        <w:tc>
          <w:tcPr>
            <w:tcW w:w="799" w:type="dxa"/>
          </w:tcPr>
          <w:p w14:paraId="046E6E3B" w14:textId="77777777" w:rsidR="000B1500" w:rsidRPr="00805662" w:rsidRDefault="000B1500" w:rsidP="000B1500">
            <w:pPr>
              <w:tabs>
                <w:tab w:val="left" w:pos="1418"/>
              </w:tabs>
              <w:rPr>
                <w:lang w:val="fr-FR"/>
              </w:rPr>
            </w:pPr>
          </w:p>
        </w:tc>
      </w:tr>
    </w:tbl>
    <w:p w14:paraId="6D496E09" w14:textId="77777777" w:rsidR="000B1500" w:rsidRPr="00805662" w:rsidRDefault="000B1500" w:rsidP="00BC3F3E">
      <w:pPr>
        <w:pStyle w:val="SingleTxtG"/>
        <w:spacing w:before="120"/>
        <w:rPr>
          <w:lang w:val="fr-FR"/>
        </w:rPr>
      </w:pPr>
      <w:r w:rsidRPr="00805662">
        <w:rPr>
          <w:lang w:val="fr-FR"/>
        </w:rPr>
        <w:t>6.8.4 d), disposition spéciale TT2</w:t>
      </w:r>
      <w:r w:rsidRPr="00805662">
        <w:rPr>
          <w:lang w:val="fr-FR"/>
        </w:rPr>
        <w:tab/>
        <w:t>À la fin, ajouter « (voir disposition spéciale TU43 au 4.3.5) ».</w:t>
      </w:r>
    </w:p>
    <w:p w14:paraId="4E4D40C6" w14:textId="77777777" w:rsidR="000B1500" w:rsidRPr="00805662" w:rsidRDefault="000B1500" w:rsidP="000B1500">
      <w:pPr>
        <w:pStyle w:val="SingleTxtG"/>
        <w:rPr>
          <w:lang w:val="fr-FR"/>
        </w:rPr>
      </w:pPr>
      <w:r w:rsidRPr="00805662">
        <w:rPr>
          <w:lang w:val="fr-FR"/>
        </w:rPr>
        <w:t>6.8.5.1.2 a)</w:t>
      </w:r>
      <w:r w:rsidRPr="00805662">
        <w:rPr>
          <w:lang w:val="fr-FR"/>
        </w:rPr>
        <w:tab/>
        <w:t>À la fin, ajouter le nouveau tiret suivant :</w:t>
      </w:r>
    </w:p>
    <w:p w14:paraId="04BAD13D" w14:textId="590D8269" w:rsidR="000B1500" w:rsidRPr="00805662" w:rsidRDefault="000B1500" w:rsidP="000B1500">
      <w:pPr>
        <w:pStyle w:val="SingleTxtG"/>
        <w:rPr>
          <w:lang w:val="fr-FR"/>
        </w:rPr>
      </w:pPr>
      <w:r w:rsidRPr="00061B40">
        <w:rPr>
          <w:lang w:val="fr-FR"/>
        </w:rPr>
        <w:t>« -</w:t>
      </w:r>
      <w:r w:rsidRPr="00061B40">
        <w:rPr>
          <w:lang w:val="fr-FR"/>
        </w:rPr>
        <w:tab/>
      </w:r>
      <w:r w:rsidRPr="00061B40">
        <w:t>les aciers inoxydables austéno-ferritiques, jusqu'à une température de -40 °C; ».</w:t>
      </w:r>
    </w:p>
    <w:p w14:paraId="3F8C8ED2" w14:textId="77777777" w:rsidR="000B1500" w:rsidRPr="00805662" w:rsidRDefault="000B1500" w:rsidP="000B1500">
      <w:pPr>
        <w:pStyle w:val="SingleTxtG"/>
        <w:rPr>
          <w:lang w:val="fr-FR"/>
        </w:rPr>
      </w:pPr>
      <w:r w:rsidRPr="00805662">
        <w:rPr>
          <w:lang w:val="fr-FR"/>
        </w:rPr>
        <w:t>6.8.5.2.1</w:t>
      </w:r>
      <w:r w:rsidRPr="00805662">
        <w:rPr>
          <w:lang w:val="fr-FR"/>
        </w:rPr>
        <w:tab/>
        <w:t xml:space="preserve">À la fin du deuxième tiret, remplacer « ou l'acier austénitique au Cr – Ni » par « l'acier austénitique au Cr – Ni, ou l’acier </w:t>
      </w:r>
      <w:r w:rsidRPr="00805662">
        <w:t>inoxydable austéno-ferritique ».</w:t>
      </w:r>
    </w:p>
    <w:p w14:paraId="296B1F0A" w14:textId="6B401D5B" w:rsidR="005612F9" w:rsidRPr="0090697C" w:rsidRDefault="005612F9" w:rsidP="005612F9">
      <w:pPr>
        <w:pStyle w:val="SingleTxtG"/>
        <w:tabs>
          <w:tab w:val="left" w:pos="2268"/>
        </w:tabs>
        <w:rPr>
          <w:lang w:val="fr-FR" w:eastAsia="en-GB"/>
        </w:rPr>
      </w:pPr>
      <w:r w:rsidRPr="0090697C">
        <w:rPr>
          <w:lang w:val="fr-FR" w:eastAsia="en-GB"/>
        </w:rPr>
        <w:t>6.8.5.4</w:t>
      </w:r>
      <w:r w:rsidRPr="0090697C">
        <w:rPr>
          <w:lang w:val="fr-FR" w:eastAsia="en-GB"/>
        </w:rPr>
        <w:tab/>
        <w:t>Remplacer «</w:t>
      </w:r>
      <w:r w:rsidRPr="0090697C">
        <w:rPr>
          <w:iCs/>
          <w:lang w:val="fr-FR"/>
        </w:rPr>
        <w:t> </w:t>
      </w:r>
      <w:r w:rsidRPr="0090697C">
        <w:rPr>
          <w:lang w:val="fr-FR" w:eastAsia="en-GB"/>
        </w:rPr>
        <w:t>EN 1252-1:1998 Récipients cryogéniques- Matériaux - Partie 1: Exigences de ténacité pour les températures inférieures à -80 °C</w:t>
      </w:r>
      <w:r w:rsidRPr="0090697C">
        <w:rPr>
          <w:iCs/>
          <w:lang w:val="fr-FR"/>
        </w:rPr>
        <w:t> </w:t>
      </w:r>
      <w:r w:rsidRPr="0090697C">
        <w:rPr>
          <w:lang w:val="fr-FR" w:eastAsia="en-GB"/>
        </w:rPr>
        <w:t>» par «</w:t>
      </w:r>
      <w:r w:rsidRPr="0090697C">
        <w:rPr>
          <w:iCs/>
          <w:lang w:val="fr-FR"/>
        </w:rPr>
        <w:t> </w:t>
      </w:r>
      <w:r w:rsidRPr="0090697C">
        <w:rPr>
          <w:lang w:val="fr-FR" w:eastAsia="en-GB"/>
        </w:rPr>
        <w:t>EN ISO 21028-1:2016 Récipients cryogéniques – Exigences de ténacité pour les matériaux à des températures cryogéniques - Partie 1: températures inférieures à -80 °C</w:t>
      </w:r>
      <w:r w:rsidRPr="0090697C">
        <w:rPr>
          <w:iCs/>
          <w:lang w:val="fr-FR"/>
        </w:rPr>
        <w:t> </w:t>
      </w:r>
      <w:r w:rsidRPr="0090697C">
        <w:rPr>
          <w:lang w:val="fr-FR" w:eastAsia="en-GB"/>
        </w:rPr>
        <w:t>».</w:t>
      </w:r>
    </w:p>
    <w:p w14:paraId="2FB8CDA2" w14:textId="77777777" w:rsidR="000B1500" w:rsidRPr="00805662" w:rsidRDefault="000B1500" w:rsidP="000B1500">
      <w:pPr>
        <w:pStyle w:val="H1G"/>
        <w:rPr>
          <w:lang w:val="fr-FR"/>
        </w:rPr>
      </w:pPr>
      <w:r w:rsidRPr="00805662">
        <w:rPr>
          <w:lang w:val="fr-FR"/>
        </w:rPr>
        <w:lastRenderedPageBreak/>
        <w:tab/>
      </w:r>
      <w:r w:rsidRPr="00805662">
        <w:rPr>
          <w:lang w:val="fr-FR"/>
        </w:rPr>
        <w:tab/>
        <w:t>Chapitre 6.9</w:t>
      </w:r>
    </w:p>
    <w:p w14:paraId="5FB591AC" w14:textId="086304F8" w:rsidR="000B1500" w:rsidRPr="00805662" w:rsidRDefault="009C2E03" w:rsidP="009C2E03">
      <w:pPr>
        <w:pStyle w:val="SingleTxtG"/>
        <w:tabs>
          <w:tab w:val="left" w:pos="2268"/>
        </w:tabs>
        <w:rPr>
          <w:lang w:val="fr-FR"/>
        </w:rPr>
      </w:pPr>
      <w:r>
        <w:rPr>
          <w:lang w:val="fr-FR"/>
        </w:rPr>
        <w:t>6.9.3.1</w:t>
      </w:r>
      <w:r w:rsidR="000B1500" w:rsidRPr="00805662">
        <w:rPr>
          <w:lang w:val="fr-FR"/>
        </w:rPr>
        <w:tab/>
        <w:t>Remplacer « et 6.8.2.2.4 » par « , 6.8.2.2.4 et 6.8.2.2.6 ».</w:t>
      </w:r>
    </w:p>
    <w:p w14:paraId="59B93875" w14:textId="187FADCC" w:rsidR="005A52D5" w:rsidRPr="00805662" w:rsidRDefault="005A52D5" w:rsidP="005A52D5">
      <w:pPr>
        <w:pStyle w:val="H1G"/>
      </w:pPr>
      <w:r w:rsidRPr="00805662">
        <w:tab/>
      </w:r>
      <w:r w:rsidRPr="00805662">
        <w:tab/>
      </w:r>
      <w:r w:rsidR="00D226B0" w:rsidRPr="00805662">
        <w:t>Chapitre</w:t>
      </w:r>
      <w:r w:rsidRPr="00805662">
        <w:t xml:space="preserve"> 6.10</w:t>
      </w:r>
    </w:p>
    <w:p w14:paraId="688CF1B6" w14:textId="77777777" w:rsidR="000B1500" w:rsidRPr="00805662" w:rsidRDefault="000B1500" w:rsidP="000B1500">
      <w:pPr>
        <w:pStyle w:val="SingleTxtG"/>
        <w:rPr>
          <w:lang w:val="fr-FR"/>
        </w:rPr>
      </w:pPr>
      <w:r w:rsidRPr="00805662">
        <w:rPr>
          <w:lang w:val="fr-FR"/>
        </w:rPr>
        <w:t>6.10.1.2.1</w:t>
      </w:r>
      <w:r w:rsidRPr="00805662">
        <w:rPr>
          <w:lang w:val="fr-FR"/>
        </w:rPr>
        <w:tab/>
        <w:t>Au troisième paragraphe, dans la première phrase remplacer « sauf lorsqu’une disposition spéciale différente figure » par « sauf lorsque des prescriptions spéciales différentes figurent ».</w:t>
      </w:r>
    </w:p>
    <w:p w14:paraId="31B7CD27" w14:textId="0B66B0E2" w:rsidR="005A52D5" w:rsidRPr="0090697C" w:rsidRDefault="005A52D5" w:rsidP="005A52D5">
      <w:pPr>
        <w:pStyle w:val="SingleTxtG"/>
        <w:rPr>
          <w:lang w:val="fr-FR"/>
        </w:rPr>
      </w:pPr>
      <w:r w:rsidRPr="0090697C">
        <w:rPr>
          <w:lang w:val="fr-FR"/>
        </w:rPr>
        <w:t>6.10.3.8 f)</w:t>
      </w:r>
      <w:r w:rsidRPr="0090697C">
        <w:rPr>
          <w:lang w:val="fr-FR"/>
        </w:rPr>
        <w:tab/>
        <w:t>Remplacer « Des repères transparents » par « Des jauges de niveau en verre ou en autres matériaux transparents appropriés ».</w:t>
      </w:r>
    </w:p>
    <w:p w14:paraId="0BD3E0C1" w14:textId="30F01082" w:rsidR="00196C06" w:rsidRPr="00011D7C" w:rsidRDefault="00196C06" w:rsidP="00196C06">
      <w:pPr>
        <w:pStyle w:val="H1G"/>
        <w:rPr>
          <w:lang w:val="fr-FR"/>
        </w:rPr>
      </w:pPr>
      <w:r w:rsidRPr="00011D7C">
        <w:rPr>
          <w:lang w:val="fr-FR"/>
        </w:rPr>
        <w:tab/>
      </w:r>
      <w:r w:rsidRPr="00011D7C">
        <w:rPr>
          <w:lang w:val="fr-FR"/>
        </w:rPr>
        <w:tab/>
        <w:t>Chapitre 7.1</w:t>
      </w:r>
    </w:p>
    <w:p w14:paraId="0320F027" w14:textId="277C022D" w:rsidR="007534B4" w:rsidRPr="0081173C" w:rsidRDefault="007534B4" w:rsidP="00196C06">
      <w:pPr>
        <w:spacing w:before="120" w:after="120" w:line="240" w:lineRule="auto"/>
        <w:ind w:left="1134" w:right="1134"/>
        <w:jc w:val="both"/>
        <w:rPr>
          <w:lang w:val="fr-FR"/>
        </w:rPr>
      </w:pPr>
      <w:r w:rsidRPr="0081173C">
        <w:rPr>
          <w:lang w:val="fr-FR"/>
        </w:rPr>
        <w:t xml:space="preserve">Modifier le titre du chapitre pour lire « DISPOSITIONS GENERALES ET DISPOSITIONS </w:t>
      </w:r>
      <w:r w:rsidR="0081173C" w:rsidRPr="0081173C">
        <w:rPr>
          <w:lang w:val="fr-FR"/>
        </w:rPr>
        <w:t xml:space="preserve">SPECIALES </w:t>
      </w:r>
      <w:r w:rsidRPr="0081173C">
        <w:rPr>
          <w:lang w:val="fr-FR"/>
        </w:rPr>
        <w:t>RELATIVES A LA REGULATION DE TEMPERATURE ».</w:t>
      </w:r>
    </w:p>
    <w:p w14:paraId="2CF9D6E9" w14:textId="56FC0487" w:rsidR="007534B4" w:rsidRPr="0081173C" w:rsidRDefault="007534B4" w:rsidP="007534B4">
      <w:pPr>
        <w:spacing w:before="120" w:after="120" w:line="240" w:lineRule="auto"/>
        <w:ind w:left="1134" w:right="1134"/>
        <w:jc w:val="both"/>
        <w:rPr>
          <w:lang w:val="fr-FR"/>
        </w:rPr>
      </w:pPr>
      <w:r w:rsidRPr="0081173C">
        <w:rPr>
          <w:lang w:val="fr-FR"/>
        </w:rPr>
        <w:t>Ajouter la nouvelle section 7.1.7 suivante :</w:t>
      </w:r>
    </w:p>
    <w:p w14:paraId="4CAC7757" w14:textId="6663F08C" w:rsidR="00A5193B" w:rsidRPr="0081173C" w:rsidRDefault="00A5193B" w:rsidP="001E0D22">
      <w:pPr>
        <w:pStyle w:val="SingleTxtG"/>
        <w:tabs>
          <w:tab w:val="left" w:pos="2268"/>
        </w:tabs>
        <w:rPr>
          <w:b/>
          <w:lang w:val="fr-FR"/>
        </w:rPr>
      </w:pPr>
      <w:r w:rsidRPr="0081173C">
        <w:rPr>
          <w:lang w:val="fr-FR"/>
        </w:rPr>
        <w:t>«</w:t>
      </w:r>
      <w:r w:rsidR="003567B8" w:rsidRPr="0081173C">
        <w:rPr>
          <w:lang w:val="fr-FR"/>
        </w:rPr>
        <w:t> </w:t>
      </w:r>
      <w:r w:rsidR="007534B4" w:rsidRPr="0081173C">
        <w:rPr>
          <w:b/>
          <w:lang w:val="fr-FR"/>
        </w:rPr>
        <w:t>7.1.7</w:t>
      </w:r>
      <w:r w:rsidRPr="0081173C">
        <w:rPr>
          <w:b/>
          <w:lang w:val="fr-FR"/>
        </w:rPr>
        <w:tab/>
        <w:t xml:space="preserve">Dispositions particulières applicables au transport des matières autoréactives de la </w:t>
      </w:r>
      <w:r w:rsidR="007534B4" w:rsidRPr="0081173C">
        <w:rPr>
          <w:b/>
          <w:lang w:val="fr-FR"/>
        </w:rPr>
        <w:t xml:space="preserve">classe </w:t>
      </w:r>
      <w:r w:rsidRPr="0081173C">
        <w:rPr>
          <w:b/>
          <w:lang w:val="fr-FR"/>
        </w:rPr>
        <w:t xml:space="preserve">4.1, des peroxydes organiques de la </w:t>
      </w:r>
      <w:r w:rsidR="007534B4" w:rsidRPr="0081173C">
        <w:rPr>
          <w:b/>
          <w:lang w:val="fr-FR"/>
        </w:rPr>
        <w:t xml:space="preserve">classe </w:t>
      </w:r>
      <w:r w:rsidRPr="0081173C">
        <w:rPr>
          <w:b/>
          <w:lang w:val="fr-FR"/>
        </w:rPr>
        <w:t>5.2 et des matières stabilisées par régulation de température (autres que les matières autoréactives ou les peroxydes organiques)</w:t>
      </w:r>
    </w:p>
    <w:p w14:paraId="0F6B147B" w14:textId="4CBD1AC9" w:rsidR="00A5193B" w:rsidRPr="0081173C" w:rsidRDefault="007534B4" w:rsidP="00A5193B">
      <w:pPr>
        <w:pStyle w:val="SingleTxtG"/>
        <w:rPr>
          <w:lang w:val="fr-FR"/>
        </w:rPr>
      </w:pPr>
      <w:r w:rsidRPr="0081173C">
        <w:rPr>
          <w:lang w:val="fr-FR"/>
        </w:rPr>
        <w:t>7.1.7.1</w:t>
      </w:r>
      <w:r w:rsidR="00A5193B" w:rsidRPr="0081173C">
        <w:rPr>
          <w:lang w:val="fr-FR"/>
        </w:rPr>
        <w:tab/>
      </w:r>
      <w:r w:rsidR="003567B8" w:rsidRPr="0081173C">
        <w:rPr>
          <w:lang w:val="fr-FR"/>
        </w:rPr>
        <w:tab/>
      </w:r>
      <w:r w:rsidR="00A5193B" w:rsidRPr="0081173C">
        <w:rPr>
          <w:lang w:val="fr-FR"/>
        </w:rPr>
        <w:t>Les matières autoréactives, les peroxydes organiques et les matières qui polymérisent doivent être tenus à l’ombre, maintenus à l’écart de toute source de chaleur et placés dans des endroits bien aérés.</w:t>
      </w:r>
    </w:p>
    <w:p w14:paraId="2CE29AED" w14:textId="54D9F527" w:rsidR="002A4B9C" w:rsidRPr="0081173C" w:rsidRDefault="007534B4" w:rsidP="002A4B9C">
      <w:pPr>
        <w:pStyle w:val="SingleTxtG"/>
        <w:rPr>
          <w:lang w:val="fr-FR"/>
        </w:rPr>
      </w:pPr>
      <w:r w:rsidRPr="0081173C">
        <w:rPr>
          <w:lang w:val="fr-FR"/>
        </w:rPr>
        <w:t>7.1.7.2</w:t>
      </w:r>
      <w:r w:rsidR="002A4B9C" w:rsidRPr="0081173C">
        <w:rPr>
          <w:lang w:val="fr-FR"/>
        </w:rPr>
        <w:tab/>
      </w:r>
      <w:r w:rsidR="003567B8" w:rsidRPr="0081173C">
        <w:rPr>
          <w:lang w:val="fr-FR"/>
        </w:rPr>
        <w:tab/>
      </w:r>
      <w:r w:rsidR="002A4B9C" w:rsidRPr="0081173C">
        <w:rPr>
          <w:lang w:val="fr-FR"/>
        </w:rPr>
        <w:t>Si plusieurs colis sont groupés dans un conteneur</w:t>
      </w:r>
      <w:r w:rsidRPr="0081173C">
        <w:rPr>
          <w:lang w:val="fr-FR"/>
        </w:rPr>
        <w:t xml:space="preserve"> ou </w:t>
      </w:r>
      <w:r w:rsidR="002A4B9C" w:rsidRPr="0081173C">
        <w:rPr>
          <w:lang w:val="fr-FR"/>
        </w:rPr>
        <w:t>un véhicule fermé ou une unité de charge, la quantité totale de matière, le type et le nombre de colis, ainsi que leur ordre d’arrimage, ne doivent pas être tels qu’il en résulte un risque d’explosion.</w:t>
      </w:r>
    </w:p>
    <w:p w14:paraId="15B823B2" w14:textId="09E57298" w:rsidR="00A5193B" w:rsidRPr="0081173C" w:rsidRDefault="007534B4" w:rsidP="002A4B9C">
      <w:pPr>
        <w:pStyle w:val="SingleTxtG"/>
        <w:rPr>
          <w:b/>
          <w:lang w:val="fr-FR"/>
        </w:rPr>
      </w:pPr>
      <w:r w:rsidRPr="0081173C">
        <w:rPr>
          <w:b/>
          <w:lang w:val="fr-FR"/>
        </w:rPr>
        <w:t>7.1.7.3</w:t>
      </w:r>
      <w:r w:rsidR="00A5193B" w:rsidRPr="0081173C">
        <w:rPr>
          <w:b/>
          <w:lang w:val="fr-FR"/>
        </w:rPr>
        <w:tab/>
      </w:r>
      <w:r w:rsidR="003567B8" w:rsidRPr="0081173C">
        <w:rPr>
          <w:b/>
          <w:lang w:val="fr-FR"/>
        </w:rPr>
        <w:tab/>
      </w:r>
      <w:r w:rsidR="00A5193B" w:rsidRPr="0081173C">
        <w:rPr>
          <w:b/>
          <w:i/>
          <w:iCs/>
          <w:lang w:val="fr-FR"/>
        </w:rPr>
        <w:t>Dispositions relatives à la régulation de température</w:t>
      </w:r>
    </w:p>
    <w:p w14:paraId="543E19FC" w14:textId="23F5B284" w:rsidR="00A5193B" w:rsidRPr="0081173C" w:rsidRDefault="007534B4" w:rsidP="00D111D2">
      <w:pPr>
        <w:pStyle w:val="SingleTxtG"/>
        <w:rPr>
          <w:lang w:val="fr-FR"/>
        </w:rPr>
      </w:pPr>
      <w:r w:rsidRPr="0081173C">
        <w:rPr>
          <w:lang w:val="fr-FR"/>
        </w:rPr>
        <w:t>7.1.7.3.1</w:t>
      </w:r>
      <w:r w:rsidR="00A5193B" w:rsidRPr="0081173C">
        <w:rPr>
          <w:lang w:val="fr-FR"/>
        </w:rPr>
        <w:tab/>
      </w:r>
      <w:r w:rsidR="00D111D2" w:rsidRPr="0081173C">
        <w:rPr>
          <w:lang w:val="fr-FR"/>
        </w:rPr>
        <w:t xml:space="preserve">Les présentes dispositions ne s’appliquent à certaines matières autoréactives, certains peroxydes organiques et certaines matières qui polymérisent que lorsque le transport de ces matières est soumis à régulation de température au titre du </w:t>
      </w:r>
      <w:r w:rsidRPr="0081173C">
        <w:rPr>
          <w:lang w:val="fr-FR"/>
        </w:rPr>
        <w:t>2.2.41.1.17, 2.2.52.1.15 ou 2.2.41.1.21</w:t>
      </w:r>
      <w:r w:rsidR="00D111D2" w:rsidRPr="0081173C">
        <w:rPr>
          <w:lang w:val="fr-FR"/>
        </w:rPr>
        <w:t xml:space="preserve"> ou de la disposition spéciale 386 du chapitre 3.3 suivant le cas.</w:t>
      </w:r>
    </w:p>
    <w:p w14:paraId="6D77CCD5" w14:textId="114F6752" w:rsidR="00A5193B" w:rsidRPr="0081173C" w:rsidRDefault="007534B4" w:rsidP="002A4B9C">
      <w:pPr>
        <w:pStyle w:val="SingleTxtG"/>
        <w:rPr>
          <w:lang w:val="fr-FR"/>
        </w:rPr>
      </w:pPr>
      <w:r w:rsidRPr="0081173C">
        <w:rPr>
          <w:lang w:val="fr-FR"/>
        </w:rPr>
        <w:t>7.1.7.3.2</w:t>
      </w:r>
      <w:r w:rsidR="00A5193B" w:rsidRPr="0081173C">
        <w:rPr>
          <w:lang w:val="fr-FR"/>
        </w:rPr>
        <w:tab/>
        <w:t>Ces dispositions s’appliquent également au transport:</w:t>
      </w:r>
    </w:p>
    <w:p w14:paraId="27FA03FD" w14:textId="1FB1070C" w:rsidR="00A5193B" w:rsidRPr="0081173C" w:rsidRDefault="00A5193B" w:rsidP="00A5193B">
      <w:pPr>
        <w:pStyle w:val="SingleTxtG"/>
        <w:ind w:left="2268"/>
        <w:rPr>
          <w:lang w:val="fr-FR"/>
        </w:rPr>
      </w:pPr>
      <w:r w:rsidRPr="0081173C">
        <w:rPr>
          <w:lang w:val="fr-FR"/>
        </w:rPr>
        <w:t>a)</w:t>
      </w:r>
      <w:r w:rsidRPr="0081173C">
        <w:rPr>
          <w:lang w:val="fr-FR"/>
        </w:rPr>
        <w:tab/>
        <w:t xml:space="preserve">De matières dont la désignation officielle de transport, telle qu’elle figure dans la colonne 2 </w:t>
      </w:r>
      <w:r w:rsidR="007534B4" w:rsidRPr="0081173C">
        <w:rPr>
          <w:lang w:val="fr-FR"/>
        </w:rPr>
        <w:t>du tableau A</w:t>
      </w:r>
      <w:r w:rsidRPr="0081173C">
        <w:rPr>
          <w:lang w:val="fr-FR"/>
        </w:rPr>
        <w:t xml:space="preserve"> du chapitre 3.2 ou </w:t>
      </w:r>
      <w:r w:rsidR="0098254C" w:rsidRPr="0081173C">
        <w:rPr>
          <w:lang w:val="fr-FR"/>
        </w:rPr>
        <w:t>selon le</w:t>
      </w:r>
      <w:r w:rsidRPr="0081173C">
        <w:rPr>
          <w:lang w:val="fr-FR"/>
        </w:rPr>
        <w:t xml:space="preserve"> 3.1.2.6, contient la mention </w:t>
      </w:r>
      <w:r w:rsidR="003567B8" w:rsidRPr="0081173C">
        <w:rPr>
          <w:lang w:val="fr-FR"/>
        </w:rPr>
        <w:t>"</w:t>
      </w:r>
      <w:r w:rsidRPr="0081173C">
        <w:rPr>
          <w:lang w:val="fr-FR"/>
        </w:rPr>
        <w:t>STABILISÉ</w:t>
      </w:r>
      <w:r w:rsidR="003567B8" w:rsidRPr="0081173C">
        <w:rPr>
          <w:lang w:val="fr-FR"/>
        </w:rPr>
        <w:t>"</w:t>
      </w:r>
      <w:r w:rsidRPr="0081173C">
        <w:rPr>
          <w:lang w:val="fr-FR"/>
        </w:rPr>
        <w:t>;</w:t>
      </w:r>
      <w:r w:rsidR="0098254C" w:rsidRPr="0081173C">
        <w:rPr>
          <w:lang w:val="fr-FR"/>
        </w:rPr>
        <w:t xml:space="preserve"> et</w:t>
      </w:r>
    </w:p>
    <w:p w14:paraId="3D77B715" w14:textId="24B940AD" w:rsidR="00A5193B" w:rsidRPr="0081173C" w:rsidRDefault="00A5193B" w:rsidP="00A5193B">
      <w:pPr>
        <w:pStyle w:val="SingleTxtG"/>
        <w:ind w:left="2268"/>
        <w:rPr>
          <w:b/>
          <w:bCs/>
          <w:lang w:val="fr-FR"/>
        </w:rPr>
      </w:pPr>
      <w:r w:rsidRPr="0081173C">
        <w:rPr>
          <w:lang w:val="fr-FR"/>
        </w:rPr>
        <w:t>b)</w:t>
      </w:r>
      <w:r w:rsidRPr="0081173C">
        <w:rPr>
          <w:lang w:val="fr-FR"/>
        </w:rPr>
        <w:tab/>
      </w:r>
      <w:r w:rsidRPr="0081173C">
        <w:rPr>
          <w:bCs/>
          <w:lang w:val="fr-FR"/>
        </w:rPr>
        <w:t>De matières</w:t>
      </w:r>
      <w:r w:rsidR="001B0F1C" w:rsidRPr="0081173C">
        <w:rPr>
          <w:bCs/>
          <w:lang w:val="fr-FR"/>
        </w:rPr>
        <w:t xml:space="preserve"> pour lesquelles la TDAA ou la TPAA</w:t>
      </w:r>
      <w:r w:rsidR="003567B8" w:rsidRPr="0081173C">
        <w:rPr>
          <w:bCs/>
          <w:lang w:val="fr-FR"/>
        </w:rPr>
        <w:t xml:space="preserve"> </w:t>
      </w:r>
      <w:r w:rsidR="001B0F1C" w:rsidRPr="0081173C">
        <w:rPr>
          <w:bCs/>
          <w:lang w:val="fr-FR"/>
        </w:rPr>
        <w:t xml:space="preserve">déterminée pour ces matières telles que présentées au transport </w:t>
      </w:r>
      <w:r w:rsidRPr="0081173C">
        <w:rPr>
          <w:bCs/>
          <w:lang w:val="fr-FR"/>
        </w:rPr>
        <w:t>(avec ou sans stabilisation chimique) est:</w:t>
      </w:r>
    </w:p>
    <w:p w14:paraId="34B786FB" w14:textId="00B946E2" w:rsidR="00A5193B" w:rsidRPr="0081173C" w:rsidRDefault="00A5193B" w:rsidP="00A5193B">
      <w:pPr>
        <w:pStyle w:val="SingleTxtG"/>
        <w:ind w:left="2835"/>
        <w:rPr>
          <w:lang w:val="fr-FR"/>
        </w:rPr>
      </w:pPr>
      <w:r w:rsidRPr="0081173C">
        <w:rPr>
          <w:lang w:val="fr-FR"/>
        </w:rPr>
        <w:t>i)</w:t>
      </w:r>
      <w:r w:rsidRPr="0081173C">
        <w:rPr>
          <w:lang w:val="fr-FR"/>
        </w:rPr>
        <w:tab/>
        <w:t xml:space="preserve">Au maximum de 50 °C pour les emballages </w:t>
      </w:r>
      <w:r w:rsidR="0081173C">
        <w:rPr>
          <w:lang w:val="fr-FR"/>
        </w:rPr>
        <w:t>simples</w:t>
      </w:r>
      <w:r w:rsidR="0081173C" w:rsidRPr="00154472">
        <w:rPr>
          <w:lang w:val="fr-FR"/>
        </w:rPr>
        <w:t xml:space="preserve"> </w:t>
      </w:r>
      <w:r w:rsidRPr="0081173C">
        <w:rPr>
          <w:lang w:val="fr-FR"/>
        </w:rPr>
        <w:t xml:space="preserve">et les GRV; ou </w:t>
      </w:r>
    </w:p>
    <w:p w14:paraId="7FC229AA" w14:textId="1F65CE78" w:rsidR="00A5193B" w:rsidRPr="0081173C" w:rsidRDefault="00A5193B" w:rsidP="00A5193B">
      <w:pPr>
        <w:pStyle w:val="SingleTxtG"/>
        <w:ind w:left="2835"/>
        <w:rPr>
          <w:lang w:val="fr-FR"/>
        </w:rPr>
      </w:pPr>
      <w:r w:rsidRPr="0081173C">
        <w:rPr>
          <w:lang w:val="fr-FR"/>
        </w:rPr>
        <w:t>ii)</w:t>
      </w:r>
      <w:r w:rsidRPr="0081173C">
        <w:rPr>
          <w:lang w:val="fr-FR"/>
        </w:rPr>
        <w:tab/>
        <w:t>Au maximum de 45 °C pour les citernes.</w:t>
      </w:r>
    </w:p>
    <w:p w14:paraId="56C560D5" w14:textId="35D9909F" w:rsidR="00A5193B" w:rsidRPr="0081173C" w:rsidRDefault="00A5193B" w:rsidP="00A5193B">
      <w:pPr>
        <w:pStyle w:val="SingleTxtG"/>
        <w:spacing w:line="234" w:lineRule="atLeast"/>
        <w:rPr>
          <w:lang w:val="fr-FR"/>
        </w:rPr>
      </w:pPr>
      <w:r w:rsidRPr="0081173C">
        <w:rPr>
          <w:lang w:val="fr-FR"/>
        </w:rPr>
        <w:t xml:space="preserve">Lorsqu’il n’est pas recouru à l’inhibition chimique pour stabiliser une matière réactive susceptible de générer des quantités dangereuses de chaleur et de gaz ou de vapeur dans des conditions normales de transport, </w:t>
      </w:r>
      <w:r w:rsidR="0098254C" w:rsidRPr="0081173C">
        <w:rPr>
          <w:lang w:val="fr-FR"/>
        </w:rPr>
        <w:t>cette matière doit être transportée</w:t>
      </w:r>
      <w:r w:rsidRPr="0081173C">
        <w:rPr>
          <w:lang w:val="fr-FR"/>
        </w:rPr>
        <w:t xml:space="preserve"> sous régulation de </w:t>
      </w:r>
      <w:r w:rsidRPr="0081173C">
        <w:rPr>
          <w:lang w:val="fr-FR"/>
        </w:rPr>
        <w:lastRenderedPageBreak/>
        <w:t xml:space="preserve">température. Ces dispositions ne s’appliquent pas aux matières qui sont stabilisées par adjonction d’inhibiteurs chimiques de sorte que la TDAA ou la TPAA soit supérieure à ce qui est prescrit aux </w:t>
      </w:r>
      <w:r w:rsidR="0052372C" w:rsidRPr="0081173C">
        <w:rPr>
          <w:lang w:val="fr-FR"/>
        </w:rPr>
        <w:t>alinéas</w:t>
      </w:r>
      <w:r w:rsidRPr="0081173C">
        <w:rPr>
          <w:lang w:val="fr-FR"/>
        </w:rPr>
        <w:t xml:space="preserve"> b) i) et ii) ci-dessus.</w:t>
      </w:r>
    </w:p>
    <w:p w14:paraId="6D20B1CE" w14:textId="1384D1BB" w:rsidR="00A5193B" w:rsidRPr="0081173C" w:rsidRDefault="005045B2" w:rsidP="002A4B9C">
      <w:pPr>
        <w:pStyle w:val="SingleTxtG"/>
        <w:spacing w:line="234" w:lineRule="atLeast"/>
        <w:rPr>
          <w:lang w:val="fr-FR"/>
        </w:rPr>
      </w:pPr>
      <w:r w:rsidRPr="0081173C">
        <w:rPr>
          <w:lang w:val="fr-FR"/>
        </w:rPr>
        <w:t>7.1.7.3.3</w:t>
      </w:r>
      <w:r w:rsidR="00A5193B" w:rsidRPr="0081173C">
        <w:rPr>
          <w:lang w:val="fr-FR"/>
        </w:rPr>
        <w:tab/>
        <w:t xml:space="preserve">En outre, si une matière autoréactive, un peroxyde organique ou une matière dont la désignation officielle de transport comporte la mention </w:t>
      </w:r>
      <w:r w:rsidR="003567B8" w:rsidRPr="0081173C">
        <w:rPr>
          <w:lang w:val="fr-FR"/>
        </w:rPr>
        <w:t>"</w:t>
      </w:r>
      <w:r w:rsidR="00A5193B" w:rsidRPr="0081173C">
        <w:rPr>
          <w:lang w:val="fr-FR"/>
        </w:rPr>
        <w:t>STABILISÉ</w:t>
      </w:r>
      <w:r w:rsidR="003567B8" w:rsidRPr="0081173C">
        <w:rPr>
          <w:lang w:val="fr-FR"/>
        </w:rPr>
        <w:t>"</w:t>
      </w:r>
      <w:r w:rsidR="00A5193B" w:rsidRPr="0081173C">
        <w:rPr>
          <w:lang w:val="fr-FR"/>
        </w:rPr>
        <w:t xml:space="preserve"> et pour laquelle le transport avec régulation de température n’est pas normalement prescrit est transporté dans des conditions telles que la température risque de dépasser 55 °C, la régulation de température peut s’imposer. </w:t>
      </w:r>
    </w:p>
    <w:p w14:paraId="1A52114B" w14:textId="29C219D5" w:rsidR="00A5193B" w:rsidRPr="0081173C" w:rsidRDefault="005045B2" w:rsidP="002A4B9C">
      <w:pPr>
        <w:pStyle w:val="SingleTxtG"/>
        <w:spacing w:line="234" w:lineRule="atLeast"/>
        <w:rPr>
          <w:lang w:val="fr-FR"/>
        </w:rPr>
      </w:pPr>
      <w:r w:rsidRPr="0081173C">
        <w:rPr>
          <w:lang w:val="fr-FR"/>
        </w:rPr>
        <w:t>7.1.7.3.4</w:t>
      </w:r>
      <w:r w:rsidR="00A5193B" w:rsidRPr="0081173C">
        <w:rPr>
          <w:lang w:val="fr-FR"/>
        </w:rPr>
        <w:tab/>
        <w:t xml:space="preserve">La </w:t>
      </w:r>
      <w:r w:rsidR="00232606" w:rsidRPr="0081173C">
        <w:rPr>
          <w:lang w:val="fr-FR"/>
        </w:rPr>
        <w:t>"</w:t>
      </w:r>
      <w:r w:rsidR="00A5193B" w:rsidRPr="0081173C">
        <w:rPr>
          <w:lang w:val="fr-FR"/>
        </w:rPr>
        <w:t>température de régulation</w:t>
      </w:r>
      <w:r w:rsidR="00232606" w:rsidRPr="0081173C">
        <w:rPr>
          <w:lang w:val="fr-FR"/>
        </w:rPr>
        <w:t>"</w:t>
      </w:r>
      <w:r w:rsidR="00A5193B" w:rsidRPr="0081173C">
        <w:rPr>
          <w:lang w:val="fr-FR"/>
        </w:rPr>
        <w:t xml:space="preserve"> est la température maximale à laquelle une matière peut être transportée en sécurité. Les présentes dispositions sont basées sur l’hypothèse d’une température ne dépassant pas 55 °C au voisinage immédiat du colis pendant le transport et n’atteignant cette valeur que pendant une durée relativement courte par période de 24 heures. En cas de défaillance du système de régulation, il pourra être nécessaire d’appliquer les mesures d’urgence. La </w:t>
      </w:r>
      <w:r w:rsidR="00232606" w:rsidRPr="0081173C">
        <w:rPr>
          <w:lang w:val="fr-FR"/>
        </w:rPr>
        <w:t>"</w:t>
      </w:r>
      <w:r w:rsidR="00A5193B" w:rsidRPr="0081173C">
        <w:rPr>
          <w:lang w:val="fr-FR"/>
        </w:rPr>
        <w:t>température critique</w:t>
      </w:r>
      <w:r w:rsidR="00232606" w:rsidRPr="0081173C">
        <w:rPr>
          <w:lang w:val="fr-FR"/>
        </w:rPr>
        <w:t>"</w:t>
      </w:r>
      <w:r w:rsidR="00A5193B" w:rsidRPr="0081173C">
        <w:rPr>
          <w:lang w:val="fr-FR"/>
        </w:rPr>
        <w:t xml:space="preserve"> est la température à laquelle ces procédures doivent être mises en œuvre.</w:t>
      </w:r>
    </w:p>
    <w:p w14:paraId="3C82A0FC" w14:textId="16EE9BDA" w:rsidR="00E43447" w:rsidRPr="0081173C" w:rsidRDefault="005045B2" w:rsidP="005E4486">
      <w:pPr>
        <w:pStyle w:val="SingleTxtG"/>
        <w:keepNext/>
        <w:keepLines/>
        <w:rPr>
          <w:lang w:val="fr-FR"/>
        </w:rPr>
      </w:pPr>
      <w:r w:rsidRPr="0081173C">
        <w:rPr>
          <w:lang w:val="fr-FR"/>
        </w:rPr>
        <w:t>7.1.7.3.5</w:t>
      </w:r>
      <w:r w:rsidR="00A5193B" w:rsidRPr="0081173C">
        <w:rPr>
          <w:lang w:val="fr-FR"/>
        </w:rPr>
        <w:tab/>
      </w:r>
      <w:r w:rsidR="00A5193B" w:rsidRPr="0081173C">
        <w:rPr>
          <w:i/>
          <w:lang w:val="fr-FR"/>
        </w:rPr>
        <w:t>Détermination de la température de régulation et de la température critique</w:t>
      </w:r>
    </w:p>
    <w:tbl>
      <w:tblPr>
        <w:tblStyle w:val="Tabellenraster2"/>
        <w:tblW w:w="7371" w:type="dxa"/>
        <w:tblInd w:w="1129" w:type="dxa"/>
        <w:tblBorders>
          <w:insideH w:val="none" w:sz="0" w:space="0" w:color="auto"/>
        </w:tblBorders>
        <w:tblLayout w:type="fixed"/>
        <w:tblCellMar>
          <w:left w:w="0" w:type="dxa"/>
          <w:right w:w="0" w:type="dxa"/>
        </w:tblCellMar>
        <w:tblLook w:val="04A0" w:firstRow="1" w:lastRow="0" w:firstColumn="1" w:lastColumn="0" w:noHBand="0" w:noVBand="1"/>
      </w:tblPr>
      <w:tblGrid>
        <w:gridCol w:w="1170"/>
        <w:gridCol w:w="1685"/>
        <w:gridCol w:w="2167"/>
        <w:gridCol w:w="2349"/>
      </w:tblGrid>
      <w:tr w:rsidR="00A074FC" w:rsidRPr="0081173C" w14:paraId="35F66DC9" w14:textId="77777777" w:rsidTr="00FC5572">
        <w:tc>
          <w:tcPr>
            <w:tcW w:w="1170" w:type="dxa"/>
            <w:tcBorders>
              <w:bottom w:val="single" w:sz="4" w:space="0" w:color="auto"/>
            </w:tcBorders>
            <w:shd w:val="clear" w:color="auto" w:fill="auto"/>
            <w:tcMar>
              <w:left w:w="113" w:type="dxa"/>
            </w:tcMar>
          </w:tcPr>
          <w:p w14:paraId="7026977F" w14:textId="77777777" w:rsidR="00A5193B" w:rsidRPr="0081173C" w:rsidRDefault="00A5193B" w:rsidP="005E4486">
            <w:pPr>
              <w:keepNext/>
              <w:keepLines/>
              <w:spacing w:line="240" w:lineRule="auto"/>
              <w:rPr>
                <w:lang w:val="fr-FR"/>
              </w:rPr>
            </w:pPr>
            <w:r w:rsidRPr="0081173C">
              <w:rPr>
                <w:lang w:val="fr-FR"/>
              </w:rPr>
              <w:t>Type de récipient</w:t>
            </w:r>
          </w:p>
        </w:tc>
        <w:tc>
          <w:tcPr>
            <w:tcW w:w="1685" w:type="dxa"/>
            <w:tcBorders>
              <w:bottom w:val="single" w:sz="4" w:space="0" w:color="auto"/>
            </w:tcBorders>
            <w:shd w:val="clear" w:color="auto" w:fill="auto"/>
            <w:tcMar>
              <w:left w:w="113" w:type="dxa"/>
            </w:tcMar>
          </w:tcPr>
          <w:p w14:paraId="138EE331" w14:textId="77777777" w:rsidR="00A5193B" w:rsidRPr="0081173C" w:rsidRDefault="00A5193B" w:rsidP="005E4486">
            <w:pPr>
              <w:keepNext/>
              <w:keepLines/>
              <w:spacing w:line="240" w:lineRule="auto"/>
              <w:rPr>
                <w:lang w:val="fr-FR"/>
              </w:rPr>
            </w:pPr>
            <w:r w:rsidRPr="0081173C">
              <w:rPr>
                <w:lang w:val="fr-FR"/>
              </w:rPr>
              <w:t>TDAA</w:t>
            </w:r>
            <w:r w:rsidRPr="0081173C">
              <w:rPr>
                <w:b/>
                <w:vertAlign w:val="superscript"/>
                <w:lang w:val="fr-FR"/>
              </w:rPr>
              <w:t>a</w:t>
            </w:r>
            <w:r w:rsidRPr="0081173C">
              <w:rPr>
                <w:lang w:val="fr-FR"/>
              </w:rPr>
              <w:t>/TPAA</w:t>
            </w:r>
            <w:r w:rsidRPr="0081173C">
              <w:rPr>
                <w:b/>
                <w:vertAlign w:val="superscript"/>
                <w:lang w:val="fr-FR"/>
              </w:rPr>
              <w:t>a</w:t>
            </w:r>
          </w:p>
        </w:tc>
        <w:tc>
          <w:tcPr>
            <w:tcW w:w="2167" w:type="dxa"/>
            <w:tcBorders>
              <w:bottom w:val="single" w:sz="4" w:space="0" w:color="auto"/>
            </w:tcBorders>
            <w:shd w:val="clear" w:color="auto" w:fill="auto"/>
            <w:tcMar>
              <w:left w:w="113" w:type="dxa"/>
            </w:tcMar>
          </w:tcPr>
          <w:p w14:paraId="6BAE929C" w14:textId="77777777" w:rsidR="00A5193B" w:rsidRPr="0081173C" w:rsidRDefault="00A5193B" w:rsidP="005E4486">
            <w:pPr>
              <w:keepNext/>
              <w:keepLines/>
              <w:spacing w:line="240" w:lineRule="auto"/>
              <w:rPr>
                <w:lang w:val="fr-FR"/>
              </w:rPr>
            </w:pPr>
            <w:r w:rsidRPr="0081173C">
              <w:rPr>
                <w:lang w:val="fr-FR"/>
              </w:rPr>
              <w:t xml:space="preserve">Température de régulation </w:t>
            </w:r>
          </w:p>
        </w:tc>
        <w:tc>
          <w:tcPr>
            <w:tcW w:w="2349" w:type="dxa"/>
            <w:tcBorders>
              <w:bottom w:val="single" w:sz="4" w:space="0" w:color="auto"/>
            </w:tcBorders>
            <w:shd w:val="clear" w:color="auto" w:fill="auto"/>
            <w:tcMar>
              <w:left w:w="113" w:type="dxa"/>
            </w:tcMar>
          </w:tcPr>
          <w:p w14:paraId="233B5346" w14:textId="77777777" w:rsidR="00A5193B" w:rsidRPr="0081173C" w:rsidRDefault="00A5193B" w:rsidP="005E4486">
            <w:pPr>
              <w:keepNext/>
              <w:keepLines/>
              <w:spacing w:line="240" w:lineRule="auto"/>
              <w:rPr>
                <w:lang w:val="fr-FR"/>
              </w:rPr>
            </w:pPr>
            <w:r w:rsidRPr="0081173C">
              <w:rPr>
                <w:lang w:val="fr-FR"/>
              </w:rPr>
              <w:t>Température critique</w:t>
            </w:r>
          </w:p>
        </w:tc>
      </w:tr>
      <w:tr w:rsidR="00A074FC" w:rsidRPr="0081173C" w14:paraId="08C0F566" w14:textId="77777777" w:rsidTr="00FC5572">
        <w:tc>
          <w:tcPr>
            <w:tcW w:w="1170" w:type="dxa"/>
            <w:tcBorders>
              <w:top w:val="single" w:sz="4" w:space="0" w:color="auto"/>
              <w:bottom w:val="nil"/>
            </w:tcBorders>
            <w:shd w:val="clear" w:color="auto" w:fill="auto"/>
            <w:tcMar>
              <w:left w:w="113" w:type="dxa"/>
            </w:tcMar>
          </w:tcPr>
          <w:p w14:paraId="104125E1" w14:textId="62B2C465" w:rsidR="00FC5572" w:rsidRPr="0081173C" w:rsidRDefault="00FC5572" w:rsidP="00FC5572">
            <w:pPr>
              <w:keepNext/>
              <w:keepLines/>
              <w:spacing w:line="240" w:lineRule="auto"/>
              <w:rPr>
                <w:lang w:val="fr-FR"/>
              </w:rPr>
            </w:pPr>
            <w:r w:rsidRPr="0081173C">
              <w:rPr>
                <w:lang w:val="fr-FR"/>
              </w:rPr>
              <w:t>Emballages simples et GRV</w:t>
            </w:r>
          </w:p>
        </w:tc>
        <w:tc>
          <w:tcPr>
            <w:tcW w:w="1685" w:type="dxa"/>
            <w:tcBorders>
              <w:bottom w:val="single" w:sz="4" w:space="0" w:color="auto"/>
            </w:tcBorders>
            <w:shd w:val="clear" w:color="auto" w:fill="auto"/>
            <w:tcMar>
              <w:left w:w="113" w:type="dxa"/>
            </w:tcMar>
          </w:tcPr>
          <w:p w14:paraId="2E56EFB2" w14:textId="34AF6DCF" w:rsidR="00FC5572" w:rsidRPr="0081173C" w:rsidRDefault="00FC5572" w:rsidP="00FC5572">
            <w:pPr>
              <w:keepNext/>
              <w:keepLines/>
              <w:spacing w:line="240" w:lineRule="auto"/>
              <w:rPr>
                <w:lang w:val="fr-FR"/>
              </w:rPr>
            </w:pPr>
            <w:r w:rsidRPr="0081173C">
              <w:rPr>
                <w:lang w:val="fr-FR"/>
              </w:rPr>
              <w:t>≤ 20 °C</w:t>
            </w:r>
          </w:p>
        </w:tc>
        <w:tc>
          <w:tcPr>
            <w:tcW w:w="2167" w:type="dxa"/>
            <w:tcBorders>
              <w:bottom w:val="single" w:sz="4" w:space="0" w:color="auto"/>
            </w:tcBorders>
            <w:shd w:val="clear" w:color="auto" w:fill="auto"/>
            <w:tcMar>
              <w:left w:w="113" w:type="dxa"/>
            </w:tcMar>
          </w:tcPr>
          <w:p w14:paraId="58365A07" w14:textId="49147A19" w:rsidR="00FC5572" w:rsidRPr="0081173C" w:rsidRDefault="00FC5572" w:rsidP="00FC5572">
            <w:pPr>
              <w:keepNext/>
              <w:keepLines/>
              <w:spacing w:line="240" w:lineRule="auto"/>
              <w:rPr>
                <w:lang w:val="fr-FR"/>
              </w:rPr>
            </w:pPr>
            <w:r w:rsidRPr="0081173C">
              <w:rPr>
                <w:lang w:val="fr-FR"/>
              </w:rPr>
              <w:t xml:space="preserve">20 °C au-dessous </w:t>
            </w:r>
            <w:r w:rsidRPr="0081173C">
              <w:rPr>
                <w:lang w:val="fr-FR"/>
              </w:rPr>
              <w:br/>
              <w:t>de la TDAA/TPAA</w:t>
            </w:r>
          </w:p>
        </w:tc>
        <w:tc>
          <w:tcPr>
            <w:tcW w:w="2349" w:type="dxa"/>
            <w:tcBorders>
              <w:bottom w:val="single" w:sz="4" w:space="0" w:color="auto"/>
            </w:tcBorders>
            <w:shd w:val="clear" w:color="auto" w:fill="auto"/>
            <w:tcMar>
              <w:left w:w="113" w:type="dxa"/>
            </w:tcMar>
          </w:tcPr>
          <w:p w14:paraId="38289AA1" w14:textId="319CDEBF" w:rsidR="00FC5572" w:rsidRPr="0081173C" w:rsidRDefault="00FC5572" w:rsidP="00FC5572">
            <w:pPr>
              <w:keepNext/>
              <w:keepLines/>
              <w:spacing w:line="240" w:lineRule="auto"/>
              <w:rPr>
                <w:lang w:val="fr-FR"/>
              </w:rPr>
            </w:pPr>
            <w:r w:rsidRPr="0081173C">
              <w:rPr>
                <w:lang w:val="fr-FR"/>
              </w:rPr>
              <w:t xml:space="preserve">10 °C au-dessous </w:t>
            </w:r>
            <w:r w:rsidRPr="0081173C">
              <w:rPr>
                <w:lang w:val="fr-FR"/>
              </w:rPr>
              <w:br/>
              <w:t>de la TDAA/TPAA</w:t>
            </w:r>
          </w:p>
        </w:tc>
      </w:tr>
      <w:tr w:rsidR="00A074FC" w:rsidRPr="0081173C" w14:paraId="1480F79B" w14:textId="77777777" w:rsidTr="00FC5572">
        <w:tc>
          <w:tcPr>
            <w:tcW w:w="1170" w:type="dxa"/>
            <w:tcBorders>
              <w:top w:val="nil"/>
              <w:bottom w:val="nil"/>
            </w:tcBorders>
            <w:shd w:val="clear" w:color="auto" w:fill="auto"/>
            <w:tcMar>
              <w:left w:w="113" w:type="dxa"/>
            </w:tcMar>
          </w:tcPr>
          <w:p w14:paraId="49A62E0E" w14:textId="77777777" w:rsidR="00FC5572" w:rsidRPr="0081173C" w:rsidRDefault="00FC5572" w:rsidP="00FC5572">
            <w:pPr>
              <w:keepNext/>
              <w:keepLines/>
              <w:spacing w:line="240" w:lineRule="auto"/>
              <w:rPr>
                <w:lang w:val="fr-FR"/>
              </w:rPr>
            </w:pPr>
          </w:p>
        </w:tc>
        <w:tc>
          <w:tcPr>
            <w:tcW w:w="1685" w:type="dxa"/>
            <w:tcBorders>
              <w:bottom w:val="single" w:sz="4" w:space="0" w:color="auto"/>
            </w:tcBorders>
            <w:shd w:val="clear" w:color="auto" w:fill="auto"/>
            <w:tcMar>
              <w:left w:w="113" w:type="dxa"/>
            </w:tcMar>
          </w:tcPr>
          <w:p w14:paraId="0741ABA0" w14:textId="6A1A1675" w:rsidR="00FC5572" w:rsidRPr="0081173C" w:rsidRDefault="00FC5572" w:rsidP="00FC5572">
            <w:pPr>
              <w:keepNext/>
              <w:keepLines/>
              <w:spacing w:line="240" w:lineRule="auto"/>
              <w:rPr>
                <w:lang w:val="fr-FR"/>
              </w:rPr>
            </w:pPr>
            <w:r w:rsidRPr="0081173C">
              <w:rPr>
                <w:lang w:val="fr-FR"/>
              </w:rPr>
              <w:t>&gt; 20 °C et ≤ 35 °C</w:t>
            </w:r>
          </w:p>
        </w:tc>
        <w:tc>
          <w:tcPr>
            <w:tcW w:w="2167" w:type="dxa"/>
            <w:tcBorders>
              <w:bottom w:val="single" w:sz="4" w:space="0" w:color="auto"/>
            </w:tcBorders>
            <w:shd w:val="clear" w:color="auto" w:fill="auto"/>
            <w:tcMar>
              <w:left w:w="113" w:type="dxa"/>
            </w:tcMar>
          </w:tcPr>
          <w:p w14:paraId="7D61D91C" w14:textId="05DC74E1" w:rsidR="00FC5572" w:rsidRPr="0081173C" w:rsidRDefault="00FC5572" w:rsidP="00FC5572">
            <w:pPr>
              <w:keepNext/>
              <w:keepLines/>
              <w:spacing w:line="240" w:lineRule="auto"/>
              <w:rPr>
                <w:lang w:val="fr-FR"/>
              </w:rPr>
            </w:pPr>
            <w:r w:rsidRPr="0081173C">
              <w:rPr>
                <w:lang w:val="fr-FR"/>
              </w:rPr>
              <w:t xml:space="preserve">15 °C au-dessous </w:t>
            </w:r>
            <w:r w:rsidRPr="0081173C">
              <w:rPr>
                <w:lang w:val="fr-FR"/>
              </w:rPr>
              <w:br/>
              <w:t>de la TDAA/TPAA</w:t>
            </w:r>
          </w:p>
        </w:tc>
        <w:tc>
          <w:tcPr>
            <w:tcW w:w="2349" w:type="dxa"/>
            <w:tcBorders>
              <w:bottom w:val="single" w:sz="4" w:space="0" w:color="auto"/>
            </w:tcBorders>
            <w:shd w:val="clear" w:color="auto" w:fill="auto"/>
            <w:tcMar>
              <w:left w:w="113" w:type="dxa"/>
            </w:tcMar>
          </w:tcPr>
          <w:p w14:paraId="2DD30C05" w14:textId="757C7E34" w:rsidR="00FC5572" w:rsidRPr="0081173C" w:rsidRDefault="00FC5572" w:rsidP="00FC5572">
            <w:pPr>
              <w:keepNext/>
              <w:keepLines/>
              <w:spacing w:line="240" w:lineRule="auto"/>
              <w:rPr>
                <w:lang w:val="fr-FR"/>
              </w:rPr>
            </w:pPr>
            <w:r w:rsidRPr="0081173C">
              <w:rPr>
                <w:lang w:val="fr-FR"/>
              </w:rPr>
              <w:t xml:space="preserve">10 °C au-dessous </w:t>
            </w:r>
            <w:r w:rsidRPr="0081173C">
              <w:rPr>
                <w:lang w:val="fr-FR"/>
              </w:rPr>
              <w:br/>
              <w:t>de la TDAA/TPAA</w:t>
            </w:r>
          </w:p>
        </w:tc>
      </w:tr>
      <w:tr w:rsidR="00A074FC" w:rsidRPr="0081173C" w14:paraId="67B5DB80" w14:textId="77777777" w:rsidTr="00FC5572">
        <w:tc>
          <w:tcPr>
            <w:tcW w:w="1170" w:type="dxa"/>
            <w:tcBorders>
              <w:top w:val="nil"/>
              <w:bottom w:val="single" w:sz="4" w:space="0" w:color="auto"/>
            </w:tcBorders>
            <w:shd w:val="clear" w:color="auto" w:fill="auto"/>
            <w:tcMar>
              <w:left w:w="113" w:type="dxa"/>
            </w:tcMar>
          </w:tcPr>
          <w:p w14:paraId="1B41E2FC" w14:textId="77777777" w:rsidR="00FC5572" w:rsidRPr="0081173C" w:rsidRDefault="00FC5572" w:rsidP="00FC5572">
            <w:pPr>
              <w:keepNext/>
              <w:keepLines/>
              <w:spacing w:line="240" w:lineRule="auto"/>
              <w:rPr>
                <w:lang w:val="fr-FR"/>
              </w:rPr>
            </w:pPr>
          </w:p>
        </w:tc>
        <w:tc>
          <w:tcPr>
            <w:tcW w:w="1685" w:type="dxa"/>
            <w:tcBorders>
              <w:bottom w:val="single" w:sz="4" w:space="0" w:color="auto"/>
            </w:tcBorders>
            <w:shd w:val="clear" w:color="auto" w:fill="auto"/>
            <w:tcMar>
              <w:left w:w="113" w:type="dxa"/>
            </w:tcMar>
          </w:tcPr>
          <w:p w14:paraId="49ADA0D5" w14:textId="44028002" w:rsidR="00FC5572" w:rsidRPr="0081173C" w:rsidRDefault="00FC5572" w:rsidP="00FC5572">
            <w:pPr>
              <w:keepNext/>
              <w:keepLines/>
              <w:spacing w:line="240" w:lineRule="auto"/>
              <w:rPr>
                <w:lang w:val="fr-FR"/>
              </w:rPr>
            </w:pPr>
            <w:r w:rsidRPr="0081173C">
              <w:rPr>
                <w:lang w:val="fr-FR"/>
              </w:rPr>
              <w:t>&gt; 35 °C</w:t>
            </w:r>
          </w:p>
        </w:tc>
        <w:tc>
          <w:tcPr>
            <w:tcW w:w="2167" w:type="dxa"/>
            <w:tcBorders>
              <w:bottom w:val="single" w:sz="4" w:space="0" w:color="auto"/>
            </w:tcBorders>
            <w:shd w:val="clear" w:color="auto" w:fill="auto"/>
            <w:tcMar>
              <w:left w:w="113" w:type="dxa"/>
            </w:tcMar>
          </w:tcPr>
          <w:p w14:paraId="24FFE991" w14:textId="2EF5B4F4" w:rsidR="00FC5572" w:rsidRPr="0081173C" w:rsidRDefault="00FC5572" w:rsidP="00FC5572">
            <w:pPr>
              <w:keepNext/>
              <w:keepLines/>
              <w:spacing w:line="240" w:lineRule="auto"/>
              <w:rPr>
                <w:lang w:val="fr-FR"/>
              </w:rPr>
            </w:pPr>
            <w:r w:rsidRPr="0081173C">
              <w:rPr>
                <w:lang w:val="fr-FR"/>
              </w:rPr>
              <w:t xml:space="preserve">10 °C au-dessous </w:t>
            </w:r>
            <w:r w:rsidRPr="0081173C">
              <w:rPr>
                <w:lang w:val="fr-FR"/>
              </w:rPr>
              <w:br/>
              <w:t>de la TDAA/TPAA</w:t>
            </w:r>
          </w:p>
        </w:tc>
        <w:tc>
          <w:tcPr>
            <w:tcW w:w="2349" w:type="dxa"/>
            <w:tcBorders>
              <w:bottom w:val="single" w:sz="4" w:space="0" w:color="auto"/>
            </w:tcBorders>
            <w:shd w:val="clear" w:color="auto" w:fill="auto"/>
            <w:tcMar>
              <w:left w:w="113" w:type="dxa"/>
            </w:tcMar>
          </w:tcPr>
          <w:p w14:paraId="08B01F85" w14:textId="232BC185" w:rsidR="00FC5572" w:rsidRPr="0081173C" w:rsidRDefault="00FC5572" w:rsidP="00FC5572">
            <w:pPr>
              <w:keepNext/>
              <w:keepLines/>
              <w:spacing w:line="240" w:lineRule="auto"/>
              <w:rPr>
                <w:lang w:val="fr-FR"/>
              </w:rPr>
            </w:pPr>
            <w:r w:rsidRPr="0081173C">
              <w:rPr>
                <w:lang w:val="fr-FR"/>
              </w:rPr>
              <w:t xml:space="preserve">5 °C au-dessous </w:t>
            </w:r>
            <w:r w:rsidRPr="0081173C">
              <w:rPr>
                <w:lang w:val="fr-FR"/>
              </w:rPr>
              <w:br/>
              <w:t>de la TDAA/TPAA</w:t>
            </w:r>
          </w:p>
        </w:tc>
      </w:tr>
      <w:tr w:rsidR="00A074FC" w:rsidRPr="0081173C" w14:paraId="4B6D5515" w14:textId="77777777" w:rsidTr="00EF4D90">
        <w:tc>
          <w:tcPr>
            <w:tcW w:w="1170" w:type="dxa"/>
            <w:tcBorders>
              <w:top w:val="single" w:sz="4" w:space="0" w:color="auto"/>
            </w:tcBorders>
            <w:shd w:val="clear" w:color="auto" w:fill="auto"/>
            <w:tcMar>
              <w:left w:w="113" w:type="dxa"/>
            </w:tcMar>
            <w:hideMark/>
          </w:tcPr>
          <w:p w14:paraId="4892194C" w14:textId="7D3E6B98" w:rsidR="00FC5572" w:rsidRPr="0081173C" w:rsidRDefault="00FC5572" w:rsidP="00FC5572">
            <w:pPr>
              <w:keepNext/>
              <w:keepLines/>
              <w:spacing w:line="240" w:lineRule="auto"/>
              <w:rPr>
                <w:rFonts w:eastAsiaTheme="minorHAnsi"/>
                <w:lang w:val="fr-FR" w:eastAsia="de-DE"/>
              </w:rPr>
            </w:pPr>
            <w:r w:rsidRPr="0081173C">
              <w:rPr>
                <w:lang w:val="fr-FR"/>
              </w:rPr>
              <w:t>Citernes</w:t>
            </w:r>
          </w:p>
        </w:tc>
        <w:tc>
          <w:tcPr>
            <w:tcW w:w="1685" w:type="dxa"/>
            <w:tcBorders>
              <w:top w:val="single" w:sz="4" w:space="0" w:color="auto"/>
            </w:tcBorders>
            <w:shd w:val="clear" w:color="auto" w:fill="auto"/>
            <w:tcMar>
              <w:left w:w="113" w:type="dxa"/>
            </w:tcMar>
            <w:hideMark/>
          </w:tcPr>
          <w:p w14:paraId="27E1488F" w14:textId="30DE992B" w:rsidR="00FC5572" w:rsidRPr="0081173C" w:rsidRDefault="0081173C" w:rsidP="00FC5572">
            <w:pPr>
              <w:keepNext/>
              <w:keepLines/>
              <w:spacing w:line="240" w:lineRule="auto"/>
              <w:rPr>
                <w:rFonts w:eastAsiaTheme="minorHAnsi"/>
                <w:lang w:val="fr-FR" w:eastAsia="de-DE"/>
              </w:rPr>
            </w:pPr>
            <w:r>
              <w:rPr>
                <w:lang w:val="fr-FR"/>
              </w:rPr>
              <w:t>≤ 45 °C</w:t>
            </w:r>
          </w:p>
        </w:tc>
        <w:tc>
          <w:tcPr>
            <w:tcW w:w="2167" w:type="dxa"/>
            <w:tcBorders>
              <w:top w:val="single" w:sz="4" w:space="0" w:color="auto"/>
            </w:tcBorders>
            <w:shd w:val="clear" w:color="auto" w:fill="auto"/>
            <w:tcMar>
              <w:left w:w="113" w:type="dxa"/>
            </w:tcMar>
            <w:hideMark/>
          </w:tcPr>
          <w:p w14:paraId="08A96886" w14:textId="77777777" w:rsidR="00FC5572" w:rsidRPr="0081173C" w:rsidRDefault="00FC5572" w:rsidP="00FC5572">
            <w:pPr>
              <w:keepNext/>
              <w:keepLines/>
              <w:spacing w:line="240" w:lineRule="auto"/>
              <w:rPr>
                <w:rFonts w:eastAsiaTheme="minorHAnsi"/>
                <w:lang w:val="fr-FR" w:eastAsia="de-DE"/>
              </w:rPr>
            </w:pPr>
            <w:r w:rsidRPr="0081173C">
              <w:rPr>
                <w:lang w:val="fr-FR"/>
              </w:rPr>
              <w:t xml:space="preserve">10 °C au-dessous </w:t>
            </w:r>
            <w:r w:rsidRPr="0081173C">
              <w:rPr>
                <w:lang w:val="fr-FR"/>
              </w:rPr>
              <w:br/>
              <w:t>de la TDAA/TPAA</w:t>
            </w:r>
          </w:p>
        </w:tc>
        <w:tc>
          <w:tcPr>
            <w:tcW w:w="2349" w:type="dxa"/>
            <w:tcBorders>
              <w:top w:val="single" w:sz="4" w:space="0" w:color="auto"/>
            </w:tcBorders>
            <w:shd w:val="clear" w:color="auto" w:fill="auto"/>
            <w:tcMar>
              <w:left w:w="113" w:type="dxa"/>
            </w:tcMar>
            <w:hideMark/>
          </w:tcPr>
          <w:p w14:paraId="661B9699" w14:textId="77777777" w:rsidR="00FC5572" w:rsidRPr="0081173C" w:rsidRDefault="00FC5572" w:rsidP="00FC5572">
            <w:pPr>
              <w:keepNext/>
              <w:keepLines/>
              <w:spacing w:line="240" w:lineRule="auto"/>
              <w:rPr>
                <w:rFonts w:eastAsiaTheme="minorHAnsi"/>
                <w:lang w:val="fr-FR" w:eastAsia="de-DE"/>
              </w:rPr>
            </w:pPr>
            <w:r w:rsidRPr="0081173C">
              <w:rPr>
                <w:lang w:val="fr-FR"/>
              </w:rPr>
              <w:t xml:space="preserve">5 °C au-dessous </w:t>
            </w:r>
            <w:r w:rsidRPr="0081173C">
              <w:rPr>
                <w:lang w:val="fr-FR"/>
              </w:rPr>
              <w:br/>
              <w:t>de la TDAA/TPAA</w:t>
            </w:r>
          </w:p>
        </w:tc>
      </w:tr>
    </w:tbl>
    <w:p w14:paraId="3C65D6E1" w14:textId="6B623783" w:rsidR="00A5193B" w:rsidRPr="0081173C" w:rsidRDefault="00A5193B" w:rsidP="005E4486">
      <w:pPr>
        <w:pStyle w:val="SingleTxtG"/>
        <w:keepNext/>
        <w:keepLines/>
        <w:ind w:left="1701"/>
        <w:rPr>
          <w:i/>
          <w:lang w:val="fr-FR"/>
        </w:rPr>
      </w:pPr>
      <w:r w:rsidRPr="0081173C">
        <w:rPr>
          <w:b/>
          <w:vertAlign w:val="superscript"/>
          <w:lang w:val="fr-FR"/>
        </w:rPr>
        <w:t>a</w:t>
      </w:r>
      <w:r w:rsidR="00EF4D90" w:rsidRPr="0081173C">
        <w:rPr>
          <w:i/>
          <w:lang w:val="fr-FR"/>
        </w:rPr>
        <w:tab/>
      </w:r>
      <w:r w:rsidRPr="0081173C">
        <w:rPr>
          <w:i/>
          <w:lang w:val="fr-FR"/>
        </w:rPr>
        <w:t xml:space="preserve">On entend par là la température de décomposition auto-accélérée </w:t>
      </w:r>
      <w:r w:rsidR="00EF4D90" w:rsidRPr="0081173C">
        <w:rPr>
          <w:i/>
          <w:lang w:val="fr-FR"/>
        </w:rPr>
        <w:t xml:space="preserve">ou la température de polymérisation auto-accélérée </w:t>
      </w:r>
      <w:r w:rsidRPr="0081173C">
        <w:rPr>
          <w:i/>
          <w:lang w:val="fr-FR"/>
        </w:rPr>
        <w:t>de la matière telle qu’emballée pour le transport.</w:t>
      </w:r>
    </w:p>
    <w:p w14:paraId="29F13DD2" w14:textId="1C8F2F57" w:rsidR="00A5193B" w:rsidRPr="0081173C" w:rsidRDefault="005045B2" w:rsidP="002A4B9C">
      <w:pPr>
        <w:pStyle w:val="SingleTxtG"/>
        <w:rPr>
          <w:lang w:val="fr-FR"/>
        </w:rPr>
      </w:pPr>
      <w:r w:rsidRPr="0081173C">
        <w:rPr>
          <w:lang w:val="fr-FR"/>
        </w:rPr>
        <w:t>7.1.7.3.6</w:t>
      </w:r>
      <w:r w:rsidR="00A5193B" w:rsidRPr="0081173C">
        <w:rPr>
          <w:lang w:val="fr-FR"/>
        </w:rPr>
        <w:tab/>
        <w:t xml:space="preserve">La température de régulation et la température critique sont calculées à l’aide du tableau sous </w:t>
      </w:r>
      <w:r w:rsidR="00FC0A4E" w:rsidRPr="0081173C">
        <w:rPr>
          <w:lang w:val="fr-FR"/>
        </w:rPr>
        <w:t>7.1.5.3.5</w:t>
      </w:r>
      <w:r w:rsidR="00A5193B" w:rsidRPr="0081173C">
        <w:rPr>
          <w:lang w:val="fr-FR"/>
        </w:rPr>
        <w:t xml:space="preserve"> à partir de la </w:t>
      </w:r>
      <w:r w:rsidR="00A9724C" w:rsidRPr="0081173C">
        <w:rPr>
          <w:lang w:val="fr-FR"/>
        </w:rPr>
        <w:t>TDAA</w:t>
      </w:r>
      <w:r w:rsidR="00A5193B" w:rsidRPr="0081173C">
        <w:rPr>
          <w:lang w:val="fr-FR"/>
        </w:rPr>
        <w:t xml:space="preserve"> ou de la </w:t>
      </w:r>
      <w:r w:rsidR="00A9724C" w:rsidRPr="0081173C">
        <w:rPr>
          <w:lang w:val="fr-FR"/>
        </w:rPr>
        <w:t>TPAA</w:t>
      </w:r>
      <w:r w:rsidR="00A5193B" w:rsidRPr="0081173C">
        <w:rPr>
          <w:lang w:val="fr-FR"/>
        </w:rPr>
        <w:t xml:space="preserve">, qui sont </w:t>
      </w:r>
      <w:r w:rsidR="00771312" w:rsidRPr="0081173C">
        <w:rPr>
          <w:lang w:val="fr-FR"/>
        </w:rPr>
        <w:t xml:space="preserve">définies comme </w:t>
      </w:r>
      <w:r w:rsidR="00A5193B" w:rsidRPr="0081173C">
        <w:rPr>
          <w:lang w:val="fr-FR"/>
        </w:rPr>
        <w:t xml:space="preserve">les plus basses températures auxquelles une telle décomposition ou une telle polymérisation peut se produire dans l’emballage, le GRV ou la citerne mobile utilisé pour le transport. On doit déterminer la TDAA ou la TPAA pour savoir si une matière doit faire l’objet d’une régulation de température pendant le transport. Les dispositions concernant </w:t>
      </w:r>
      <w:r w:rsidR="002A4B9C" w:rsidRPr="0081173C">
        <w:rPr>
          <w:lang w:val="fr-FR"/>
        </w:rPr>
        <w:t>la détermination de la TDAA et de la TPAA</w:t>
      </w:r>
      <w:r w:rsidR="00A5193B" w:rsidRPr="0081173C">
        <w:rPr>
          <w:lang w:val="fr-FR"/>
        </w:rPr>
        <w:t xml:space="preserve"> sont énoncées </w:t>
      </w:r>
      <w:r w:rsidRPr="0081173C">
        <w:rPr>
          <w:lang w:val="fr-FR"/>
        </w:rPr>
        <w:t>dans la section 28 de la deuxième partie du Manuel d’épreuves et de critères</w:t>
      </w:r>
      <w:r w:rsidR="00A5193B" w:rsidRPr="0081173C">
        <w:rPr>
          <w:lang w:val="fr-FR"/>
        </w:rPr>
        <w:t>.</w:t>
      </w:r>
    </w:p>
    <w:p w14:paraId="26DD7117" w14:textId="0B9EF5E5" w:rsidR="00A5193B" w:rsidRPr="0081173C" w:rsidRDefault="005045B2" w:rsidP="002A4B9C">
      <w:pPr>
        <w:pStyle w:val="SingleTxtG"/>
        <w:rPr>
          <w:lang w:val="fr-FR"/>
        </w:rPr>
      </w:pPr>
      <w:r w:rsidRPr="0081173C">
        <w:rPr>
          <w:lang w:val="fr-FR"/>
        </w:rPr>
        <w:t>7.1.7.3.7</w:t>
      </w:r>
      <w:r w:rsidR="00A5193B" w:rsidRPr="0081173C">
        <w:rPr>
          <w:lang w:val="fr-FR"/>
        </w:rPr>
        <w:tab/>
        <w:t xml:space="preserve">La température de régulation et la température critique pour les matières autoréactives et pour les préparations de peroxydes organiques déjà classées sont indiquées aux </w:t>
      </w:r>
      <w:r w:rsidRPr="0081173C">
        <w:rPr>
          <w:lang w:val="fr-FR"/>
        </w:rPr>
        <w:t>2.2.41.4</w:t>
      </w:r>
      <w:r w:rsidR="00A5193B" w:rsidRPr="0081173C">
        <w:rPr>
          <w:lang w:val="fr-FR"/>
        </w:rPr>
        <w:t xml:space="preserve"> et </w:t>
      </w:r>
      <w:r w:rsidRPr="0081173C">
        <w:rPr>
          <w:lang w:val="fr-FR"/>
        </w:rPr>
        <w:t>2.2.52.4</w:t>
      </w:r>
      <w:r w:rsidR="00A5193B" w:rsidRPr="0081173C">
        <w:rPr>
          <w:lang w:val="fr-FR"/>
        </w:rPr>
        <w:t>, respectivement.</w:t>
      </w:r>
    </w:p>
    <w:p w14:paraId="184843FE" w14:textId="796489B9" w:rsidR="00A5193B" w:rsidRPr="0081173C" w:rsidRDefault="005045B2" w:rsidP="002A4B9C">
      <w:pPr>
        <w:pStyle w:val="SingleTxtG"/>
        <w:rPr>
          <w:lang w:val="fr-FR"/>
        </w:rPr>
      </w:pPr>
      <w:r w:rsidRPr="0081173C">
        <w:rPr>
          <w:lang w:val="fr-FR"/>
        </w:rPr>
        <w:t>7.1.7.3.8</w:t>
      </w:r>
      <w:r w:rsidR="00A5193B" w:rsidRPr="0081173C">
        <w:rPr>
          <w:lang w:val="fr-FR"/>
        </w:rPr>
        <w:tab/>
        <w:t xml:space="preserve">La température réelle de transport pourra être inférieure à la température de régulation, mais elle devra être </w:t>
      </w:r>
      <w:r w:rsidR="00165CD1" w:rsidRPr="0081173C">
        <w:rPr>
          <w:lang w:val="fr-FR"/>
        </w:rPr>
        <w:t>choisie de manière à éviter</w:t>
      </w:r>
      <w:r w:rsidR="00A5193B" w:rsidRPr="0081173C">
        <w:rPr>
          <w:lang w:val="fr-FR"/>
        </w:rPr>
        <w:t xml:space="preserve"> une séparation dangereuse des phases.</w:t>
      </w:r>
    </w:p>
    <w:p w14:paraId="27652970" w14:textId="514790DC" w:rsidR="00A5193B" w:rsidRPr="0081173C" w:rsidRDefault="005045B2" w:rsidP="00FB018B">
      <w:pPr>
        <w:pStyle w:val="SingleTxtG"/>
        <w:tabs>
          <w:tab w:val="left" w:pos="2268"/>
        </w:tabs>
        <w:rPr>
          <w:b/>
          <w:lang w:val="fr-FR"/>
        </w:rPr>
      </w:pPr>
      <w:r w:rsidRPr="0081173C">
        <w:rPr>
          <w:b/>
          <w:lang w:val="fr-FR"/>
        </w:rPr>
        <w:t>7.1.7.4</w:t>
      </w:r>
      <w:r w:rsidR="00A5193B" w:rsidRPr="0081173C">
        <w:rPr>
          <w:b/>
          <w:lang w:val="fr-FR"/>
        </w:rPr>
        <w:tab/>
      </w:r>
      <w:r w:rsidR="00A5193B" w:rsidRPr="0081173C">
        <w:rPr>
          <w:b/>
          <w:i/>
          <w:lang w:val="fr-FR"/>
        </w:rPr>
        <w:t>Transport avec régulation de température</w:t>
      </w:r>
    </w:p>
    <w:p w14:paraId="0C1F6033" w14:textId="32A196FA" w:rsidR="00A5193B" w:rsidRPr="0081173C" w:rsidRDefault="005045B2" w:rsidP="00A5193B">
      <w:pPr>
        <w:pStyle w:val="SingleTxtG"/>
        <w:rPr>
          <w:lang w:val="fr-FR"/>
        </w:rPr>
      </w:pPr>
      <w:r w:rsidRPr="0081173C">
        <w:rPr>
          <w:lang w:val="fr-FR"/>
        </w:rPr>
        <w:t>7.1.7.4.1</w:t>
      </w:r>
      <w:r w:rsidR="00A5193B" w:rsidRPr="0081173C">
        <w:rPr>
          <w:lang w:val="fr-FR"/>
        </w:rPr>
        <w:tab/>
        <w:t xml:space="preserve">Le maintien de la température prescrite est une condition indispensable pour la sécurité du transport des matières stabilisées par régulation de température. </w:t>
      </w:r>
      <w:r w:rsidR="004979FC" w:rsidRPr="0081173C">
        <w:rPr>
          <w:lang w:val="fr-FR"/>
        </w:rPr>
        <w:t>En général il doit y avoir</w:t>
      </w:r>
      <w:r w:rsidR="00232606" w:rsidRPr="0081173C">
        <w:rPr>
          <w:lang w:val="fr-FR"/>
        </w:rPr>
        <w:t> </w:t>
      </w:r>
      <w:r w:rsidR="004979FC" w:rsidRPr="0081173C">
        <w:rPr>
          <w:lang w:val="fr-FR"/>
        </w:rPr>
        <w:t>:</w:t>
      </w:r>
    </w:p>
    <w:p w14:paraId="2ABA292B" w14:textId="2D32DD91" w:rsidR="00A5193B" w:rsidRPr="0081173C" w:rsidRDefault="00A5193B" w:rsidP="00A5193B">
      <w:pPr>
        <w:pStyle w:val="SingleTxtG"/>
        <w:ind w:left="2268"/>
        <w:rPr>
          <w:spacing w:val="-2"/>
          <w:lang w:val="fr-FR"/>
        </w:rPr>
      </w:pPr>
      <w:r w:rsidRPr="0081173C">
        <w:rPr>
          <w:lang w:val="fr-FR"/>
        </w:rPr>
        <w:t>a)</w:t>
      </w:r>
      <w:r w:rsidRPr="0081173C">
        <w:rPr>
          <w:lang w:val="fr-FR"/>
        </w:rPr>
        <w:tab/>
      </w:r>
      <w:r w:rsidR="004979FC" w:rsidRPr="0081173C">
        <w:rPr>
          <w:spacing w:val="-2"/>
          <w:lang w:val="fr-FR"/>
        </w:rPr>
        <w:t>Une inspection minutieuse de l’engin de transport avant le chargement</w:t>
      </w:r>
      <w:r w:rsidRPr="0081173C">
        <w:rPr>
          <w:spacing w:val="-2"/>
          <w:lang w:val="fr-FR"/>
        </w:rPr>
        <w:t>;</w:t>
      </w:r>
    </w:p>
    <w:p w14:paraId="42CA29A4" w14:textId="14133A82" w:rsidR="00A5193B" w:rsidRPr="0081173C" w:rsidRDefault="00A5193B" w:rsidP="005045B2">
      <w:pPr>
        <w:pStyle w:val="SingleTxtG"/>
        <w:ind w:left="2268"/>
        <w:rPr>
          <w:lang w:val="fr-FR"/>
        </w:rPr>
      </w:pPr>
      <w:r w:rsidRPr="0081173C">
        <w:rPr>
          <w:lang w:val="fr-FR"/>
        </w:rPr>
        <w:lastRenderedPageBreak/>
        <w:t>b)</w:t>
      </w:r>
      <w:r w:rsidRPr="0081173C">
        <w:rPr>
          <w:lang w:val="fr-FR"/>
        </w:rPr>
        <w:tab/>
      </w:r>
      <w:r w:rsidR="004979FC" w:rsidRPr="0081173C">
        <w:rPr>
          <w:lang w:val="fr-FR"/>
        </w:rPr>
        <w:t>Des consignes pour le transporteur sur le fonctionnement du système de réfrigération</w:t>
      </w:r>
      <w:r w:rsidR="005045B2" w:rsidRPr="0081173C">
        <w:rPr>
          <w:lang w:val="fr-FR"/>
        </w:rPr>
        <w:t xml:space="preserve"> y compris, le cas échéant, d'une liste des fournisseurs des matières réfrigérantes disponibles en cours de route</w:t>
      </w:r>
      <w:r w:rsidRPr="0081173C">
        <w:rPr>
          <w:lang w:val="fr-FR"/>
        </w:rPr>
        <w:t>;</w:t>
      </w:r>
    </w:p>
    <w:p w14:paraId="60AC5C4E" w14:textId="20204B75" w:rsidR="00A5193B" w:rsidRPr="0081173C" w:rsidRDefault="00A5193B" w:rsidP="00A5193B">
      <w:pPr>
        <w:pStyle w:val="SingleTxtG"/>
        <w:ind w:left="2268"/>
        <w:rPr>
          <w:lang w:val="fr-FR"/>
        </w:rPr>
      </w:pPr>
      <w:r w:rsidRPr="0081173C">
        <w:rPr>
          <w:lang w:val="fr-FR"/>
        </w:rPr>
        <w:t>c)</w:t>
      </w:r>
      <w:r w:rsidRPr="0081173C">
        <w:rPr>
          <w:lang w:val="fr-FR"/>
        </w:rPr>
        <w:tab/>
      </w:r>
      <w:r w:rsidR="004979FC" w:rsidRPr="0081173C">
        <w:rPr>
          <w:lang w:val="fr-FR"/>
        </w:rPr>
        <w:t>Des procédures à suivre en cas de défaillance de la régulation</w:t>
      </w:r>
      <w:r w:rsidRPr="0081173C">
        <w:rPr>
          <w:lang w:val="fr-FR"/>
        </w:rPr>
        <w:t>;</w:t>
      </w:r>
    </w:p>
    <w:p w14:paraId="4F5E1379" w14:textId="42290500" w:rsidR="00A5193B" w:rsidRPr="0081173C" w:rsidRDefault="00A5193B" w:rsidP="00A5193B">
      <w:pPr>
        <w:pStyle w:val="SingleTxtG"/>
        <w:ind w:left="2268"/>
        <w:rPr>
          <w:spacing w:val="-2"/>
          <w:lang w:val="fr-FR"/>
        </w:rPr>
      </w:pPr>
      <w:r w:rsidRPr="0081173C">
        <w:rPr>
          <w:lang w:val="fr-FR"/>
        </w:rPr>
        <w:t>d)</w:t>
      </w:r>
      <w:r w:rsidRPr="0081173C">
        <w:rPr>
          <w:lang w:val="fr-FR"/>
        </w:rPr>
        <w:tab/>
      </w:r>
      <w:r w:rsidR="004979FC" w:rsidRPr="0081173C">
        <w:rPr>
          <w:lang w:val="fr-FR"/>
        </w:rPr>
        <w:t xml:space="preserve">Une </w:t>
      </w:r>
      <w:r w:rsidR="004979FC" w:rsidRPr="0081173C">
        <w:rPr>
          <w:spacing w:val="-2"/>
          <w:lang w:val="fr-FR"/>
        </w:rPr>
        <w:t>surveillance régulière des températures de service; et</w:t>
      </w:r>
      <w:r w:rsidRPr="0081173C">
        <w:rPr>
          <w:spacing w:val="-2"/>
          <w:lang w:val="fr-FR"/>
        </w:rPr>
        <w:t xml:space="preserve"> </w:t>
      </w:r>
    </w:p>
    <w:p w14:paraId="671DDB73" w14:textId="05284936" w:rsidR="00A5193B" w:rsidRPr="0081173C" w:rsidRDefault="00A5193B" w:rsidP="00A5193B">
      <w:pPr>
        <w:pStyle w:val="SingleTxtG"/>
        <w:ind w:left="2268"/>
        <w:rPr>
          <w:lang w:val="fr-FR"/>
        </w:rPr>
      </w:pPr>
      <w:r w:rsidRPr="0081173C">
        <w:rPr>
          <w:lang w:val="fr-FR"/>
        </w:rPr>
        <w:t>e)</w:t>
      </w:r>
      <w:r w:rsidRPr="0081173C">
        <w:rPr>
          <w:lang w:val="fr-FR"/>
        </w:rPr>
        <w:tab/>
      </w:r>
      <w:r w:rsidR="004979FC" w:rsidRPr="0081173C">
        <w:rPr>
          <w:lang w:val="fr-FR"/>
        </w:rPr>
        <w:t>La fourniture d'un système de réfrigération de secours ou de pièces de rechange.</w:t>
      </w:r>
    </w:p>
    <w:p w14:paraId="7F78CA74" w14:textId="5969BBC8" w:rsidR="00A5193B" w:rsidRPr="0081173C" w:rsidRDefault="00B57E96" w:rsidP="002A4B9C">
      <w:pPr>
        <w:pStyle w:val="SingleTxtG"/>
        <w:rPr>
          <w:lang w:val="fr-FR"/>
        </w:rPr>
      </w:pPr>
      <w:r w:rsidRPr="0081173C">
        <w:rPr>
          <w:lang w:val="fr-FR"/>
        </w:rPr>
        <w:t>7.1.7.4.2</w:t>
      </w:r>
      <w:r w:rsidR="00A5193B" w:rsidRPr="0081173C">
        <w:rPr>
          <w:lang w:val="fr-FR"/>
        </w:rPr>
        <w:tab/>
      </w:r>
      <w:r w:rsidR="004979FC" w:rsidRPr="0081173C">
        <w:rPr>
          <w:lang w:val="fr-FR"/>
        </w:rPr>
        <w:t>Tous les dispositifs de commande et capteurs de température dans le système de réfrigération doivent être facilement accessibles, et toutes les connexions électriques doivent être protégées contre les intempéries.</w:t>
      </w:r>
      <w:r w:rsidR="00A5193B" w:rsidRPr="0081173C">
        <w:rPr>
          <w:lang w:val="fr-FR"/>
        </w:rPr>
        <w:t xml:space="preserve"> La température de l’</w:t>
      </w:r>
      <w:r w:rsidR="004979FC" w:rsidRPr="0081173C">
        <w:rPr>
          <w:lang w:val="fr-FR"/>
        </w:rPr>
        <w:t>espace d’</w:t>
      </w:r>
      <w:r w:rsidR="00A5193B" w:rsidRPr="0081173C">
        <w:rPr>
          <w:lang w:val="fr-FR"/>
        </w:rPr>
        <w:t xml:space="preserve">air à l’intérieur de l’engin de transport </w:t>
      </w:r>
      <w:r w:rsidR="004979FC" w:rsidRPr="0081173C">
        <w:rPr>
          <w:lang w:val="fr-FR"/>
        </w:rPr>
        <w:t>doit être mesurée par deux capteurs indépendants et les données doivent être enregistrées de manière à ce que tout changement de température soit facilement discernable.</w:t>
      </w:r>
      <w:r w:rsidR="00A5193B" w:rsidRPr="0081173C">
        <w:rPr>
          <w:lang w:val="fr-FR"/>
        </w:rPr>
        <w:t xml:space="preserve"> </w:t>
      </w:r>
      <w:r w:rsidR="00B0583F" w:rsidRPr="0081173C">
        <w:rPr>
          <w:lang w:val="fr-FR"/>
        </w:rPr>
        <w:t>La température doit être contrôlée à intervalles de quatre à six heures et consignée.</w:t>
      </w:r>
      <w:r w:rsidR="00A5193B" w:rsidRPr="0081173C">
        <w:rPr>
          <w:lang w:val="fr-FR"/>
        </w:rPr>
        <w:t xml:space="preserve"> </w:t>
      </w:r>
      <w:r w:rsidR="00B0583F" w:rsidRPr="0081173C">
        <w:rPr>
          <w:lang w:val="fr-FR"/>
        </w:rPr>
        <w:t>Lors du transport de matières ayant une températu</w:t>
      </w:r>
      <w:r w:rsidR="00F8202D" w:rsidRPr="0081173C">
        <w:rPr>
          <w:lang w:val="fr-FR"/>
        </w:rPr>
        <w:t>re de régulation inférieure à + 25 </w:t>
      </w:r>
      <w:r w:rsidR="00B0583F" w:rsidRPr="0081173C">
        <w:rPr>
          <w:lang w:val="fr-FR"/>
        </w:rPr>
        <w:t>°C, l’engin de transport doit être équipé de dispositifs d'alarme optique et sonore, alimentés indépendamment du système de réfrigération, réglés pour fonctionner à une température égale ou inférieure à la température de régulation</w:t>
      </w:r>
      <w:r w:rsidR="00A5193B" w:rsidRPr="0081173C">
        <w:rPr>
          <w:lang w:val="fr-FR"/>
        </w:rPr>
        <w:t>.</w:t>
      </w:r>
    </w:p>
    <w:p w14:paraId="57FBB1C2" w14:textId="1C340A85" w:rsidR="00A5193B" w:rsidRPr="0081173C" w:rsidRDefault="00B57E96" w:rsidP="002A4B9C">
      <w:pPr>
        <w:pStyle w:val="SingleTxtG"/>
        <w:rPr>
          <w:lang w:val="fr-FR"/>
        </w:rPr>
      </w:pPr>
      <w:r w:rsidRPr="0081173C">
        <w:rPr>
          <w:lang w:val="fr-FR"/>
        </w:rPr>
        <w:t>7.1.7.4.3</w:t>
      </w:r>
      <w:r w:rsidR="00A5193B" w:rsidRPr="0081173C">
        <w:rPr>
          <w:lang w:val="fr-FR"/>
        </w:rPr>
        <w:tab/>
      </w:r>
      <w:r w:rsidR="00087DC7" w:rsidRPr="0081173C">
        <w:rPr>
          <w:lang w:val="fr-FR"/>
        </w:rPr>
        <w:t>Si la température de régulation est dépassée au cours du transport, une procédure d'alerte, comprenant la réparation éventuelle du dispositif frigorifique ou le renforcement de la capacité de refroidissement (par exemple par adjonction de matières réfrigérantes liquides ou solides), doit être déclenchée.</w:t>
      </w:r>
      <w:r w:rsidR="00A5193B" w:rsidRPr="0081173C">
        <w:rPr>
          <w:lang w:val="fr-FR"/>
        </w:rPr>
        <w:t xml:space="preserve"> On doit en outre contrôler fréquemment la température et se préparer à prendre des mesures d’urgence. </w:t>
      </w:r>
      <w:r w:rsidR="00087DC7" w:rsidRPr="0081173C">
        <w:rPr>
          <w:lang w:val="fr-FR"/>
        </w:rPr>
        <w:t>Si la température critique est atteinte, les mesures d'urgence doivent être engagées.</w:t>
      </w:r>
    </w:p>
    <w:p w14:paraId="6DDF55C9" w14:textId="13D0EFCD" w:rsidR="00A5193B" w:rsidRPr="0081173C" w:rsidRDefault="00B57E96" w:rsidP="002A4B9C">
      <w:pPr>
        <w:pStyle w:val="SingleTxtG"/>
        <w:rPr>
          <w:lang w:val="fr-FR"/>
        </w:rPr>
      </w:pPr>
      <w:r w:rsidRPr="0081173C">
        <w:rPr>
          <w:lang w:val="fr-FR"/>
        </w:rPr>
        <w:t>7.1.7.4.4</w:t>
      </w:r>
      <w:r w:rsidR="00A5193B" w:rsidRPr="0081173C">
        <w:rPr>
          <w:lang w:val="fr-FR"/>
        </w:rPr>
        <w:tab/>
        <w:t>Le moyen de régulation de température choisi pour le transport dépend d’un cert</w:t>
      </w:r>
      <w:r w:rsidR="00771312" w:rsidRPr="0081173C">
        <w:rPr>
          <w:lang w:val="fr-FR"/>
        </w:rPr>
        <w:t>ain nombre de facteurs, tels que</w:t>
      </w:r>
      <w:r w:rsidR="00A5193B" w:rsidRPr="0081173C">
        <w:rPr>
          <w:lang w:val="fr-FR"/>
        </w:rPr>
        <w:t xml:space="preserve">: </w:t>
      </w:r>
    </w:p>
    <w:p w14:paraId="2BEAF8F5" w14:textId="0CC7B5BA" w:rsidR="00A5193B" w:rsidRPr="0081173C" w:rsidRDefault="00A5193B" w:rsidP="00A5193B">
      <w:pPr>
        <w:pStyle w:val="SingleTxtG"/>
        <w:ind w:left="2268"/>
        <w:rPr>
          <w:lang w:val="fr-FR"/>
        </w:rPr>
      </w:pPr>
      <w:r w:rsidRPr="0081173C">
        <w:rPr>
          <w:lang w:val="fr-FR"/>
        </w:rPr>
        <w:t>a)</w:t>
      </w:r>
      <w:r w:rsidRPr="0081173C">
        <w:rPr>
          <w:lang w:val="fr-FR"/>
        </w:rPr>
        <w:tab/>
        <w:t>La ou les températures de régulation de la ou des matières à transporter;</w:t>
      </w:r>
    </w:p>
    <w:p w14:paraId="705D8912" w14:textId="5D71A4C3" w:rsidR="00A5193B" w:rsidRPr="0081173C" w:rsidRDefault="00A5193B" w:rsidP="00771312">
      <w:pPr>
        <w:pStyle w:val="SingleTxtG"/>
        <w:ind w:left="2268"/>
        <w:rPr>
          <w:lang w:val="fr-FR"/>
        </w:rPr>
      </w:pPr>
      <w:r w:rsidRPr="0081173C">
        <w:rPr>
          <w:lang w:val="fr-FR"/>
        </w:rPr>
        <w:t>b)</w:t>
      </w:r>
      <w:r w:rsidRPr="0081173C">
        <w:rPr>
          <w:lang w:val="fr-FR"/>
        </w:rPr>
        <w:tab/>
        <w:t xml:space="preserve">L’écart entre la température de régulation et les </w:t>
      </w:r>
      <w:r w:rsidR="00765AC9" w:rsidRPr="0081173C">
        <w:rPr>
          <w:lang w:val="fr-FR"/>
        </w:rPr>
        <w:t xml:space="preserve">conditions de </w:t>
      </w:r>
      <w:r w:rsidRPr="0081173C">
        <w:rPr>
          <w:lang w:val="fr-FR"/>
        </w:rPr>
        <w:t>températures ambiantes prévues;</w:t>
      </w:r>
    </w:p>
    <w:p w14:paraId="4F606EF9" w14:textId="2C5D84FE" w:rsidR="00A5193B" w:rsidRPr="0081173C" w:rsidRDefault="00A5193B" w:rsidP="00A5193B">
      <w:pPr>
        <w:pStyle w:val="SingleTxtG"/>
        <w:ind w:left="2268"/>
        <w:rPr>
          <w:lang w:val="fr-FR"/>
        </w:rPr>
      </w:pPr>
      <w:r w:rsidRPr="0081173C">
        <w:rPr>
          <w:lang w:val="fr-FR"/>
        </w:rPr>
        <w:t>c)</w:t>
      </w:r>
      <w:r w:rsidRPr="0081173C">
        <w:rPr>
          <w:lang w:val="fr-FR"/>
        </w:rPr>
        <w:tab/>
        <w:t>L’efficacité de l’isolation thermique;</w:t>
      </w:r>
    </w:p>
    <w:p w14:paraId="418E34FA" w14:textId="18B393B1" w:rsidR="00A5193B" w:rsidRPr="0081173C" w:rsidRDefault="00A5193B" w:rsidP="00A5193B">
      <w:pPr>
        <w:pStyle w:val="SingleTxtG"/>
        <w:ind w:left="2268"/>
        <w:rPr>
          <w:lang w:val="fr-FR"/>
        </w:rPr>
      </w:pPr>
      <w:r w:rsidRPr="0081173C">
        <w:rPr>
          <w:lang w:val="fr-FR"/>
        </w:rPr>
        <w:t>d)</w:t>
      </w:r>
      <w:r w:rsidRPr="0081173C">
        <w:rPr>
          <w:lang w:val="fr-FR"/>
        </w:rPr>
        <w:tab/>
        <w:t>La durée du transport;</w:t>
      </w:r>
      <w:r w:rsidR="00765AC9" w:rsidRPr="0081173C">
        <w:rPr>
          <w:lang w:val="fr-FR"/>
        </w:rPr>
        <w:t xml:space="preserve"> et</w:t>
      </w:r>
    </w:p>
    <w:p w14:paraId="07933197" w14:textId="3A4A30A0" w:rsidR="00A5193B" w:rsidRPr="0081173C" w:rsidRDefault="00A5193B" w:rsidP="00A5193B">
      <w:pPr>
        <w:pStyle w:val="SingleTxtG"/>
        <w:ind w:left="2268"/>
        <w:rPr>
          <w:lang w:val="fr-FR"/>
        </w:rPr>
      </w:pPr>
      <w:r w:rsidRPr="0081173C">
        <w:rPr>
          <w:lang w:val="fr-FR"/>
        </w:rPr>
        <w:t>e)</w:t>
      </w:r>
      <w:r w:rsidRPr="0081173C">
        <w:rPr>
          <w:lang w:val="fr-FR"/>
        </w:rPr>
        <w:tab/>
        <w:t>La marge de sécurité prévue pour les retards.</w:t>
      </w:r>
    </w:p>
    <w:p w14:paraId="34E22E5F" w14:textId="39A7F8A0" w:rsidR="00A5193B" w:rsidRPr="0081173C" w:rsidRDefault="00B57E96" w:rsidP="002A4B9C">
      <w:pPr>
        <w:pStyle w:val="SingleTxtG"/>
        <w:rPr>
          <w:lang w:val="fr-FR"/>
        </w:rPr>
      </w:pPr>
      <w:r w:rsidRPr="0081173C">
        <w:rPr>
          <w:lang w:val="fr-FR"/>
        </w:rPr>
        <w:t>7.1.7.4.5</w:t>
      </w:r>
      <w:r w:rsidR="00A5193B" w:rsidRPr="0081173C">
        <w:rPr>
          <w:lang w:val="fr-FR"/>
        </w:rPr>
        <w:tab/>
      </w:r>
      <w:r w:rsidR="00765AC9" w:rsidRPr="0081173C">
        <w:rPr>
          <w:lang w:val="fr-FR"/>
        </w:rPr>
        <w:t>Des méthodes appropriées pour empêcher le dépassement de la température de régulation sont, par ordre croissant d'efficacité:</w:t>
      </w:r>
    </w:p>
    <w:p w14:paraId="6419B50C" w14:textId="684599C2" w:rsidR="00A5193B" w:rsidRPr="0081173C" w:rsidRDefault="00A5193B" w:rsidP="00A5193B">
      <w:pPr>
        <w:pStyle w:val="SingleTxtG"/>
        <w:ind w:left="2268"/>
        <w:rPr>
          <w:lang w:val="fr-FR"/>
        </w:rPr>
      </w:pPr>
      <w:r w:rsidRPr="0081173C">
        <w:rPr>
          <w:lang w:val="fr-FR"/>
        </w:rPr>
        <w:t>a)</w:t>
      </w:r>
      <w:r w:rsidRPr="0081173C">
        <w:rPr>
          <w:lang w:val="fr-FR"/>
        </w:rPr>
        <w:tab/>
      </w:r>
      <w:r w:rsidR="00765AC9" w:rsidRPr="0081173C">
        <w:rPr>
          <w:lang w:val="fr-FR"/>
        </w:rPr>
        <w:t>Isolation thermique, à condition que la température initiale de la ou des matières à transporter soit suffisamment basse par rapport à la température de régulation</w:t>
      </w:r>
      <w:r w:rsidRPr="0081173C">
        <w:rPr>
          <w:lang w:val="fr-FR"/>
        </w:rPr>
        <w:t>;</w:t>
      </w:r>
    </w:p>
    <w:p w14:paraId="49437296" w14:textId="350C76CA" w:rsidR="00A5193B" w:rsidRPr="0081173C" w:rsidRDefault="00A5193B" w:rsidP="00A5193B">
      <w:pPr>
        <w:pStyle w:val="SingleTxtG"/>
        <w:ind w:left="2268"/>
        <w:rPr>
          <w:lang w:val="fr-FR"/>
        </w:rPr>
      </w:pPr>
      <w:r w:rsidRPr="0081173C">
        <w:rPr>
          <w:lang w:val="fr-FR"/>
        </w:rPr>
        <w:t>b)</w:t>
      </w:r>
      <w:r w:rsidRPr="0081173C">
        <w:rPr>
          <w:lang w:val="fr-FR"/>
        </w:rPr>
        <w:tab/>
      </w:r>
      <w:r w:rsidR="00765AC9" w:rsidRPr="0081173C">
        <w:rPr>
          <w:lang w:val="fr-FR"/>
        </w:rPr>
        <w:t>Isolation thermique avec système de refroidissement, à condition que:</w:t>
      </w:r>
      <w:r w:rsidRPr="0081173C">
        <w:rPr>
          <w:lang w:val="fr-FR"/>
        </w:rPr>
        <w:t xml:space="preserve"> </w:t>
      </w:r>
    </w:p>
    <w:p w14:paraId="3B8FCD8B" w14:textId="4FF0866C" w:rsidR="00A5193B" w:rsidRPr="0081173C" w:rsidRDefault="00A5193B" w:rsidP="00A5193B">
      <w:pPr>
        <w:pStyle w:val="SingleTxtG"/>
        <w:ind w:left="2835"/>
        <w:rPr>
          <w:lang w:val="fr-FR"/>
        </w:rPr>
      </w:pPr>
      <w:r w:rsidRPr="0081173C">
        <w:rPr>
          <w:lang w:val="fr-FR"/>
        </w:rPr>
        <w:t>i)</w:t>
      </w:r>
      <w:r w:rsidRPr="0081173C">
        <w:rPr>
          <w:lang w:val="fr-FR"/>
        </w:rPr>
        <w:tab/>
      </w:r>
      <w:r w:rsidR="00765AC9" w:rsidRPr="0081173C">
        <w:rPr>
          <w:lang w:val="fr-FR"/>
        </w:rPr>
        <w:t>une quantité suffisante de réfrigérant</w:t>
      </w:r>
      <w:r w:rsidR="00B57E96" w:rsidRPr="0081173C">
        <w:rPr>
          <w:lang w:val="fr-FR"/>
        </w:rPr>
        <w:t xml:space="preserve"> non inflammable</w:t>
      </w:r>
      <w:r w:rsidR="00765AC9" w:rsidRPr="0081173C">
        <w:rPr>
          <w:lang w:val="fr-FR"/>
        </w:rPr>
        <w:t xml:space="preserve"> (par exemple azote liquide ou neige carbonique) soit transportée, en tenant compte d’une marge raisonnable pour les retards</w:t>
      </w:r>
      <w:r w:rsidR="00B57E96" w:rsidRPr="0081173C">
        <w:rPr>
          <w:lang w:val="fr-FR"/>
        </w:rPr>
        <w:t>, à moins qu'un moyen de ravitaillement soit assuré</w:t>
      </w:r>
      <w:r w:rsidRPr="0081173C">
        <w:rPr>
          <w:lang w:val="fr-FR"/>
        </w:rPr>
        <w:t>;</w:t>
      </w:r>
    </w:p>
    <w:p w14:paraId="16CD1A4D" w14:textId="5B8C2824" w:rsidR="00A5193B" w:rsidRPr="0081173C" w:rsidRDefault="00A5193B" w:rsidP="00A5193B">
      <w:pPr>
        <w:pStyle w:val="SingleTxtG"/>
        <w:ind w:left="2835"/>
        <w:rPr>
          <w:lang w:val="fr-FR"/>
        </w:rPr>
      </w:pPr>
      <w:r w:rsidRPr="0081173C">
        <w:rPr>
          <w:lang w:val="fr-FR"/>
        </w:rPr>
        <w:t>ii)</w:t>
      </w:r>
      <w:r w:rsidRPr="0081173C">
        <w:rPr>
          <w:lang w:val="fr-FR"/>
        </w:rPr>
        <w:tab/>
      </w:r>
      <w:r w:rsidR="00765AC9" w:rsidRPr="0081173C">
        <w:rPr>
          <w:lang w:val="fr-FR"/>
        </w:rPr>
        <w:t>ni l'oxygène liquide ni l'air liquide ne soient utilisés comme réfrigérants;</w:t>
      </w:r>
    </w:p>
    <w:p w14:paraId="5576B66A" w14:textId="3B864E24" w:rsidR="00A5193B" w:rsidRPr="0081173C" w:rsidRDefault="00A5193B" w:rsidP="00A5193B">
      <w:pPr>
        <w:pStyle w:val="SingleTxtG"/>
        <w:ind w:left="2835"/>
        <w:rPr>
          <w:lang w:val="fr-FR"/>
        </w:rPr>
      </w:pPr>
      <w:r w:rsidRPr="0081173C">
        <w:rPr>
          <w:lang w:val="fr-FR"/>
        </w:rPr>
        <w:t>iii)</w:t>
      </w:r>
      <w:r w:rsidRPr="0081173C">
        <w:rPr>
          <w:lang w:val="fr-FR"/>
        </w:rPr>
        <w:tab/>
      </w:r>
      <w:r w:rsidR="00765AC9" w:rsidRPr="0081173C">
        <w:rPr>
          <w:lang w:val="fr-FR"/>
        </w:rPr>
        <w:t>le système de refroidissement ait un effet uniforme, même lorsque la plupart du réfrigérant est épuisée; et</w:t>
      </w:r>
    </w:p>
    <w:p w14:paraId="4640F46C" w14:textId="6360E131" w:rsidR="00A5193B" w:rsidRPr="0081173C" w:rsidRDefault="00A5193B" w:rsidP="00A5193B">
      <w:pPr>
        <w:pStyle w:val="SingleTxtG"/>
        <w:ind w:left="2835"/>
        <w:rPr>
          <w:lang w:val="fr-FR"/>
        </w:rPr>
      </w:pPr>
      <w:r w:rsidRPr="0081173C">
        <w:rPr>
          <w:lang w:val="fr-FR"/>
        </w:rPr>
        <w:lastRenderedPageBreak/>
        <w:t>iv)</w:t>
      </w:r>
      <w:r w:rsidRPr="0081173C">
        <w:rPr>
          <w:lang w:val="fr-FR"/>
        </w:rPr>
        <w:tab/>
      </w:r>
      <w:r w:rsidR="00765AC9" w:rsidRPr="0081173C">
        <w:rPr>
          <w:lang w:val="fr-FR"/>
        </w:rPr>
        <w:t>la nécessité de ventiler l’engin de transport avant d'entrer soit clairement indiquée par un avis inscrit sur la ou les portes de l’engin</w:t>
      </w:r>
      <w:r w:rsidRPr="0081173C">
        <w:rPr>
          <w:lang w:val="fr-FR"/>
        </w:rPr>
        <w:t>;</w:t>
      </w:r>
    </w:p>
    <w:p w14:paraId="44EDAD00" w14:textId="31D798C6" w:rsidR="00A5193B" w:rsidRPr="0081173C" w:rsidRDefault="00A5193B" w:rsidP="00A5193B">
      <w:pPr>
        <w:pStyle w:val="SingleTxtG"/>
        <w:ind w:left="2268"/>
        <w:rPr>
          <w:lang w:val="fr-FR"/>
        </w:rPr>
      </w:pPr>
      <w:r w:rsidRPr="0081173C">
        <w:rPr>
          <w:lang w:val="fr-FR"/>
        </w:rPr>
        <w:t>c)</w:t>
      </w:r>
      <w:r w:rsidRPr="0081173C">
        <w:rPr>
          <w:lang w:val="fr-FR"/>
        </w:rPr>
        <w:tab/>
      </w:r>
      <w:r w:rsidR="00B57E96" w:rsidRPr="0081173C">
        <w:rPr>
          <w:lang w:val="fr-FR"/>
        </w:rPr>
        <w:t xml:space="preserve">Isolation thermique de l'unité et </w:t>
      </w:r>
      <w:r w:rsidR="007B4D8D" w:rsidRPr="0081173C">
        <w:rPr>
          <w:lang w:val="fr-FR"/>
        </w:rPr>
        <w:t xml:space="preserve">réfrigération </w:t>
      </w:r>
      <w:r w:rsidR="000F0288" w:rsidRPr="0081173C">
        <w:rPr>
          <w:lang w:val="fr-FR"/>
        </w:rPr>
        <w:t xml:space="preserve">mécanique simple, à condition que, pour les matières </w:t>
      </w:r>
      <w:r w:rsidR="00C936FB" w:rsidRPr="0081173C">
        <w:rPr>
          <w:lang w:val="fr-FR"/>
        </w:rPr>
        <w:t xml:space="preserve">à transporter </w:t>
      </w:r>
      <w:r w:rsidR="000F0288" w:rsidRPr="0081173C">
        <w:rPr>
          <w:lang w:val="fr-FR"/>
        </w:rPr>
        <w:t>ayant un point d'éclair inférieur à la température critique</w:t>
      </w:r>
      <w:r w:rsidR="00F8202D" w:rsidRPr="0081173C">
        <w:rPr>
          <w:lang w:val="fr-FR"/>
        </w:rPr>
        <w:t xml:space="preserve"> augmentée de 5 </w:t>
      </w:r>
      <w:r w:rsidR="000F0288" w:rsidRPr="0081173C">
        <w:rPr>
          <w:lang w:val="fr-FR"/>
        </w:rPr>
        <w:t>°C, des raccords électriques à protection contre l'explosion</w:t>
      </w:r>
      <w:r w:rsidR="00B57E96" w:rsidRPr="0081173C">
        <w:rPr>
          <w:lang w:val="fr-FR"/>
        </w:rPr>
        <w:t xml:space="preserve">, EEx IIB T3, </w:t>
      </w:r>
      <w:r w:rsidR="000F0288" w:rsidRPr="0081173C">
        <w:rPr>
          <w:lang w:val="fr-FR"/>
        </w:rPr>
        <w:t>soient utilisés dans le compartiment de réfrigération pour éviter le risque d'inflammation des vapeurs</w:t>
      </w:r>
      <w:r w:rsidR="00B57E96" w:rsidRPr="0081173C">
        <w:rPr>
          <w:lang w:val="fr-FR"/>
        </w:rPr>
        <w:t xml:space="preserve"> dégagées par les matières</w:t>
      </w:r>
      <w:r w:rsidRPr="0081173C">
        <w:rPr>
          <w:lang w:val="fr-FR"/>
        </w:rPr>
        <w:t xml:space="preserve">; </w:t>
      </w:r>
    </w:p>
    <w:p w14:paraId="6D12A3B3" w14:textId="238E1A5B" w:rsidR="00A5193B" w:rsidRPr="0081173C" w:rsidRDefault="00A5193B" w:rsidP="00A5193B">
      <w:pPr>
        <w:pStyle w:val="SingleTxtG"/>
        <w:ind w:left="2268"/>
        <w:rPr>
          <w:lang w:val="fr-FR"/>
        </w:rPr>
      </w:pPr>
      <w:r w:rsidRPr="0081173C">
        <w:rPr>
          <w:lang w:val="fr-FR"/>
        </w:rPr>
        <w:t>d)</w:t>
      </w:r>
      <w:r w:rsidRPr="0081173C">
        <w:rPr>
          <w:lang w:val="fr-FR"/>
        </w:rPr>
        <w:tab/>
      </w:r>
      <w:r w:rsidR="00B57E96" w:rsidRPr="0081173C">
        <w:rPr>
          <w:lang w:val="fr-FR"/>
        </w:rPr>
        <w:t xml:space="preserve">Isolation thermique avec </w:t>
      </w:r>
      <w:r w:rsidR="007B4D8D" w:rsidRPr="0081173C">
        <w:rPr>
          <w:lang w:val="fr-FR"/>
        </w:rPr>
        <w:t xml:space="preserve">système </w:t>
      </w:r>
      <w:r w:rsidR="00C936FB" w:rsidRPr="0081173C">
        <w:rPr>
          <w:lang w:val="fr-FR"/>
        </w:rPr>
        <w:t>de réfrigération mécanique combiné avec système de refroidissement, à condition que:</w:t>
      </w:r>
      <w:r w:rsidRPr="0081173C">
        <w:rPr>
          <w:lang w:val="fr-FR"/>
        </w:rPr>
        <w:t xml:space="preserve"> </w:t>
      </w:r>
    </w:p>
    <w:p w14:paraId="7F1F0DE6" w14:textId="5EC5EE0A" w:rsidR="00A5193B" w:rsidRPr="0081173C" w:rsidRDefault="00A5193B" w:rsidP="00A5193B">
      <w:pPr>
        <w:pStyle w:val="SingleTxtG"/>
        <w:ind w:left="2835"/>
        <w:rPr>
          <w:lang w:val="fr-FR"/>
        </w:rPr>
      </w:pPr>
      <w:r w:rsidRPr="0081173C">
        <w:rPr>
          <w:lang w:val="fr-FR"/>
        </w:rPr>
        <w:t>i)</w:t>
      </w:r>
      <w:r w:rsidRPr="0081173C">
        <w:rPr>
          <w:lang w:val="fr-FR"/>
        </w:rPr>
        <w:tab/>
      </w:r>
      <w:r w:rsidR="00C936FB" w:rsidRPr="0081173C">
        <w:rPr>
          <w:lang w:val="fr-FR"/>
        </w:rPr>
        <w:t>les deux systèmes soient indépendants l'un de l'autre; et</w:t>
      </w:r>
    </w:p>
    <w:p w14:paraId="656524C4" w14:textId="0D172D85" w:rsidR="00A5193B" w:rsidRPr="0081173C" w:rsidRDefault="00A5193B" w:rsidP="00A5193B">
      <w:pPr>
        <w:pStyle w:val="SingleTxtG"/>
        <w:ind w:left="2835"/>
        <w:rPr>
          <w:lang w:val="fr-FR"/>
        </w:rPr>
      </w:pPr>
      <w:r w:rsidRPr="0081173C">
        <w:rPr>
          <w:lang w:val="fr-FR"/>
        </w:rPr>
        <w:t>ii)</w:t>
      </w:r>
      <w:r w:rsidRPr="0081173C">
        <w:rPr>
          <w:lang w:val="fr-FR"/>
        </w:rPr>
        <w:tab/>
      </w:r>
      <w:r w:rsidR="00C936FB" w:rsidRPr="0081173C">
        <w:rPr>
          <w:lang w:val="fr-FR"/>
        </w:rPr>
        <w:t>les dispositions des alinéas</w:t>
      </w:r>
      <w:r w:rsidRPr="0081173C">
        <w:rPr>
          <w:lang w:val="fr-FR"/>
        </w:rPr>
        <w:t xml:space="preserve"> b) et c)</w:t>
      </w:r>
      <w:r w:rsidR="00C936FB" w:rsidRPr="0081173C">
        <w:rPr>
          <w:lang w:val="fr-FR"/>
        </w:rPr>
        <w:t xml:space="preserve"> soient satisfaites</w:t>
      </w:r>
      <w:r w:rsidRPr="0081173C">
        <w:rPr>
          <w:lang w:val="fr-FR"/>
        </w:rPr>
        <w:t>;</w:t>
      </w:r>
    </w:p>
    <w:p w14:paraId="744068EA" w14:textId="2BB55EFC" w:rsidR="00A5193B" w:rsidRPr="0081173C" w:rsidRDefault="00A5193B" w:rsidP="00A5193B">
      <w:pPr>
        <w:pStyle w:val="SingleTxtG"/>
        <w:ind w:left="2268"/>
        <w:rPr>
          <w:lang w:val="fr-FR"/>
        </w:rPr>
      </w:pPr>
      <w:r w:rsidRPr="0081173C">
        <w:rPr>
          <w:lang w:val="fr-FR"/>
        </w:rPr>
        <w:t>e)</w:t>
      </w:r>
      <w:r w:rsidRPr="0081173C">
        <w:rPr>
          <w:lang w:val="fr-FR"/>
        </w:rPr>
        <w:tab/>
      </w:r>
      <w:r w:rsidR="00DF57AC" w:rsidRPr="0081173C">
        <w:rPr>
          <w:lang w:val="fr-FR"/>
        </w:rPr>
        <w:t>Isolation thermique</w:t>
      </w:r>
      <w:r w:rsidR="00B57E96" w:rsidRPr="0081173C">
        <w:rPr>
          <w:lang w:val="fr-FR"/>
        </w:rPr>
        <w:t xml:space="preserve"> avec </w:t>
      </w:r>
      <w:r w:rsidR="005D3965" w:rsidRPr="0081173C">
        <w:rPr>
          <w:lang w:val="fr-FR"/>
        </w:rPr>
        <w:t xml:space="preserve">système </w:t>
      </w:r>
      <w:r w:rsidR="00C936FB" w:rsidRPr="0081173C">
        <w:rPr>
          <w:lang w:val="fr-FR"/>
        </w:rPr>
        <w:t>de réfrigération mécanique double, à condition que:</w:t>
      </w:r>
      <w:r w:rsidRPr="0081173C">
        <w:rPr>
          <w:lang w:val="fr-FR"/>
        </w:rPr>
        <w:t xml:space="preserve"> </w:t>
      </w:r>
    </w:p>
    <w:p w14:paraId="6605C08F" w14:textId="7BA93FD2" w:rsidR="00A5193B" w:rsidRPr="0081173C" w:rsidRDefault="00A5193B" w:rsidP="00A5193B">
      <w:pPr>
        <w:pStyle w:val="SingleTxtG"/>
        <w:ind w:left="2835"/>
        <w:rPr>
          <w:lang w:val="fr-FR"/>
        </w:rPr>
      </w:pPr>
      <w:r w:rsidRPr="0081173C">
        <w:rPr>
          <w:lang w:val="fr-FR"/>
        </w:rPr>
        <w:t>i)</w:t>
      </w:r>
      <w:r w:rsidRPr="0081173C">
        <w:rPr>
          <w:lang w:val="fr-FR"/>
        </w:rPr>
        <w:tab/>
      </w:r>
      <w:r w:rsidR="00C936FB" w:rsidRPr="0081173C">
        <w:rPr>
          <w:lang w:val="fr-FR"/>
        </w:rPr>
        <w:t>en dehors du dispositif général d'alimentation, les deux systèmes soient indépendants l'un de l'autre</w:t>
      </w:r>
      <w:r w:rsidRPr="0081173C">
        <w:rPr>
          <w:lang w:val="fr-FR"/>
        </w:rPr>
        <w:t>;</w:t>
      </w:r>
    </w:p>
    <w:p w14:paraId="05B908FE" w14:textId="5C3C01A1" w:rsidR="00A5193B" w:rsidRPr="0081173C" w:rsidRDefault="00A5193B" w:rsidP="00A5193B">
      <w:pPr>
        <w:pStyle w:val="SingleTxtG"/>
        <w:ind w:left="2835"/>
        <w:rPr>
          <w:lang w:val="fr-FR"/>
        </w:rPr>
      </w:pPr>
      <w:r w:rsidRPr="0081173C">
        <w:rPr>
          <w:lang w:val="fr-FR"/>
        </w:rPr>
        <w:t>ii)</w:t>
      </w:r>
      <w:r w:rsidRPr="0081173C">
        <w:rPr>
          <w:lang w:val="fr-FR"/>
        </w:rPr>
        <w:tab/>
      </w:r>
      <w:r w:rsidR="00C936FB" w:rsidRPr="0081173C">
        <w:rPr>
          <w:lang w:val="fr-FR"/>
        </w:rPr>
        <w:t>chaque système puisse à lui seul maintenir une régulation suffisante de la température; et</w:t>
      </w:r>
    </w:p>
    <w:p w14:paraId="4EE7918B" w14:textId="7F5A9C6C" w:rsidR="00B57E96" w:rsidRPr="0081173C" w:rsidRDefault="00A5193B" w:rsidP="00B57E96">
      <w:pPr>
        <w:pStyle w:val="SingleTxtG"/>
        <w:ind w:left="2835"/>
        <w:rPr>
          <w:i/>
          <w:lang w:val="fr-FR"/>
        </w:rPr>
      </w:pPr>
      <w:r w:rsidRPr="0081173C">
        <w:rPr>
          <w:lang w:val="fr-FR"/>
        </w:rPr>
        <w:t>iii)</w:t>
      </w:r>
      <w:r w:rsidRPr="0081173C">
        <w:rPr>
          <w:lang w:val="fr-FR"/>
        </w:rPr>
        <w:tab/>
      </w:r>
      <w:r w:rsidR="00C936FB" w:rsidRPr="0081173C">
        <w:rPr>
          <w:bCs/>
          <w:lang w:val="fr-FR"/>
        </w:rPr>
        <w:t>pour les matières à transporter ayant un point d'éclair inférieur à la température critique augm</w:t>
      </w:r>
      <w:r w:rsidR="00F8202D" w:rsidRPr="0081173C">
        <w:rPr>
          <w:bCs/>
          <w:lang w:val="fr-FR"/>
        </w:rPr>
        <w:t>entée de 5 </w:t>
      </w:r>
      <w:r w:rsidR="00C936FB" w:rsidRPr="0081173C">
        <w:rPr>
          <w:bCs/>
          <w:lang w:val="fr-FR"/>
        </w:rPr>
        <w:t>°C des raccords électriques à protection contre l'explosion</w:t>
      </w:r>
      <w:r w:rsidR="00B57E96" w:rsidRPr="0081173C">
        <w:rPr>
          <w:lang w:val="fr-FR"/>
        </w:rPr>
        <w:t xml:space="preserve">, EEx IIB T3, </w:t>
      </w:r>
      <w:r w:rsidR="00C936FB" w:rsidRPr="0081173C">
        <w:rPr>
          <w:bCs/>
          <w:lang w:val="fr-FR"/>
        </w:rPr>
        <w:t>soient utilisés dans le compartiment de réfrigération pour éviter le risque d'inflammation des vapeurs</w:t>
      </w:r>
      <w:r w:rsidR="00B57E96" w:rsidRPr="0081173C">
        <w:rPr>
          <w:bCs/>
          <w:lang w:val="fr-FR"/>
        </w:rPr>
        <w:t xml:space="preserve"> </w:t>
      </w:r>
      <w:r w:rsidR="00B57E96" w:rsidRPr="0081173C">
        <w:rPr>
          <w:lang w:val="fr-FR"/>
        </w:rPr>
        <w:t>dégagées par les matières</w:t>
      </w:r>
      <w:r w:rsidRPr="0081173C">
        <w:rPr>
          <w:bCs/>
          <w:lang w:val="fr-FR"/>
        </w:rPr>
        <w:t>.</w:t>
      </w:r>
    </w:p>
    <w:p w14:paraId="1B7647EC" w14:textId="3EAA1D41" w:rsidR="00554F93" w:rsidRPr="0081173C" w:rsidRDefault="00554F93" w:rsidP="00554F93">
      <w:pPr>
        <w:pStyle w:val="SingleTxtG"/>
        <w:rPr>
          <w:lang w:val="fr-FR"/>
        </w:rPr>
      </w:pPr>
      <w:r w:rsidRPr="0081173C">
        <w:rPr>
          <w:lang w:val="fr-FR"/>
        </w:rPr>
        <w:t>7.1.7.4.6</w:t>
      </w:r>
      <w:r w:rsidRPr="0081173C">
        <w:rPr>
          <w:lang w:val="fr-FR"/>
        </w:rPr>
        <w:tab/>
        <w:t>Les méthodes décrites aux 7.1.7.4.5 d) et e) peuvent être utilisées pour tous les peroxydes organiques, matières autoréactives et matières qui polymérisent.</w:t>
      </w:r>
    </w:p>
    <w:p w14:paraId="23B1E055" w14:textId="1F312014" w:rsidR="00554F93" w:rsidRPr="0081173C" w:rsidRDefault="00554F93" w:rsidP="0023370B">
      <w:pPr>
        <w:pStyle w:val="SingleTxtG"/>
        <w:ind w:firstLine="1134"/>
        <w:rPr>
          <w:lang w:val="fr-FR"/>
        </w:rPr>
      </w:pPr>
      <w:r w:rsidRPr="0081173C">
        <w:rPr>
          <w:lang w:val="fr-FR"/>
        </w:rPr>
        <w:t>La méthode décrite au 7.1.7.4.5 c) peut être utilisée pour les peroxydes organiques et matières autoréactives des types C, D, E et F et, si la température ambiante maximale à prévoir pendant le transport ne dépasse pas de plus de 10 °C la température de régulation, pour les peroxydes organiques et matières autoréactives du type B et pour les matières qui polymérisent.</w:t>
      </w:r>
    </w:p>
    <w:p w14:paraId="79F7EE2C" w14:textId="547C3993" w:rsidR="00554F93" w:rsidRPr="0081173C" w:rsidRDefault="00554F93" w:rsidP="0023370B">
      <w:pPr>
        <w:pStyle w:val="SingleTxtG"/>
        <w:ind w:firstLine="1134"/>
        <w:rPr>
          <w:lang w:val="fr-FR"/>
        </w:rPr>
      </w:pPr>
      <w:r w:rsidRPr="0081173C">
        <w:rPr>
          <w:lang w:val="fr-FR"/>
        </w:rPr>
        <w:t xml:space="preserve">La </w:t>
      </w:r>
      <w:r w:rsidR="0023370B" w:rsidRPr="0081173C">
        <w:rPr>
          <w:lang w:val="fr-FR"/>
        </w:rPr>
        <w:t>méthode décrite au 7.1.7.4.5 b)</w:t>
      </w:r>
      <w:r w:rsidRPr="0081173C">
        <w:rPr>
          <w:lang w:val="fr-FR"/>
        </w:rPr>
        <w:t xml:space="preserve"> peut être utilisée pour les peroxydes organiques et matières autoréactives des types C, D, E et F et pour les matières qui polymérisent lorsque la température ambiante maximale à prévoir pendant le transport ne dépasse pas de plus de 30 °C la température de régulation.</w:t>
      </w:r>
    </w:p>
    <w:p w14:paraId="37791142" w14:textId="73D54B28" w:rsidR="00554F93" w:rsidRPr="0081173C" w:rsidRDefault="00554F93" w:rsidP="0023370B">
      <w:pPr>
        <w:pStyle w:val="SingleTxtG"/>
        <w:ind w:firstLine="1134"/>
        <w:rPr>
          <w:lang w:val="fr-FR"/>
        </w:rPr>
      </w:pPr>
      <w:r w:rsidRPr="0081173C">
        <w:rPr>
          <w:lang w:val="fr-FR"/>
        </w:rPr>
        <w:t>La m</w:t>
      </w:r>
      <w:r w:rsidR="0023370B" w:rsidRPr="0081173C">
        <w:rPr>
          <w:lang w:val="fr-FR"/>
        </w:rPr>
        <w:t xml:space="preserve">éthode décrite au 7.1.7.4.5 a) </w:t>
      </w:r>
      <w:r w:rsidRPr="0081173C">
        <w:rPr>
          <w:lang w:val="fr-FR"/>
        </w:rPr>
        <w:t>peut être utilisée pour les peroxydes organiques et matières autoréactives des types C, D, E et F et pour les matières qui polymérisent lorsque la température ambiante maximale à prévoir pendant le transport est d'au moins 10 °C inférieure à la température de régulation.</w:t>
      </w:r>
    </w:p>
    <w:p w14:paraId="3A97F3CF" w14:textId="729BECD9" w:rsidR="00554F93" w:rsidRPr="0081173C" w:rsidRDefault="00554F93" w:rsidP="00554F93">
      <w:pPr>
        <w:pStyle w:val="SingleTxtG"/>
        <w:rPr>
          <w:lang w:val="fr-FR"/>
        </w:rPr>
      </w:pPr>
      <w:r w:rsidRPr="0081173C">
        <w:rPr>
          <w:lang w:val="fr-FR"/>
        </w:rPr>
        <w:t>7.1.7.4.7</w:t>
      </w:r>
      <w:r w:rsidRPr="0081173C">
        <w:rPr>
          <w:lang w:val="fr-FR"/>
        </w:rPr>
        <w:tab/>
        <w:t>Si les matières sont transportées dans des véhicules ou conteneurs isothermes, réfrigérants ou frigorifiques, ces véhicules ou conteneurs doivent être conformes aux prescriptions du chapitre 9.6.</w:t>
      </w:r>
    </w:p>
    <w:p w14:paraId="1ED017A8" w14:textId="455CF46C" w:rsidR="001A24A2" w:rsidRPr="0081173C" w:rsidRDefault="00554F93" w:rsidP="00B57E96">
      <w:pPr>
        <w:pStyle w:val="SingleTxtG"/>
        <w:rPr>
          <w:lang w:val="fr-FR"/>
        </w:rPr>
      </w:pPr>
      <w:r w:rsidRPr="0081173C">
        <w:rPr>
          <w:lang w:val="fr-FR"/>
        </w:rPr>
        <w:t>7.1.7.4.8</w:t>
      </w:r>
      <w:r w:rsidRPr="0081173C">
        <w:rPr>
          <w:lang w:val="fr-FR"/>
        </w:rPr>
        <w:tab/>
        <w:t>Si les matières sont contenues dans des emballages protecteurs remplis avec un agent frigorigène, elles doivent être chargées dans des véhicules couverts ou bâchés ou conteneurs fermés ou bâchés. Lorsque les véhicules ou conteneurs utilisés sont couverts ou fermés</w:t>
      </w:r>
      <w:r w:rsidR="00E64052" w:rsidRPr="0081173C">
        <w:rPr>
          <w:lang w:val="fr-FR"/>
        </w:rPr>
        <w:t xml:space="preserve"> </w:t>
      </w:r>
      <w:r w:rsidR="00E20EA3">
        <w:rPr>
          <w:lang w:val="fr-FR"/>
        </w:rPr>
        <w:t>respectivement</w:t>
      </w:r>
      <w:r w:rsidRPr="0081173C">
        <w:rPr>
          <w:lang w:val="fr-FR"/>
        </w:rPr>
        <w:t xml:space="preserve">, l'aération doit être assurée de façon adéquate. Les véhicules et </w:t>
      </w:r>
      <w:r w:rsidRPr="0081173C">
        <w:rPr>
          <w:lang w:val="fr-FR"/>
        </w:rPr>
        <w:lastRenderedPageBreak/>
        <w:t>conteneurs bâchés doivent être munis de ridelles et d'un hayon. La bâche de ces véhicules et conteneurs doit être constituée d'un tissu imperméable et difficilement inflammable.</w:t>
      </w:r>
      <w:r w:rsidR="001A27A7">
        <w:rPr>
          <w:lang w:val="fr-FR"/>
        </w:rPr>
        <w:t> </w:t>
      </w:r>
      <w:r w:rsidR="001A24A2" w:rsidRPr="0081173C">
        <w:rPr>
          <w:lang w:val="fr-FR"/>
        </w:rPr>
        <w:t>».</w:t>
      </w:r>
    </w:p>
    <w:p w14:paraId="46766CFF" w14:textId="0871AB27" w:rsidR="007F41E4" w:rsidRPr="001A27A7" w:rsidRDefault="007F41E4" w:rsidP="007F41E4">
      <w:pPr>
        <w:pStyle w:val="H1G"/>
        <w:rPr>
          <w:lang w:val="fr-FR"/>
        </w:rPr>
      </w:pPr>
      <w:r w:rsidRPr="001A27A7">
        <w:rPr>
          <w:lang w:val="fr-FR"/>
        </w:rPr>
        <w:tab/>
      </w:r>
      <w:r w:rsidRPr="001A27A7">
        <w:rPr>
          <w:lang w:val="fr-FR"/>
        </w:rPr>
        <w:tab/>
        <w:t>Chapitre 7.2</w:t>
      </w:r>
    </w:p>
    <w:p w14:paraId="7EEF6763" w14:textId="076FB226" w:rsidR="007F41E4" w:rsidRPr="001A27A7" w:rsidRDefault="007F41E4" w:rsidP="00B57E96">
      <w:pPr>
        <w:pStyle w:val="SingleTxtG"/>
        <w:rPr>
          <w:lang w:val="fr-FR"/>
        </w:rPr>
      </w:pPr>
      <w:r w:rsidRPr="001A27A7">
        <w:rPr>
          <w:lang w:val="fr-FR"/>
        </w:rPr>
        <w:t>7.2.4, V8</w:t>
      </w:r>
      <w:r w:rsidRPr="001A27A7">
        <w:rPr>
          <w:lang w:val="fr-FR"/>
        </w:rPr>
        <w:tab/>
        <w:t>Modifier pour lire comme suit :</w:t>
      </w:r>
    </w:p>
    <w:p w14:paraId="4202314A" w14:textId="77777777" w:rsidR="007F41E4" w:rsidRPr="001A27A7" w:rsidRDefault="007F41E4" w:rsidP="00B57E96">
      <w:pPr>
        <w:pStyle w:val="SingleTxtG"/>
        <w:rPr>
          <w:lang w:val="fr-FR"/>
        </w:rPr>
      </w:pPr>
      <w:r w:rsidRPr="001A27A7">
        <w:rPr>
          <w:lang w:val="fr-FR"/>
        </w:rPr>
        <w:t>« V8</w:t>
      </w:r>
      <w:r w:rsidRPr="001A27A7">
        <w:rPr>
          <w:lang w:val="fr-FR"/>
        </w:rPr>
        <w:tab/>
        <w:t>Voir 7.1.7.</w:t>
      </w:r>
    </w:p>
    <w:p w14:paraId="631218CB" w14:textId="75741169" w:rsidR="007F41E4" w:rsidRPr="001A27A7" w:rsidRDefault="007F41E4" w:rsidP="00B57E96">
      <w:pPr>
        <w:pStyle w:val="SingleTxtG"/>
        <w:rPr>
          <w:lang w:val="fr-FR"/>
        </w:rPr>
      </w:pPr>
      <w:r w:rsidRPr="001A27A7">
        <w:rPr>
          <w:b/>
          <w:i/>
          <w:lang w:val="fr-FR"/>
        </w:rPr>
        <w:t>NOTA:</w:t>
      </w:r>
      <w:r w:rsidRPr="001A27A7">
        <w:rPr>
          <w:i/>
          <w:lang w:val="fr-FR"/>
        </w:rPr>
        <w:t xml:space="preserve"> La présente disposition </w:t>
      </w:r>
      <w:r w:rsidR="001A27A7">
        <w:rPr>
          <w:i/>
          <w:lang w:val="fr-FR"/>
        </w:rPr>
        <w:t xml:space="preserve">spéciale </w:t>
      </w:r>
      <w:r w:rsidRPr="001A27A7">
        <w:rPr>
          <w:i/>
          <w:lang w:val="fr-FR"/>
        </w:rPr>
        <w:t>V8 ne s'applique pas aux matières visées au 3.1.2.6 si la stabilisation est effectuée par adjonction d'inhibiteurs chimiques de sorte que la TDAA soit supérieure à 50 °C. Dans ce cas, la régulation de température peut également s'imposer si la température en cours de transport risque de dépasser 55 °C.</w:t>
      </w:r>
      <w:r w:rsidRPr="001A27A7">
        <w:rPr>
          <w:lang w:val="fr-FR"/>
        </w:rPr>
        <w:t> ».</w:t>
      </w:r>
    </w:p>
    <w:p w14:paraId="72393BF1" w14:textId="77777777" w:rsidR="007F62A9" w:rsidRPr="006774AA" w:rsidRDefault="007F62A9" w:rsidP="007F62A9">
      <w:pPr>
        <w:pStyle w:val="H1G"/>
      </w:pPr>
      <w:r w:rsidRPr="006774AA">
        <w:tab/>
      </w:r>
      <w:r w:rsidRPr="006774AA">
        <w:tab/>
        <w:t>Chapitre 7.3</w:t>
      </w:r>
    </w:p>
    <w:p w14:paraId="18BD85B6" w14:textId="6A60D6B6" w:rsidR="007F62A9" w:rsidRPr="006774AA" w:rsidRDefault="007F62A9" w:rsidP="007F62A9">
      <w:pPr>
        <w:pStyle w:val="SingleTxtG"/>
        <w:rPr>
          <w:lang w:val="fr-FR"/>
        </w:rPr>
      </w:pPr>
      <w:r w:rsidRPr="006774AA">
        <w:rPr>
          <w:lang w:val="fr-FR"/>
        </w:rPr>
        <w:t>7.3.2.10</w:t>
      </w:r>
      <w:r w:rsidRPr="006774AA">
        <w:rPr>
          <w:lang w:val="fr-FR"/>
        </w:rPr>
        <w:tab/>
        <w:t>Sous le titre, insérer le nouveau nota suivant</w:t>
      </w:r>
      <w:r w:rsidR="00C90A26" w:rsidRPr="006774AA">
        <w:rPr>
          <w:lang w:val="fr-FR"/>
        </w:rPr>
        <w:t> </w:t>
      </w:r>
      <w:r w:rsidRPr="006774AA">
        <w:rPr>
          <w:lang w:val="fr-FR"/>
        </w:rPr>
        <w:t>:</w:t>
      </w:r>
    </w:p>
    <w:p w14:paraId="39BF6604" w14:textId="7DED1FD1" w:rsidR="007F62A9" w:rsidRPr="006774AA" w:rsidRDefault="007F62A9" w:rsidP="007F62A9">
      <w:pPr>
        <w:pStyle w:val="SingleTxtG"/>
        <w:rPr>
          <w:lang w:val="fr-FR"/>
        </w:rPr>
      </w:pPr>
      <w:r w:rsidRPr="006774AA">
        <w:rPr>
          <w:lang w:val="fr-FR"/>
        </w:rPr>
        <w:t>«</w:t>
      </w:r>
      <w:r w:rsidR="00C90A26" w:rsidRPr="006774AA">
        <w:rPr>
          <w:lang w:val="fr-FR"/>
        </w:rPr>
        <w:t> </w:t>
      </w:r>
      <w:r w:rsidRPr="006774AA">
        <w:rPr>
          <w:rFonts w:cs="Arial"/>
          <w:b/>
          <w:i/>
          <w:szCs w:val="22"/>
          <w:lang w:val="fr-FR"/>
        </w:rPr>
        <w:t>NOTA:</w:t>
      </w:r>
      <w:r w:rsidRPr="006774AA">
        <w:rPr>
          <w:rFonts w:cs="Arial"/>
          <w:i/>
          <w:szCs w:val="22"/>
          <w:lang w:val="fr-FR"/>
        </w:rPr>
        <w:tab/>
      </w:r>
      <w:r w:rsidRPr="006774AA">
        <w:rPr>
          <w:bCs/>
          <w:i/>
          <w:lang w:val="fr-FR"/>
        </w:rPr>
        <w:t>Les conteneurs pour vrac souples dont le marquage correspond aux 6.11.5.5, mais qui ont été agréés dans un pays n’étant pas Partie contractante à l’ADR peuvent également être utilisés pour le transport selon l’ADR</w:t>
      </w:r>
      <w:r w:rsidR="00C90A26" w:rsidRPr="006774AA">
        <w:rPr>
          <w:bCs/>
          <w:i/>
          <w:lang w:val="fr-FR"/>
        </w:rPr>
        <w:t>. </w:t>
      </w:r>
      <w:r w:rsidRPr="006774AA">
        <w:rPr>
          <w:bCs/>
          <w:lang w:val="fr-FR"/>
        </w:rPr>
        <w:t>».</w:t>
      </w:r>
    </w:p>
    <w:p w14:paraId="2F2BBA34" w14:textId="6C39AB7B" w:rsidR="007F62A9" w:rsidRPr="006774AA" w:rsidRDefault="007F62A9" w:rsidP="007F62A9">
      <w:pPr>
        <w:pStyle w:val="SingleTxtG"/>
        <w:rPr>
          <w:lang w:val="fr-FR"/>
        </w:rPr>
      </w:pPr>
      <w:r w:rsidRPr="006774AA">
        <w:rPr>
          <w:lang w:val="fr-FR"/>
        </w:rPr>
        <w:t>7.3.3.1</w:t>
      </w:r>
      <w:r w:rsidRPr="006774AA">
        <w:rPr>
          <w:lang w:val="fr-FR"/>
        </w:rPr>
        <w:tab/>
      </w:r>
      <w:r w:rsidRPr="006774AA">
        <w:rPr>
          <w:lang w:val="fr-FR"/>
        </w:rPr>
        <w:tab/>
        <w:t>Après le premier paragraphe, ajouter le nouveau nota suivant</w:t>
      </w:r>
      <w:r w:rsidR="00C90A26" w:rsidRPr="006774AA">
        <w:rPr>
          <w:lang w:val="fr-FR"/>
        </w:rPr>
        <w:t> </w:t>
      </w:r>
      <w:r w:rsidRPr="006774AA">
        <w:rPr>
          <w:lang w:val="fr-FR"/>
        </w:rPr>
        <w:t>:</w:t>
      </w:r>
    </w:p>
    <w:p w14:paraId="3B931ADB" w14:textId="5C3CBB0C" w:rsidR="007F62A9" w:rsidRPr="006774AA" w:rsidRDefault="007F62A9" w:rsidP="007F62A9">
      <w:pPr>
        <w:pStyle w:val="SingleTxtG"/>
        <w:rPr>
          <w:lang w:val="fr-FR"/>
        </w:rPr>
      </w:pPr>
      <w:r w:rsidRPr="006774AA">
        <w:rPr>
          <w:lang w:val="fr-FR"/>
        </w:rPr>
        <w:t>«</w:t>
      </w:r>
      <w:r w:rsidR="00C90A26" w:rsidRPr="006774AA">
        <w:rPr>
          <w:lang w:val="fr-FR"/>
        </w:rPr>
        <w:t> </w:t>
      </w:r>
      <w:r w:rsidRPr="006774AA">
        <w:rPr>
          <w:b/>
          <w:i/>
          <w:lang w:val="fr-FR"/>
        </w:rPr>
        <w:t>NOTA:</w:t>
      </w:r>
      <w:r w:rsidRPr="006774AA">
        <w:rPr>
          <w:b/>
          <w:i/>
          <w:lang w:val="fr-FR"/>
        </w:rPr>
        <w:tab/>
      </w:r>
      <w:r w:rsidRPr="006774AA">
        <w:rPr>
          <w:i/>
          <w:lang w:val="fr-FR"/>
        </w:rPr>
        <w:t>Pour cette raison, lorsqu’un code VC1 figure dans la colonne (17) du tableau A du chapitre 3.2, il est également possible d’utiliser un conteneur pour vrac BK1 pour le transport terrestre si les conditions spécifiées au 7.3.3.2 sont en outre remplies. Lorsqu’un code VC2 figure dans la colonne (17) du tableau A du chapitre 3.2, il est également possible d’utiliser un conteneur pour vrac BK2 pour le transport terrestre si les conditions spécifiées au 7.3.3.2 sont en outre remplies.</w:t>
      </w:r>
      <w:r w:rsidR="00C90A26" w:rsidRPr="006774AA">
        <w:rPr>
          <w:i/>
          <w:lang w:val="fr-FR"/>
        </w:rPr>
        <w:t> </w:t>
      </w:r>
      <w:r w:rsidRPr="006774AA">
        <w:rPr>
          <w:lang w:val="fr-FR"/>
        </w:rPr>
        <w:t>».</w:t>
      </w:r>
    </w:p>
    <w:p w14:paraId="2AEE8B59" w14:textId="2A609053" w:rsidR="003E4741" w:rsidRPr="006774AA" w:rsidRDefault="003E4741" w:rsidP="003E4741">
      <w:pPr>
        <w:pStyle w:val="H1G"/>
        <w:rPr>
          <w:lang w:val="fr-FR"/>
        </w:rPr>
      </w:pPr>
      <w:r w:rsidRPr="006774AA">
        <w:rPr>
          <w:lang w:val="fr-FR"/>
        </w:rPr>
        <w:tab/>
      </w:r>
      <w:r w:rsidRPr="006774AA">
        <w:rPr>
          <w:lang w:val="fr-FR"/>
        </w:rPr>
        <w:tab/>
        <w:t>Chapitre 7.5</w:t>
      </w:r>
    </w:p>
    <w:p w14:paraId="11139EBE" w14:textId="09B16A33" w:rsidR="007F62A9" w:rsidRPr="006774AA" w:rsidRDefault="001E0D22" w:rsidP="001E0D22">
      <w:pPr>
        <w:pStyle w:val="SingleTxtG"/>
        <w:tabs>
          <w:tab w:val="left" w:pos="2268"/>
        </w:tabs>
      </w:pPr>
      <w:r>
        <w:t>7.5.1.1</w:t>
      </w:r>
      <w:r w:rsidR="007F62A9" w:rsidRPr="006774AA">
        <w:tab/>
        <w:t>Remplacer «</w:t>
      </w:r>
      <w:r w:rsidR="00C90A26" w:rsidRPr="006774AA">
        <w:t> </w:t>
      </w:r>
      <w:r w:rsidR="007F62A9" w:rsidRPr="006774AA">
        <w:t>le véhicule et son conducteur</w:t>
      </w:r>
      <w:r w:rsidR="00C90A26" w:rsidRPr="006774AA">
        <w:t> </w:t>
      </w:r>
      <w:r w:rsidR="007F62A9" w:rsidRPr="006774AA">
        <w:t>» par «</w:t>
      </w:r>
      <w:r w:rsidR="00C90A26" w:rsidRPr="006774AA">
        <w:t> </w:t>
      </w:r>
      <w:r w:rsidR="007F62A9" w:rsidRPr="006774AA">
        <w:t>le véhicule et les membres de l’équipage</w:t>
      </w:r>
      <w:r w:rsidR="00C90A26" w:rsidRPr="006774AA">
        <w:t> </w:t>
      </w:r>
      <w:r w:rsidR="007F62A9" w:rsidRPr="006774AA">
        <w:t>»</w:t>
      </w:r>
      <w:r w:rsidR="00C90A26" w:rsidRPr="006774AA">
        <w:t>.</w:t>
      </w:r>
    </w:p>
    <w:p w14:paraId="5ECC0617" w14:textId="267002C8" w:rsidR="007F62A9" w:rsidRPr="006774AA" w:rsidRDefault="001E0D22" w:rsidP="001E0D22">
      <w:pPr>
        <w:pStyle w:val="SingleTxtG"/>
        <w:tabs>
          <w:tab w:val="left" w:pos="2268"/>
        </w:tabs>
      </w:pPr>
      <w:r>
        <w:t>7.5.1.2</w:t>
      </w:r>
      <w:r w:rsidR="007F62A9" w:rsidRPr="006774AA">
        <w:tab/>
        <w:t>Remplacer «</w:t>
      </w:r>
      <w:r w:rsidR="00C90A26" w:rsidRPr="006774AA">
        <w:t> </w:t>
      </w:r>
      <w:r w:rsidR="007F62A9" w:rsidRPr="006774AA">
        <w:t>le véhicule, le conducteur</w:t>
      </w:r>
      <w:r w:rsidR="00C90A26" w:rsidRPr="006774AA">
        <w:t> </w:t>
      </w:r>
      <w:r w:rsidR="007F62A9" w:rsidRPr="006774AA">
        <w:t>» par «</w:t>
      </w:r>
      <w:r w:rsidR="00C90A26" w:rsidRPr="006774AA">
        <w:t> </w:t>
      </w:r>
      <w:r w:rsidR="007F62A9" w:rsidRPr="006774AA">
        <w:t>le véhicule et les membres de l’équipage</w:t>
      </w:r>
      <w:r w:rsidR="00C90A26" w:rsidRPr="006774AA">
        <w:t> </w:t>
      </w:r>
      <w:r w:rsidR="007F62A9" w:rsidRPr="006774AA">
        <w:t>».</w:t>
      </w:r>
    </w:p>
    <w:p w14:paraId="6E2EAA7B" w14:textId="39E663C8" w:rsidR="007F41E4" w:rsidRPr="00805662" w:rsidRDefault="001A27A7" w:rsidP="006E6D3E">
      <w:pPr>
        <w:pStyle w:val="SingleTxtG"/>
        <w:tabs>
          <w:tab w:val="left" w:pos="2268"/>
        </w:tabs>
        <w:rPr>
          <w:lang w:val="fr-FR"/>
        </w:rPr>
      </w:pPr>
      <w:r w:rsidRPr="00805662">
        <w:rPr>
          <w:lang w:val="fr-FR"/>
        </w:rPr>
        <w:t>7.5.2.2</w:t>
      </w:r>
      <w:r w:rsidR="007D42AD" w:rsidRPr="00805662">
        <w:rPr>
          <w:lang w:val="fr-FR"/>
        </w:rPr>
        <w:tab/>
      </w:r>
      <w:r w:rsidR="00D97698" w:rsidRPr="00805662">
        <w:rPr>
          <w:lang w:val="fr-FR"/>
        </w:rPr>
        <w:t>Dans la note de bas de tableau b, remplacer « division de risque » par « division de danger »</w:t>
      </w:r>
      <w:r w:rsidR="00C90A26" w:rsidRPr="00805662">
        <w:rPr>
          <w:lang w:val="fr-FR"/>
        </w:rPr>
        <w:t xml:space="preserve"> </w:t>
      </w:r>
      <w:r w:rsidRPr="00805662">
        <w:rPr>
          <w:lang w:val="fr-FR"/>
        </w:rPr>
        <w:t xml:space="preserve">et </w:t>
      </w:r>
      <w:r w:rsidR="00C90A26" w:rsidRPr="00805662">
        <w:t>remplacer « risque supplémentaire de détonation » par « danger supplémentaire de détonation ».</w:t>
      </w:r>
    </w:p>
    <w:p w14:paraId="6B314343" w14:textId="12E6DB25" w:rsidR="007A2A1D" w:rsidRPr="0090697C" w:rsidRDefault="007A2A1D" w:rsidP="007A2A1D">
      <w:pPr>
        <w:pStyle w:val="ParNoG"/>
        <w:numPr>
          <w:ilvl w:val="0"/>
          <w:numId w:val="0"/>
        </w:numPr>
        <w:tabs>
          <w:tab w:val="left" w:pos="2268"/>
        </w:tabs>
        <w:kinsoku w:val="0"/>
        <w:overflowPunct w:val="0"/>
        <w:autoSpaceDE w:val="0"/>
        <w:autoSpaceDN w:val="0"/>
        <w:adjustRightInd w:val="0"/>
        <w:snapToGrid w:val="0"/>
        <w:ind w:left="1134"/>
        <w:rPr>
          <w:lang w:val="fr-FR"/>
        </w:rPr>
      </w:pPr>
      <w:r w:rsidRPr="0090697C">
        <w:rPr>
          <w:lang w:val="fr-FR"/>
        </w:rPr>
        <w:t>7.5.7.1</w:t>
      </w:r>
      <w:r w:rsidRPr="0090697C">
        <w:rPr>
          <w:lang w:val="fr-FR"/>
        </w:rPr>
        <w:tab/>
        <w:t xml:space="preserve">Modifier la note de bas de page 1 pour lire comme suit : </w:t>
      </w:r>
    </w:p>
    <w:p w14:paraId="5BEE4884" w14:textId="5E7E0D4F" w:rsidR="007A2A1D" w:rsidRPr="0090697C" w:rsidRDefault="007A2A1D" w:rsidP="007A2A1D">
      <w:pPr>
        <w:pStyle w:val="SingleTxtG"/>
        <w:rPr>
          <w:i/>
          <w:lang w:val="fr-FR"/>
        </w:rPr>
      </w:pPr>
      <w:r w:rsidRPr="0090697C">
        <w:rPr>
          <w:lang w:val="fr-FR"/>
        </w:rPr>
        <w:t>« </w:t>
      </w:r>
      <w:r w:rsidRPr="006E6D3E">
        <w:rPr>
          <w:rStyle w:val="FootnoteReference"/>
          <w:b/>
          <w:lang w:val="fr-FR"/>
        </w:rPr>
        <w:t>1</w:t>
      </w:r>
      <w:r w:rsidRPr="0090697C">
        <w:rPr>
          <w:i/>
          <w:lang w:val="fr-FR"/>
        </w:rPr>
        <w:tab/>
        <w:t xml:space="preserve">Des indications concernant l’arrimage des marchandises dangereuses se trouvent dans </w:t>
      </w:r>
      <w:r w:rsidR="00DF57AC" w:rsidRPr="0090697C">
        <w:rPr>
          <w:i/>
          <w:lang w:val="fr-FR"/>
        </w:rPr>
        <w:t xml:space="preserve">le </w:t>
      </w:r>
      <w:r w:rsidRPr="0090697C">
        <w:rPr>
          <w:i/>
          <w:lang w:val="fr-FR"/>
        </w:rPr>
        <w:t>Code de bonnes pratiques OMI/OIT/CEE pour le chargement des cargaisons dans des engins de transport (Code CTU)</w:t>
      </w:r>
      <w:r w:rsidR="00DF57AC" w:rsidRPr="0090697C">
        <w:rPr>
          <w:i/>
          <w:lang w:val="fr-FR"/>
        </w:rPr>
        <w:t xml:space="preserve"> (voir par exemple le chapitre 9, Chargement des cargaisons dans les engins de transport, et le chapitre 10, Conseils supplémentaires sur le chargement des marchandises dangereuses)</w:t>
      </w:r>
      <w:r w:rsidRPr="0090697C">
        <w:rPr>
          <w:i/>
          <w:lang w:val="fr-FR"/>
        </w:rPr>
        <w:t xml:space="preserve"> et dans le document “Code de bonnes pratiques européen concernant l’arrimage des charges sur les véhicules routiers” publié par la Commission Européenne. D’autres indications sont également disponibles auprès des autorités compétentes et des organismes de l’industrie. </w:t>
      </w:r>
      <w:r w:rsidRPr="0090697C">
        <w:rPr>
          <w:lang w:val="fr-FR"/>
        </w:rPr>
        <w:t>».</w:t>
      </w:r>
    </w:p>
    <w:p w14:paraId="1FDC7A67" w14:textId="531E0B3A" w:rsidR="007A2A1D" w:rsidRPr="0090697C" w:rsidRDefault="001E0D22" w:rsidP="001E0D22">
      <w:pPr>
        <w:pStyle w:val="SingleTxtG"/>
        <w:tabs>
          <w:tab w:val="left" w:pos="2268"/>
        </w:tabs>
        <w:rPr>
          <w:iCs/>
          <w:lang w:val="fr-FR"/>
        </w:rPr>
      </w:pPr>
      <w:r>
        <w:rPr>
          <w:iCs/>
          <w:lang w:val="fr-FR"/>
        </w:rPr>
        <w:t>7.5.7.4</w:t>
      </w:r>
      <w:r w:rsidR="007A2A1D" w:rsidRPr="0090697C">
        <w:rPr>
          <w:iCs/>
          <w:lang w:val="fr-FR"/>
        </w:rPr>
        <w:tab/>
        <w:t>Modifier pour lire comme suit :</w:t>
      </w:r>
    </w:p>
    <w:p w14:paraId="6850817B" w14:textId="2D66E64B" w:rsidR="007A2A1D" w:rsidRPr="0090697C" w:rsidRDefault="007A2A1D" w:rsidP="007A2A1D">
      <w:pPr>
        <w:pStyle w:val="SingleTxtG"/>
        <w:rPr>
          <w:lang w:val="fr-FR"/>
        </w:rPr>
      </w:pPr>
      <w:r w:rsidRPr="0090697C">
        <w:rPr>
          <w:lang w:val="fr-FR"/>
        </w:rPr>
        <w:lastRenderedPageBreak/>
        <w:t>« 7.5.7.4</w:t>
      </w:r>
      <w:r w:rsidRPr="0090697C">
        <w:rPr>
          <w:lang w:val="fr-FR"/>
        </w:rPr>
        <w:tab/>
        <w:t xml:space="preserve">Les dispositions du 7.5.7.1 s’appliquent également au chargement et à l’arrimage des conteneurs, conteneurs-citernes, citernes mobiles et CGEM sur les véhicules ainsi qu’à leur </w:t>
      </w:r>
      <w:r w:rsidR="00C91AA1">
        <w:rPr>
          <w:lang w:val="fr-FR"/>
        </w:rPr>
        <w:t>enlèvement</w:t>
      </w:r>
      <w:r w:rsidRPr="0090697C">
        <w:rPr>
          <w:lang w:val="fr-FR"/>
        </w:rPr>
        <w:t>. Pour les conteneurs-citernes, citernes mobiles et CGEM qui ne comprennent pas, par construction, de pièces de coin conformément à la norme ISO 1496-1 (Conteneurs de la série 1 – Spécifications et essais – Partie 1: Conteneurs d’usage général pour marchandises diverses), on doit vérifier que les dispositifs utilisés sur les conteneurs-citernes, citernes mobiles et CGEM sont compatibles avec le dispositif dont est équipé le véhicule et conformes aux prescriptions de la section 9.7.3. ».</w:t>
      </w:r>
    </w:p>
    <w:p w14:paraId="1A2C548A" w14:textId="77777777" w:rsidR="002F5575" w:rsidRPr="00F26437" w:rsidRDefault="002F5575" w:rsidP="002F5575">
      <w:pPr>
        <w:pStyle w:val="SingleTxtG"/>
      </w:pPr>
      <w:r w:rsidRPr="00F26437">
        <w:t>7.5.7.6.1</w:t>
      </w:r>
      <w:r w:rsidRPr="00F26437">
        <w:tab/>
        <w:t>Dans le Nota, après « énoncées au 7.5.7.1 » supprimer « , ainsi qu’au Code de bonnes pratiques OMI/OIT/CEE-ONU pour le chargement des cargaisons dans des engins de transport (Code CTU) ».</w:t>
      </w:r>
    </w:p>
    <w:p w14:paraId="40322454" w14:textId="552CBB8C" w:rsidR="000B1500" w:rsidRPr="00805662" w:rsidRDefault="000B1500" w:rsidP="000B1500">
      <w:pPr>
        <w:pStyle w:val="SingleTxtG"/>
        <w:rPr>
          <w:lang w:val="fr-FR"/>
        </w:rPr>
      </w:pPr>
      <w:r w:rsidRPr="00805662">
        <w:rPr>
          <w:lang w:val="fr-FR"/>
        </w:rPr>
        <w:t>7.5</w:t>
      </w:r>
      <w:r w:rsidR="00CD744E">
        <w:rPr>
          <w:lang w:val="fr-FR"/>
        </w:rPr>
        <w:t>.11, disposition spéciale CV20</w:t>
      </w:r>
      <w:r w:rsidR="00CD744E">
        <w:rPr>
          <w:lang w:val="fr-FR"/>
        </w:rPr>
        <w:tab/>
      </w:r>
      <w:r w:rsidRPr="00805662">
        <w:rPr>
          <w:lang w:val="fr-FR"/>
        </w:rPr>
        <w:t>Remplacer « et les dispositions spéciales V1 et V8 (5) et (6) du chapitre 7.2 » par « , du 7.1.7.4.7 et du 7.1.7.4.8 ainsi que la disposition spéciale V1 du chapitre 7.2 ».</w:t>
      </w:r>
    </w:p>
    <w:p w14:paraId="0266032C" w14:textId="284DE21F" w:rsidR="000B1500" w:rsidRPr="00805662" w:rsidRDefault="000B1500" w:rsidP="000B1500">
      <w:pPr>
        <w:pStyle w:val="SingleTxtG"/>
        <w:rPr>
          <w:lang w:val="fr-FR"/>
        </w:rPr>
      </w:pPr>
      <w:r w:rsidRPr="00805662">
        <w:rPr>
          <w:lang w:val="fr-FR"/>
        </w:rPr>
        <w:t>7.5</w:t>
      </w:r>
      <w:r w:rsidR="00CD744E">
        <w:rPr>
          <w:lang w:val="fr-FR"/>
        </w:rPr>
        <w:t>.11, disposition spéciale CV21</w:t>
      </w:r>
      <w:r w:rsidR="00CD744E">
        <w:rPr>
          <w:lang w:val="fr-FR"/>
        </w:rPr>
        <w:tab/>
      </w:r>
      <w:r w:rsidRPr="00805662">
        <w:rPr>
          <w:lang w:val="fr-FR"/>
        </w:rPr>
        <w:t>Dans le troisième paragraphe, remplacer « selon les méthodes R2 ou R4 de la disposition spéciale V8 (3) du chapitre 7.2 » par « selon les méthodes décrites au 7.1.7.4.5 b) ou d) ».</w:t>
      </w:r>
    </w:p>
    <w:p w14:paraId="1A51A9E9" w14:textId="5ADB54AF" w:rsidR="002F5575" w:rsidRPr="00F26437" w:rsidRDefault="002F5575" w:rsidP="002F5575">
      <w:pPr>
        <w:pStyle w:val="SingleTxtG"/>
        <w:rPr>
          <w:lang w:val="fr-FR" w:eastAsia="en-GB"/>
        </w:rPr>
      </w:pPr>
      <w:r w:rsidRPr="00F26437">
        <w:rPr>
          <w:lang w:val="fr-FR"/>
        </w:rPr>
        <w:t xml:space="preserve">7.5.11, disposition spéciale </w:t>
      </w:r>
      <w:r w:rsidR="00CD744E">
        <w:rPr>
          <w:lang w:val="fr-FR"/>
        </w:rPr>
        <w:t>CV36</w:t>
      </w:r>
      <w:r w:rsidR="00CD744E">
        <w:rPr>
          <w:lang w:val="fr-FR"/>
        </w:rPr>
        <w:tab/>
      </w:r>
      <w:r w:rsidRPr="00F26437">
        <w:rPr>
          <w:lang w:val="fr-FR" w:eastAsia="en-GB"/>
        </w:rPr>
        <w:t xml:space="preserve">Modifier le </w:t>
      </w:r>
      <w:r w:rsidR="00CD744E">
        <w:rPr>
          <w:lang w:val="fr-FR" w:eastAsia="en-GB"/>
        </w:rPr>
        <w:t xml:space="preserve">début du </w:t>
      </w:r>
      <w:r w:rsidRPr="00F26437">
        <w:rPr>
          <w:lang w:val="fr-FR" w:eastAsia="en-GB"/>
        </w:rPr>
        <w:t>premier paragraphe pour lire comme suit</w:t>
      </w:r>
      <w:r w:rsidR="00F26437">
        <w:rPr>
          <w:lang w:val="fr-FR" w:eastAsia="en-GB"/>
        </w:rPr>
        <w:t> </w:t>
      </w:r>
      <w:r w:rsidRPr="00F26437">
        <w:rPr>
          <w:lang w:val="fr-FR" w:eastAsia="en-GB"/>
        </w:rPr>
        <w:t>:</w:t>
      </w:r>
    </w:p>
    <w:p w14:paraId="49F02031" w14:textId="629B66C4" w:rsidR="002F5575" w:rsidRPr="00F26437" w:rsidRDefault="002F5575" w:rsidP="002F5575">
      <w:pPr>
        <w:pStyle w:val="SingleTxtG"/>
        <w:rPr>
          <w:lang w:val="fr-FR" w:eastAsia="en-GB"/>
        </w:rPr>
      </w:pPr>
      <w:r w:rsidRPr="00F26437">
        <w:rPr>
          <w:lang w:val="fr-FR" w:eastAsia="en-GB"/>
        </w:rPr>
        <w:t xml:space="preserve">« Les colis doivent de préférence être chargés dans des véhicules découverts ou ventilés ou dans des conteneurs ouverts ou ventilés. Si cela n'est pas possible et que les colis sont chargés dans d'autres véhicules couverts ou conteneurs fermés, les portes de chargement de ces véhicules ou conteneurs seront marquées comme suit, en lettre d'au moins 25 mm de hauteur: </w:t>
      </w:r>
      <w:r w:rsidR="00CD744E" w:rsidRPr="00CD744E">
        <w:rPr>
          <w:i/>
          <w:lang w:val="fr-FR" w:eastAsia="en-GB"/>
        </w:rPr>
        <w:t>[</w:t>
      </w:r>
      <w:r w:rsidRPr="00CD744E">
        <w:rPr>
          <w:i/>
          <w:lang w:val="fr-FR" w:eastAsia="en-GB"/>
        </w:rPr>
        <w:t>reste inchangé</w:t>
      </w:r>
      <w:r w:rsidR="00CD744E" w:rsidRPr="00CD744E">
        <w:rPr>
          <w:i/>
          <w:lang w:val="fr-FR" w:eastAsia="en-GB"/>
        </w:rPr>
        <w:t>]</w:t>
      </w:r>
      <w:r w:rsidRPr="00CD744E">
        <w:rPr>
          <w:lang w:val="fr-FR" w:eastAsia="en-GB"/>
        </w:rPr>
        <w:t> ».</w:t>
      </w:r>
    </w:p>
    <w:p w14:paraId="702E646F" w14:textId="77777777" w:rsidR="007F62A9" w:rsidRPr="000675AE" w:rsidRDefault="007F62A9" w:rsidP="007F62A9">
      <w:pPr>
        <w:pStyle w:val="H1G"/>
      </w:pPr>
      <w:r w:rsidRPr="000675AE">
        <w:tab/>
      </w:r>
      <w:r w:rsidRPr="000675AE">
        <w:tab/>
        <w:t>Chapitre 8.1</w:t>
      </w:r>
    </w:p>
    <w:p w14:paraId="222D3A2E" w14:textId="21551E51" w:rsidR="007A2A1D" w:rsidRPr="000675AE" w:rsidRDefault="007A2A1D" w:rsidP="007A2A1D">
      <w:pPr>
        <w:pStyle w:val="SingleTxtG"/>
        <w:rPr>
          <w:lang w:val="fr-FR"/>
        </w:rPr>
      </w:pPr>
      <w:r w:rsidRPr="000675AE">
        <w:rPr>
          <w:lang w:val="fr-FR"/>
        </w:rPr>
        <w:t xml:space="preserve">8.1.2.1 a) </w:t>
      </w:r>
      <w:r w:rsidRPr="000675AE">
        <w:rPr>
          <w:lang w:val="fr-FR"/>
        </w:rPr>
        <w:tab/>
        <w:t xml:space="preserve">Remplacer </w:t>
      </w:r>
      <w:r w:rsidRPr="000675AE">
        <w:rPr>
          <w:rFonts w:ascii="Arial" w:hAnsi="Arial" w:cs="Arial"/>
          <w:lang w:val="fr-FR"/>
        </w:rPr>
        <w:t>« </w:t>
      </w:r>
      <w:r w:rsidRPr="000675AE">
        <w:rPr>
          <w:lang w:val="fr-FR" w:eastAsia="de-DE"/>
        </w:rPr>
        <w:t>certificat d'empotage du grand conteneur ou du véhicule </w:t>
      </w:r>
      <w:r w:rsidRPr="000675AE">
        <w:rPr>
          <w:rFonts w:ascii="Arial" w:hAnsi="Arial" w:cs="Arial"/>
          <w:lang w:val="fr-FR"/>
        </w:rPr>
        <w:t xml:space="preserve">» </w:t>
      </w:r>
      <w:r w:rsidRPr="000675AE">
        <w:rPr>
          <w:lang w:val="fr-FR"/>
        </w:rPr>
        <w:t xml:space="preserve">par </w:t>
      </w:r>
      <w:r w:rsidRPr="000675AE">
        <w:rPr>
          <w:rFonts w:ascii="Arial" w:hAnsi="Arial" w:cs="Arial"/>
          <w:lang w:val="fr-FR"/>
        </w:rPr>
        <w:t>« "</w:t>
      </w:r>
      <w:r w:rsidRPr="000675AE">
        <w:rPr>
          <w:lang w:val="fr-FR"/>
        </w:rPr>
        <w:t>certificat d'empotage du conteneur ou du véhicule" </w:t>
      </w:r>
      <w:r w:rsidRPr="000675AE">
        <w:rPr>
          <w:rFonts w:ascii="Arial" w:hAnsi="Arial" w:cs="Arial"/>
          <w:lang w:val="fr-FR"/>
        </w:rPr>
        <w:t>»</w:t>
      </w:r>
      <w:r w:rsidRPr="000675AE">
        <w:rPr>
          <w:lang w:val="fr-FR"/>
        </w:rPr>
        <w:t>.</w:t>
      </w:r>
    </w:p>
    <w:p w14:paraId="3ECFDC61" w14:textId="19E54EA9" w:rsidR="007F62A9" w:rsidRPr="006774AA" w:rsidRDefault="001E0D22" w:rsidP="001E0D22">
      <w:pPr>
        <w:pStyle w:val="SingleTxtG"/>
        <w:tabs>
          <w:tab w:val="left" w:pos="2268"/>
        </w:tabs>
      </w:pPr>
      <w:r>
        <w:t>8.1.5.2</w:t>
      </w:r>
      <w:r w:rsidR="007F62A9" w:rsidRPr="006774AA">
        <w:tab/>
        <w:t xml:space="preserve">Au quatrième tiret, remplacer </w:t>
      </w:r>
      <w:r w:rsidR="007F62A9" w:rsidRPr="006774AA">
        <w:rPr>
          <w:b/>
          <w:bCs/>
        </w:rPr>
        <w:t>«</w:t>
      </w:r>
      <w:r w:rsidR="007A2A1D" w:rsidRPr="006774AA">
        <w:rPr>
          <w:b/>
          <w:bCs/>
        </w:rPr>
        <w:t> </w:t>
      </w:r>
      <w:r w:rsidR="007F62A9" w:rsidRPr="006774AA">
        <w:t>EN 471:2003+A1:2007</w:t>
      </w:r>
      <w:r w:rsidR="007A2A1D" w:rsidRPr="006774AA">
        <w:t> </w:t>
      </w:r>
      <w:r w:rsidR="007F62A9" w:rsidRPr="006774AA">
        <w:t>» par «</w:t>
      </w:r>
      <w:r w:rsidR="007A2A1D" w:rsidRPr="006774AA">
        <w:t> </w:t>
      </w:r>
      <w:r w:rsidR="007F62A9" w:rsidRPr="006774AA">
        <w:t>EN ISO 20471</w:t>
      </w:r>
      <w:r w:rsidR="007A2A1D" w:rsidRPr="006774AA">
        <w:t> </w:t>
      </w:r>
      <w:r w:rsidR="007F62A9" w:rsidRPr="006774AA">
        <w:t>».</w:t>
      </w:r>
    </w:p>
    <w:p w14:paraId="40041C46" w14:textId="3EF84512" w:rsidR="005C78BA" w:rsidRPr="001A27A7" w:rsidRDefault="005C78BA" w:rsidP="005C78BA">
      <w:pPr>
        <w:pStyle w:val="H1G"/>
        <w:rPr>
          <w:lang w:val="fr-FR"/>
        </w:rPr>
      </w:pPr>
      <w:r w:rsidRPr="001A27A7">
        <w:rPr>
          <w:lang w:val="fr-FR"/>
        </w:rPr>
        <w:tab/>
      </w:r>
      <w:r w:rsidRPr="001A27A7">
        <w:rPr>
          <w:lang w:val="fr-FR"/>
        </w:rPr>
        <w:tab/>
        <w:t>Chapitre 8.2</w:t>
      </w:r>
    </w:p>
    <w:p w14:paraId="2F085B90" w14:textId="288FC0D8" w:rsidR="005C78BA" w:rsidRPr="001A27A7" w:rsidRDefault="005C78BA" w:rsidP="005C78BA">
      <w:pPr>
        <w:pStyle w:val="SingleTxtG"/>
        <w:rPr>
          <w:lang w:val="fr-FR"/>
        </w:rPr>
      </w:pPr>
      <w:r w:rsidRPr="001A27A7">
        <w:rPr>
          <w:lang w:val="fr-FR"/>
        </w:rPr>
        <w:t>8.2.2.3.2 b)</w:t>
      </w:r>
      <w:r w:rsidRPr="001A27A7">
        <w:rPr>
          <w:lang w:val="fr-FR"/>
        </w:rPr>
        <w:tab/>
        <w:t>Remplacer « risques » par « dangers ».</w:t>
      </w:r>
    </w:p>
    <w:p w14:paraId="126961E9" w14:textId="77DB0308" w:rsidR="005C78BA" w:rsidRPr="001A27A7" w:rsidRDefault="005C78BA" w:rsidP="005C78BA">
      <w:pPr>
        <w:pStyle w:val="SingleTxtG"/>
        <w:rPr>
          <w:lang w:val="fr-FR"/>
        </w:rPr>
      </w:pPr>
      <w:r w:rsidRPr="001A27A7">
        <w:rPr>
          <w:lang w:val="fr-FR"/>
        </w:rPr>
        <w:t>8.2.2.3.2 d)</w:t>
      </w:r>
      <w:r w:rsidRPr="001A27A7">
        <w:rPr>
          <w:lang w:val="fr-FR"/>
        </w:rPr>
        <w:tab/>
        <w:t>Remplacer « risque » par « danger ».</w:t>
      </w:r>
    </w:p>
    <w:p w14:paraId="04EF93D8" w14:textId="1CF76E56" w:rsidR="005C78BA" w:rsidRPr="001A27A7" w:rsidRDefault="005C78BA" w:rsidP="005C78BA">
      <w:pPr>
        <w:pStyle w:val="SingleTxtG"/>
        <w:rPr>
          <w:lang w:val="fr-FR"/>
        </w:rPr>
      </w:pPr>
      <w:r w:rsidRPr="001A27A7">
        <w:rPr>
          <w:lang w:val="fr-FR"/>
        </w:rPr>
        <w:t>8.2.2.3.4 a)</w:t>
      </w:r>
      <w:r w:rsidRPr="001A27A7">
        <w:rPr>
          <w:lang w:val="fr-FR"/>
        </w:rPr>
        <w:tab/>
        <w:t>Remplacer « Risques » par « Dangers ».</w:t>
      </w:r>
    </w:p>
    <w:p w14:paraId="4B320FE4" w14:textId="15D9E8CC" w:rsidR="005C78BA" w:rsidRPr="001A27A7" w:rsidRDefault="005C78BA" w:rsidP="005C78BA">
      <w:pPr>
        <w:pStyle w:val="SingleTxtG"/>
        <w:rPr>
          <w:lang w:val="fr-FR"/>
        </w:rPr>
      </w:pPr>
      <w:r w:rsidRPr="001A27A7">
        <w:rPr>
          <w:lang w:val="fr-FR"/>
        </w:rPr>
        <w:t>8.2.2.3.5 a)</w:t>
      </w:r>
      <w:r w:rsidRPr="001A27A7">
        <w:rPr>
          <w:lang w:val="fr-FR"/>
        </w:rPr>
        <w:tab/>
        <w:t>Remplacer « Risques » par « Dangers ».</w:t>
      </w:r>
    </w:p>
    <w:p w14:paraId="70D4D6E2" w14:textId="666B4B64" w:rsidR="00D97698" w:rsidRPr="001A27A7" w:rsidRDefault="00D97698" w:rsidP="00D97698">
      <w:pPr>
        <w:pStyle w:val="H1G"/>
        <w:rPr>
          <w:lang w:val="fr-FR"/>
        </w:rPr>
      </w:pPr>
      <w:r w:rsidRPr="001A27A7">
        <w:rPr>
          <w:lang w:val="fr-FR"/>
        </w:rPr>
        <w:tab/>
      </w:r>
      <w:r w:rsidRPr="001A27A7">
        <w:rPr>
          <w:lang w:val="fr-FR"/>
        </w:rPr>
        <w:tab/>
        <w:t>Chapitre 8.5</w:t>
      </w:r>
    </w:p>
    <w:p w14:paraId="3D252790" w14:textId="21FDD96F" w:rsidR="00D97698" w:rsidRPr="001A27A7" w:rsidRDefault="001E0D22" w:rsidP="001E0D22">
      <w:pPr>
        <w:pStyle w:val="SingleTxtG"/>
        <w:tabs>
          <w:tab w:val="left" w:pos="2268"/>
        </w:tabs>
        <w:rPr>
          <w:lang w:val="fr-FR"/>
        </w:rPr>
      </w:pPr>
      <w:r>
        <w:rPr>
          <w:lang w:val="fr-FR"/>
        </w:rPr>
        <w:t>8.5, S4</w:t>
      </w:r>
      <w:r w:rsidR="00D97698" w:rsidRPr="001A27A7">
        <w:rPr>
          <w:lang w:val="fr-FR"/>
        </w:rPr>
        <w:tab/>
        <w:t>Modifier pour lire comme suit :</w:t>
      </w:r>
    </w:p>
    <w:p w14:paraId="610B10E2" w14:textId="41433CB0" w:rsidR="00D97698" w:rsidRPr="001A27A7" w:rsidRDefault="00D97698" w:rsidP="00D97698">
      <w:pPr>
        <w:pStyle w:val="SingleTxtG"/>
        <w:rPr>
          <w:lang w:val="fr-FR"/>
        </w:rPr>
      </w:pPr>
      <w:r w:rsidRPr="001A27A7">
        <w:rPr>
          <w:lang w:val="fr-FR"/>
        </w:rPr>
        <w:t>« S4</w:t>
      </w:r>
      <w:r w:rsidRPr="001A27A7">
        <w:rPr>
          <w:lang w:val="fr-FR"/>
        </w:rPr>
        <w:tab/>
        <w:t>Voir 7.1.7.</w:t>
      </w:r>
    </w:p>
    <w:p w14:paraId="4B7BFCB6" w14:textId="7618D3DC" w:rsidR="00D97698" w:rsidRPr="001A27A7" w:rsidRDefault="00D97698" w:rsidP="00D97698">
      <w:pPr>
        <w:pStyle w:val="SingleTxtG"/>
        <w:rPr>
          <w:lang w:val="fr-FR"/>
        </w:rPr>
      </w:pPr>
      <w:r w:rsidRPr="001A27A7">
        <w:rPr>
          <w:b/>
          <w:i/>
          <w:lang w:val="fr-FR"/>
        </w:rPr>
        <w:t>NOTA:</w:t>
      </w:r>
      <w:r w:rsidRPr="001A27A7">
        <w:rPr>
          <w:i/>
          <w:lang w:val="fr-FR"/>
        </w:rPr>
        <w:t xml:space="preserve"> La présente disposition </w:t>
      </w:r>
      <w:r w:rsidR="001F22C9" w:rsidRPr="001A27A7">
        <w:rPr>
          <w:i/>
          <w:lang w:val="fr-FR"/>
        </w:rPr>
        <w:t xml:space="preserve">spéciale </w:t>
      </w:r>
      <w:r w:rsidRPr="001A27A7">
        <w:rPr>
          <w:i/>
          <w:lang w:val="fr-FR"/>
        </w:rPr>
        <w:t xml:space="preserve">S4 ne s'applique pas aux matières visées au 3.1.2.6 si la stabilisation est effectuée par adjonction d'inhibiteurs chimiques de sorte que la TDAA </w:t>
      </w:r>
      <w:r w:rsidRPr="001A27A7">
        <w:rPr>
          <w:i/>
          <w:lang w:val="fr-FR"/>
        </w:rPr>
        <w:lastRenderedPageBreak/>
        <w:t>soit supérieure à 50 °C. Dans ce cas, la régulation de température peut également s'imposer si la température en cours de transport risque de dépasser 55 °C.</w:t>
      </w:r>
      <w:r w:rsidRPr="001A27A7">
        <w:rPr>
          <w:lang w:val="fr-FR"/>
        </w:rPr>
        <w:t> ».</w:t>
      </w:r>
    </w:p>
    <w:p w14:paraId="30716E4C" w14:textId="2F5DB2F9" w:rsidR="00452EF4" w:rsidRPr="001A27A7" w:rsidRDefault="001E0D22" w:rsidP="001E0D22">
      <w:pPr>
        <w:pStyle w:val="SingleTxtG"/>
        <w:tabs>
          <w:tab w:val="left" w:pos="2268"/>
        </w:tabs>
        <w:rPr>
          <w:lang w:val="fr-FR"/>
        </w:rPr>
      </w:pPr>
      <w:r>
        <w:rPr>
          <w:lang w:val="fr-FR"/>
        </w:rPr>
        <w:t>8.5, S6</w:t>
      </w:r>
      <w:r w:rsidR="00452EF4" w:rsidRPr="001A27A7">
        <w:rPr>
          <w:lang w:val="fr-FR"/>
        </w:rPr>
        <w:tab/>
        <w:t>Remplacer « risque » par « danger ».</w:t>
      </w:r>
    </w:p>
    <w:p w14:paraId="5E798BFD" w14:textId="701DAFE8" w:rsidR="00452EF4" w:rsidRPr="001A27A7" w:rsidRDefault="00452EF4" w:rsidP="00D97698">
      <w:pPr>
        <w:pStyle w:val="SingleTxtG"/>
        <w:rPr>
          <w:lang w:val="fr-FR"/>
        </w:rPr>
      </w:pPr>
      <w:r w:rsidRPr="001A27A7">
        <w:rPr>
          <w:lang w:val="fr-FR"/>
        </w:rPr>
        <w:t>8.5, S12</w:t>
      </w:r>
      <w:r w:rsidRPr="001A27A7">
        <w:rPr>
          <w:lang w:val="fr-FR"/>
        </w:rPr>
        <w:tab/>
        <w:t>Dans la première phrase, remplacer « risques » par « dangers ».</w:t>
      </w:r>
    </w:p>
    <w:p w14:paraId="6F53B38C" w14:textId="77777777" w:rsidR="007F62A9" w:rsidRPr="001A27A7" w:rsidRDefault="007F62A9" w:rsidP="007F62A9">
      <w:pPr>
        <w:pStyle w:val="H1G"/>
      </w:pPr>
      <w:r w:rsidRPr="001A27A7">
        <w:tab/>
      </w:r>
      <w:r w:rsidRPr="001A27A7">
        <w:tab/>
        <w:t>Chapitre 9.1</w:t>
      </w:r>
    </w:p>
    <w:p w14:paraId="791BF1E0" w14:textId="77777777" w:rsidR="007F62A9" w:rsidRPr="006774AA" w:rsidRDefault="007F62A9" w:rsidP="007F62A9">
      <w:pPr>
        <w:pStyle w:val="SingleTxtG"/>
      </w:pPr>
      <w:r w:rsidRPr="006774AA">
        <w:t>9.1.3.3</w:t>
      </w:r>
      <w:r w:rsidRPr="006774AA">
        <w:tab/>
      </w:r>
      <w:r w:rsidRPr="006774AA">
        <w:tab/>
        <w:t>A la fin, ajouter le nouveau paragraphe suivant :</w:t>
      </w:r>
    </w:p>
    <w:p w14:paraId="401B0D7E" w14:textId="7BD55125" w:rsidR="007F62A9" w:rsidRPr="006774AA" w:rsidRDefault="007F62A9" w:rsidP="007F62A9">
      <w:pPr>
        <w:pStyle w:val="SingleTxtG"/>
      </w:pPr>
      <w:r w:rsidRPr="006774AA">
        <w:t>«</w:t>
      </w:r>
      <w:r w:rsidR="007A2A1D" w:rsidRPr="006774AA">
        <w:t> </w:t>
      </w:r>
      <w:r w:rsidRPr="006774AA">
        <w:t>Le certificat d’agrément pour un véhicule EX/III destiné au transport des matières explosibles en citerne, conforme aux prescriptions du 9.7.9, doit porter la mention suivante sous le point 11: "Véhicule conforme au 9.7.9 de l’ADR pour le transport de matières explosibles en citerne".</w:t>
      </w:r>
      <w:r w:rsidR="007A2A1D" w:rsidRPr="006774AA">
        <w:t> </w:t>
      </w:r>
      <w:r w:rsidRPr="006774AA">
        <w:t>».</w:t>
      </w:r>
    </w:p>
    <w:p w14:paraId="2111E49D" w14:textId="3EA3353A" w:rsidR="007A2A1D" w:rsidRPr="000675AE" w:rsidRDefault="007A2A1D" w:rsidP="007A2A1D">
      <w:pPr>
        <w:pStyle w:val="H1G"/>
      </w:pPr>
      <w:r w:rsidRPr="000675AE">
        <w:tab/>
      </w:r>
      <w:r w:rsidRPr="000675AE">
        <w:tab/>
      </w:r>
      <w:r w:rsidR="007113F3" w:rsidRPr="000675AE">
        <w:t xml:space="preserve">Chapitre </w:t>
      </w:r>
      <w:r w:rsidRPr="000675AE">
        <w:t>9.2</w:t>
      </w:r>
    </w:p>
    <w:p w14:paraId="6A3AD220" w14:textId="77777777" w:rsidR="007B4D8D" w:rsidRPr="00F26437" w:rsidRDefault="007B4D8D" w:rsidP="007B4D8D">
      <w:pPr>
        <w:pStyle w:val="SingleTxtG"/>
        <w:rPr>
          <w:lang w:val="fr-FR"/>
        </w:rPr>
      </w:pPr>
      <w:r w:rsidRPr="00F26437">
        <w:rPr>
          <w:lang w:val="fr-FR"/>
        </w:rPr>
        <w:t>9.2.2.2.1</w:t>
      </w:r>
      <w:r w:rsidRPr="00F26437">
        <w:rPr>
          <w:lang w:val="fr-FR"/>
        </w:rPr>
        <w:tab/>
        <w:t>Dans le deuxième paragraphe, supprimer « telles qu’énoncées dans les normes ISO 16750-4:2010 et ISO 16750-5:2010 ».</w:t>
      </w:r>
    </w:p>
    <w:p w14:paraId="467C169A" w14:textId="1B71AC3A" w:rsidR="007A2A1D" w:rsidRPr="000675AE" w:rsidRDefault="007A2A1D" w:rsidP="007A2A1D">
      <w:pPr>
        <w:pStyle w:val="SingleTxtG"/>
        <w:rPr>
          <w:lang w:val="fr-FR"/>
        </w:rPr>
      </w:pPr>
      <w:r w:rsidRPr="000675AE">
        <w:rPr>
          <w:lang w:val="fr-FR"/>
        </w:rPr>
        <w:t>9.2.2.9.1 a)</w:t>
      </w:r>
      <w:r w:rsidRPr="000675AE">
        <w:rPr>
          <w:lang w:val="fr-FR"/>
        </w:rPr>
        <w:tab/>
        <w:t xml:space="preserve">Remplacer « parties 1, 2, 5, 6, 7, 11, 15 ou 18 » par « parties 1, 2, 5, 6, 7, 11, 15, 18, 26 ou 28 ». </w:t>
      </w:r>
    </w:p>
    <w:p w14:paraId="715CD7C3" w14:textId="518084CA" w:rsidR="000B1500" w:rsidRPr="001A27A7" w:rsidRDefault="000B1500" w:rsidP="000B1500">
      <w:pPr>
        <w:pStyle w:val="H1G"/>
        <w:rPr>
          <w:lang w:val="fr-FR"/>
        </w:rPr>
      </w:pPr>
      <w:r w:rsidRPr="001A27A7">
        <w:rPr>
          <w:lang w:val="fr-FR"/>
        </w:rPr>
        <w:tab/>
      </w:r>
      <w:r w:rsidRPr="001A27A7">
        <w:rPr>
          <w:lang w:val="fr-FR"/>
        </w:rPr>
        <w:tab/>
        <w:t>Chapitre 9.6</w:t>
      </w:r>
    </w:p>
    <w:p w14:paraId="695029FD" w14:textId="77777777" w:rsidR="00F4615A" w:rsidRPr="001A27A7" w:rsidRDefault="00F4615A" w:rsidP="00F4615A">
      <w:pPr>
        <w:pStyle w:val="SingleTxtG"/>
        <w:rPr>
          <w:lang w:val="fr-FR"/>
        </w:rPr>
      </w:pPr>
      <w:r w:rsidRPr="001A27A7">
        <w:rPr>
          <w:lang w:val="fr-FR"/>
        </w:rPr>
        <w:t>9.6.1 a)</w:t>
      </w:r>
      <w:r w:rsidRPr="001A27A7">
        <w:rPr>
          <w:lang w:val="fr-FR"/>
        </w:rPr>
        <w:tab/>
        <w:t>Remplacer « 2.2.52.1.16 » par « 2.2.52.1.15 ».</w:t>
      </w:r>
    </w:p>
    <w:p w14:paraId="11CE5325" w14:textId="77777777" w:rsidR="000B1500" w:rsidRPr="00805662" w:rsidRDefault="000B1500" w:rsidP="001E0D22">
      <w:pPr>
        <w:pStyle w:val="SingleTxtG"/>
        <w:tabs>
          <w:tab w:val="left" w:pos="2268"/>
        </w:tabs>
        <w:rPr>
          <w:lang w:val="fr-FR"/>
        </w:rPr>
      </w:pPr>
      <w:r w:rsidRPr="00805662">
        <w:rPr>
          <w:lang w:val="fr-FR"/>
        </w:rPr>
        <w:t>9.6.2</w:t>
      </w:r>
      <w:r w:rsidRPr="00805662">
        <w:rPr>
          <w:lang w:val="fr-FR"/>
        </w:rPr>
        <w:tab/>
        <w:t>Modifier la pre</w:t>
      </w:r>
      <w:bookmarkStart w:id="0" w:name="_GoBack"/>
      <w:bookmarkEnd w:id="0"/>
      <w:r w:rsidRPr="00805662">
        <w:rPr>
          <w:lang w:val="fr-FR"/>
        </w:rPr>
        <w:t>mière phrase pour lire comme suit : « Des méthodes appropriées pour empêcher le dépassement de la température de régulation sont énumérées au 7.1.7.4.5. ».</w:t>
      </w:r>
    </w:p>
    <w:p w14:paraId="0AF879FB" w14:textId="0EB65C6B" w:rsidR="007A2A1D" w:rsidRPr="000675AE" w:rsidRDefault="007A2A1D" w:rsidP="007A2A1D">
      <w:pPr>
        <w:pStyle w:val="H1G"/>
      </w:pPr>
      <w:r w:rsidRPr="000675AE">
        <w:tab/>
      </w:r>
      <w:r w:rsidRPr="000675AE">
        <w:tab/>
      </w:r>
      <w:r w:rsidR="007113F3" w:rsidRPr="000675AE">
        <w:t xml:space="preserve">Chapitre </w:t>
      </w:r>
      <w:r w:rsidRPr="000675AE">
        <w:t>9.7</w:t>
      </w:r>
    </w:p>
    <w:p w14:paraId="796C4B5A" w14:textId="532B1AE7" w:rsidR="007A2A1D" w:rsidRPr="000675AE" w:rsidRDefault="00D0105A" w:rsidP="00D0105A">
      <w:pPr>
        <w:pStyle w:val="ParNoG"/>
        <w:numPr>
          <w:ilvl w:val="0"/>
          <w:numId w:val="0"/>
        </w:numPr>
        <w:tabs>
          <w:tab w:val="left" w:pos="2268"/>
        </w:tabs>
        <w:kinsoku w:val="0"/>
        <w:overflowPunct w:val="0"/>
        <w:autoSpaceDE w:val="0"/>
        <w:autoSpaceDN w:val="0"/>
        <w:adjustRightInd w:val="0"/>
        <w:snapToGrid w:val="0"/>
        <w:ind w:left="1134"/>
        <w:rPr>
          <w:lang w:val="fr-FR"/>
        </w:rPr>
      </w:pPr>
      <w:r>
        <w:rPr>
          <w:iCs/>
          <w:lang w:val="fr-FR"/>
        </w:rPr>
        <w:t>9.7.3</w:t>
      </w:r>
      <w:r w:rsidR="007A2A1D" w:rsidRPr="000675AE">
        <w:rPr>
          <w:iCs/>
          <w:lang w:val="fr-FR"/>
        </w:rPr>
        <w:tab/>
        <w:t>M</w:t>
      </w:r>
      <w:r w:rsidR="007A2A1D" w:rsidRPr="000675AE">
        <w:rPr>
          <w:lang w:val="fr-FR"/>
        </w:rPr>
        <w:t>odifier la section 9.7.3 comme suit :</w:t>
      </w:r>
    </w:p>
    <w:p w14:paraId="4A93AC3D" w14:textId="127BD983" w:rsidR="007A2A1D" w:rsidRPr="000675AE" w:rsidRDefault="007A2A1D" w:rsidP="00D0105A">
      <w:pPr>
        <w:pStyle w:val="SingleTxtG"/>
        <w:tabs>
          <w:tab w:val="left" w:pos="2268"/>
        </w:tabs>
        <w:rPr>
          <w:b/>
          <w:lang w:val="fr-FR"/>
        </w:rPr>
      </w:pPr>
      <w:r w:rsidRPr="000675AE">
        <w:rPr>
          <w:lang w:val="fr-FR"/>
        </w:rPr>
        <w:t>« </w:t>
      </w:r>
      <w:r w:rsidR="00D0105A">
        <w:rPr>
          <w:b/>
          <w:lang w:val="fr-FR"/>
        </w:rPr>
        <w:t>9.7.3</w:t>
      </w:r>
      <w:r w:rsidRPr="000675AE">
        <w:rPr>
          <w:b/>
          <w:lang w:val="fr-FR"/>
        </w:rPr>
        <w:tab/>
        <w:t>Moyens de fixation</w:t>
      </w:r>
    </w:p>
    <w:p w14:paraId="1E437368" w14:textId="16D2B0BD" w:rsidR="007A2A1D" w:rsidRPr="000675AE" w:rsidRDefault="007A2A1D" w:rsidP="00D0105A">
      <w:pPr>
        <w:pStyle w:val="SingleTxtG"/>
        <w:tabs>
          <w:tab w:val="left" w:pos="2268"/>
        </w:tabs>
      </w:pPr>
      <w:r w:rsidRPr="000675AE">
        <w:t>9.7.3.1</w:t>
      </w:r>
      <w:r w:rsidRPr="000675AE">
        <w:tab/>
        <w:t xml:space="preserve">Les moyens de fixation doivent être conçus pour résister aux sollicitations statiques et dynamiques dans les conditions normales de transport. Les moyens de fixation comprennent également les cadres de support utilisés pour le montage de l’équipement de structure (voir </w:t>
      </w:r>
      <w:r w:rsidR="00F4615A" w:rsidRPr="000675AE">
        <w:t xml:space="preserve">définition au </w:t>
      </w:r>
      <w:r w:rsidRPr="000675AE">
        <w:t>1.2.1) au véhicule.</w:t>
      </w:r>
    </w:p>
    <w:p w14:paraId="1CAF2F0E" w14:textId="4E445923" w:rsidR="007A2A1D" w:rsidRPr="000675AE" w:rsidRDefault="007A2A1D" w:rsidP="007A2A1D">
      <w:pPr>
        <w:pStyle w:val="SingleTxtG"/>
      </w:pPr>
      <w:r w:rsidRPr="000675AE">
        <w:t>9.7.3.2</w:t>
      </w:r>
      <w:r w:rsidRPr="000675AE">
        <w:tab/>
      </w:r>
      <w:r w:rsidRPr="000675AE">
        <w:tab/>
        <w:t>Les moyens de fixation utilisés sur les véhicules-citernes, les véhicules-batteries, les véhicules transportant des conteneurs-citernes, les citernes démontables, les citernes mobiles, les CGEM ou les CGEM "UN" doivent pouvoir absorber, à la charge maximale admissible, les forces statiques suivantes appliquées séparément:</w:t>
      </w:r>
    </w:p>
    <w:p w14:paraId="07ACF080" w14:textId="43421DF6" w:rsidR="007A2A1D" w:rsidRPr="000675AE" w:rsidRDefault="001B6CC7" w:rsidP="007A2A1D">
      <w:pPr>
        <w:pStyle w:val="SingleTxtG"/>
        <w:rPr>
          <w:lang w:val="fr-FR"/>
        </w:rPr>
      </w:pPr>
      <w:r w:rsidRPr="000675AE">
        <w:rPr>
          <w:lang w:val="fr-FR"/>
        </w:rPr>
        <w:t>-</w:t>
      </w:r>
      <w:r w:rsidRPr="000675AE">
        <w:rPr>
          <w:lang w:val="fr-FR"/>
        </w:rPr>
        <w:tab/>
      </w:r>
      <w:r w:rsidR="007A2A1D" w:rsidRPr="000675AE">
        <w:rPr>
          <w:lang w:val="fr-FR"/>
        </w:rPr>
        <w:t>Dans le sens de la marche: deux fois la masse totale multipliée par l’accélération de la pesanteur (g)</w:t>
      </w:r>
      <w:r w:rsidR="007A2A1D" w:rsidRPr="000675AE">
        <w:rPr>
          <w:vertAlign w:val="superscript"/>
          <w:lang w:val="fr-FR"/>
        </w:rPr>
        <w:t>1</w:t>
      </w:r>
      <w:r w:rsidR="007A2A1D" w:rsidRPr="000675AE">
        <w:rPr>
          <w:lang w:val="fr-FR"/>
        </w:rPr>
        <w:t>;</w:t>
      </w:r>
    </w:p>
    <w:p w14:paraId="10930BC3" w14:textId="53959DDB" w:rsidR="007A2A1D" w:rsidRPr="000675AE" w:rsidRDefault="001B6CC7" w:rsidP="007A2A1D">
      <w:pPr>
        <w:pStyle w:val="SingleTxtG"/>
        <w:rPr>
          <w:lang w:val="fr-FR"/>
        </w:rPr>
      </w:pPr>
      <w:r w:rsidRPr="000675AE">
        <w:rPr>
          <w:lang w:val="fr-FR"/>
        </w:rPr>
        <w:t>-</w:t>
      </w:r>
      <w:r w:rsidRPr="000675AE">
        <w:rPr>
          <w:lang w:val="fr-FR"/>
        </w:rPr>
        <w:tab/>
      </w:r>
      <w:r w:rsidR="007A2A1D" w:rsidRPr="000675AE">
        <w:rPr>
          <w:lang w:val="fr-FR"/>
        </w:rPr>
        <w:t>Transversalement au sens de la marche: la masse totale multipliée par l’accélération de la pesanteur (g)</w:t>
      </w:r>
      <w:r w:rsidR="007A2A1D" w:rsidRPr="000675AE">
        <w:rPr>
          <w:vertAlign w:val="superscript"/>
          <w:lang w:val="fr-FR"/>
        </w:rPr>
        <w:t>1</w:t>
      </w:r>
      <w:r w:rsidR="007A2A1D" w:rsidRPr="000675AE">
        <w:rPr>
          <w:lang w:val="fr-FR"/>
        </w:rPr>
        <w:t>;</w:t>
      </w:r>
    </w:p>
    <w:p w14:paraId="7436E039" w14:textId="3648C1BD" w:rsidR="007A2A1D" w:rsidRPr="000675AE" w:rsidRDefault="001B6CC7" w:rsidP="007A2A1D">
      <w:pPr>
        <w:pStyle w:val="SingleTxtG"/>
        <w:rPr>
          <w:lang w:val="fr-FR"/>
        </w:rPr>
      </w:pPr>
      <w:r w:rsidRPr="000675AE">
        <w:rPr>
          <w:lang w:val="fr-FR"/>
        </w:rPr>
        <w:t>-</w:t>
      </w:r>
      <w:r w:rsidR="007A2A1D" w:rsidRPr="000675AE">
        <w:rPr>
          <w:lang w:val="fr-FR"/>
        </w:rPr>
        <w:tab/>
        <w:t>Verticalement, de bas en haut: la masse totale multipliée par l’accélération de la pesanteur (g)</w:t>
      </w:r>
      <w:r w:rsidR="007A2A1D" w:rsidRPr="000675AE">
        <w:rPr>
          <w:vertAlign w:val="superscript"/>
          <w:lang w:val="fr-FR"/>
        </w:rPr>
        <w:t>1</w:t>
      </w:r>
      <w:r w:rsidR="007A2A1D" w:rsidRPr="000675AE">
        <w:rPr>
          <w:lang w:val="fr-FR"/>
        </w:rPr>
        <w:t>;</w:t>
      </w:r>
    </w:p>
    <w:p w14:paraId="7844E73C" w14:textId="1F0AB9E1" w:rsidR="007A2A1D" w:rsidRPr="000675AE" w:rsidRDefault="001B6CC7" w:rsidP="007A2A1D">
      <w:pPr>
        <w:pStyle w:val="SingleTxtG"/>
        <w:rPr>
          <w:lang w:val="fr-FR"/>
        </w:rPr>
      </w:pPr>
      <w:r w:rsidRPr="000675AE">
        <w:rPr>
          <w:lang w:val="fr-FR"/>
        </w:rPr>
        <w:lastRenderedPageBreak/>
        <w:t>-</w:t>
      </w:r>
      <w:r w:rsidR="007A2A1D" w:rsidRPr="000675AE">
        <w:rPr>
          <w:lang w:val="fr-FR"/>
        </w:rPr>
        <w:tab/>
        <w:t>Verticalement, de haut en bas: deux fois la masse totale multipliée par l’accélération de la pesanteur (g)</w:t>
      </w:r>
      <w:r w:rsidR="007A2A1D" w:rsidRPr="000675AE">
        <w:rPr>
          <w:vertAlign w:val="superscript"/>
          <w:lang w:val="fr-FR"/>
        </w:rPr>
        <w:t>1</w:t>
      </w:r>
      <w:r w:rsidR="007A2A1D" w:rsidRPr="000675AE">
        <w:rPr>
          <w:lang w:val="fr-FR"/>
        </w:rPr>
        <w:t>.</w:t>
      </w:r>
    </w:p>
    <w:p w14:paraId="0667E4CF" w14:textId="77777777" w:rsidR="007A2A1D" w:rsidRPr="000675AE" w:rsidRDefault="007A2A1D" w:rsidP="001B6CC7">
      <w:pPr>
        <w:pStyle w:val="SingleTxtG"/>
        <w:rPr>
          <w:i/>
          <w:lang w:val="fr-FR"/>
        </w:rPr>
      </w:pPr>
      <w:r w:rsidRPr="000675AE">
        <w:rPr>
          <w:b/>
          <w:i/>
          <w:lang w:val="fr-FR"/>
        </w:rPr>
        <w:t>NOTA:</w:t>
      </w:r>
      <w:r w:rsidRPr="000675AE">
        <w:rPr>
          <w:i/>
          <w:lang w:val="fr-FR"/>
        </w:rPr>
        <w:t xml:space="preserve"> Les prescriptions du présent paragraphe ne s’appliquent pas aux dispositifs d’arrimage à verrous tournants conformes à la norme ISO 1161:2016 (Conteneurs de la série 1 – Pièces de coin et pièces de fixation intermédiaires – Spécifications). Néanmoins, elles s’appliquent aux cadres et autres dispositifs utilisés en renfort de tels moyens de fixation au véhicule.».</w:t>
      </w:r>
    </w:p>
    <w:p w14:paraId="5AC17DFD" w14:textId="4FDC66EA" w:rsidR="007A2A1D" w:rsidRPr="000675AE" w:rsidRDefault="007A2A1D" w:rsidP="001B6CC7">
      <w:pPr>
        <w:pStyle w:val="SingleTxtG"/>
        <w:rPr>
          <w:b/>
          <w:lang w:val="fr-FR"/>
        </w:rPr>
      </w:pPr>
      <w:r w:rsidRPr="000675AE">
        <w:rPr>
          <w:lang w:val="fr-FR"/>
        </w:rPr>
        <w:t>La note de bas de page 1 est libellée comme suit</w:t>
      </w:r>
      <w:r w:rsidR="001B6CC7" w:rsidRPr="000675AE">
        <w:rPr>
          <w:lang w:val="fr-FR"/>
        </w:rPr>
        <w:t> </w:t>
      </w:r>
      <w:r w:rsidRPr="000675AE">
        <w:rPr>
          <w:lang w:val="fr-FR"/>
        </w:rPr>
        <w:t>: «</w:t>
      </w:r>
      <w:r w:rsidR="001B6CC7" w:rsidRPr="000675AE">
        <w:rPr>
          <w:lang w:val="fr-FR"/>
        </w:rPr>
        <w:t> </w:t>
      </w:r>
      <w:r w:rsidRPr="000675AE">
        <w:rPr>
          <w:i/>
          <w:lang w:val="fr-FR"/>
        </w:rPr>
        <w:t>Aux fins des calculs: g = 9,81 m/s</w:t>
      </w:r>
      <w:r w:rsidRPr="000675AE">
        <w:rPr>
          <w:i/>
          <w:vertAlign w:val="superscript"/>
          <w:lang w:val="fr-FR"/>
        </w:rPr>
        <w:t>2</w:t>
      </w:r>
      <w:r w:rsidRPr="000675AE">
        <w:rPr>
          <w:i/>
          <w:lang w:val="fr-FR"/>
        </w:rPr>
        <w:t>.</w:t>
      </w:r>
      <w:r w:rsidR="001B6CC7" w:rsidRPr="000675AE">
        <w:rPr>
          <w:i/>
          <w:lang w:val="fr-FR"/>
        </w:rPr>
        <w:t> </w:t>
      </w:r>
      <w:r w:rsidRPr="000675AE">
        <w:rPr>
          <w:lang w:val="fr-FR"/>
        </w:rPr>
        <w:t>». Renuméroter la note de bas de page 1 existante du chapitre 9.7 en tant que note de bas de page 2.</w:t>
      </w:r>
    </w:p>
    <w:p w14:paraId="64D1A722" w14:textId="77777777" w:rsidR="007A2A1D" w:rsidRPr="000675AE" w:rsidRDefault="007A2A1D" w:rsidP="007A2A1D">
      <w:pPr>
        <w:pStyle w:val="SingleTxtG"/>
        <w:rPr>
          <w:lang w:val="fr-FR"/>
        </w:rPr>
      </w:pPr>
      <w:r w:rsidRPr="000675AE">
        <w:rPr>
          <w:lang w:val="fr-FR"/>
        </w:rPr>
        <w:t>9.7.3</w:t>
      </w:r>
      <w:r w:rsidRPr="000675AE">
        <w:rPr>
          <w:lang w:val="fr-FR"/>
        </w:rPr>
        <w:tab/>
        <w:t>Ajouter le nouveau paragraphe suivant:</w:t>
      </w:r>
    </w:p>
    <w:p w14:paraId="5A05BB3C" w14:textId="7B9D9177" w:rsidR="007A2A1D" w:rsidRPr="000675AE" w:rsidRDefault="007A2A1D" w:rsidP="001B6CC7">
      <w:pPr>
        <w:pStyle w:val="SingleTxtG"/>
      </w:pPr>
      <w:r w:rsidRPr="000675AE">
        <w:t>«</w:t>
      </w:r>
      <w:r w:rsidR="001B6CC7" w:rsidRPr="000675AE">
        <w:t> </w:t>
      </w:r>
      <w:r w:rsidRPr="000675AE">
        <w:t>9.7.3.3</w:t>
      </w:r>
      <w:r w:rsidRPr="000675AE">
        <w:tab/>
        <w:t>Pour les véhicules-citernes, les véhicules-batteries et les véhicules porteurs de citernes démontables, les moyens de fixation doivent pouvoir absorber les contraintes minimales telles qu’elles sont définies aux 6.8.2.1.11 à 6.8.2.1.13, 6.8.2.1.15 et 6.8.2.1.16.</w:t>
      </w:r>
      <w:r w:rsidR="001B6CC7" w:rsidRPr="000675AE">
        <w:t> </w:t>
      </w:r>
      <w:r w:rsidRPr="000675AE">
        <w:t>».</w:t>
      </w:r>
    </w:p>
    <w:p w14:paraId="22250381" w14:textId="1AE63905" w:rsidR="007A2A1D" w:rsidRPr="000675AE" w:rsidRDefault="007A2A1D" w:rsidP="007A2A1D">
      <w:pPr>
        <w:pStyle w:val="SingleTxtG"/>
        <w:tabs>
          <w:tab w:val="left" w:pos="2268"/>
        </w:tabs>
        <w:rPr>
          <w:lang w:val="fr-FR"/>
        </w:rPr>
      </w:pPr>
      <w:r w:rsidRPr="000675AE">
        <w:rPr>
          <w:lang w:val="fr-FR"/>
        </w:rPr>
        <w:t>9.7.8.2</w:t>
      </w:r>
      <w:r w:rsidRPr="000675AE">
        <w:rPr>
          <w:lang w:val="fr-FR"/>
        </w:rPr>
        <w:tab/>
        <w:t>Remplacer «</w:t>
      </w:r>
      <w:r w:rsidR="001B6CC7" w:rsidRPr="000675AE">
        <w:rPr>
          <w:lang w:val="fr-FR"/>
        </w:rPr>
        <w:t> </w:t>
      </w:r>
      <w:r w:rsidRPr="000675AE">
        <w:rPr>
          <w:lang w:val="fr-FR"/>
        </w:rPr>
        <w:t>parties 1, 2, 5, 6, 7, 11 ou 18</w:t>
      </w:r>
      <w:r w:rsidR="001B6CC7" w:rsidRPr="000675AE">
        <w:rPr>
          <w:lang w:val="fr-FR"/>
        </w:rPr>
        <w:t> </w:t>
      </w:r>
      <w:r w:rsidRPr="000675AE">
        <w:rPr>
          <w:lang w:val="fr-FR"/>
        </w:rPr>
        <w:t>» par «</w:t>
      </w:r>
      <w:r w:rsidR="001B6CC7" w:rsidRPr="000675AE">
        <w:rPr>
          <w:lang w:val="fr-FR"/>
        </w:rPr>
        <w:t> </w:t>
      </w:r>
      <w:r w:rsidRPr="000675AE">
        <w:rPr>
          <w:lang w:val="fr-FR"/>
        </w:rPr>
        <w:t>parties 1, 2, 5, 6, 7, 11, 18, 26 ou 28</w:t>
      </w:r>
      <w:r w:rsidR="001B6CC7" w:rsidRPr="000675AE">
        <w:rPr>
          <w:lang w:val="fr-FR"/>
        </w:rPr>
        <w:t> </w:t>
      </w:r>
      <w:r w:rsidRPr="000675AE">
        <w:rPr>
          <w:lang w:val="fr-FR"/>
        </w:rPr>
        <w:t>».</w:t>
      </w:r>
    </w:p>
    <w:p w14:paraId="33904B03" w14:textId="4A207822" w:rsidR="00CA0680" w:rsidRPr="007B4D8D" w:rsidRDefault="00196C06" w:rsidP="00357F45">
      <w:pPr>
        <w:spacing w:before="240"/>
        <w:ind w:left="1134" w:right="1134"/>
        <w:jc w:val="center"/>
        <w:rPr>
          <w:lang w:val="fr-FR"/>
        </w:rPr>
      </w:pPr>
      <w:r w:rsidRPr="007B4D8D">
        <w:rPr>
          <w:i/>
          <w:iCs/>
          <w:u w:val="single"/>
          <w:lang w:val="fr-FR"/>
        </w:rPr>
        <w:tab/>
      </w:r>
      <w:r w:rsidRPr="007B4D8D">
        <w:rPr>
          <w:i/>
          <w:iCs/>
          <w:u w:val="single"/>
          <w:lang w:val="fr-FR"/>
        </w:rPr>
        <w:tab/>
      </w:r>
      <w:r w:rsidRPr="007B4D8D">
        <w:rPr>
          <w:i/>
          <w:iCs/>
          <w:u w:val="single"/>
          <w:lang w:val="fr-FR"/>
        </w:rPr>
        <w:tab/>
      </w:r>
    </w:p>
    <w:sectPr w:rsidR="00CA0680" w:rsidRPr="007B4D8D" w:rsidSect="00FF35B7">
      <w:headerReference w:type="even" r:id="rId65"/>
      <w:headerReference w:type="default" r:id="rId66"/>
      <w:footerReference w:type="even" r:id="rId67"/>
      <w:footerReference w:type="default" r:id="rId68"/>
      <w:headerReference w:type="first" r:id="rId69"/>
      <w:footerReference w:type="first" r:id="rId7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E179" w14:textId="77777777" w:rsidR="00B76415" w:rsidRDefault="00B76415"/>
  </w:endnote>
  <w:endnote w:type="continuationSeparator" w:id="0">
    <w:p w14:paraId="5F31C35F" w14:textId="77777777" w:rsidR="00B76415" w:rsidRDefault="00B76415"/>
  </w:endnote>
  <w:endnote w:type="continuationNotice" w:id="1">
    <w:p w14:paraId="737A6DA1" w14:textId="77777777" w:rsidR="00B76415" w:rsidRDefault="00B76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39E0" w14:textId="181C4F26" w:rsidR="00B76415" w:rsidRPr="0088683A" w:rsidRDefault="00B76415" w:rsidP="006201FD">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9C2E03">
      <w:rPr>
        <w:b/>
        <w:noProof/>
        <w:sz w:val="18"/>
      </w:rPr>
      <w:t>22</w:t>
    </w:r>
    <w:r w:rsidRPr="0088683A">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6AF4" w14:textId="7C384B38" w:rsidR="00B76415" w:rsidRPr="00FF35B7" w:rsidRDefault="00B76415"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1E0D22">
      <w:rPr>
        <w:b/>
        <w:noProof/>
        <w:sz w:val="18"/>
      </w:rPr>
      <w:t>79</w:t>
    </w:r>
    <w:r w:rsidRPr="00FF35B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5581" w14:textId="637D2808" w:rsidR="00B76415" w:rsidRPr="00290141" w:rsidRDefault="00B76415" w:rsidP="00A074FC">
    <w:pPr>
      <w:pStyle w:val="Footer"/>
      <w:jc w:val="right"/>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9C2E03">
      <w:rPr>
        <w:b/>
        <w:noProof/>
        <w:sz w:val="18"/>
      </w:rPr>
      <w:t>63</w:t>
    </w:r>
    <w:r w:rsidRPr="00FF35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C350" w14:textId="70266146" w:rsidR="00B76415" w:rsidRPr="0088683A" w:rsidRDefault="00B76415"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9C2E03">
      <w:rPr>
        <w:b/>
        <w:noProof/>
        <w:sz w:val="18"/>
      </w:rPr>
      <w:t>23</w:t>
    </w:r>
    <w:r w:rsidRPr="008868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2CB6" w14:textId="13D40A10" w:rsidR="00B76415" w:rsidRPr="001662B3" w:rsidRDefault="00B76415" w:rsidP="001662B3">
    <w:pPr>
      <w:pStyle w:val="Footer"/>
    </w:pPr>
    <w:r>
      <w:rPr>
        <w:noProof/>
        <w:lang w:val="en-GB" w:eastAsia="en-GB"/>
      </w:rPr>
      <mc:AlternateContent>
        <mc:Choice Requires="wps">
          <w:drawing>
            <wp:anchor distT="0" distB="0" distL="114300" distR="114300" simplePos="0" relativeHeight="251666944" behindDoc="0" locked="0" layoutInCell="1" allowOverlap="1" wp14:anchorId="4892CBFF" wp14:editId="7BD0DA39">
              <wp:simplePos x="0" y="0"/>
              <wp:positionH relativeFrom="margin">
                <wp:posOffset>-431800</wp:posOffset>
              </wp:positionH>
              <wp:positionV relativeFrom="margin">
                <wp:posOffset>0</wp:posOffset>
              </wp:positionV>
              <wp:extent cx="222885" cy="6120130"/>
              <wp:effectExtent l="0" t="0" r="5715" b="139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34B62539" w14:textId="32E65FFF" w:rsidR="00B76415" w:rsidRPr="0088683A" w:rsidRDefault="00B76415" w:rsidP="001662B3">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9C2E03">
                            <w:rPr>
                              <w:b/>
                              <w:noProof/>
                              <w:sz w:val="18"/>
                            </w:rPr>
                            <w:t>24</w:t>
                          </w:r>
                          <w:r w:rsidRPr="0088683A">
                            <w:rPr>
                              <w:b/>
                              <w:sz w:val="18"/>
                            </w:rPr>
                            <w:fldChar w:fldCharType="end"/>
                          </w:r>
                          <w:r>
                            <w:rPr>
                              <w:sz w:val="18"/>
                            </w:rPr>
                            <w:tab/>
                          </w:r>
                        </w:p>
                        <w:p w14:paraId="18D49144" w14:textId="77777777" w:rsidR="00B76415" w:rsidRDefault="00B7641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92CBFF" id="_x0000_t202" coordsize="21600,21600" o:spt="202" path="m,l,21600r21600,l21600,xe">
              <v:stroke joinstyle="miter"/>
              <v:path gradientshapeok="t" o:connecttype="rect"/>
            </v:shapetype>
            <v:shape id="Text Box 64" o:spid="_x0000_s1028" type="#_x0000_t202" style="position:absolute;margin-left:-34pt;margin-top:0;width:17.55pt;height:481.9pt;z-index:2516669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" filled="f" stroked="f">
              <v:stroke joinstyle="round"/>
              <v:path arrowok="t"/>
              <v:textbox style="layout-flow:vertical" inset="0,0,0,0">
                <w:txbxContent>
                  <w:p w14:paraId="34B62539" w14:textId="32E65FFF" w:rsidR="00B76415" w:rsidRPr="0088683A" w:rsidRDefault="00B76415" w:rsidP="001662B3">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9C2E03">
                      <w:rPr>
                        <w:b/>
                        <w:noProof/>
                        <w:sz w:val="18"/>
                      </w:rPr>
                      <w:t>24</w:t>
                    </w:r>
                    <w:r w:rsidRPr="0088683A">
                      <w:rPr>
                        <w:b/>
                        <w:sz w:val="18"/>
                      </w:rPr>
                      <w:fldChar w:fldCharType="end"/>
                    </w:r>
                    <w:r>
                      <w:rPr>
                        <w:sz w:val="18"/>
                      </w:rPr>
                      <w:tab/>
                    </w:r>
                  </w:p>
                  <w:p w14:paraId="18D49144" w14:textId="77777777" w:rsidR="00B76415" w:rsidRDefault="00B76415"/>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9A52" w14:textId="08DE6F09" w:rsidR="00B76415" w:rsidRPr="001662B3" w:rsidRDefault="00B76415" w:rsidP="001662B3">
    <w:pPr>
      <w:pStyle w:val="Footer"/>
    </w:pPr>
    <w:r>
      <w:rPr>
        <w:noProof/>
        <w:lang w:val="en-GB" w:eastAsia="en-GB"/>
      </w:rPr>
      <mc:AlternateContent>
        <mc:Choice Requires="wps">
          <w:drawing>
            <wp:anchor distT="0" distB="0" distL="114300" distR="114300" simplePos="0" relativeHeight="251664896" behindDoc="0" locked="0" layoutInCell="1" allowOverlap="1" wp14:anchorId="5856733A" wp14:editId="2FB3071B">
              <wp:simplePos x="0" y="0"/>
              <wp:positionH relativeFrom="margin">
                <wp:posOffset>-431800</wp:posOffset>
              </wp:positionH>
              <wp:positionV relativeFrom="margin">
                <wp:posOffset>0</wp:posOffset>
              </wp:positionV>
              <wp:extent cx="222885" cy="6120130"/>
              <wp:effectExtent l="0" t="0" r="571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0D32EC9" w14:textId="79638B47" w:rsidR="00B76415" w:rsidRPr="0088683A" w:rsidRDefault="00B76415" w:rsidP="001662B3">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9C2E03">
                            <w:rPr>
                              <w:b/>
                              <w:noProof/>
                              <w:sz w:val="18"/>
                            </w:rPr>
                            <w:t>25</w:t>
                          </w:r>
                          <w:r w:rsidRPr="0088683A">
                            <w:rPr>
                              <w:b/>
                              <w:sz w:val="18"/>
                            </w:rPr>
                            <w:fldChar w:fldCharType="end"/>
                          </w:r>
                        </w:p>
                        <w:p w14:paraId="4298C70D" w14:textId="77777777" w:rsidR="00B76415" w:rsidRDefault="00B7641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56733A" id="_x0000_t202" coordsize="21600,21600" o:spt="202" path="m,l,21600r21600,l21600,xe">
              <v:stroke joinstyle="miter"/>
              <v:path gradientshapeok="t" o:connecttype="rect"/>
            </v:shapetype>
            <v:shape id="Text Box 13" o:spid="_x0000_s1029" type="#_x0000_t202" style="position:absolute;margin-left:-34pt;margin-top:0;width:17.55pt;height:481.9pt;z-index:2516648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Aibs4j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10D32EC9" w14:textId="79638B47" w:rsidR="00B76415" w:rsidRPr="0088683A" w:rsidRDefault="00B76415" w:rsidP="001662B3">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9C2E03">
                      <w:rPr>
                        <w:b/>
                        <w:noProof/>
                        <w:sz w:val="18"/>
                      </w:rPr>
                      <w:t>25</w:t>
                    </w:r>
                    <w:r w:rsidRPr="0088683A">
                      <w:rPr>
                        <w:b/>
                        <w:sz w:val="18"/>
                      </w:rPr>
                      <w:fldChar w:fldCharType="end"/>
                    </w:r>
                  </w:p>
                  <w:p w14:paraId="4298C70D" w14:textId="77777777" w:rsidR="00B76415" w:rsidRDefault="00B7641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AC46" w14:textId="5FC3FB6A" w:rsidR="00B76415" w:rsidRPr="001662B3" w:rsidRDefault="00B76415" w:rsidP="001662B3">
    <w:pPr>
      <w:pStyle w:val="Footer"/>
      <w:tabs>
        <w:tab w:val="right" w:pos="9638"/>
      </w:tabs>
    </w:pPr>
    <w:r w:rsidRPr="001662B3">
      <w:rPr>
        <w:b/>
        <w:sz w:val="18"/>
      </w:rPr>
      <w:fldChar w:fldCharType="begin"/>
    </w:r>
    <w:r w:rsidRPr="001662B3">
      <w:rPr>
        <w:b/>
        <w:sz w:val="18"/>
      </w:rPr>
      <w:instrText xml:space="preserve"> PAGE  \* MERGEFORMAT </w:instrText>
    </w:r>
    <w:r w:rsidRPr="001662B3">
      <w:rPr>
        <w:b/>
        <w:sz w:val="18"/>
      </w:rPr>
      <w:fldChar w:fldCharType="separate"/>
    </w:r>
    <w:r w:rsidR="009C2E03">
      <w:rPr>
        <w:b/>
        <w:noProof/>
        <w:sz w:val="18"/>
      </w:rPr>
      <w:t>56</w:t>
    </w:r>
    <w:r w:rsidRPr="001662B3">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C715" w14:textId="0017353B" w:rsidR="00B76415" w:rsidRPr="001662B3" w:rsidRDefault="00B76415" w:rsidP="001662B3">
    <w:pPr>
      <w:pStyle w:val="Footer"/>
      <w:tabs>
        <w:tab w:val="right" w:pos="9638"/>
      </w:tabs>
      <w:rPr>
        <w:b/>
        <w:sz w:val="18"/>
      </w:rPr>
    </w:pPr>
    <w:r>
      <w:rPr>
        <w:noProof/>
        <w:lang w:val="en-GB" w:eastAsia="en-GB"/>
      </w:rPr>
      <w:tab/>
    </w:r>
    <w:r w:rsidRPr="001662B3">
      <w:rPr>
        <w:b/>
        <w:noProof/>
        <w:sz w:val="18"/>
        <w:lang w:val="en-GB" w:eastAsia="en-GB"/>
      </w:rPr>
      <w:fldChar w:fldCharType="begin"/>
    </w:r>
    <w:r w:rsidRPr="001662B3">
      <w:rPr>
        <w:b/>
        <w:noProof/>
        <w:sz w:val="18"/>
        <w:lang w:val="en-GB" w:eastAsia="en-GB"/>
      </w:rPr>
      <w:instrText xml:space="preserve"> PAGE  \* MERGEFORMAT </w:instrText>
    </w:r>
    <w:r w:rsidRPr="001662B3">
      <w:rPr>
        <w:b/>
        <w:noProof/>
        <w:sz w:val="18"/>
        <w:lang w:val="en-GB" w:eastAsia="en-GB"/>
      </w:rPr>
      <w:fldChar w:fldCharType="separate"/>
    </w:r>
    <w:r w:rsidR="009C2E03">
      <w:rPr>
        <w:b/>
        <w:noProof/>
        <w:sz w:val="18"/>
        <w:lang w:val="en-GB" w:eastAsia="en-GB"/>
      </w:rPr>
      <w:t>55</w:t>
    </w:r>
    <w:r w:rsidRPr="001662B3">
      <w:rPr>
        <w:b/>
        <w:noProof/>
        <w:sz w:val="18"/>
        <w:lang w:val="en-GB" w:eastAsia="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5DE4" w14:textId="77777777" w:rsidR="00B76415" w:rsidRPr="0088683A" w:rsidRDefault="00B76415" w:rsidP="006201FD">
    <w:pPr>
      <w:pStyle w:val="Footer"/>
      <w:tabs>
        <w:tab w:val="right" w:pos="9638"/>
      </w:tabs>
      <w:rPr>
        <w:sz w:val="18"/>
      </w:rPr>
    </w:pP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1749" w14:textId="77777777" w:rsidR="00B76415" w:rsidRPr="0088683A" w:rsidRDefault="00B76415" w:rsidP="006201FD">
    <w:pPr>
      <w:pStyle w:val="Footer"/>
    </w:pPr>
    <w:r>
      <w:rPr>
        <w:noProof/>
        <w:lang w:val="en-GB" w:eastAsia="en-GB"/>
      </w:rPr>
      <mc:AlternateContent>
        <mc:Choice Requires="wps">
          <w:drawing>
            <wp:anchor distT="0" distB="0" distL="114300" distR="114300" simplePos="0" relativeHeight="251661824" behindDoc="0" locked="0" layoutInCell="1" allowOverlap="1" wp14:anchorId="3BA5D7C2" wp14:editId="64530A76">
              <wp:simplePos x="0" y="0"/>
              <wp:positionH relativeFrom="margin">
                <wp:posOffset>-431800</wp:posOffset>
              </wp:positionH>
              <wp:positionV relativeFrom="margin">
                <wp:posOffset>0</wp:posOffset>
              </wp:positionV>
              <wp:extent cx="219075" cy="6124575"/>
              <wp:effectExtent l="0" t="0" r="9525"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995FF94" w14:textId="4C6A78FC" w:rsidR="00B76415" w:rsidRPr="0088683A" w:rsidRDefault="00B76415"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1E0D22">
                            <w:rPr>
                              <w:b/>
                              <w:noProof/>
                              <w:sz w:val="18"/>
                            </w:rPr>
                            <w:t>61</w:t>
                          </w:r>
                          <w:r w:rsidRPr="0088683A">
                            <w:rPr>
                              <w:b/>
                              <w:sz w:val="18"/>
                            </w:rPr>
                            <w:fldChar w:fldCharType="end"/>
                          </w:r>
                        </w:p>
                        <w:p w14:paraId="4A7AAFA0" w14:textId="77777777" w:rsidR="00B76415" w:rsidRDefault="00B7641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A5D7C2" id="_x0000_t202" coordsize="21600,21600" o:spt="202" path="m,l,21600r21600,l21600,xe">
              <v:stroke joinstyle="miter"/>
              <v:path gradientshapeok="t" o:connecttype="rect"/>
            </v:shapetype>
            <v:shape id="Zone de texte 5" o:spid="_x0000_s1033" type="#_x0000_t202" style="position:absolute;margin-left:-34pt;margin-top:0;width:17.25pt;height:482.25pt;z-index:2516618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Wm1pW8oCAAAP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3995FF94" w14:textId="4C6A78FC" w:rsidR="00B76415" w:rsidRPr="0088683A" w:rsidRDefault="00B76415"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1E0D22">
                      <w:rPr>
                        <w:b/>
                        <w:noProof/>
                        <w:sz w:val="18"/>
                      </w:rPr>
                      <w:t>61</w:t>
                    </w:r>
                    <w:r w:rsidRPr="0088683A">
                      <w:rPr>
                        <w:b/>
                        <w:sz w:val="18"/>
                      </w:rPr>
                      <w:fldChar w:fldCharType="end"/>
                    </w:r>
                  </w:p>
                  <w:p w14:paraId="4A7AAFA0" w14:textId="77777777" w:rsidR="00B76415" w:rsidRDefault="00B76415"/>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5785" w14:textId="21E23B43" w:rsidR="00B76415" w:rsidRPr="00FF35B7" w:rsidRDefault="00B76415"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sidR="001E0D22">
      <w:rPr>
        <w:b/>
        <w:noProof/>
        <w:sz w:val="18"/>
      </w:rPr>
      <w:t>78</w:t>
    </w:r>
    <w:r w:rsidRPr="00FF35B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94495" w14:textId="77777777" w:rsidR="00B76415" w:rsidRPr="00D27D5E" w:rsidRDefault="00B76415" w:rsidP="00D27D5E">
      <w:pPr>
        <w:tabs>
          <w:tab w:val="right" w:pos="2155"/>
        </w:tabs>
        <w:spacing w:after="80"/>
        <w:ind w:left="680"/>
        <w:rPr>
          <w:u w:val="single"/>
        </w:rPr>
      </w:pPr>
      <w:r>
        <w:rPr>
          <w:u w:val="single"/>
        </w:rPr>
        <w:tab/>
      </w:r>
    </w:p>
  </w:footnote>
  <w:footnote w:type="continuationSeparator" w:id="0">
    <w:p w14:paraId="2B66C037" w14:textId="77777777" w:rsidR="00B76415" w:rsidRPr="00A40B11" w:rsidRDefault="00B76415" w:rsidP="00A40B11">
      <w:pPr>
        <w:tabs>
          <w:tab w:val="right" w:pos="2155"/>
        </w:tabs>
        <w:spacing w:after="80"/>
        <w:ind w:left="680"/>
        <w:rPr>
          <w:u w:val="single"/>
        </w:rPr>
      </w:pPr>
      <w:r w:rsidRPr="00A40B11">
        <w:rPr>
          <w:u w:val="single"/>
        </w:rPr>
        <w:tab/>
      </w:r>
    </w:p>
  </w:footnote>
  <w:footnote w:type="continuationNotice" w:id="1">
    <w:p w14:paraId="41B80FF4" w14:textId="77777777" w:rsidR="00B76415" w:rsidRDefault="00B76415"/>
  </w:footnote>
  <w:footnote w:id="2">
    <w:p w14:paraId="07CBD0B4" w14:textId="33AB1D6F" w:rsidR="00B76415" w:rsidRPr="008E517B" w:rsidRDefault="00B76415" w:rsidP="001A0EB0">
      <w:pPr>
        <w:pStyle w:val="FootnoteText"/>
        <w:tabs>
          <w:tab w:val="left" w:pos="851"/>
        </w:tabs>
        <w:rPr>
          <w:i/>
          <w:szCs w:val="22"/>
        </w:rPr>
      </w:pPr>
      <w:r w:rsidRPr="0041707C">
        <w:rPr>
          <w:i/>
          <w:szCs w:val="22"/>
        </w:rPr>
        <w:tab/>
      </w:r>
      <w:r w:rsidRPr="008E3896">
        <w:rPr>
          <w:rStyle w:val="FootnoteReference"/>
          <w:szCs w:val="22"/>
        </w:rPr>
        <w:t>1</w:t>
      </w:r>
      <w:r w:rsidRPr="008E3896">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404 "Effet irritant/corrosif aigu sur la peau ", </w:t>
      </w:r>
      <w:r>
        <w:rPr>
          <w:i/>
          <w:szCs w:val="22"/>
        </w:rPr>
        <w:t>2015</w:t>
      </w:r>
      <w:r w:rsidRPr="008E517B">
        <w:rPr>
          <w:i/>
          <w:szCs w:val="22"/>
        </w:rPr>
        <w:t>.</w:t>
      </w:r>
    </w:p>
  </w:footnote>
  <w:footnote w:id="3">
    <w:p w14:paraId="31123453" w14:textId="28627DB9" w:rsidR="00B76415" w:rsidRPr="008E517B" w:rsidRDefault="00B76415" w:rsidP="001A0EB0">
      <w:pPr>
        <w:pStyle w:val="FootnoteText"/>
        <w:tabs>
          <w:tab w:val="left" w:pos="851"/>
        </w:tabs>
        <w:rPr>
          <w:i/>
          <w:szCs w:val="22"/>
        </w:rPr>
      </w:pPr>
      <w:r w:rsidRPr="008E517B">
        <w:rPr>
          <w:i/>
          <w:szCs w:val="22"/>
        </w:rPr>
        <w:tab/>
      </w:r>
      <w:r w:rsidRPr="008E3896">
        <w:rPr>
          <w:rStyle w:val="FootnoteReference"/>
          <w:szCs w:val="22"/>
        </w:rPr>
        <w:t>2</w:t>
      </w:r>
      <w:r w:rsidRPr="008E517B">
        <w:rPr>
          <w:i/>
          <w:szCs w:val="22"/>
        </w:rPr>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435 "Méthode d’essai in vitro sur membrane d’étanchéité pour la corrosion cutanée", </w:t>
      </w:r>
      <w:r>
        <w:rPr>
          <w:i/>
          <w:szCs w:val="22"/>
        </w:rPr>
        <w:t>2015</w:t>
      </w:r>
      <w:r w:rsidRPr="008E517B">
        <w:rPr>
          <w:i/>
          <w:szCs w:val="22"/>
        </w:rPr>
        <w:t>.</w:t>
      </w:r>
    </w:p>
  </w:footnote>
  <w:footnote w:id="4">
    <w:p w14:paraId="226E3111" w14:textId="0C53CBA1" w:rsidR="00B76415" w:rsidRPr="008E517B" w:rsidRDefault="00B76415" w:rsidP="001A0EB0">
      <w:pPr>
        <w:pStyle w:val="FootnoteText"/>
        <w:tabs>
          <w:tab w:val="left" w:pos="851"/>
        </w:tabs>
        <w:rPr>
          <w:i/>
          <w:szCs w:val="22"/>
        </w:rPr>
      </w:pPr>
      <w:r w:rsidRPr="008E517B">
        <w:rPr>
          <w:i/>
          <w:szCs w:val="22"/>
        </w:rPr>
        <w:tab/>
      </w:r>
      <w:r w:rsidRPr="008E3896">
        <w:rPr>
          <w:rStyle w:val="FootnoteReference"/>
          <w:szCs w:val="22"/>
        </w:rPr>
        <w:t>3</w:t>
      </w:r>
      <w:r w:rsidRPr="008E517B">
        <w:rPr>
          <w:i/>
          <w:szCs w:val="22"/>
        </w:rPr>
        <w:tab/>
      </w:r>
      <w:r w:rsidRPr="008E517B">
        <w:rPr>
          <w:i/>
          <w:szCs w:val="22"/>
        </w:rPr>
        <w:tab/>
        <w:t>Ligne directrice de l’OCDE pour les essais de produits chimiques</w:t>
      </w:r>
      <w:r w:rsidRPr="008E517B">
        <w:rPr>
          <w:rFonts w:eastAsia="MS Mincho"/>
          <w:i/>
          <w:szCs w:val="22"/>
        </w:rPr>
        <w:t xml:space="preserve"> No </w:t>
      </w:r>
      <w:r w:rsidRPr="008E517B">
        <w:rPr>
          <w:i/>
          <w:szCs w:val="22"/>
        </w:rPr>
        <w:t xml:space="preserve">430 "Corrosion cutanée in vitro: Essai de résistance électrique transcutanée (RET)", </w:t>
      </w:r>
      <w:r>
        <w:rPr>
          <w:i/>
          <w:szCs w:val="22"/>
        </w:rPr>
        <w:t>2015</w:t>
      </w:r>
      <w:r w:rsidRPr="008E517B">
        <w:rPr>
          <w:i/>
          <w:szCs w:val="22"/>
        </w:rPr>
        <w:t>.</w:t>
      </w:r>
    </w:p>
  </w:footnote>
  <w:footnote w:id="5">
    <w:p w14:paraId="785D15A4" w14:textId="2308FA71" w:rsidR="00B76415" w:rsidRPr="0041707C" w:rsidRDefault="00B76415" w:rsidP="001A0EB0">
      <w:pPr>
        <w:pStyle w:val="FootnoteText"/>
        <w:tabs>
          <w:tab w:val="left" w:pos="851"/>
        </w:tabs>
        <w:rPr>
          <w:rFonts w:eastAsia="Batang"/>
          <w:i/>
        </w:rPr>
      </w:pPr>
      <w:r w:rsidRPr="008E517B">
        <w:rPr>
          <w:i/>
        </w:rPr>
        <w:tab/>
      </w:r>
      <w:r w:rsidRPr="008E3896">
        <w:rPr>
          <w:rStyle w:val="FootnoteReference"/>
        </w:rPr>
        <w:t>4</w:t>
      </w:r>
      <w:r w:rsidRPr="008E517B">
        <w:rPr>
          <w:i/>
          <w:vertAlign w:val="superscript"/>
        </w:rPr>
        <w:tab/>
      </w:r>
      <w:r w:rsidRPr="008E517B">
        <w:rPr>
          <w:i/>
          <w:vertAlign w:val="superscript"/>
        </w:rPr>
        <w:tab/>
      </w:r>
      <w:r w:rsidRPr="008E517B">
        <w:rPr>
          <w:i/>
        </w:rPr>
        <w:t xml:space="preserve">Ligne directrice de l’OCDE pour les essais de produits chimiques </w:t>
      </w:r>
      <w:r w:rsidRPr="008E517B">
        <w:rPr>
          <w:rFonts w:eastAsia="MS Mincho"/>
          <w:i/>
          <w:szCs w:val="22"/>
        </w:rPr>
        <w:t xml:space="preserve">No </w:t>
      </w:r>
      <w:r w:rsidRPr="008E517B">
        <w:rPr>
          <w:i/>
        </w:rPr>
        <w:t xml:space="preserve">431 "Corrosion cutanée in vitro: Essai sur modèle de peau humaine", </w:t>
      </w:r>
      <w:r>
        <w:rPr>
          <w:rFonts w:eastAsia="Batang"/>
          <w:i/>
        </w:rPr>
        <w:t>2015</w:t>
      </w:r>
      <w:r w:rsidRPr="008E517B">
        <w:rPr>
          <w:rFonts w:eastAsia="Batang"/>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A5F9" w14:textId="2945845A" w:rsidR="00B76415" w:rsidRPr="00812252" w:rsidRDefault="00B76415" w:rsidP="00812252">
    <w:pPr>
      <w:pStyle w:val="Header"/>
    </w:pPr>
    <w:r>
      <w:rPr>
        <w:lang w:val="fr-FR"/>
      </w:rPr>
      <w:t>ECE/TRANS/WP.15/240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1230" w14:textId="77777777" w:rsidR="00B76415" w:rsidRDefault="00B76415" w:rsidP="00290141">
    <w:pPr>
      <w:pStyle w:val="Header"/>
      <w:jc w:val="right"/>
    </w:pPr>
    <w:r>
      <w:t>ST/SG/AC.10/44/Add.1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24EF" w14:textId="0B4080AB" w:rsidR="00B76415" w:rsidRPr="00FF35B7" w:rsidRDefault="00B76415">
    <w:pPr>
      <w:pStyle w:val="Header"/>
    </w:pPr>
    <w:r>
      <w:rPr>
        <w:lang w:val="en-GB"/>
      </w:rPr>
      <w:t>ECE/TRANS/WP.15/240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842F" w14:textId="7E752341" w:rsidR="00B76415" w:rsidRPr="00FF35B7" w:rsidRDefault="00B76415" w:rsidP="00FF35B7">
    <w:pPr>
      <w:pStyle w:val="Header"/>
      <w:jc w:val="right"/>
    </w:pPr>
    <w:r>
      <w:rPr>
        <w:lang w:val="en-GB"/>
      </w:rPr>
      <w:t>ECE/TRANS/WP.15/240</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0913" w14:textId="7DBF7680" w:rsidR="00B76415" w:rsidRPr="00812252" w:rsidRDefault="00B76415" w:rsidP="00A074FC">
    <w:pPr>
      <w:pStyle w:val="Header"/>
      <w:jc w:val="right"/>
    </w:pPr>
    <w:r>
      <w:rPr>
        <w:lang w:val="en-GB"/>
      </w:rPr>
      <w:t>ECE/TRANS/WP.15/240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7ECD" w14:textId="27F9EEAB" w:rsidR="00B76415" w:rsidRPr="00812252" w:rsidRDefault="00B76415" w:rsidP="00812252">
    <w:pPr>
      <w:pStyle w:val="Header"/>
      <w:jc w:val="right"/>
    </w:pPr>
    <w:r>
      <w:rPr>
        <w:lang w:val="en-GB"/>
      </w:rPr>
      <w:t>ECE/TRANS/WP.15/240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1B51" w14:textId="53E1E2E5" w:rsidR="00B76415" w:rsidRPr="001662B3" w:rsidRDefault="00B76415" w:rsidP="001662B3">
    <w:r>
      <w:rPr>
        <w:noProof/>
        <w:lang w:val="en-GB" w:eastAsia="en-GB"/>
      </w:rPr>
      <mc:AlternateContent>
        <mc:Choice Requires="wps">
          <w:drawing>
            <wp:anchor distT="0" distB="0" distL="114300" distR="114300" simplePos="0" relativeHeight="251665920" behindDoc="0" locked="0" layoutInCell="1" allowOverlap="1" wp14:anchorId="1BCA518C" wp14:editId="425CCF3F">
              <wp:simplePos x="0" y="0"/>
              <wp:positionH relativeFrom="page">
                <wp:posOffset>9791700</wp:posOffset>
              </wp:positionH>
              <wp:positionV relativeFrom="margin">
                <wp:posOffset>0</wp:posOffset>
              </wp:positionV>
              <wp:extent cx="215900" cy="6120130"/>
              <wp:effectExtent l="0" t="0" r="12700"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22A32E89" w14:textId="451114EF" w:rsidR="00B76415" w:rsidRPr="00812252" w:rsidRDefault="00B76415" w:rsidP="001662B3">
                          <w:pPr>
                            <w:pStyle w:val="Header"/>
                          </w:pPr>
                          <w:r>
                            <w:rPr>
                              <w:lang w:val="en-GB"/>
                            </w:rPr>
                            <w:t>ECE/TRANS/WP.15/240</w:t>
                          </w:r>
                        </w:p>
                        <w:p w14:paraId="536F269E" w14:textId="77777777" w:rsidR="00B76415" w:rsidRDefault="00B7641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CA518C" id="_x0000_t202" coordsize="21600,21600" o:spt="202" path="m,l,21600r21600,l21600,xe">
              <v:stroke joinstyle="miter"/>
              <v:path gradientshapeok="t" o:connecttype="rect"/>
            </v:shapetype>
            <v:shape id="Text Box 51" o:spid="_x0000_s1026" type="#_x0000_t202" style="position:absolute;margin-left:771pt;margin-top:0;width:17pt;height:481.9pt;z-index:2516659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H4m/s1zAgAA9AQAAA4AAAAA&#10;AAAAAAAAAAAALgIAAGRycy9lMm9Eb2MueG1sUEsBAi0AFAAGAAgAAAAhAOmxu8ngAAAACgEAAA8A&#10;AAAAAAAAAAAAAAAAzQQAAGRycy9kb3ducmV2LnhtbFBLBQYAAAAABAAEAPMAAADaBQAAAAA=&#10;" filled="f" stroked="f">
              <v:stroke joinstyle="round"/>
              <v:path arrowok="t"/>
              <v:textbox style="layout-flow:vertical" inset="0,0,0,0">
                <w:txbxContent>
                  <w:p w14:paraId="22A32E89" w14:textId="451114EF" w:rsidR="00B76415" w:rsidRPr="00812252" w:rsidRDefault="00B76415" w:rsidP="001662B3">
                    <w:pPr>
                      <w:pStyle w:val="Header"/>
                    </w:pPr>
                    <w:r>
                      <w:rPr>
                        <w:lang w:val="en-GB"/>
                      </w:rPr>
                      <w:t>ECE/TRANS/WP.15/240</w:t>
                    </w:r>
                  </w:p>
                  <w:p w14:paraId="536F269E" w14:textId="77777777" w:rsidR="00B76415" w:rsidRDefault="00B7641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CE25" w14:textId="22BD7834" w:rsidR="00B76415" w:rsidRPr="001662B3" w:rsidRDefault="00B76415" w:rsidP="001662B3">
    <w:r>
      <w:rPr>
        <w:noProof/>
        <w:lang w:val="en-GB" w:eastAsia="en-GB"/>
      </w:rPr>
      <mc:AlternateContent>
        <mc:Choice Requires="wps">
          <w:drawing>
            <wp:anchor distT="0" distB="0" distL="114300" distR="114300" simplePos="0" relativeHeight="251663872" behindDoc="0" locked="0" layoutInCell="1" allowOverlap="1" wp14:anchorId="59B91EC2" wp14:editId="308F59FD">
              <wp:simplePos x="0" y="0"/>
              <wp:positionH relativeFrom="page">
                <wp:posOffset>9791700</wp:posOffset>
              </wp:positionH>
              <wp:positionV relativeFrom="margin">
                <wp:posOffset>0</wp:posOffset>
              </wp:positionV>
              <wp:extent cx="215900" cy="6120130"/>
              <wp:effectExtent l="0" t="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0F442216" w14:textId="0C2F5793" w:rsidR="00B76415" w:rsidRPr="00812252" w:rsidRDefault="00B76415" w:rsidP="001662B3">
                          <w:pPr>
                            <w:pStyle w:val="Header"/>
                            <w:jc w:val="right"/>
                          </w:pPr>
                          <w:r>
                            <w:rPr>
                              <w:lang w:val="en-GB"/>
                            </w:rPr>
                            <w:t>ECE/TRANS/WP.15/240</w:t>
                          </w:r>
                        </w:p>
                        <w:p w14:paraId="79213225" w14:textId="77777777" w:rsidR="00B76415" w:rsidRDefault="00B7641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B91EC2" id="_x0000_t202" coordsize="21600,21600" o:spt="202" path="m,l,21600r21600,l21600,xe">
              <v:stroke joinstyle="miter"/>
              <v:path gradientshapeok="t" o:connecttype="rect"/>
            </v:shapetype>
            <v:shape id="Text Box 1" o:spid="_x0000_s1027" type="#_x0000_t202" style="position:absolute;margin-left:771pt;margin-top:0;width:17pt;height:481.9pt;z-index:251663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0F442216" w14:textId="0C2F5793" w:rsidR="00B76415" w:rsidRPr="00812252" w:rsidRDefault="00B76415" w:rsidP="001662B3">
                    <w:pPr>
                      <w:pStyle w:val="Header"/>
                      <w:jc w:val="right"/>
                    </w:pPr>
                    <w:r>
                      <w:rPr>
                        <w:lang w:val="en-GB"/>
                      </w:rPr>
                      <w:t>ECE/TRANS/WP.15/240</w:t>
                    </w:r>
                  </w:p>
                  <w:p w14:paraId="79213225" w14:textId="77777777" w:rsidR="00B76415" w:rsidRDefault="00B7641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0530" w14:textId="77777777" w:rsidR="00B76415" w:rsidRDefault="00B764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1E9E" w14:textId="77FC2961" w:rsidR="00B76415" w:rsidRPr="001662B3" w:rsidRDefault="00B76415" w:rsidP="001662B3">
    <w:pPr>
      <w:pStyle w:val="Header"/>
    </w:pPr>
    <w:r>
      <w:rPr>
        <w:lang w:val="en-GB"/>
      </w:rPr>
      <w:t>ECE/TRANS/WP.15/240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EC14" w14:textId="4B5488EE" w:rsidR="00B76415" w:rsidRPr="001662B3" w:rsidRDefault="00B76415" w:rsidP="001662B3">
    <w:pPr>
      <w:pStyle w:val="Header"/>
      <w:jc w:val="right"/>
    </w:pPr>
    <w:r>
      <w:rPr>
        <w:lang w:val="en-GB"/>
      </w:rPr>
      <w:t>ECE/TRANS/WP.15/240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DE59" w14:textId="77777777" w:rsidR="00B76415" w:rsidRPr="0088683A" w:rsidRDefault="00B76415" w:rsidP="006201FD">
    <w:r>
      <w:rPr>
        <w:noProof/>
        <w:lang w:val="en-GB" w:eastAsia="en-GB"/>
      </w:rPr>
      <mc:AlternateContent>
        <mc:Choice Requires="wps">
          <w:drawing>
            <wp:anchor distT="0" distB="0" distL="114300" distR="114300" simplePos="0" relativeHeight="251662848" behindDoc="0" locked="0" layoutInCell="1" allowOverlap="1" wp14:anchorId="5F7072AC" wp14:editId="77EC10EA">
              <wp:simplePos x="0" y="0"/>
              <wp:positionH relativeFrom="margin">
                <wp:posOffset>-279400</wp:posOffset>
              </wp:positionH>
              <wp:positionV relativeFrom="margin">
                <wp:posOffset>152400</wp:posOffset>
              </wp:positionV>
              <wp:extent cx="219075" cy="6124575"/>
              <wp:effectExtent l="0" t="0" r="9525"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3FC4A61" w14:textId="220B47FE" w:rsidR="00B76415" w:rsidRPr="000B5B54" w:rsidRDefault="00B76415"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1E0D22">
                            <w:rPr>
                              <w:b/>
                              <w:noProof/>
                              <w:sz w:val="18"/>
                            </w:rPr>
                            <w:t>62</w:t>
                          </w:r>
                          <w:r w:rsidRPr="000B5B54">
                            <w:rPr>
                              <w:b/>
                              <w:sz w:val="18"/>
                            </w:rPr>
                            <w:fldChar w:fldCharType="end"/>
                          </w:r>
                          <w:r>
                            <w:rPr>
                              <w:sz w:val="18"/>
                            </w:rPr>
                            <w:tab/>
                          </w:r>
                        </w:p>
                        <w:p w14:paraId="00BE30ED" w14:textId="77777777" w:rsidR="00B76415" w:rsidRDefault="00B76415" w:rsidP="006201F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7072AC" id="_x0000_t202" coordsize="21600,21600" o:spt="202" path="m,l,21600r21600,l21600,xe">
              <v:stroke joinstyle="miter"/>
              <v:path gradientshapeok="t" o:connecttype="rect"/>
            </v:shapetype>
            <v:shape id="Zone de texte 6" o:spid="_x0000_s1030" type="#_x0000_t202" style="position:absolute;margin-left:-22pt;margin-top:12pt;width:17.25pt;height:482.25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" filled="f" stroked="f">
              <v:stroke joinstyle="round"/>
              <v:path arrowok="t"/>
              <v:textbox style="layout-flow:vertical" inset="0,0,0,0">
                <w:txbxContent>
                  <w:p w14:paraId="03FC4A61" w14:textId="220B47FE" w:rsidR="00B76415" w:rsidRPr="000B5B54" w:rsidRDefault="00B76415"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1E0D22">
                      <w:rPr>
                        <w:b/>
                        <w:noProof/>
                        <w:sz w:val="18"/>
                      </w:rPr>
                      <w:t>62</w:t>
                    </w:r>
                    <w:r w:rsidRPr="000B5B54">
                      <w:rPr>
                        <w:b/>
                        <w:sz w:val="18"/>
                      </w:rPr>
                      <w:fldChar w:fldCharType="end"/>
                    </w:r>
                    <w:r>
                      <w:rPr>
                        <w:sz w:val="18"/>
                      </w:rPr>
                      <w:tab/>
                    </w:r>
                  </w:p>
                  <w:p w14:paraId="00BE30ED" w14:textId="77777777" w:rsidR="00B76415" w:rsidRDefault="00B76415" w:rsidP="006201FD"/>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3651D872" wp14:editId="7CE95591">
              <wp:simplePos x="0" y="0"/>
              <wp:positionH relativeFrom="page">
                <wp:posOffset>9791700</wp:posOffset>
              </wp:positionH>
              <wp:positionV relativeFrom="margin">
                <wp:posOffset>0</wp:posOffset>
              </wp:positionV>
              <wp:extent cx="219075" cy="6124575"/>
              <wp:effectExtent l="0" t="0" r="9525"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6827F9F2" w14:textId="353CD97A" w:rsidR="00B76415" w:rsidRDefault="00B76415" w:rsidP="009C2E03">
                          <w:pPr>
                            <w:pBdr>
                              <w:bottom w:val="single" w:sz="4" w:space="1" w:color="auto"/>
                            </w:pBdr>
                          </w:pPr>
                          <w:r>
                            <w:rPr>
                              <w:lang w:val="en-GB"/>
                            </w:rPr>
                            <w:t>ECE/TRANS/WP.15/240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3651D872" id="Zone de texte 3" o:spid="_x0000_s1031" type="#_x0000_t202" style="position:absolute;margin-left:771pt;margin-top:0;width:17.25pt;height:482.25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GSQ9STKAgAADw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6827F9F2" w14:textId="353CD97A" w:rsidR="00B76415" w:rsidRDefault="00B76415" w:rsidP="009C2E03">
                    <w:pPr>
                      <w:pBdr>
                        <w:bottom w:val="single" w:sz="4" w:space="1" w:color="auto"/>
                      </w:pBdr>
                    </w:pPr>
                    <w:r>
                      <w:rPr>
                        <w:lang w:val="en-GB"/>
                      </w:rPr>
                      <w:t>ECE/TRANS/WP.15/240</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EFAC" w14:textId="77777777" w:rsidR="00B76415" w:rsidRPr="0088683A" w:rsidRDefault="00B76415" w:rsidP="006201FD">
    <w:r>
      <w:rPr>
        <w:noProof/>
        <w:lang w:val="en-GB" w:eastAsia="en-GB"/>
      </w:rPr>
      <mc:AlternateContent>
        <mc:Choice Requires="wps">
          <w:drawing>
            <wp:anchor distT="0" distB="0" distL="114300" distR="114300" simplePos="0" relativeHeight="251660800" behindDoc="0" locked="0" layoutInCell="1" allowOverlap="1" wp14:anchorId="1E8498CF" wp14:editId="5FE6FDDC">
              <wp:simplePos x="0" y="0"/>
              <wp:positionH relativeFrom="page">
                <wp:posOffset>9791700</wp:posOffset>
              </wp:positionH>
              <wp:positionV relativeFrom="margin">
                <wp:posOffset>0</wp:posOffset>
              </wp:positionV>
              <wp:extent cx="219075" cy="6124575"/>
              <wp:effectExtent l="0" t="0"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4C9D39D" w14:textId="074D01C4" w:rsidR="00B76415" w:rsidRDefault="00B76415" w:rsidP="009C2E03">
                          <w:pPr>
                            <w:pBdr>
                              <w:bottom w:val="single" w:sz="4" w:space="1" w:color="auto"/>
                            </w:pBdr>
                            <w:jc w:val="right"/>
                          </w:pPr>
                          <w:r>
                            <w:rPr>
                              <w:lang w:val="en-GB"/>
                            </w:rPr>
                            <w:t>ECE/TRANS/WP.15/240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8498CF" id="_x0000_t202" coordsize="21600,21600" o:spt="202" path="m,l,21600r21600,l21600,xe">
              <v:stroke joinstyle="miter"/>
              <v:path gradientshapeok="t" o:connecttype="rect"/>
            </v:shapetype>
            <v:shape id="Zone de texte 4" o:spid="_x0000_s1032" type="#_x0000_t202" style="position:absolute;margin-left:771pt;margin-top:0;width:17.25pt;height:482.25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" filled="f" stroked="f">
              <v:stroke joinstyle="round"/>
              <v:path arrowok="t"/>
              <v:textbox style="layout-flow:vertical" inset="0,0,0,0">
                <w:txbxContent>
                  <w:p w14:paraId="34C9D39D" w14:textId="074D01C4" w:rsidR="00B76415" w:rsidRDefault="00B76415" w:rsidP="009C2E03">
                    <w:pPr>
                      <w:pBdr>
                        <w:bottom w:val="single" w:sz="4" w:space="1" w:color="auto"/>
                      </w:pBdr>
                      <w:jc w:val="right"/>
                    </w:pPr>
                    <w:r>
                      <w:rPr>
                        <w:lang w:val="en-GB"/>
                      </w:rPr>
                      <w:t>ECE/TRANS/WP.15/240</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A" w:vendorID="64" w:dllVersion="131078" w:nlCheck="1" w:checkStyle="0"/>
  <w:activeWritingStyle w:appName="MSWord" w:lang="fr-CH"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B7"/>
    <w:rsid w:val="000026A2"/>
    <w:rsid w:val="000029D1"/>
    <w:rsid w:val="00004AA3"/>
    <w:rsid w:val="000050AB"/>
    <w:rsid w:val="00005A7B"/>
    <w:rsid w:val="00005F78"/>
    <w:rsid w:val="00006264"/>
    <w:rsid w:val="00011D7C"/>
    <w:rsid w:val="00015224"/>
    <w:rsid w:val="00016AC5"/>
    <w:rsid w:val="000200D8"/>
    <w:rsid w:val="00021428"/>
    <w:rsid w:val="000243E2"/>
    <w:rsid w:val="00031D11"/>
    <w:rsid w:val="00060F3F"/>
    <w:rsid w:val="00061B40"/>
    <w:rsid w:val="000675AE"/>
    <w:rsid w:val="00070363"/>
    <w:rsid w:val="000706F2"/>
    <w:rsid w:val="00072E7B"/>
    <w:rsid w:val="00073282"/>
    <w:rsid w:val="00075B3E"/>
    <w:rsid w:val="00076867"/>
    <w:rsid w:val="00080BAA"/>
    <w:rsid w:val="000814B8"/>
    <w:rsid w:val="000826EA"/>
    <w:rsid w:val="00086498"/>
    <w:rsid w:val="00087DC7"/>
    <w:rsid w:val="00091FA8"/>
    <w:rsid w:val="00094A09"/>
    <w:rsid w:val="000A165A"/>
    <w:rsid w:val="000A4478"/>
    <w:rsid w:val="000A6BAA"/>
    <w:rsid w:val="000B1500"/>
    <w:rsid w:val="000B1B85"/>
    <w:rsid w:val="000B3711"/>
    <w:rsid w:val="000C4813"/>
    <w:rsid w:val="000C6EAA"/>
    <w:rsid w:val="000D04D4"/>
    <w:rsid w:val="000D1C38"/>
    <w:rsid w:val="000F0288"/>
    <w:rsid w:val="000F078B"/>
    <w:rsid w:val="000F2A66"/>
    <w:rsid w:val="000F41F2"/>
    <w:rsid w:val="000F50F8"/>
    <w:rsid w:val="000F6720"/>
    <w:rsid w:val="00100970"/>
    <w:rsid w:val="0010178E"/>
    <w:rsid w:val="001058C2"/>
    <w:rsid w:val="00113683"/>
    <w:rsid w:val="00114A09"/>
    <w:rsid w:val="00116131"/>
    <w:rsid w:val="00116C5D"/>
    <w:rsid w:val="00116ECE"/>
    <w:rsid w:val="001218B6"/>
    <w:rsid w:val="00125D33"/>
    <w:rsid w:val="00132A26"/>
    <w:rsid w:val="00134782"/>
    <w:rsid w:val="001347DA"/>
    <w:rsid w:val="0013579B"/>
    <w:rsid w:val="00136752"/>
    <w:rsid w:val="00137D2E"/>
    <w:rsid w:val="00140003"/>
    <w:rsid w:val="0014077D"/>
    <w:rsid w:val="00143989"/>
    <w:rsid w:val="00145488"/>
    <w:rsid w:val="00154472"/>
    <w:rsid w:val="00154C17"/>
    <w:rsid w:val="00154CB9"/>
    <w:rsid w:val="00160540"/>
    <w:rsid w:val="0016259D"/>
    <w:rsid w:val="0016286E"/>
    <w:rsid w:val="00162886"/>
    <w:rsid w:val="001654A6"/>
    <w:rsid w:val="00165CD1"/>
    <w:rsid w:val="001660E2"/>
    <w:rsid w:val="001662B3"/>
    <w:rsid w:val="00167465"/>
    <w:rsid w:val="00175646"/>
    <w:rsid w:val="001765AF"/>
    <w:rsid w:val="00184452"/>
    <w:rsid w:val="00186EAB"/>
    <w:rsid w:val="00186FAC"/>
    <w:rsid w:val="00187094"/>
    <w:rsid w:val="001914AA"/>
    <w:rsid w:val="001928AE"/>
    <w:rsid w:val="00192EEB"/>
    <w:rsid w:val="00194FEF"/>
    <w:rsid w:val="00196C06"/>
    <w:rsid w:val="00197D39"/>
    <w:rsid w:val="001A0DAD"/>
    <w:rsid w:val="001A0EB0"/>
    <w:rsid w:val="001A20FB"/>
    <w:rsid w:val="001A24A2"/>
    <w:rsid w:val="001A27A7"/>
    <w:rsid w:val="001A3B50"/>
    <w:rsid w:val="001A6331"/>
    <w:rsid w:val="001A6D78"/>
    <w:rsid w:val="001B0F1C"/>
    <w:rsid w:val="001B16A3"/>
    <w:rsid w:val="001B6CC7"/>
    <w:rsid w:val="001C1BC3"/>
    <w:rsid w:val="001C441B"/>
    <w:rsid w:val="001C6399"/>
    <w:rsid w:val="001D3E62"/>
    <w:rsid w:val="001D44B7"/>
    <w:rsid w:val="001D7F8A"/>
    <w:rsid w:val="001E0706"/>
    <w:rsid w:val="001E0D22"/>
    <w:rsid w:val="001E3FEB"/>
    <w:rsid w:val="001E4A02"/>
    <w:rsid w:val="001E52BC"/>
    <w:rsid w:val="001E68C9"/>
    <w:rsid w:val="001F0E00"/>
    <w:rsid w:val="001F22C9"/>
    <w:rsid w:val="001F3F06"/>
    <w:rsid w:val="001F5C8B"/>
    <w:rsid w:val="001F7C97"/>
    <w:rsid w:val="002008A2"/>
    <w:rsid w:val="00204AE3"/>
    <w:rsid w:val="00214BCF"/>
    <w:rsid w:val="002156CB"/>
    <w:rsid w:val="002162B0"/>
    <w:rsid w:val="00216BB6"/>
    <w:rsid w:val="00220B3D"/>
    <w:rsid w:val="0022565D"/>
    <w:rsid w:val="00225A8C"/>
    <w:rsid w:val="002324D3"/>
    <w:rsid w:val="00232606"/>
    <w:rsid w:val="0023370B"/>
    <w:rsid w:val="002342EA"/>
    <w:rsid w:val="00240009"/>
    <w:rsid w:val="00244ABE"/>
    <w:rsid w:val="00246043"/>
    <w:rsid w:val="00255383"/>
    <w:rsid w:val="002603FC"/>
    <w:rsid w:val="002606C3"/>
    <w:rsid w:val="00265514"/>
    <w:rsid w:val="002659F1"/>
    <w:rsid w:val="0027239F"/>
    <w:rsid w:val="00285CBD"/>
    <w:rsid w:val="0028695B"/>
    <w:rsid w:val="00286CE7"/>
    <w:rsid w:val="0028758A"/>
    <w:rsid w:val="00287E79"/>
    <w:rsid w:val="00290141"/>
    <w:rsid w:val="002928F9"/>
    <w:rsid w:val="002A2D9B"/>
    <w:rsid w:val="002A2FE6"/>
    <w:rsid w:val="002A4B9C"/>
    <w:rsid w:val="002A5D07"/>
    <w:rsid w:val="002B145A"/>
    <w:rsid w:val="002B1D62"/>
    <w:rsid w:val="002B2336"/>
    <w:rsid w:val="002B2E8A"/>
    <w:rsid w:val="002C028B"/>
    <w:rsid w:val="002C052F"/>
    <w:rsid w:val="002C398C"/>
    <w:rsid w:val="002D1EAC"/>
    <w:rsid w:val="002D2632"/>
    <w:rsid w:val="002D378C"/>
    <w:rsid w:val="002D5CD0"/>
    <w:rsid w:val="002E538F"/>
    <w:rsid w:val="002E6E05"/>
    <w:rsid w:val="002F085E"/>
    <w:rsid w:val="002F28AA"/>
    <w:rsid w:val="002F3DB5"/>
    <w:rsid w:val="002F5575"/>
    <w:rsid w:val="002F77A8"/>
    <w:rsid w:val="003016B7"/>
    <w:rsid w:val="003024AA"/>
    <w:rsid w:val="00305BD6"/>
    <w:rsid w:val="00306094"/>
    <w:rsid w:val="003101CB"/>
    <w:rsid w:val="00314A3A"/>
    <w:rsid w:val="00316738"/>
    <w:rsid w:val="003178D6"/>
    <w:rsid w:val="0032624D"/>
    <w:rsid w:val="00327F6F"/>
    <w:rsid w:val="00335CBD"/>
    <w:rsid w:val="00342D08"/>
    <w:rsid w:val="0034591A"/>
    <w:rsid w:val="003515AA"/>
    <w:rsid w:val="003521CF"/>
    <w:rsid w:val="0035298C"/>
    <w:rsid w:val="00353080"/>
    <w:rsid w:val="00355D89"/>
    <w:rsid w:val="003567B8"/>
    <w:rsid w:val="00357F45"/>
    <w:rsid w:val="0036162F"/>
    <w:rsid w:val="00361EEE"/>
    <w:rsid w:val="00362B4E"/>
    <w:rsid w:val="0037022A"/>
    <w:rsid w:val="003714FD"/>
    <w:rsid w:val="00374106"/>
    <w:rsid w:val="00375009"/>
    <w:rsid w:val="0037666B"/>
    <w:rsid w:val="003778F9"/>
    <w:rsid w:val="00384A47"/>
    <w:rsid w:val="00386524"/>
    <w:rsid w:val="003906EA"/>
    <w:rsid w:val="003976D5"/>
    <w:rsid w:val="003A049C"/>
    <w:rsid w:val="003A1670"/>
    <w:rsid w:val="003A1C96"/>
    <w:rsid w:val="003A687B"/>
    <w:rsid w:val="003B47D4"/>
    <w:rsid w:val="003B6D8B"/>
    <w:rsid w:val="003B798C"/>
    <w:rsid w:val="003C18BF"/>
    <w:rsid w:val="003C1B8A"/>
    <w:rsid w:val="003C1F8C"/>
    <w:rsid w:val="003C38A4"/>
    <w:rsid w:val="003C542F"/>
    <w:rsid w:val="003C7858"/>
    <w:rsid w:val="003D3BED"/>
    <w:rsid w:val="003D6AA4"/>
    <w:rsid w:val="003D6C68"/>
    <w:rsid w:val="003E0086"/>
    <w:rsid w:val="003E36B5"/>
    <w:rsid w:val="003E4741"/>
    <w:rsid w:val="003E4C75"/>
    <w:rsid w:val="003E6028"/>
    <w:rsid w:val="003E6A9A"/>
    <w:rsid w:val="003F0288"/>
    <w:rsid w:val="003F03A4"/>
    <w:rsid w:val="003F2235"/>
    <w:rsid w:val="003F59CB"/>
    <w:rsid w:val="003F5B56"/>
    <w:rsid w:val="004003B4"/>
    <w:rsid w:val="0040504E"/>
    <w:rsid w:val="004069B1"/>
    <w:rsid w:val="00410B90"/>
    <w:rsid w:val="00410EC7"/>
    <w:rsid w:val="00414A63"/>
    <w:rsid w:val="00414B06"/>
    <w:rsid w:val="004159D0"/>
    <w:rsid w:val="00417613"/>
    <w:rsid w:val="004178BD"/>
    <w:rsid w:val="004215B9"/>
    <w:rsid w:val="004215F5"/>
    <w:rsid w:val="00421B88"/>
    <w:rsid w:val="00421F7A"/>
    <w:rsid w:val="004254FA"/>
    <w:rsid w:val="004337F4"/>
    <w:rsid w:val="00434CEB"/>
    <w:rsid w:val="004419B9"/>
    <w:rsid w:val="00442A7D"/>
    <w:rsid w:val="00444D01"/>
    <w:rsid w:val="00447B06"/>
    <w:rsid w:val="00452EF4"/>
    <w:rsid w:val="00455BEF"/>
    <w:rsid w:val="0045744A"/>
    <w:rsid w:val="0046022F"/>
    <w:rsid w:val="0046126F"/>
    <w:rsid w:val="00461407"/>
    <w:rsid w:val="00462D41"/>
    <w:rsid w:val="00464701"/>
    <w:rsid w:val="004655F6"/>
    <w:rsid w:val="0046700E"/>
    <w:rsid w:val="00470FED"/>
    <w:rsid w:val="00473CEE"/>
    <w:rsid w:val="00473FFF"/>
    <w:rsid w:val="00477B36"/>
    <w:rsid w:val="00482AF2"/>
    <w:rsid w:val="004830D0"/>
    <w:rsid w:val="004858C0"/>
    <w:rsid w:val="004902BF"/>
    <w:rsid w:val="004952EB"/>
    <w:rsid w:val="00496768"/>
    <w:rsid w:val="004979FC"/>
    <w:rsid w:val="004A05F2"/>
    <w:rsid w:val="004A0F69"/>
    <w:rsid w:val="004A14F3"/>
    <w:rsid w:val="004A6CB0"/>
    <w:rsid w:val="004B3167"/>
    <w:rsid w:val="004B41A4"/>
    <w:rsid w:val="004B5C14"/>
    <w:rsid w:val="004C1C06"/>
    <w:rsid w:val="004C2793"/>
    <w:rsid w:val="004C4B87"/>
    <w:rsid w:val="004C65CA"/>
    <w:rsid w:val="004C70B6"/>
    <w:rsid w:val="004D1152"/>
    <w:rsid w:val="004D5732"/>
    <w:rsid w:val="004D7A27"/>
    <w:rsid w:val="004E5C5F"/>
    <w:rsid w:val="004E67A9"/>
    <w:rsid w:val="004F04D8"/>
    <w:rsid w:val="004F4841"/>
    <w:rsid w:val="00500D1F"/>
    <w:rsid w:val="00503A7E"/>
    <w:rsid w:val="005045B2"/>
    <w:rsid w:val="005064DA"/>
    <w:rsid w:val="00507CA8"/>
    <w:rsid w:val="00511E62"/>
    <w:rsid w:val="00512CCD"/>
    <w:rsid w:val="00516F19"/>
    <w:rsid w:val="0051749E"/>
    <w:rsid w:val="0052051F"/>
    <w:rsid w:val="0052372C"/>
    <w:rsid w:val="00524945"/>
    <w:rsid w:val="00526746"/>
    <w:rsid w:val="00530783"/>
    <w:rsid w:val="00532F5F"/>
    <w:rsid w:val="00536F4A"/>
    <w:rsid w:val="00540A42"/>
    <w:rsid w:val="00543D5E"/>
    <w:rsid w:val="00547B62"/>
    <w:rsid w:val="00553856"/>
    <w:rsid w:val="00554392"/>
    <w:rsid w:val="00554F93"/>
    <w:rsid w:val="00555DEB"/>
    <w:rsid w:val="00560063"/>
    <w:rsid w:val="0056104D"/>
    <w:rsid w:val="005612F9"/>
    <w:rsid w:val="00565907"/>
    <w:rsid w:val="00571F41"/>
    <w:rsid w:val="005759BC"/>
    <w:rsid w:val="00577ED9"/>
    <w:rsid w:val="0058132F"/>
    <w:rsid w:val="00582578"/>
    <w:rsid w:val="00583629"/>
    <w:rsid w:val="00585B3C"/>
    <w:rsid w:val="005860E1"/>
    <w:rsid w:val="00591788"/>
    <w:rsid w:val="005917F0"/>
    <w:rsid w:val="00591AEA"/>
    <w:rsid w:val="005953EF"/>
    <w:rsid w:val="00595819"/>
    <w:rsid w:val="00597A79"/>
    <w:rsid w:val="005A21B5"/>
    <w:rsid w:val="005A32BE"/>
    <w:rsid w:val="005A52D5"/>
    <w:rsid w:val="005A58CB"/>
    <w:rsid w:val="005A72D5"/>
    <w:rsid w:val="005B4781"/>
    <w:rsid w:val="005B478B"/>
    <w:rsid w:val="005B49E9"/>
    <w:rsid w:val="005B68A6"/>
    <w:rsid w:val="005C1E71"/>
    <w:rsid w:val="005C3A8A"/>
    <w:rsid w:val="005C3B29"/>
    <w:rsid w:val="005C78BA"/>
    <w:rsid w:val="005C7EDD"/>
    <w:rsid w:val="005D14A8"/>
    <w:rsid w:val="005D366E"/>
    <w:rsid w:val="005D3965"/>
    <w:rsid w:val="005D5308"/>
    <w:rsid w:val="005E4486"/>
    <w:rsid w:val="005E5290"/>
    <w:rsid w:val="005E5D1F"/>
    <w:rsid w:val="005E7BD3"/>
    <w:rsid w:val="005E7DDC"/>
    <w:rsid w:val="005F13AB"/>
    <w:rsid w:val="005F6204"/>
    <w:rsid w:val="005F7655"/>
    <w:rsid w:val="00603122"/>
    <w:rsid w:val="00610DD9"/>
    <w:rsid w:val="00610FC4"/>
    <w:rsid w:val="00611D43"/>
    <w:rsid w:val="00612D48"/>
    <w:rsid w:val="0061335E"/>
    <w:rsid w:val="006139D0"/>
    <w:rsid w:val="00616B45"/>
    <w:rsid w:val="006201FD"/>
    <w:rsid w:val="006202E4"/>
    <w:rsid w:val="00620B60"/>
    <w:rsid w:val="00620C59"/>
    <w:rsid w:val="006217AF"/>
    <w:rsid w:val="006265D8"/>
    <w:rsid w:val="0062689F"/>
    <w:rsid w:val="00627472"/>
    <w:rsid w:val="00630D9B"/>
    <w:rsid w:val="00631953"/>
    <w:rsid w:val="00632885"/>
    <w:rsid w:val="0063441B"/>
    <w:rsid w:val="00641080"/>
    <w:rsid w:val="006439EC"/>
    <w:rsid w:val="006477AE"/>
    <w:rsid w:val="00657D7C"/>
    <w:rsid w:val="006646BC"/>
    <w:rsid w:val="0066490D"/>
    <w:rsid w:val="006679FB"/>
    <w:rsid w:val="0067165E"/>
    <w:rsid w:val="006762D1"/>
    <w:rsid w:val="00676CB4"/>
    <w:rsid w:val="006774AA"/>
    <w:rsid w:val="00684D16"/>
    <w:rsid w:val="006924C3"/>
    <w:rsid w:val="00695276"/>
    <w:rsid w:val="00695AA0"/>
    <w:rsid w:val="0069671E"/>
    <w:rsid w:val="006977EB"/>
    <w:rsid w:val="006978FA"/>
    <w:rsid w:val="006A1BE3"/>
    <w:rsid w:val="006A1C0A"/>
    <w:rsid w:val="006A2F46"/>
    <w:rsid w:val="006A6437"/>
    <w:rsid w:val="006B06C2"/>
    <w:rsid w:val="006B2877"/>
    <w:rsid w:val="006B4590"/>
    <w:rsid w:val="006C06A3"/>
    <w:rsid w:val="006C307E"/>
    <w:rsid w:val="006C340C"/>
    <w:rsid w:val="006D05CA"/>
    <w:rsid w:val="006D2CE6"/>
    <w:rsid w:val="006D3BFF"/>
    <w:rsid w:val="006E2B24"/>
    <w:rsid w:val="006E5770"/>
    <w:rsid w:val="006E6D3E"/>
    <w:rsid w:val="006F0B9F"/>
    <w:rsid w:val="006F5E97"/>
    <w:rsid w:val="00700FED"/>
    <w:rsid w:val="0070347C"/>
    <w:rsid w:val="00703DCC"/>
    <w:rsid w:val="007051DD"/>
    <w:rsid w:val="007062E3"/>
    <w:rsid w:val="00706B12"/>
    <w:rsid w:val="007075CD"/>
    <w:rsid w:val="007113E4"/>
    <w:rsid w:val="007113F3"/>
    <w:rsid w:val="0071379D"/>
    <w:rsid w:val="007176C1"/>
    <w:rsid w:val="00722738"/>
    <w:rsid w:val="00722C49"/>
    <w:rsid w:val="007246A8"/>
    <w:rsid w:val="00730CFA"/>
    <w:rsid w:val="00732101"/>
    <w:rsid w:val="0073448C"/>
    <w:rsid w:val="00734569"/>
    <w:rsid w:val="00735A19"/>
    <w:rsid w:val="00736366"/>
    <w:rsid w:val="00737A39"/>
    <w:rsid w:val="00740E65"/>
    <w:rsid w:val="0074245A"/>
    <w:rsid w:val="00746154"/>
    <w:rsid w:val="00746A3A"/>
    <w:rsid w:val="00750F06"/>
    <w:rsid w:val="0075175B"/>
    <w:rsid w:val="007534B4"/>
    <w:rsid w:val="00753744"/>
    <w:rsid w:val="00753DB4"/>
    <w:rsid w:val="00754218"/>
    <w:rsid w:val="00763AB0"/>
    <w:rsid w:val="00765AC9"/>
    <w:rsid w:val="007702E0"/>
    <w:rsid w:val="00771312"/>
    <w:rsid w:val="00772CBA"/>
    <w:rsid w:val="00775B3B"/>
    <w:rsid w:val="0077663B"/>
    <w:rsid w:val="00780D2A"/>
    <w:rsid w:val="00782BE5"/>
    <w:rsid w:val="00784605"/>
    <w:rsid w:val="00791025"/>
    <w:rsid w:val="00793009"/>
    <w:rsid w:val="007931DC"/>
    <w:rsid w:val="007A0606"/>
    <w:rsid w:val="007A064D"/>
    <w:rsid w:val="007A2A1D"/>
    <w:rsid w:val="007A616E"/>
    <w:rsid w:val="007B22B9"/>
    <w:rsid w:val="007B485E"/>
    <w:rsid w:val="007B4D8D"/>
    <w:rsid w:val="007B5EC0"/>
    <w:rsid w:val="007B62F4"/>
    <w:rsid w:val="007C0FDC"/>
    <w:rsid w:val="007D0603"/>
    <w:rsid w:val="007D42AD"/>
    <w:rsid w:val="007D4BBF"/>
    <w:rsid w:val="007D5EBF"/>
    <w:rsid w:val="007D65C2"/>
    <w:rsid w:val="007D71DA"/>
    <w:rsid w:val="007D7488"/>
    <w:rsid w:val="007D761B"/>
    <w:rsid w:val="007D79D5"/>
    <w:rsid w:val="007E0021"/>
    <w:rsid w:val="007E0744"/>
    <w:rsid w:val="007E3EEB"/>
    <w:rsid w:val="007E45F0"/>
    <w:rsid w:val="007E78A5"/>
    <w:rsid w:val="007F41E4"/>
    <w:rsid w:val="007F55CB"/>
    <w:rsid w:val="007F62A9"/>
    <w:rsid w:val="007F7E4E"/>
    <w:rsid w:val="00801E7A"/>
    <w:rsid w:val="00803EFF"/>
    <w:rsid w:val="0080443B"/>
    <w:rsid w:val="00805662"/>
    <w:rsid w:val="00806818"/>
    <w:rsid w:val="0080741D"/>
    <w:rsid w:val="0081173C"/>
    <w:rsid w:val="00812252"/>
    <w:rsid w:val="008148F4"/>
    <w:rsid w:val="008209D6"/>
    <w:rsid w:val="00826B2C"/>
    <w:rsid w:val="00830168"/>
    <w:rsid w:val="00836A3C"/>
    <w:rsid w:val="00836D9B"/>
    <w:rsid w:val="00844750"/>
    <w:rsid w:val="00844C40"/>
    <w:rsid w:val="00845C20"/>
    <w:rsid w:val="00845C7A"/>
    <w:rsid w:val="00846692"/>
    <w:rsid w:val="00850374"/>
    <w:rsid w:val="00850A60"/>
    <w:rsid w:val="00851BA3"/>
    <w:rsid w:val="008521AB"/>
    <w:rsid w:val="00856BF5"/>
    <w:rsid w:val="0085770B"/>
    <w:rsid w:val="008577B0"/>
    <w:rsid w:val="00857DAA"/>
    <w:rsid w:val="0086151F"/>
    <w:rsid w:val="0086254F"/>
    <w:rsid w:val="00866D64"/>
    <w:rsid w:val="00867522"/>
    <w:rsid w:val="00872CCB"/>
    <w:rsid w:val="0087537E"/>
    <w:rsid w:val="00882DFF"/>
    <w:rsid w:val="008851A3"/>
    <w:rsid w:val="00892560"/>
    <w:rsid w:val="008935F5"/>
    <w:rsid w:val="00894FFE"/>
    <w:rsid w:val="008950B5"/>
    <w:rsid w:val="008961E6"/>
    <w:rsid w:val="00896A57"/>
    <w:rsid w:val="0089765D"/>
    <w:rsid w:val="008978F4"/>
    <w:rsid w:val="00897E85"/>
    <w:rsid w:val="008A2FA2"/>
    <w:rsid w:val="008A56E7"/>
    <w:rsid w:val="008B16A2"/>
    <w:rsid w:val="008B2D82"/>
    <w:rsid w:val="008B44C4"/>
    <w:rsid w:val="008B7736"/>
    <w:rsid w:val="008C05E8"/>
    <w:rsid w:val="008C5E17"/>
    <w:rsid w:val="008C6783"/>
    <w:rsid w:val="008D1BD9"/>
    <w:rsid w:val="008D1DE1"/>
    <w:rsid w:val="008D2D01"/>
    <w:rsid w:val="008D3718"/>
    <w:rsid w:val="008D7987"/>
    <w:rsid w:val="008E1085"/>
    <w:rsid w:val="008E12DE"/>
    <w:rsid w:val="008E3896"/>
    <w:rsid w:val="008E517B"/>
    <w:rsid w:val="008E686B"/>
    <w:rsid w:val="008E7FAE"/>
    <w:rsid w:val="008F7CBA"/>
    <w:rsid w:val="00900319"/>
    <w:rsid w:val="00901775"/>
    <w:rsid w:val="00902691"/>
    <w:rsid w:val="009040ED"/>
    <w:rsid w:val="00905D07"/>
    <w:rsid w:val="0090697C"/>
    <w:rsid w:val="00911ACA"/>
    <w:rsid w:val="00911BF7"/>
    <w:rsid w:val="009158FA"/>
    <w:rsid w:val="00920159"/>
    <w:rsid w:val="00920F10"/>
    <w:rsid w:val="00927FA1"/>
    <w:rsid w:val="00931472"/>
    <w:rsid w:val="00931BEB"/>
    <w:rsid w:val="00933E22"/>
    <w:rsid w:val="009360D3"/>
    <w:rsid w:val="009367B7"/>
    <w:rsid w:val="00942D8D"/>
    <w:rsid w:val="009434EC"/>
    <w:rsid w:val="0094723C"/>
    <w:rsid w:val="00951BBA"/>
    <w:rsid w:val="009556EA"/>
    <w:rsid w:val="009574CE"/>
    <w:rsid w:val="00957766"/>
    <w:rsid w:val="0095797A"/>
    <w:rsid w:val="00960B6C"/>
    <w:rsid w:val="00960BA7"/>
    <w:rsid w:val="009610A9"/>
    <w:rsid w:val="00964098"/>
    <w:rsid w:val="00965D2A"/>
    <w:rsid w:val="0096688F"/>
    <w:rsid w:val="009668E0"/>
    <w:rsid w:val="0096760B"/>
    <w:rsid w:val="00970717"/>
    <w:rsid w:val="009716FC"/>
    <w:rsid w:val="009722DE"/>
    <w:rsid w:val="00972698"/>
    <w:rsid w:val="00973CDA"/>
    <w:rsid w:val="00977EC8"/>
    <w:rsid w:val="00980BCB"/>
    <w:rsid w:val="0098254C"/>
    <w:rsid w:val="00983114"/>
    <w:rsid w:val="00991E5D"/>
    <w:rsid w:val="00992897"/>
    <w:rsid w:val="00993A3A"/>
    <w:rsid w:val="009956B8"/>
    <w:rsid w:val="009A2EEF"/>
    <w:rsid w:val="009A5312"/>
    <w:rsid w:val="009A73D5"/>
    <w:rsid w:val="009B2786"/>
    <w:rsid w:val="009B614C"/>
    <w:rsid w:val="009C023B"/>
    <w:rsid w:val="009C1F96"/>
    <w:rsid w:val="009C2E03"/>
    <w:rsid w:val="009C2FA1"/>
    <w:rsid w:val="009C74D5"/>
    <w:rsid w:val="009D0908"/>
    <w:rsid w:val="009D0AF1"/>
    <w:rsid w:val="009D0C02"/>
    <w:rsid w:val="009D320C"/>
    <w:rsid w:val="009D3A8C"/>
    <w:rsid w:val="009D7EFD"/>
    <w:rsid w:val="009E2DAC"/>
    <w:rsid w:val="009E38EF"/>
    <w:rsid w:val="009E41A7"/>
    <w:rsid w:val="009E7956"/>
    <w:rsid w:val="009E79B0"/>
    <w:rsid w:val="009E7F13"/>
    <w:rsid w:val="009F1284"/>
    <w:rsid w:val="009F4509"/>
    <w:rsid w:val="009F7FA2"/>
    <w:rsid w:val="00A0278B"/>
    <w:rsid w:val="00A041B2"/>
    <w:rsid w:val="00A06354"/>
    <w:rsid w:val="00A074FC"/>
    <w:rsid w:val="00A07845"/>
    <w:rsid w:val="00A078E2"/>
    <w:rsid w:val="00A1534D"/>
    <w:rsid w:val="00A20C06"/>
    <w:rsid w:val="00A23A55"/>
    <w:rsid w:val="00A23ED2"/>
    <w:rsid w:val="00A2492E"/>
    <w:rsid w:val="00A3368F"/>
    <w:rsid w:val="00A3434F"/>
    <w:rsid w:val="00A3533E"/>
    <w:rsid w:val="00A35BBA"/>
    <w:rsid w:val="00A4094F"/>
    <w:rsid w:val="00A40B11"/>
    <w:rsid w:val="00A40F0E"/>
    <w:rsid w:val="00A425B4"/>
    <w:rsid w:val="00A43682"/>
    <w:rsid w:val="00A45E89"/>
    <w:rsid w:val="00A46E9F"/>
    <w:rsid w:val="00A51568"/>
    <w:rsid w:val="00A5193B"/>
    <w:rsid w:val="00A53AD4"/>
    <w:rsid w:val="00A54F23"/>
    <w:rsid w:val="00A568C5"/>
    <w:rsid w:val="00A70D54"/>
    <w:rsid w:val="00A70F15"/>
    <w:rsid w:val="00A71964"/>
    <w:rsid w:val="00A72211"/>
    <w:rsid w:val="00A7254B"/>
    <w:rsid w:val="00A7472E"/>
    <w:rsid w:val="00A75024"/>
    <w:rsid w:val="00A815F3"/>
    <w:rsid w:val="00A8435F"/>
    <w:rsid w:val="00A91546"/>
    <w:rsid w:val="00A947F6"/>
    <w:rsid w:val="00A95411"/>
    <w:rsid w:val="00A9724C"/>
    <w:rsid w:val="00A97522"/>
    <w:rsid w:val="00AA3A7B"/>
    <w:rsid w:val="00AA68A8"/>
    <w:rsid w:val="00AA68C5"/>
    <w:rsid w:val="00AB547F"/>
    <w:rsid w:val="00AB70CA"/>
    <w:rsid w:val="00AC211C"/>
    <w:rsid w:val="00AC5A1F"/>
    <w:rsid w:val="00AC67A1"/>
    <w:rsid w:val="00AC6EC7"/>
    <w:rsid w:val="00AC7977"/>
    <w:rsid w:val="00AD051F"/>
    <w:rsid w:val="00AD102D"/>
    <w:rsid w:val="00AD3A60"/>
    <w:rsid w:val="00AD5DEF"/>
    <w:rsid w:val="00AE352C"/>
    <w:rsid w:val="00AE616B"/>
    <w:rsid w:val="00AF7202"/>
    <w:rsid w:val="00B00829"/>
    <w:rsid w:val="00B0583F"/>
    <w:rsid w:val="00B07702"/>
    <w:rsid w:val="00B10104"/>
    <w:rsid w:val="00B15353"/>
    <w:rsid w:val="00B15587"/>
    <w:rsid w:val="00B226FD"/>
    <w:rsid w:val="00B232A7"/>
    <w:rsid w:val="00B25587"/>
    <w:rsid w:val="00B26115"/>
    <w:rsid w:val="00B3247F"/>
    <w:rsid w:val="00B32E2D"/>
    <w:rsid w:val="00B357DD"/>
    <w:rsid w:val="00B36C1B"/>
    <w:rsid w:val="00B40C3F"/>
    <w:rsid w:val="00B415C2"/>
    <w:rsid w:val="00B45986"/>
    <w:rsid w:val="00B46AB9"/>
    <w:rsid w:val="00B51150"/>
    <w:rsid w:val="00B550D2"/>
    <w:rsid w:val="00B56BF1"/>
    <w:rsid w:val="00B57E96"/>
    <w:rsid w:val="00B61990"/>
    <w:rsid w:val="00B65E66"/>
    <w:rsid w:val="00B662C4"/>
    <w:rsid w:val="00B66988"/>
    <w:rsid w:val="00B676E2"/>
    <w:rsid w:val="00B7080F"/>
    <w:rsid w:val="00B734E9"/>
    <w:rsid w:val="00B76415"/>
    <w:rsid w:val="00B819DA"/>
    <w:rsid w:val="00B822EA"/>
    <w:rsid w:val="00B82976"/>
    <w:rsid w:val="00B843E1"/>
    <w:rsid w:val="00B84A16"/>
    <w:rsid w:val="00B92085"/>
    <w:rsid w:val="00B94893"/>
    <w:rsid w:val="00B956B7"/>
    <w:rsid w:val="00B95B90"/>
    <w:rsid w:val="00B97ECE"/>
    <w:rsid w:val="00BA3214"/>
    <w:rsid w:val="00BB5049"/>
    <w:rsid w:val="00BC0C23"/>
    <w:rsid w:val="00BC3F3E"/>
    <w:rsid w:val="00BD056C"/>
    <w:rsid w:val="00BD149D"/>
    <w:rsid w:val="00BD3F6A"/>
    <w:rsid w:val="00BD454A"/>
    <w:rsid w:val="00BD5558"/>
    <w:rsid w:val="00BE507D"/>
    <w:rsid w:val="00BE6A49"/>
    <w:rsid w:val="00BE7FB4"/>
    <w:rsid w:val="00BF0556"/>
    <w:rsid w:val="00BF1492"/>
    <w:rsid w:val="00BF459B"/>
    <w:rsid w:val="00BF6344"/>
    <w:rsid w:val="00BF6723"/>
    <w:rsid w:val="00C00456"/>
    <w:rsid w:val="00C00F54"/>
    <w:rsid w:val="00C01880"/>
    <w:rsid w:val="00C04215"/>
    <w:rsid w:val="00C04392"/>
    <w:rsid w:val="00C04443"/>
    <w:rsid w:val="00C052E4"/>
    <w:rsid w:val="00C056B2"/>
    <w:rsid w:val="00C05731"/>
    <w:rsid w:val="00C05DE4"/>
    <w:rsid w:val="00C067FD"/>
    <w:rsid w:val="00C120E9"/>
    <w:rsid w:val="00C12523"/>
    <w:rsid w:val="00C13EA4"/>
    <w:rsid w:val="00C1748D"/>
    <w:rsid w:val="00C261F8"/>
    <w:rsid w:val="00C30C3C"/>
    <w:rsid w:val="00C32229"/>
    <w:rsid w:val="00C33100"/>
    <w:rsid w:val="00C333AE"/>
    <w:rsid w:val="00C33CC2"/>
    <w:rsid w:val="00C35BA7"/>
    <w:rsid w:val="00C447E6"/>
    <w:rsid w:val="00C506B1"/>
    <w:rsid w:val="00C51F12"/>
    <w:rsid w:val="00C55413"/>
    <w:rsid w:val="00C63378"/>
    <w:rsid w:val="00C64110"/>
    <w:rsid w:val="00C677CA"/>
    <w:rsid w:val="00C7390D"/>
    <w:rsid w:val="00C77339"/>
    <w:rsid w:val="00C8061B"/>
    <w:rsid w:val="00C81FB2"/>
    <w:rsid w:val="00C82BCE"/>
    <w:rsid w:val="00C840B8"/>
    <w:rsid w:val="00C86FCB"/>
    <w:rsid w:val="00C90A26"/>
    <w:rsid w:val="00C90BC0"/>
    <w:rsid w:val="00C9100D"/>
    <w:rsid w:val="00C911FE"/>
    <w:rsid w:val="00C91AA1"/>
    <w:rsid w:val="00C936FB"/>
    <w:rsid w:val="00CA0680"/>
    <w:rsid w:val="00CA4E32"/>
    <w:rsid w:val="00CA5EBA"/>
    <w:rsid w:val="00CA761A"/>
    <w:rsid w:val="00CB056B"/>
    <w:rsid w:val="00CB088B"/>
    <w:rsid w:val="00CB7CDD"/>
    <w:rsid w:val="00CC088A"/>
    <w:rsid w:val="00CC4C6E"/>
    <w:rsid w:val="00CC6319"/>
    <w:rsid w:val="00CD1138"/>
    <w:rsid w:val="00CD142F"/>
    <w:rsid w:val="00CD1A71"/>
    <w:rsid w:val="00CD1A91"/>
    <w:rsid w:val="00CD1FBB"/>
    <w:rsid w:val="00CD2641"/>
    <w:rsid w:val="00CD6EB5"/>
    <w:rsid w:val="00CD744E"/>
    <w:rsid w:val="00CE0BE3"/>
    <w:rsid w:val="00CE1820"/>
    <w:rsid w:val="00CE423F"/>
    <w:rsid w:val="00CE4E90"/>
    <w:rsid w:val="00CE5D3F"/>
    <w:rsid w:val="00CF25C4"/>
    <w:rsid w:val="00CF3DE3"/>
    <w:rsid w:val="00CF3E49"/>
    <w:rsid w:val="00CF3F0B"/>
    <w:rsid w:val="00CF441F"/>
    <w:rsid w:val="00CF7662"/>
    <w:rsid w:val="00D0105A"/>
    <w:rsid w:val="00D016B5"/>
    <w:rsid w:val="00D034F1"/>
    <w:rsid w:val="00D111D2"/>
    <w:rsid w:val="00D134BD"/>
    <w:rsid w:val="00D17B51"/>
    <w:rsid w:val="00D21B19"/>
    <w:rsid w:val="00D21E76"/>
    <w:rsid w:val="00D226B0"/>
    <w:rsid w:val="00D27D5E"/>
    <w:rsid w:val="00D312E0"/>
    <w:rsid w:val="00D33FED"/>
    <w:rsid w:val="00D35303"/>
    <w:rsid w:val="00D353A3"/>
    <w:rsid w:val="00D35474"/>
    <w:rsid w:val="00D41E38"/>
    <w:rsid w:val="00D43483"/>
    <w:rsid w:val="00D45FE8"/>
    <w:rsid w:val="00D46107"/>
    <w:rsid w:val="00D52C2D"/>
    <w:rsid w:val="00D53F01"/>
    <w:rsid w:val="00D57A45"/>
    <w:rsid w:val="00D60F02"/>
    <w:rsid w:val="00D6216C"/>
    <w:rsid w:val="00D6244B"/>
    <w:rsid w:val="00D6735F"/>
    <w:rsid w:val="00D72E30"/>
    <w:rsid w:val="00D74AB5"/>
    <w:rsid w:val="00D84572"/>
    <w:rsid w:val="00D852C7"/>
    <w:rsid w:val="00D85D80"/>
    <w:rsid w:val="00D85D88"/>
    <w:rsid w:val="00D87061"/>
    <w:rsid w:val="00D93212"/>
    <w:rsid w:val="00D966F5"/>
    <w:rsid w:val="00D97698"/>
    <w:rsid w:val="00DA2DF0"/>
    <w:rsid w:val="00DA6CDE"/>
    <w:rsid w:val="00DA6CFE"/>
    <w:rsid w:val="00DA6EAC"/>
    <w:rsid w:val="00DA77EF"/>
    <w:rsid w:val="00DB4351"/>
    <w:rsid w:val="00DB7740"/>
    <w:rsid w:val="00DB7B5E"/>
    <w:rsid w:val="00DC7C33"/>
    <w:rsid w:val="00DD1250"/>
    <w:rsid w:val="00DD2442"/>
    <w:rsid w:val="00DD3001"/>
    <w:rsid w:val="00DD36E6"/>
    <w:rsid w:val="00DD7499"/>
    <w:rsid w:val="00DE1D7B"/>
    <w:rsid w:val="00DE1F72"/>
    <w:rsid w:val="00DE6154"/>
    <w:rsid w:val="00DE6605"/>
    <w:rsid w:val="00DE6D90"/>
    <w:rsid w:val="00DE7E13"/>
    <w:rsid w:val="00DF002F"/>
    <w:rsid w:val="00DF2BC7"/>
    <w:rsid w:val="00DF4228"/>
    <w:rsid w:val="00DF57AC"/>
    <w:rsid w:val="00E01BCD"/>
    <w:rsid w:val="00E0244D"/>
    <w:rsid w:val="00E03A3F"/>
    <w:rsid w:val="00E103B7"/>
    <w:rsid w:val="00E114C7"/>
    <w:rsid w:val="00E1235E"/>
    <w:rsid w:val="00E130F3"/>
    <w:rsid w:val="00E13FA3"/>
    <w:rsid w:val="00E1456E"/>
    <w:rsid w:val="00E14FBA"/>
    <w:rsid w:val="00E15059"/>
    <w:rsid w:val="00E1563C"/>
    <w:rsid w:val="00E15E4D"/>
    <w:rsid w:val="00E2037A"/>
    <w:rsid w:val="00E20EA3"/>
    <w:rsid w:val="00E3149C"/>
    <w:rsid w:val="00E324C0"/>
    <w:rsid w:val="00E3532A"/>
    <w:rsid w:val="00E369F7"/>
    <w:rsid w:val="00E43447"/>
    <w:rsid w:val="00E443A7"/>
    <w:rsid w:val="00E60F18"/>
    <w:rsid w:val="00E6103B"/>
    <w:rsid w:val="00E62610"/>
    <w:rsid w:val="00E62A78"/>
    <w:rsid w:val="00E64052"/>
    <w:rsid w:val="00E65F32"/>
    <w:rsid w:val="00E70B2E"/>
    <w:rsid w:val="00E711A7"/>
    <w:rsid w:val="00E7557C"/>
    <w:rsid w:val="00E81BFF"/>
    <w:rsid w:val="00E81E94"/>
    <w:rsid w:val="00E82607"/>
    <w:rsid w:val="00E84D05"/>
    <w:rsid w:val="00E871C8"/>
    <w:rsid w:val="00E93B06"/>
    <w:rsid w:val="00E93FDF"/>
    <w:rsid w:val="00EA0411"/>
    <w:rsid w:val="00EA151B"/>
    <w:rsid w:val="00EB1B85"/>
    <w:rsid w:val="00EB3414"/>
    <w:rsid w:val="00EB5F0C"/>
    <w:rsid w:val="00EC22AC"/>
    <w:rsid w:val="00EC3C7A"/>
    <w:rsid w:val="00EC5AFA"/>
    <w:rsid w:val="00EC70C8"/>
    <w:rsid w:val="00ED3A2F"/>
    <w:rsid w:val="00EE0243"/>
    <w:rsid w:val="00EE0637"/>
    <w:rsid w:val="00EE09DD"/>
    <w:rsid w:val="00EE2281"/>
    <w:rsid w:val="00EF30C2"/>
    <w:rsid w:val="00EF486A"/>
    <w:rsid w:val="00EF4D90"/>
    <w:rsid w:val="00F12C72"/>
    <w:rsid w:val="00F12F57"/>
    <w:rsid w:val="00F15029"/>
    <w:rsid w:val="00F16A49"/>
    <w:rsid w:val="00F20444"/>
    <w:rsid w:val="00F20867"/>
    <w:rsid w:val="00F224AF"/>
    <w:rsid w:val="00F26011"/>
    <w:rsid w:val="00F26437"/>
    <w:rsid w:val="00F27C60"/>
    <w:rsid w:val="00F37774"/>
    <w:rsid w:val="00F40079"/>
    <w:rsid w:val="00F411F3"/>
    <w:rsid w:val="00F443E1"/>
    <w:rsid w:val="00F4615A"/>
    <w:rsid w:val="00F477B6"/>
    <w:rsid w:val="00F50C27"/>
    <w:rsid w:val="00F53F4D"/>
    <w:rsid w:val="00F541B4"/>
    <w:rsid w:val="00F54844"/>
    <w:rsid w:val="00F67E8B"/>
    <w:rsid w:val="00F711FD"/>
    <w:rsid w:val="00F73056"/>
    <w:rsid w:val="00F7573F"/>
    <w:rsid w:val="00F8202D"/>
    <w:rsid w:val="00F82E78"/>
    <w:rsid w:val="00F8560D"/>
    <w:rsid w:val="00F8604F"/>
    <w:rsid w:val="00F9527F"/>
    <w:rsid w:val="00FA184F"/>
    <w:rsid w:val="00FA4265"/>
    <w:rsid w:val="00FA4E25"/>
    <w:rsid w:val="00FA5A79"/>
    <w:rsid w:val="00FB018B"/>
    <w:rsid w:val="00FB04F3"/>
    <w:rsid w:val="00FB0BFE"/>
    <w:rsid w:val="00FB1878"/>
    <w:rsid w:val="00FB35E2"/>
    <w:rsid w:val="00FB4C51"/>
    <w:rsid w:val="00FB54EF"/>
    <w:rsid w:val="00FB7C67"/>
    <w:rsid w:val="00FC0A4E"/>
    <w:rsid w:val="00FC5572"/>
    <w:rsid w:val="00FC7059"/>
    <w:rsid w:val="00FD2212"/>
    <w:rsid w:val="00FD3C88"/>
    <w:rsid w:val="00FD4586"/>
    <w:rsid w:val="00FE4CC5"/>
    <w:rsid w:val="00FE4F7E"/>
    <w:rsid w:val="00FF0D3F"/>
    <w:rsid w:val="00FF1DBD"/>
    <w:rsid w:val="00FF35B7"/>
    <w:rsid w:val="00FF3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1651F7"/>
  <w15:docId w15:val="{227D79C9-6CE3-426E-8FEC-1C3AE397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uiPriority w:val="99"/>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uiPriority w:val="99"/>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semiHidden/>
    <w:unhideWhenUsed/>
    <w:rsid w:val="00DE6605"/>
    <w:pPr>
      <w:spacing w:after="120"/>
      <w:ind w:left="360"/>
    </w:pPr>
    <w:rPr>
      <w:sz w:val="16"/>
      <w:szCs w:val="16"/>
    </w:rPr>
  </w:style>
  <w:style w:type="character" w:customStyle="1" w:styleId="BodyTextIndent3Char">
    <w:name w:val="Body Text Indent 3 Char"/>
    <w:basedOn w:val="DefaultParagraphFont"/>
    <w:link w:val="BodyTextIndent3"/>
    <w:semiHidden/>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paragraph" w:styleId="BodyTextIndent2">
    <w:name w:val="Body Text Indent 2"/>
    <w:basedOn w:val="Normal"/>
    <w:link w:val="BodyTextIndent2Char"/>
    <w:semiHidden/>
    <w:unhideWhenUsed/>
    <w:rsid w:val="00FE4CC5"/>
    <w:pPr>
      <w:spacing w:after="120" w:line="480" w:lineRule="auto"/>
      <w:ind w:left="360"/>
    </w:pPr>
  </w:style>
  <w:style w:type="character" w:customStyle="1" w:styleId="BodyTextIndent2Char">
    <w:name w:val="Body Text Indent 2 Char"/>
    <w:basedOn w:val="DefaultParagraphFont"/>
    <w:link w:val="BodyTextIndent2"/>
    <w:semiHidden/>
    <w:rsid w:val="00FE4CC5"/>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header" Target="header5.xml"/><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footer" Target="footer8.xml"/><Relationship Id="rId68"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6.xml"/><Relationship Id="rId11" Type="http://schemas.openxmlformats.org/officeDocument/2006/relationships/image" Target="media/image3.emf"/><Relationship Id="rId24" Type="http://schemas.openxmlformats.org/officeDocument/2006/relationships/image" Target="media/image5.wmf"/><Relationship Id="rId32" Type="http://schemas.openxmlformats.org/officeDocument/2006/relationships/footer" Target="footer6.xm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image" Target="media/image32.png"/><Relationship Id="rId66"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eader" Target="header9.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header" Target="header7.xml"/><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64" Type="http://schemas.openxmlformats.org/officeDocument/2006/relationships/header" Target="header10.xml"/><Relationship Id="rId69" Type="http://schemas.openxmlformats.org/officeDocument/2006/relationships/header" Target="header13.xml"/><Relationship Id="rId8" Type="http://schemas.openxmlformats.org/officeDocument/2006/relationships/image" Target="media/image1.wmf"/><Relationship Id="rId51" Type="http://schemas.openxmlformats.org/officeDocument/2006/relationships/image" Target="media/image25.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package" Target="embeddings/Microsoft_Visio_Drawing1.vsdx"/><Relationship Id="rId17" Type="http://schemas.openxmlformats.org/officeDocument/2006/relationships/header" Target="header3.xml"/><Relationship Id="rId25" Type="http://schemas.openxmlformats.org/officeDocument/2006/relationships/oleObject" Target="embeddings/oleObject2.bin"/><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image" Target="media/image33.jpeg"/><Relationship Id="rId67" Type="http://schemas.openxmlformats.org/officeDocument/2006/relationships/footer" Target="footer9.xml"/><Relationship Id="rId20" Type="http://schemas.openxmlformats.org/officeDocument/2006/relationships/footer" Target="footer4.xm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footer" Target="footer7.xml"/><Relationship Id="rId7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10" Type="http://schemas.openxmlformats.org/officeDocument/2006/relationships/package" Target="embeddings/Microsoft_Visio_Drawing.vsdx"/><Relationship Id="rId31" Type="http://schemas.openxmlformats.org/officeDocument/2006/relationships/footer" Target="footer5.xml"/><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header" Target="header8.xm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image" Target="media/image13.png"/><Relationship Id="rId34" Type="http://schemas.openxmlformats.org/officeDocument/2006/relationships/image" Target="media/image8.png"/><Relationship Id="rId50" Type="http://schemas.openxmlformats.org/officeDocument/2006/relationships/image" Target="media/image24.png"/><Relationship Id="rId55"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42E9-4FE8-43E9-83C2-50967347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1171</TotalTime>
  <Pages>79</Pages>
  <Words>30453</Words>
  <Characters>173585</Characters>
  <Application>Microsoft Office Word</Application>
  <DocSecurity>0</DocSecurity>
  <Lines>1446</Lines>
  <Paragraphs>407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203631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Editorial</cp:lastModifiedBy>
  <cp:revision>92</cp:revision>
  <cp:lastPrinted>2018-02-27T15:19:00Z</cp:lastPrinted>
  <dcterms:created xsi:type="dcterms:W3CDTF">2018-01-22T14:32:00Z</dcterms:created>
  <dcterms:modified xsi:type="dcterms:W3CDTF">2018-03-07T10:05:00Z</dcterms:modified>
</cp:coreProperties>
</file>