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B268EA">
            <w:pPr>
              <w:suppressAutoHyphens w:val="0"/>
              <w:spacing w:after="20"/>
              <w:jc w:val="right"/>
            </w:pPr>
            <w:r w:rsidRPr="008D4A19">
              <w:rPr>
                <w:sz w:val="40"/>
              </w:rPr>
              <w:t>ECE</w:t>
            </w:r>
            <w:r>
              <w:t>/TRANS/WP.15/201</w:t>
            </w:r>
            <w:r w:rsidR="00775BA6">
              <w:t>8</w:t>
            </w:r>
            <w:r>
              <w:t>/</w:t>
            </w:r>
            <w:r w:rsidR="003E47F8">
              <w:t>5</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de-DE" w:eastAsia="de-DE"/>
              </w:rPr>
              <w:drawing>
                <wp:inline distT="0" distB="0" distL="0" distR="0" wp14:anchorId="24D92B18" wp14:editId="3A56FA42">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0C6F7B" w:rsidP="008D4A19">
            <w:pPr>
              <w:suppressAutoHyphens w:val="0"/>
            </w:pPr>
            <w:r>
              <w:t>1</w:t>
            </w:r>
            <w:bookmarkStart w:id="0" w:name="_GoBack"/>
            <w:bookmarkEnd w:id="0"/>
            <w:r w:rsidR="00BB1281">
              <w:t>7</w:t>
            </w:r>
            <w:r w:rsidR="004D3CEF">
              <w:t xml:space="preserve"> </w:t>
            </w:r>
            <w:r w:rsidR="00861B5E">
              <w:t>August</w:t>
            </w:r>
            <w:r w:rsidR="001330DE">
              <w:t xml:space="preserve"> 201</w:t>
            </w:r>
            <w:r w:rsidR="00775BA6">
              <w:t>8</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366B9B">
        <w:rPr>
          <w:rFonts w:eastAsia="SimSun"/>
          <w:b/>
        </w:rPr>
        <w:t>5</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772F38">
        <w:rPr>
          <w:rFonts w:eastAsia="SimSun"/>
        </w:rPr>
        <w:t>6</w:t>
      </w:r>
      <w:r w:rsidR="00366B9B">
        <w:rPr>
          <w:rFonts w:eastAsia="SimSun"/>
        </w:rPr>
        <w:t>-9 November</w:t>
      </w:r>
      <w:r w:rsidRPr="00BA64A8">
        <w:rPr>
          <w:rFonts w:eastAsia="SimSun"/>
        </w:rPr>
        <w:t xml:space="preserve"> 201</w:t>
      </w:r>
      <w:r w:rsidR="00775BA6">
        <w:rPr>
          <w:rFonts w:eastAsia="SimSun"/>
        </w:rPr>
        <w:t>8</w:t>
      </w:r>
      <w:r w:rsidRPr="00BA64A8">
        <w:rPr>
          <w:rFonts w:eastAsia="SimSun"/>
        </w:rPr>
        <w:t xml:space="preserve"> </w:t>
      </w:r>
    </w:p>
    <w:p w:rsidR="001330DE" w:rsidRPr="00BA64A8" w:rsidRDefault="001330DE" w:rsidP="001330DE">
      <w:r w:rsidRPr="00BA64A8">
        <w:rPr>
          <w:rFonts w:eastAsia="SimSun"/>
        </w:rPr>
        <w:t xml:space="preserve">Item </w:t>
      </w:r>
      <w:r w:rsidR="00AD5C88">
        <w:t>5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0E1FA0" w:rsidP="001E099A">
      <w:pPr>
        <w:rPr>
          <w:b/>
          <w:bCs/>
        </w:rPr>
      </w:pPr>
      <w:r>
        <w:rPr>
          <w:b/>
          <w:bCs/>
          <w:szCs w:val="24"/>
        </w:rPr>
        <w:t>m</w:t>
      </w:r>
      <w:r w:rsidR="00AD5C88" w:rsidRPr="00AD5C88">
        <w:rPr>
          <w:b/>
          <w:bCs/>
          <w:szCs w:val="24"/>
        </w:rPr>
        <w:t>iscellaneous proposals</w:t>
      </w:r>
    </w:p>
    <w:p w:rsidR="00AD5C88" w:rsidRPr="00B573A9" w:rsidRDefault="003A6B33" w:rsidP="00AD5C88">
      <w:pPr>
        <w:pStyle w:val="HChG"/>
        <w:keepNext w:val="0"/>
        <w:keepLines w:val="0"/>
        <w:rPr>
          <w:sz w:val="20"/>
        </w:rPr>
      </w:pPr>
      <w:r>
        <w:tab/>
      </w:r>
      <w:r>
        <w:tab/>
      </w:r>
      <w:r w:rsidR="00366B9B" w:rsidRPr="00366B9B">
        <w:t>Correction of footnote b to the instructions in writing</w:t>
      </w:r>
      <w:r w:rsidR="001E7137">
        <w:t xml:space="preserve"> (paragraph 5.4.3.4)</w:t>
      </w:r>
    </w:p>
    <w:p w:rsidR="00AD5C88" w:rsidRDefault="00AD5C88" w:rsidP="00AD5C88">
      <w:pPr>
        <w:pStyle w:val="H1G"/>
        <w:keepNext w:val="0"/>
        <w:keepLines w:val="0"/>
      </w:pPr>
      <w:r w:rsidRPr="00B573A9">
        <w:rPr>
          <w:b w:val="0"/>
          <w:sz w:val="20"/>
        </w:rPr>
        <w:tab/>
      </w:r>
      <w:r w:rsidRPr="00B573A9">
        <w:rPr>
          <w:b w:val="0"/>
          <w:sz w:val="20"/>
        </w:rPr>
        <w:tab/>
      </w:r>
      <w:r w:rsidRPr="00E51153">
        <w:t xml:space="preserve">Transmitted by the Government of </w:t>
      </w:r>
      <w:r w:rsidR="00366B9B">
        <w:t>Germany</w:t>
      </w:r>
      <w:r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D5C88" w:rsidRPr="00B573A9" w:rsidTr="00AD5C88">
        <w:trPr>
          <w:jc w:val="center"/>
        </w:trPr>
        <w:tc>
          <w:tcPr>
            <w:tcW w:w="9629" w:type="dxa"/>
            <w:tcBorders>
              <w:bottom w:val="nil"/>
            </w:tcBorders>
            <w:shd w:val="clear" w:color="auto" w:fill="auto"/>
          </w:tcPr>
          <w:p w:rsidR="00AD5C88" w:rsidRPr="00B573A9" w:rsidRDefault="00AD5C88" w:rsidP="00AD5C88">
            <w:pPr>
              <w:tabs>
                <w:tab w:val="left" w:pos="255"/>
              </w:tabs>
              <w:suppressAutoHyphens w:val="0"/>
              <w:spacing w:before="240" w:after="120"/>
              <w:rPr>
                <w:sz w:val="24"/>
              </w:rPr>
            </w:pPr>
            <w:r w:rsidRPr="00B573A9">
              <w:tab/>
            </w:r>
            <w:r w:rsidRPr="00B573A9">
              <w:rPr>
                <w:i/>
                <w:sz w:val="24"/>
              </w:rPr>
              <w:t>Summary</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Executive summary</w:t>
            </w:r>
            <w:r w:rsidRPr="00AA3C78">
              <w:rPr>
                <w:szCs w:val="22"/>
              </w:rPr>
              <w:t>:</w:t>
            </w:r>
            <w:r w:rsidRPr="00AA3C78">
              <w:tab/>
            </w:r>
            <w:r w:rsidR="00366B9B" w:rsidRPr="00366B9B">
              <w:t xml:space="preserve">Error in footnote b to the instructions in writing </w:t>
            </w:r>
            <w:r w:rsidR="001E7137">
              <w:t xml:space="preserve">(paragraph </w:t>
            </w:r>
            <w:r w:rsidR="001E7137" w:rsidRPr="00366B9B">
              <w:t>5.4.3.4</w:t>
            </w:r>
            <w:r w:rsidR="001E7137">
              <w:t xml:space="preserve">) </w:t>
            </w:r>
            <w:r w:rsidR="00366B9B" w:rsidRPr="00366B9B">
              <w:t>is corrected</w:t>
            </w:r>
            <w:r w:rsidR="00590E82">
              <w:t>.</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Action to be taken</w:t>
            </w:r>
            <w:r w:rsidRPr="00AA3C78">
              <w:rPr>
                <w:szCs w:val="22"/>
              </w:rPr>
              <w:t>:</w:t>
            </w:r>
            <w:r w:rsidRPr="00AA3C78">
              <w:tab/>
            </w:r>
            <w:r w:rsidR="00366B9B" w:rsidRPr="00366B9B">
              <w:t>Correction of footnote b to the instructions in writing</w:t>
            </w:r>
            <w:r w:rsidR="00590E82">
              <w:t>.</w:t>
            </w:r>
          </w:p>
        </w:tc>
      </w:tr>
      <w:tr w:rsidR="00AD5C88" w:rsidRPr="00B573A9" w:rsidTr="00AD5C88">
        <w:trPr>
          <w:jc w:val="center"/>
        </w:trPr>
        <w:tc>
          <w:tcPr>
            <w:tcW w:w="9629" w:type="dxa"/>
            <w:tcBorders>
              <w:top w:val="nil"/>
              <w:bottom w:val="nil"/>
            </w:tcBorders>
            <w:shd w:val="clear" w:color="auto" w:fill="auto"/>
          </w:tcPr>
          <w:p w:rsidR="00AD5C88" w:rsidRDefault="00AD5C88" w:rsidP="00434FBB">
            <w:pPr>
              <w:ind w:left="3402" w:right="1134" w:hanging="2268"/>
              <w:jc w:val="both"/>
              <w:rPr>
                <w:lang w:val="en-US"/>
              </w:rPr>
            </w:pPr>
            <w:r>
              <w:rPr>
                <w:b/>
                <w:szCs w:val="22"/>
              </w:rPr>
              <w:t>Background documents</w:t>
            </w:r>
            <w:r w:rsidRPr="002C5C36">
              <w:rPr>
                <w:bCs/>
                <w:szCs w:val="22"/>
              </w:rPr>
              <w:t>:</w:t>
            </w:r>
            <w:r>
              <w:rPr>
                <w:b/>
                <w:szCs w:val="22"/>
              </w:rPr>
              <w:tab/>
            </w:r>
            <w:r w:rsidR="00366B9B" w:rsidRPr="00366B9B">
              <w:rPr>
                <w:lang w:val="en-US"/>
              </w:rPr>
              <w:t xml:space="preserve">Informal document INF.22 of </w:t>
            </w:r>
            <w:r w:rsidR="00031E19">
              <w:rPr>
                <w:lang w:val="en-US"/>
              </w:rPr>
              <w:t xml:space="preserve">the </w:t>
            </w:r>
            <w:r w:rsidR="00366B9B" w:rsidRPr="00366B9B">
              <w:rPr>
                <w:lang w:val="en-US"/>
              </w:rPr>
              <w:t>104</w:t>
            </w:r>
            <w:r w:rsidR="00366B9B" w:rsidRPr="0095301B">
              <w:rPr>
                <w:lang w:val="en-US"/>
              </w:rPr>
              <w:t>th</w:t>
            </w:r>
            <w:r w:rsidR="00366B9B" w:rsidRPr="00366B9B">
              <w:rPr>
                <w:lang w:val="en-US"/>
              </w:rPr>
              <w:t xml:space="preserve"> session of </w:t>
            </w:r>
            <w:r w:rsidR="00031E19">
              <w:rPr>
                <w:lang w:val="en-US"/>
              </w:rPr>
              <w:t>WP.15</w:t>
            </w:r>
            <w:r w:rsidR="00366B9B" w:rsidRPr="00366B9B">
              <w:rPr>
                <w:lang w:val="en-US"/>
              </w:rPr>
              <w:t xml:space="preserve"> </w:t>
            </w:r>
            <w:r w:rsidR="00366B9B" w:rsidRPr="00366B9B">
              <w:t>(</w:t>
            </w:r>
            <w:r w:rsidR="00031E19">
              <w:t xml:space="preserve">submitted by the Government of </w:t>
            </w:r>
            <w:r w:rsidR="00366B9B" w:rsidRPr="00366B9B">
              <w:t>Germany)</w:t>
            </w:r>
            <w:r w:rsidR="00434FBB">
              <w:t xml:space="preserve"> and </w:t>
            </w:r>
            <w:r w:rsidR="00366B9B" w:rsidRPr="00366B9B">
              <w:t>ECE/T</w:t>
            </w:r>
            <w:r w:rsidR="00590E82">
              <w:t>RANS/WP.15/242</w:t>
            </w:r>
            <w:r w:rsidR="00FE1222">
              <w:t xml:space="preserve">, </w:t>
            </w:r>
            <w:r w:rsidR="00590E82">
              <w:t>para</w:t>
            </w:r>
            <w:r w:rsidR="00E70D4C">
              <w:t>graph</w:t>
            </w:r>
            <w:r w:rsidR="00590E82">
              <w:t xml:space="preserve"> 38.</w:t>
            </w:r>
          </w:p>
          <w:p w:rsidR="00AD5C88" w:rsidRPr="00B573A9" w:rsidRDefault="00AD5C88" w:rsidP="00AD5C88">
            <w:pPr>
              <w:tabs>
                <w:tab w:val="left" w:pos="1170"/>
              </w:tabs>
              <w:suppressAutoHyphens w:val="0"/>
            </w:pPr>
          </w:p>
        </w:tc>
      </w:tr>
      <w:tr w:rsidR="00AD5C88" w:rsidRPr="00B573A9" w:rsidTr="00AD5C88">
        <w:trPr>
          <w:jc w:val="center"/>
        </w:trPr>
        <w:tc>
          <w:tcPr>
            <w:tcW w:w="9629" w:type="dxa"/>
            <w:tcBorders>
              <w:top w:val="nil"/>
            </w:tcBorders>
            <w:shd w:val="clear" w:color="auto" w:fill="auto"/>
          </w:tcPr>
          <w:p w:rsidR="00AD5C88" w:rsidRPr="00B573A9" w:rsidRDefault="00AD5C88" w:rsidP="00AD5C88">
            <w:pPr>
              <w:suppressAutoHyphens w:val="0"/>
            </w:pPr>
          </w:p>
        </w:tc>
      </w:tr>
    </w:tbl>
    <w:p w:rsidR="00AD5C88" w:rsidRDefault="00AD5C88" w:rsidP="00AD5C88">
      <w:pPr>
        <w:pStyle w:val="HChG"/>
        <w:keepNext w:val="0"/>
        <w:keepLines w:val="0"/>
        <w:rPr>
          <w:lang w:val="en-US"/>
        </w:rPr>
      </w:pPr>
      <w:r>
        <w:tab/>
      </w:r>
      <w:r>
        <w:tab/>
      </w:r>
      <w:r w:rsidRPr="00362DFF">
        <w:rPr>
          <w:lang w:val="en-US"/>
        </w:rPr>
        <w:t>Introduction</w:t>
      </w:r>
    </w:p>
    <w:p w:rsidR="00366B9B" w:rsidRPr="00B75B6A" w:rsidRDefault="00366B9B" w:rsidP="00366B9B">
      <w:pPr>
        <w:spacing w:after="120"/>
        <w:ind w:left="1134" w:right="1134"/>
        <w:jc w:val="both"/>
      </w:pPr>
      <w:r w:rsidRPr="00B75B6A">
        <w:t>1.</w:t>
      </w:r>
      <w:r w:rsidRPr="00B75B6A">
        <w:tab/>
        <w:t>At the 104</w:t>
      </w:r>
      <w:r w:rsidRPr="0095301B">
        <w:t>th</w:t>
      </w:r>
      <w:r w:rsidRPr="00B75B6A">
        <w:t xml:space="preserve"> session of the </w:t>
      </w:r>
      <w:r w:rsidR="00343F08">
        <w:t>Working Party</w:t>
      </w:r>
      <w:r w:rsidRPr="00B75B6A">
        <w:t xml:space="preserve"> in May 2018, Germany raised a question (see informal document INF.22 from the 104</w:t>
      </w:r>
      <w:r w:rsidRPr="0095301B">
        <w:t>th</w:t>
      </w:r>
      <w:r w:rsidRPr="00B75B6A">
        <w:t xml:space="preserve"> session) concerning an error in </w:t>
      </w:r>
      <w:r w:rsidR="0062508D">
        <w:t xml:space="preserve">paragraph </w:t>
      </w:r>
      <w:r w:rsidRPr="00B75B6A">
        <w:t xml:space="preserve">5.4.3.4 footnote b to the instructions in writing in ADR. </w:t>
      </w:r>
    </w:p>
    <w:p w:rsidR="00366B9B" w:rsidRPr="00B75B6A" w:rsidRDefault="00366B9B" w:rsidP="00366B9B">
      <w:pPr>
        <w:spacing w:after="120"/>
        <w:ind w:left="1134" w:right="1134"/>
        <w:jc w:val="both"/>
      </w:pPr>
      <w:r w:rsidRPr="00B75B6A">
        <w:t>2.</w:t>
      </w:r>
      <w:r w:rsidRPr="00B75B6A">
        <w:tab/>
        <w:t>The outcome from the meeting was the following (extract from the report):</w:t>
      </w:r>
    </w:p>
    <w:p w:rsidR="00366B9B" w:rsidRPr="00B75B6A" w:rsidRDefault="00366B9B" w:rsidP="00366B9B">
      <w:pPr>
        <w:spacing w:after="120"/>
        <w:ind w:left="1134" w:right="1134"/>
        <w:jc w:val="both"/>
        <w:rPr>
          <w:i/>
        </w:rPr>
      </w:pPr>
      <w:r w:rsidRPr="00B75B6A">
        <w:rPr>
          <w:i/>
        </w:rPr>
        <w:lastRenderedPageBreak/>
        <w:t>“38.</w:t>
      </w:r>
      <w:r w:rsidRPr="00B75B6A">
        <w:rPr>
          <w:i/>
        </w:rPr>
        <w:tab/>
        <w:t>Several delegations supported the proposal of Germany. Other delegations mentioned, however, that it was not desirable to amend the instructions in writing too frequently and it would be preferable to group the proposed amendment with others that could be considered during the biennium and taken into account in ADR 2021. Several delegations wondered whether the equipment mentioned in note b would be useful in the case of an accident involving lithium batteries. After considering the proposal, the Working Party considered that it had been submitted in an informal document, too late for implementation from 1 January 2019. The representative of Germany informed the Working Party that she would submit an official document to the next session.”</w:t>
      </w:r>
    </w:p>
    <w:p w:rsidR="00366B9B" w:rsidRPr="00302CD4" w:rsidRDefault="00A36121" w:rsidP="007C29F0">
      <w:pPr>
        <w:spacing w:after="120"/>
        <w:ind w:left="1134" w:right="1134"/>
        <w:jc w:val="both"/>
      </w:pPr>
      <w:r w:rsidRPr="00302CD4">
        <w:t>3.</w:t>
      </w:r>
      <w:r w:rsidRPr="00302CD4">
        <w:tab/>
      </w:r>
      <w:r w:rsidR="00366B9B" w:rsidRPr="00302CD4">
        <w:t xml:space="preserve">Some </w:t>
      </w:r>
      <w:r w:rsidR="00922458" w:rsidRPr="00302CD4">
        <w:t xml:space="preserve">states </w:t>
      </w:r>
      <w:r w:rsidR="00366B9B" w:rsidRPr="00302CD4">
        <w:t xml:space="preserve">expressed concern that supplementing the instructions in writing would entail high costs. This argument has been taken into account. Therefore, the amendment is proposed for the entry into force of ADR 2021. </w:t>
      </w:r>
      <w:r w:rsidR="0064569C" w:rsidRPr="00302CD4">
        <w:t>Thus, in the course of</w:t>
      </w:r>
      <w:r w:rsidR="00366B9B" w:rsidRPr="00302CD4">
        <w:t xml:space="preserve"> this period </w:t>
      </w:r>
      <w:r w:rsidR="007C29F0" w:rsidRPr="00302CD4">
        <w:t>–</w:t>
      </w:r>
      <w:r w:rsidR="00366B9B" w:rsidRPr="00302CD4">
        <w:t xml:space="preserve"> </w:t>
      </w:r>
      <w:r w:rsidR="0064569C" w:rsidRPr="00302CD4">
        <w:t xml:space="preserve">i.e. </w:t>
      </w:r>
      <w:r w:rsidR="00366B9B" w:rsidRPr="00302CD4">
        <w:t xml:space="preserve">2 </w:t>
      </w:r>
      <w:r w:rsidR="00C2453D" w:rsidRPr="00302CD4">
        <w:t>biennia</w:t>
      </w:r>
      <w:r w:rsidR="00366B9B" w:rsidRPr="00302CD4">
        <w:t xml:space="preserve"> </w:t>
      </w:r>
      <w:r w:rsidR="0064569C" w:rsidRPr="00302CD4">
        <w:t>–</w:t>
      </w:r>
      <w:r w:rsidR="00366B9B" w:rsidRPr="00302CD4">
        <w:t xml:space="preserve"> </w:t>
      </w:r>
      <w:r w:rsidR="0064569C" w:rsidRPr="00302CD4">
        <w:t xml:space="preserve">it will still be possible to collect </w:t>
      </w:r>
      <w:r w:rsidR="00366B9B" w:rsidRPr="00302CD4">
        <w:t xml:space="preserve">further proposals for a necessary correction or </w:t>
      </w:r>
      <w:r w:rsidR="00031D90" w:rsidRPr="00302CD4">
        <w:t xml:space="preserve">a possible </w:t>
      </w:r>
      <w:r w:rsidR="00366B9B" w:rsidRPr="00302CD4">
        <w:t>adjustment.</w:t>
      </w:r>
    </w:p>
    <w:p w:rsidR="00366B9B" w:rsidRPr="00B75B6A" w:rsidRDefault="00A36121" w:rsidP="00366B9B">
      <w:pPr>
        <w:spacing w:after="120"/>
        <w:ind w:left="1134" w:right="1134"/>
        <w:jc w:val="both"/>
      </w:pPr>
      <w:r w:rsidRPr="00302CD4">
        <w:t>4.</w:t>
      </w:r>
      <w:r w:rsidRPr="00302CD4">
        <w:tab/>
      </w:r>
      <w:r w:rsidR="00525F5E" w:rsidRPr="00302CD4">
        <w:t>Furthermore</w:t>
      </w:r>
      <w:r w:rsidR="00031D90" w:rsidRPr="00302CD4">
        <w:t>, a</w:t>
      </w:r>
      <w:r w:rsidRPr="00302CD4">
        <w:t xml:space="preserve"> </w:t>
      </w:r>
      <w:r w:rsidR="00697CAF" w:rsidRPr="00302CD4">
        <w:t xml:space="preserve">new </w:t>
      </w:r>
      <w:r w:rsidRPr="00302CD4">
        <w:t xml:space="preserve">transitional measure will be </w:t>
      </w:r>
      <w:r w:rsidR="00031D90" w:rsidRPr="00302CD4">
        <w:t>added</w:t>
      </w:r>
      <w:r w:rsidRPr="00302CD4">
        <w:t>.</w:t>
      </w:r>
    </w:p>
    <w:p w:rsidR="00366B9B" w:rsidRPr="00B75B6A" w:rsidRDefault="00A36121" w:rsidP="00366B9B">
      <w:pPr>
        <w:spacing w:after="120"/>
        <w:ind w:left="1134" w:right="1134"/>
        <w:jc w:val="both"/>
      </w:pPr>
      <w:r>
        <w:t>5</w:t>
      </w:r>
      <w:r w:rsidR="00366B9B" w:rsidRPr="00B75B6A">
        <w:t>.</w:t>
      </w:r>
      <w:r w:rsidR="00366B9B" w:rsidRPr="00B75B6A">
        <w:tab/>
        <w:t xml:space="preserve">In the current version of ADR, footnote b to the instructions in writing </w:t>
      </w:r>
      <w:r w:rsidR="00EC3EF5">
        <w:t xml:space="preserve">in </w:t>
      </w:r>
      <w:r w:rsidR="00EF61BE">
        <w:t xml:space="preserve">paragraph </w:t>
      </w:r>
      <w:r w:rsidR="00EC3EF5">
        <w:t>5.4.3.4</w:t>
      </w:r>
      <w:r w:rsidR="00EF61BE">
        <w:t xml:space="preserve"> </w:t>
      </w:r>
      <w:r w:rsidR="00366B9B" w:rsidRPr="00B75B6A">
        <w:t xml:space="preserve">only </w:t>
      </w:r>
      <w:proofErr w:type="gramStart"/>
      <w:r w:rsidR="00366B9B" w:rsidRPr="00B75B6A">
        <w:t>makes reference</w:t>
      </w:r>
      <w:proofErr w:type="gramEnd"/>
      <w:r w:rsidR="00366B9B" w:rsidRPr="00B75B6A">
        <w:t xml:space="preserve"> to danger label number 9.</w:t>
      </w:r>
    </w:p>
    <w:p w:rsidR="00366B9B" w:rsidRPr="00B75B6A" w:rsidRDefault="00A36121" w:rsidP="00366B9B">
      <w:pPr>
        <w:spacing w:after="120"/>
        <w:ind w:left="1134" w:right="1134"/>
        <w:jc w:val="both"/>
      </w:pPr>
      <w:r>
        <w:t>6</w:t>
      </w:r>
      <w:r w:rsidR="00366B9B" w:rsidRPr="00B75B6A">
        <w:t>.</w:t>
      </w:r>
      <w:r w:rsidR="00366B9B" w:rsidRPr="00B75B6A">
        <w:tab/>
        <w:t xml:space="preserve">A review has shown that footnote b to the instructions in writing </w:t>
      </w:r>
      <w:r w:rsidR="00EC3EF5">
        <w:t xml:space="preserve">in paragraph 5.4.3.4 </w:t>
      </w:r>
      <w:r w:rsidR="00366B9B" w:rsidRPr="00B75B6A">
        <w:t xml:space="preserve">should not only </w:t>
      </w:r>
      <w:proofErr w:type="gramStart"/>
      <w:r w:rsidR="00366B9B" w:rsidRPr="00B75B6A">
        <w:t>make reference</w:t>
      </w:r>
      <w:proofErr w:type="gramEnd"/>
      <w:r w:rsidR="00366B9B" w:rsidRPr="00B75B6A">
        <w:t xml:space="preserve"> to danger label number 9 but also to danger label number 9A.</w:t>
      </w:r>
    </w:p>
    <w:p w:rsidR="00366B9B" w:rsidRPr="00B75B6A" w:rsidRDefault="00A36121" w:rsidP="00366B9B">
      <w:pPr>
        <w:spacing w:after="120"/>
        <w:ind w:left="1134" w:right="1134"/>
        <w:jc w:val="both"/>
      </w:pPr>
      <w:r>
        <w:t>7</w:t>
      </w:r>
      <w:r w:rsidR="00366B9B" w:rsidRPr="00B75B6A">
        <w:t>.</w:t>
      </w:r>
      <w:r w:rsidR="00366B9B" w:rsidRPr="00B75B6A">
        <w:tab/>
        <w:t xml:space="preserve">Therefore, in the new version of ADR 2021, the enumeration of danger label numbers in footnote b to the instructions in writing </w:t>
      </w:r>
      <w:r w:rsidR="00EC3EF5">
        <w:t xml:space="preserve">in paragraph 5.4.3.4 </w:t>
      </w:r>
      <w:r w:rsidR="00366B9B" w:rsidRPr="00B75B6A">
        <w:t>should be amended accordingly.</w:t>
      </w:r>
    </w:p>
    <w:p w:rsidR="00366B9B" w:rsidRPr="00B75B6A" w:rsidRDefault="00366B9B" w:rsidP="00366B9B">
      <w:pPr>
        <w:keepNext/>
        <w:keepLines/>
        <w:tabs>
          <w:tab w:val="right" w:pos="851"/>
        </w:tabs>
        <w:spacing w:before="360" w:after="240" w:line="300" w:lineRule="exact"/>
        <w:ind w:left="1134" w:right="1134" w:hanging="1134"/>
        <w:rPr>
          <w:b/>
          <w:sz w:val="28"/>
        </w:rPr>
      </w:pPr>
      <w:r w:rsidRPr="00B75B6A">
        <w:rPr>
          <w:b/>
          <w:sz w:val="28"/>
        </w:rPr>
        <w:tab/>
      </w:r>
      <w:r w:rsidRPr="00B75B6A">
        <w:rPr>
          <w:b/>
          <w:sz w:val="28"/>
        </w:rPr>
        <w:tab/>
        <w:t>Proposal for amendments</w:t>
      </w:r>
    </w:p>
    <w:p w:rsidR="00366B9B" w:rsidRDefault="00A36121" w:rsidP="00366B9B">
      <w:pPr>
        <w:spacing w:after="120"/>
        <w:ind w:left="1134" w:right="1134"/>
        <w:jc w:val="both"/>
      </w:pPr>
      <w:r>
        <w:t>8</w:t>
      </w:r>
      <w:r w:rsidR="00366B9B" w:rsidRPr="00B75B6A">
        <w:t>.</w:t>
      </w:r>
      <w:r w:rsidR="00366B9B" w:rsidRPr="00B75B6A">
        <w:tab/>
      </w:r>
      <w:r w:rsidR="000B01ED">
        <w:t xml:space="preserve">Paragraph </w:t>
      </w:r>
      <w:r w:rsidR="00366B9B" w:rsidRPr="000B01ED">
        <w:rPr>
          <w:bCs/>
        </w:rPr>
        <w:t>5.4.3.4</w:t>
      </w:r>
      <w:r w:rsidR="000B01ED">
        <w:t xml:space="preserve">, </w:t>
      </w:r>
      <w:r w:rsidR="00205D7D">
        <w:t>replace</w:t>
      </w:r>
      <w:r w:rsidR="00366B9B" w:rsidRPr="00B75B6A">
        <w:t xml:space="preserve"> “8 or 9” in the enumeration of danger label numbers in footnote b </w:t>
      </w:r>
      <w:r w:rsidR="00205D7D">
        <w:t>by</w:t>
      </w:r>
      <w:r w:rsidR="00366B9B" w:rsidRPr="00B75B6A">
        <w:t xml:space="preserve"> “8, 9 or 9A”</w:t>
      </w:r>
      <w:r w:rsidR="001E7137">
        <w:t>.</w:t>
      </w:r>
      <w:r w:rsidR="00366B9B" w:rsidRPr="00B75B6A">
        <w:t xml:space="preserve"> </w:t>
      </w:r>
    </w:p>
    <w:p w:rsidR="00674E7C" w:rsidRPr="00302CD4" w:rsidRDefault="00A36121" w:rsidP="00366B9B">
      <w:pPr>
        <w:spacing w:after="120"/>
        <w:ind w:left="1134" w:right="1134"/>
        <w:jc w:val="both"/>
      </w:pPr>
      <w:r w:rsidRPr="00302CD4">
        <w:t>9</w:t>
      </w:r>
      <w:r w:rsidR="00674E7C" w:rsidRPr="00302CD4">
        <w:t>.</w:t>
      </w:r>
      <w:r w:rsidR="00674E7C" w:rsidRPr="00302CD4">
        <w:tab/>
      </w:r>
      <w:r w:rsidR="001E7137">
        <w:t xml:space="preserve">Paragraph </w:t>
      </w:r>
      <w:proofErr w:type="gramStart"/>
      <w:r w:rsidR="00674E7C" w:rsidRPr="00302CD4">
        <w:t>1.6.</w:t>
      </w:r>
      <w:r w:rsidRPr="00302CD4">
        <w:t>x</w:t>
      </w:r>
      <w:r w:rsidR="00674E7C" w:rsidRPr="00302CD4">
        <w:t>.</w:t>
      </w:r>
      <w:r w:rsidRPr="00302CD4">
        <w:t>x</w:t>
      </w:r>
      <w:r w:rsidR="00674E7C" w:rsidRPr="00302CD4">
        <w:t xml:space="preserve"> </w:t>
      </w:r>
      <w:r w:rsidR="001E7137">
        <w:t>,</w:t>
      </w:r>
      <w:proofErr w:type="gramEnd"/>
      <w:r w:rsidR="001E7137">
        <w:t xml:space="preserve"> a</w:t>
      </w:r>
      <w:r w:rsidR="00BC4A81" w:rsidRPr="00302CD4">
        <w:t xml:space="preserve">dd the following </w:t>
      </w:r>
      <w:r w:rsidR="00674E7C" w:rsidRPr="00302CD4">
        <w:t>new transitional measure:</w:t>
      </w:r>
    </w:p>
    <w:p w:rsidR="00674E7C" w:rsidRPr="00B75B6A" w:rsidRDefault="00674E7C" w:rsidP="00366B9B">
      <w:pPr>
        <w:spacing w:after="120"/>
        <w:ind w:left="1134" w:right="1134"/>
        <w:jc w:val="both"/>
      </w:pPr>
      <w:r w:rsidRPr="00302CD4">
        <w:t>“The instructions in writing in accordance with the requirements of ADR applicable up to 31 December 2020, but which do not</w:t>
      </w:r>
      <w:r w:rsidR="00200EEA" w:rsidRPr="00302CD4">
        <w:t>,</w:t>
      </w:r>
      <w:r w:rsidRPr="00302CD4">
        <w:t xml:space="preserve"> however</w:t>
      </w:r>
      <w:r w:rsidR="00200EEA" w:rsidRPr="00302CD4">
        <w:t>,</w:t>
      </w:r>
      <w:r w:rsidRPr="00302CD4">
        <w:t xml:space="preserve"> </w:t>
      </w:r>
      <w:r w:rsidR="000A1995" w:rsidRPr="00302CD4">
        <w:t xml:space="preserve">conform to </w:t>
      </w:r>
      <w:r w:rsidR="00302CD4">
        <w:t>the requirements of 5.4.3</w:t>
      </w:r>
      <w:r w:rsidRPr="00302CD4">
        <w:t xml:space="preserve"> applicable as from 1 January 2021, may continue to be used until 30 June 2023.</w:t>
      </w:r>
      <w:r w:rsidR="00A22861" w:rsidRPr="00302CD4">
        <w:t>”</w:t>
      </w:r>
    </w:p>
    <w:p w:rsidR="00AD5C88" w:rsidRPr="00402544" w:rsidRDefault="00AD5C88" w:rsidP="00AD5C88">
      <w:pPr>
        <w:pStyle w:val="HChG"/>
        <w:rPr>
          <w:lang w:val="en-US"/>
        </w:rPr>
      </w:pPr>
      <w:r>
        <w:rPr>
          <w:lang w:val="en-US"/>
        </w:rPr>
        <w:tab/>
      </w:r>
      <w:r>
        <w:rPr>
          <w:lang w:val="en-US"/>
        </w:rPr>
        <w:tab/>
      </w:r>
      <w:r w:rsidRPr="00402544">
        <w:rPr>
          <w:lang w:val="en-US"/>
        </w:rPr>
        <w:t>Feasibility</w:t>
      </w:r>
    </w:p>
    <w:p w:rsidR="00AD5C88" w:rsidRDefault="00A36121" w:rsidP="00AD5C88">
      <w:pPr>
        <w:pStyle w:val="SingleTxtG"/>
      </w:pPr>
      <w:r>
        <w:t>10.</w:t>
      </w:r>
      <w:r>
        <w:tab/>
      </w:r>
      <w:r w:rsidR="00AD5C88">
        <w:t>No problems are foreseen.</w:t>
      </w:r>
    </w:p>
    <w:p w:rsidR="00AD5C88" w:rsidRPr="00AD5C88" w:rsidRDefault="00AD5C88" w:rsidP="00AD5C88">
      <w:pPr>
        <w:pStyle w:val="SingleTxtG"/>
        <w:spacing w:before="240" w:after="0"/>
        <w:jc w:val="center"/>
        <w:rPr>
          <w:u w:val="single"/>
        </w:rPr>
      </w:pPr>
      <w:r>
        <w:rPr>
          <w:u w:val="single"/>
        </w:rPr>
        <w:tab/>
      </w:r>
      <w:r>
        <w:rPr>
          <w:u w:val="single"/>
        </w:rPr>
        <w:tab/>
      </w:r>
      <w:r>
        <w:rPr>
          <w:u w:val="single"/>
        </w:rPr>
        <w:tab/>
      </w:r>
    </w:p>
    <w:sectPr w:rsidR="00AD5C88" w:rsidRPr="00AD5C88"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371EBE">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7C29F0">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39594A" w:rsidRDefault="00AD5C88" w:rsidP="00DD40F2">
      <w:pPr>
        <w:pStyle w:val="FootnoteText"/>
        <w:tabs>
          <w:tab w:val="clear" w:pos="1021"/>
        </w:tabs>
        <w:ind w:left="1418" w:right="1260" w:hanging="284"/>
        <w:jc w:val="both"/>
      </w:pPr>
      <w:r w:rsidRPr="00C634A6">
        <w:rPr>
          <w:rStyle w:val="FootnoteReference"/>
          <w:sz w:val="20"/>
        </w:rPr>
        <w:sym w:font="Symbol" w:char="F02A"/>
      </w:r>
      <w:r>
        <w:tab/>
      </w:r>
      <w:r w:rsidR="00311373">
        <w:rPr>
          <w:color w:val="000000"/>
          <w:lang w:val="en-US" w:eastAsia="en-GB"/>
        </w:rPr>
        <w:t xml:space="preserve">In accordance with the </w:t>
      </w:r>
      <w:proofErr w:type="spellStart"/>
      <w:r w:rsidR="00311373">
        <w:rPr>
          <w:color w:val="000000"/>
          <w:lang w:val="en-US" w:eastAsia="en-GB"/>
        </w:rPr>
        <w:t>programme</w:t>
      </w:r>
      <w:proofErr w:type="spellEnd"/>
      <w:r w:rsidR="00311373">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775BA6">
      <w:t>8</w:t>
    </w:r>
    <w:r w:rsidR="00772F3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D5C88">
      <w:t>8</w:t>
    </w:r>
    <w:r w:rsidRPr="001330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71"/>
    <w:rsid w:val="000120B1"/>
    <w:rsid w:val="00031D90"/>
    <w:rsid w:val="00031E19"/>
    <w:rsid w:val="00046B1F"/>
    <w:rsid w:val="00050F6B"/>
    <w:rsid w:val="00057E97"/>
    <w:rsid w:val="00072C8C"/>
    <w:rsid w:val="000733B5"/>
    <w:rsid w:val="00081815"/>
    <w:rsid w:val="00083C51"/>
    <w:rsid w:val="00085A33"/>
    <w:rsid w:val="00086DCF"/>
    <w:rsid w:val="000931C0"/>
    <w:rsid w:val="000A1995"/>
    <w:rsid w:val="000B01ED"/>
    <w:rsid w:val="000B0595"/>
    <w:rsid w:val="000B175B"/>
    <w:rsid w:val="000B3A0F"/>
    <w:rsid w:val="000B4EF7"/>
    <w:rsid w:val="000C2C03"/>
    <w:rsid w:val="000C2D2E"/>
    <w:rsid w:val="000C45FE"/>
    <w:rsid w:val="000C6F7B"/>
    <w:rsid w:val="000E0415"/>
    <w:rsid w:val="000E1FA0"/>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137"/>
    <w:rsid w:val="001E7B67"/>
    <w:rsid w:val="001F6AFB"/>
    <w:rsid w:val="00200EEA"/>
    <w:rsid w:val="00202DA8"/>
    <w:rsid w:val="00205D7D"/>
    <w:rsid w:val="00211E0B"/>
    <w:rsid w:val="0021665B"/>
    <w:rsid w:val="00222125"/>
    <w:rsid w:val="00234A47"/>
    <w:rsid w:val="00250738"/>
    <w:rsid w:val="00267F5F"/>
    <w:rsid w:val="00270476"/>
    <w:rsid w:val="00276D28"/>
    <w:rsid w:val="00286B4D"/>
    <w:rsid w:val="002D4643"/>
    <w:rsid w:val="002F02F3"/>
    <w:rsid w:val="002F175C"/>
    <w:rsid w:val="00302CD4"/>
    <w:rsid w:val="00302E18"/>
    <w:rsid w:val="00311373"/>
    <w:rsid w:val="00312068"/>
    <w:rsid w:val="003229D8"/>
    <w:rsid w:val="003267E1"/>
    <w:rsid w:val="00343F08"/>
    <w:rsid w:val="00352709"/>
    <w:rsid w:val="003639E8"/>
    <w:rsid w:val="00363F9A"/>
    <w:rsid w:val="00364574"/>
    <w:rsid w:val="00366B9B"/>
    <w:rsid w:val="00371178"/>
    <w:rsid w:val="00371EBE"/>
    <w:rsid w:val="0038358B"/>
    <w:rsid w:val="0039594A"/>
    <w:rsid w:val="003A6810"/>
    <w:rsid w:val="003A6B33"/>
    <w:rsid w:val="003C2CC4"/>
    <w:rsid w:val="003C6D1D"/>
    <w:rsid w:val="003D4B23"/>
    <w:rsid w:val="003D738F"/>
    <w:rsid w:val="003E0029"/>
    <w:rsid w:val="003E47F8"/>
    <w:rsid w:val="00410C89"/>
    <w:rsid w:val="00422E03"/>
    <w:rsid w:val="00426B9B"/>
    <w:rsid w:val="00427412"/>
    <w:rsid w:val="00431164"/>
    <w:rsid w:val="004325CB"/>
    <w:rsid w:val="00432E7C"/>
    <w:rsid w:val="00434FBB"/>
    <w:rsid w:val="00442A83"/>
    <w:rsid w:val="0045495B"/>
    <w:rsid w:val="0048397A"/>
    <w:rsid w:val="004C2461"/>
    <w:rsid w:val="004C7462"/>
    <w:rsid w:val="004D3CEF"/>
    <w:rsid w:val="004E77B2"/>
    <w:rsid w:val="00504B2D"/>
    <w:rsid w:val="0052136D"/>
    <w:rsid w:val="00522B58"/>
    <w:rsid w:val="00525F5E"/>
    <w:rsid w:val="0052699B"/>
    <w:rsid w:val="0052775E"/>
    <w:rsid w:val="005420F2"/>
    <w:rsid w:val="005628B6"/>
    <w:rsid w:val="005666AA"/>
    <w:rsid w:val="00590E82"/>
    <w:rsid w:val="00597C2F"/>
    <w:rsid w:val="005B3DB3"/>
    <w:rsid w:val="005B4E13"/>
    <w:rsid w:val="005E2EBD"/>
    <w:rsid w:val="005F7B75"/>
    <w:rsid w:val="006001EE"/>
    <w:rsid w:val="00603CB2"/>
    <w:rsid w:val="00605042"/>
    <w:rsid w:val="00611FC4"/>
    <w:rsid w:val="006176FB"/>
    <w:rsid w:val="0062508D"/>
    <w:rsid w:val="00640B26"/>
    <w:rsid w:val="00644E68"/>
    <w:rsid w:val="0064569C"/>
    <w:rsid w:val="00652D0A"/>
    <w:rsid w:val="006623D5"/>
    <w:rsid w:val="00662BB6"/>
    <w:rsid w:val="00674E7C"/>
    <w:rsid w:val="00684C21"/>
    <w:rsid w:val="00696D0A"/>
    <w:rsid w:val="00697CAF"/>
    <w:rsid w:val="006A2530"/>
    <w:rsid w:val="006B34CE"/>
    <w:rsid w:val="006C2261"/>
    <w:rsid w:val="006C3589"/>
    <w:rsid w:val="006D2148"/>
    <w:rsid w:val="006D266F"/>
    <w:rsid w:val="006D37AF"/>
    <w:rsid w:val="006D51D0"/>
    <w:rsid w:val="006E564B"/>
    <w:rsid w:val="006E7191"/>
    <w:rsid w:val="00703577"/>
    <w:rsid w:val="00705894"/>
    <w:rsid w:val="0072632A"/>
    <w:rsid w:val="007327D5"/>
    <w:rsid w:val="007629C8"/>
    <w:rsid w:val="0077047D"/>
    <w:rsid w:val="00772F38"/>
    <w:rsid w:val="00775BA6"/>
    <w:rsid w:val="007A3C5F"/>
    <w:rsid w:val="007B4EDD"/>
    <w:rsid w:val="007B6BA5"/>
    <w:rsid w:val="007C29F0"/>
    <w:rsid w:val="007C3390"/>
    <w:rsid w:val="007C4F4B"/>
    <w:rsid w:val="007E01E9"/>
    <w:rsid w:val="007E63F3"/>
    <w:rsid w:val="007F6611"/>
    <w:rsid w:val="00811920"/>
    <w:rsid w:val="00815AD0"/>
    <w:rsid w:val="008242D7"/>
    <w:rsid w:val="008257B1"/>
    <w:rsid w:val="00830A44"/>
    <w:rsid w:val="00843767"/>
    <w:rsid w:val="00861B5E"/>
    <w:rsid w:val="008679D9"/>
    <w:rsid w:val="008878DE"/>
    <w:rsid w:val="008979B1"/>
    <w:rsid w:val="008A632B"/>
    <w:rsid w:val="008A6B25"/>
    <w:rsid w:val="008A6C4F"/>
    <w:rsid w:val="008B2335"/>
    <w:rsid w:val="008C048F"/>
    <w:rsid w:val="008D4A19"/>
    <w:rsid w:val="008E0678"/>
    <w:rsid w:val="0090238C"/>
    <w:rsid w:val="009223CA"/>
    <w:rsid w:val="00922458"/>
    <w:rsid w:val="00940F93"/>
    <w:rsid w:val="009471BA"/>
    <w:rsid w:val="0095301B"/>
    <w:rsid w:val="009760F3"/>
    <w:rsid w:val="009872AB"/>
    <w:rsid w:val="009A0E8D"/>
    <w:rsid w:val="009B26E7"/>
    <w:rsid w:val="00A00A3F"/>
    <w:rsid w:val="00A01489"/>
    <w:rsid w:val="00A07946"/>
    <w:rsid w:val="00A22861"/>
    <w:rsid w:val="00A3026E"/>
    <w:rsid w:val="00A338F1"/>
    <w:rsid w:val="00A36121"/>
    <w:rsid w:val="00A50DEE"/>
    <w:rsid w:val="00A53203"/>
    <w:rsid w:val="00A72F22"/>
    <w:rsid w:val="00A7360F"/>
    <w:rsid w:val="00A748A6"/>
    <w:rsid w:val="00A769F4"/>
    <w:rsid w:val="00A776B4"/>
    <w:rsid w:val="00A94361"/>
    <w:rsid w:val="00AA293C"/>
    <w:rsid w:val="00AD5C88"/>
    <w:rsid w:val="00AE6AC4"/>
    <w:rsid w:val="00B268EA"/>
    <w:rsid w:val="00B30179"/>
    <w:rsid w:val="00B31E80"/>
    <w:rsid w:val="00B421C1"/>
    <w:rsid w:val="00B54192"/>
    <w:rsid w:val="00B55C71"/>
    <w:rsid w:val="00B56E4A"/>
    <w:rsid w:val="00B56E9C"/>
    <w:rsid w:val="00B64B1F"/>
    <w:rsid w:val="00B6553F"/>
    <w:rsid w:val="00B77D05"/>
    <w:rsid w:val="00B81206"/>
    <w:rsid w:val="00B81E12"/>
    <w:rsid w:val="00B9042E"/>
    <w:rsid w:val="00BA399B"/>
    <w:rsid w:val="00BB1281"/>
    <w:rsid w:val="00BC3FA0"/>
    <w:rsid w:val="00BC4A81"/>
    <w:rsid w:val="00BC6048"/>
    <w:rsid w:val="00BC74E9"/>
    <w:rsid w:val="00BD186E"/>
    <w:rsid w:val="00BE0515"/>
    <w:rsid w:val="00BF68A8"/>
    <w:rsid w:val="00C0563C"/>
    <w:rsid w:val="00C11A03"/>
    <w:rsid w:val="00C22C0C"/>
    <w:rsid w:val="00C2453D"/>
    <w:rsid w:val="00C4527F"/>
    <w:rsid w:val="00C463DD"/>
    <w:rsid w:val="00C4724C"/>
    <w:rsid w:val="00C62178"/>
    <w:rsid w:val="00C629A0"/>
    <w:rsid w:val="00C634A6"/>
    <w:rsid w:val="00C64629"/>
    <w:rsid w:val="00C71ED6"/>
    <w:rsid w:val="00C745C3"/>
    <w:rsid w:val="00C86220"/>
    <w:rsid w:val="00CB3E03"/>
    <w:rsid w:val="00CC62D3"/>
    <w:rsid w:val="00CE0C77"/>
    <w:rsid w:val="00CE19CF"/>
    <w:rsid w:val="00CE4A8F"/>
    <w:rsid w:val="00CE6A6D"/>
    <w:rsid w:val="00CF49FD"/>
    <w:rsid w:val="00D13BCC"/>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0D4C"/>
    <w:rsid w:val="00E71BC8"/>
    <w:rsid w:val="00E7260F"/>
    <w:rsid w:val="00E73F5D"/>
    <w:rsid w:val="00E77E4E"/>
    <w:rsid w:val="00E96630"/>
    <w:rsid w:val="00EB6A2C"/>
    <w:rsid w:val="00EC3EF5"/>
    <w:rsid w:val="00ED41D7"/>
    <w:rsid w:val="00ED7A2A"/>
    <w:rsid w:val="00EF1D7F"/>
    <w:rsid w:val="00EF61BE"/>
    <w:rsid w:val="00F13FB9"/>
    <w:rsid w:val="00F31E5F"/>
    <w:rsid w:val="00F44B02"/>
    <w:rsid w:val="00F6100A"/>
    <w:rsid w:val="00F90BD0"/>
    <w:rsid w:val="00F93781"/>
    <w:rsid w:val="00FB613B"/>
    <w:rsid w:val="00FC68B7"/>
    <w:rsid w:val="00FE106A"/>
    <w:rsid w:val="00FE122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2465"/>
    <o:shapelayout v:ext="edit">
      <o:idmap v:ext="edit" data="1"/>
    </o:shapelayout>
  </w:shapeDefaults>
  <w:decimalSymbol w:val="."/>
  <w:listSeparator w:val=","/>
  <w14:docId w14:val="14C399E7"/>
  <w15:docId w15:val="{27198487-BB1C-4474-A286-99562A3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 w:type="paragraph" w:styleId="CommentSubject">
    <w:name w:val="annotation subject"/>
    <w:basedOn w:val="CommentText"/>
    <w:next w:val="CommentText"/>
    <w:link w:val="CommentSubjectChar"/>
    <w:semiHidden/>
    <w:unhideWhenUsed/>
    <w:rsid w:val="00C2453D"/>
    <w:pPr>
      <w:spacing w:line="240" w:lineRule="auto"/>
    </w:pPr>
    <w:rPr>
      <w:b/>
      <w:bCs/>
    </w:rPr>
  </w:style>
  <w:style w:type="character" w:customStyle="1" w:styleId="CommentTextChar">
    <w:name w:val="Comment Text Char"/>
    <w:basedOn w:val="DefaultParagraphFont"/>
    <w:link w:val="CommentText"/>
    <w:semiHidden/>
    <w:rsid w:val="00C2453D"/>
    <w:rPr>
      <w:lang w:eastAsia="en-US"/>
    </w:rPr>
  </w:style>
  <w:style w:type="character" w:customStyle="1" w:styleId="CommentSubjectChar">
    <w:name w:val="Comment Subject Char"/>
    <w:basedOn w:val="CommentTextChar"/>
    <w:link w:val="CommentSubject"/>
    <w:semiHidden/>
    <w:rsid w:val="00C245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86EB-639B-4188-89B7-A41FE927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539</Words>
  <Characters>2856</Characters>
  <Application>Microsoft Office Word</Application>
  <DocSecurity>0</DocSecurity>
  <Lines>68</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1420747</vt:lpstr>
    </vt:vector>
  </TitlesOfParts>
  <Company>CSD</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Silvia.Prinz@bmvi.bund.de</dc:creator>
  <dc:description>final</dc:description>
  <cp:lastModifiedBy>Christine Barrio-Champeau</cp:lastModifiedBy>
  <cp:revision>22</cp:revision>
  <cp:lastPrinted>2018-08-03T06:47:00Z</cp:lastPrinted>
  <dcterms:created xsi:type="dcterms:W3CDTF">2018-08-13T07:46:00Z</dcterms:created>
  <dcterms:modified xsi:type="dcterms:W3CDTF">2018-08-17T13:22:00Z</dcterms:modified>
</cp:coreProperties>
</file>