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B56E9C" w:rsidRPr="008268C5" w:rsidTr="00B11BB4">
        <w:trPr>
          <w:cantSplit/>
          <w:trHeight w:hRule="exact" w:val="851"/>
        </w:trPr>
        <w:tc>
          <w:tcPr>
            <w:tcW w:w="1276" w:type="dxa"/>
            <w:tcBorders>
              <w:bottom w:val="single" w:sz="4" w:space="0" w:color="auto"/>
            </w:tcBorders>
            <w:shd w:val="clear" w:color="auto" w:fill="auto"/>
            <w:vAlign w:val="bottom"/>
          </w:tcPr>
          <w:p w:rsidR="00B56E9C" w:rsidRPr="008268C5" w:rsidRDefault="00B56E9C" w:rsidP="00B11BB4">
            <w:pPr>
              <w:spacing w:after="80"/>
            </w:pPr>
          </w:p>
        </w:tc>
        <w:tc>
          <w:tcPr>
            <w:tcW w:w="2268" w:type="dxa"/>
            <w:tcBorders>
              <w:bottom w:val="single" w:sz="4" w:space="0" w:color="auto"/>
            </w:tcBorders>
            <w:shd w:val="clear" w:color="auto" w:fill="auto"/>
            <w:vAlign w:val="bottom"/>
          </w:tcPr>
          <w:p w:rsidR="00B56E9C" w:rsidRPr="008268C5" w:rsidRDefault="00B56E9C" w:rsidP="00B11BB4">
            <w:pPr>
              <w:spacing w:after="80" w:line="300" w:lineRule="exact"/>
              <w:rPr>
                <w:b/>
                <w:sz w:val="24"/>
                <w:szCs w:val="24"/>
              </w:rPr>
            </w:pPr>
          </w:p>
        </w:tc>
        <w:tc>
          <w:tcPr>
            <w:tcW w:w="6095" w:type="dxa"/>
            <w:tcBorders>
              <w:bottom w:val="single" w:sz="4" w:space="0" w:color="auto"/>
            </w:tcBorders>
            <w:shd w:val="clear" w:color="auto" w:fill="auto"/>
            <w:vAlign w:val="bottom"/>
          </w:tcPr>
          <w:p w:rsidR="00B56E9C" w:rsidRPr="008268C5" w:rsidRDefault="00CD57D2" w:rsidP="00E333B5">
            <w:pPr>
              <w:suppressAutoHyphens w:val="0"/>
              <w:spacing w:after="20"/>
              <w:jc w:val="right"/>
              <w:rPr>
                <w:b/>
                <w:sz w:val="28"/>
                <w:szCs w:val="28"/>
              </w:rPr>
            </w:pPr>
            <w:r w:rsidRPr="008268C5">
              <w:rPr>
                <w:b/>
                <w:sz w:val="28"/>
                <w:szCs w:val="28"/>
              </w:rPr>
              <w:t>INF.</w:t>
            </w:r>
            <w:r w:rsidR="00AB523B">
              <w:rPr>
                <w:b/>
                <w:sz w:val="28"/>
                <w:szCs w:val="28"/>
              </w:rPr>
              <w:t>30</w:t>
            </w:r>
          </w:p>
        </w:tc>
      </w:tr>
    </w:tbl>
    <w:p w:rsidR="00AB32F7" w:rsidRPr="008268C5" w:rsidRDefault="00AB32F7" w:rsidP="00AB32F7">
      <w:pPr>
        <w:spacing w:before="120"/>
        <w:rPr>
          <w:b/>
          <w:sz w:val="28"/>
          <w:szCs w:val="28"/>
        </w:rPr>
      </w:pPr>
      <w:r w:rsidRPr="008268C5">
        <w:rPr>
          <w:b/>
          <w:sz w:val="28"/>
          <w:szCs w:val="28"/>
        </w:rPr>
        <w:t>Economic Commission for Europe</w:t>
      </w:r>
    </w:p>
    <w:p w:rsidR="00AB32F7" w:rsidRPr="008268C5" w:rsidRDefault="00AB32F7" w:rsidP="00AB32F7">
      <w:pPr>
        <w:spacing w:before="120"/>
        <w:rPr>
          <w:sz w:val="28"/>
          <w:szCs w:val="28"/>
        </w:rPr>
      </w:pPr>
      <w:r w:rsidRPr="008268C5">
        <w:rPr>
          <w:sz w:val="28"/>
          <w:szCs w:val="28"/>
        </w:rPr>
        <w:t>Inland Transport Committee</w:t>
      </w:r>
    </w:p>
    <w:p w:rsidR="00AB32F7" w:rsidRPr="008268C5" w:rsidRDefault="00AB32F7" w:rsidP="00AB32F7">
      <w:pPr>
        <w:spacing w:before="120"/>
        <w:rPr>
          <w:b/>
          <w:sz w:val="24"/>
          <w:szCs w:val="24"/>
        </w:rPr>
      </w:pPr>
      <w:r w:rsidRPr="008268C5">
        <w:rPr>
          <w:b/>
          <w:sz w:val="24"/>
          <w:szCs w:val="24"/>
        </w:rPr>
        <w:t>Working Party on the Transport of Dangerous Goods</w:t>
      </w:r>
    </w:p>
    <w:p w:rsidR="00AB32F7" w:rsidRPr="008268C5" w:rsidRDefault="00A44D24" w:rsidP="00AB32F7">
      <w:pPr>
        <w:spacing w:before="120"/>
        <w:rPr>
          <w:b/>
        </w:rPr>
      </w:pPr>
      <w:r>
        <w:rPr>
          <w:b/>
        </w:rPr>
        <w:t>10</w:t>
      </w:r>
      <w:r w:rsidR="00B240FC">
        <w:rPr>
          <w:b/>
        </w:rPr>
        <w:t>5</w:t>
      </w:r>
      <w:r w:rsidR="00963ABB" w:rsidRPr="00963ABB">
        <w:rPr>
          <w:b/>
          <w:vertAlign w:val="superscript"/>
        </w:rPr>
        <w:t>th</w:t>
      </w:r>
      <w:r w:rsidR="00963ABB">
        <w:rPr>
          <w:b/>
        </w:rPr>
        <w:t xml:space="preserve"> </w:t>
      </w:r>
      <w:r w:rsidR="00AB32F7" w:rsidRPr="008268C5">
        <w:rPr>
          <w:b/>
        </w:rPr>
        <w:t>session</w:t>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823CC9">
        <w:rPr>
          <w:b/>
        </w:rPr>
        <w:tab/>
      </w:r>
      <w:r w:rsidR="00E333B5">
        <w:rPr>
          <w:b/>
        </w:rPr>
        <w:t>6</w:t>
      </w:r>
      <w:r w:rsidR="00A12B28">
        <w:rPr>
          <w:b/>
        </w:rPr>
        <w:t xml:space="preserve"> November</w:t>
      </w:r>
      <w:r>
        <w:rPr>
          <w:b/>
        </w:rPr>
        <w:t xml:space="preserve"> 201</w:t>
      </w:r>
      <w:r w:rsidR="004F0CCB">
        <w:rPr>
          <w:b/>
        </w:rPr>
        <w:t>8</w:t>
      </w:r>
    </w:p>
    <w:p w:rsidR="00AB32F7" w:rsidRPr="008268C5" w:rsidRDefault="00AB32F7" w:rsidP="00AB32F7">
      <w:r w:rsidRPr="008268C5">
        <w:t xml:space="preserve">Geneva, </w:t>
      </w:r>
      <w:r w:rsidR="00B240FC">
        <w:t>6</w:t>
      </w:r>
      <w:r w:rsidR="00875C74">
        <w:t>-</w:t>
      </w:r>
      <w:r w:rsidR="00B240FC">
        <w:t>9</w:t>
      </w:r>
      <w:r w:rsidR="00963ABB">
        <w:t xml:space="preserve"> </w:t>
      </w:r>
      <w:r w:rsidR="00B240FC">
        <w:t>November</w:t>
      </w:r>
      <w:r w:rsidRPr="008268C5">
        <w:t xml:space="preserve"> </w:t>
      </w:r>
      <w:r w:rsidR="00B25EB2" w:rsidRPr="008268C5">
        <w:t>201</w:t>
      </w:r>
      <w:r w:rsidR="00963ABB">
        <w:t>8</w:t>
      </w:r>
    </w:p>
    <w:p w:rsidR="008B1A75" w:rsidRDefault="00AB523B" w:rsidP="008B1A75">
      <w:pPr>
        <w:pStyle w:val="Default"/>
        <w:rPr>
          <w:sz w:val="20"/>
          <w:szCs w:val="20"/>
        </w:rPr>
      </w:pPr>
      <w:r>
        <w:rPr>
          <w:sz w:val="20"/>
          <w:szCs w:val="20"/>
        </w:rPr>
        <w:t>Item 6</w:t>
      </w:r>
      <w:r w:rsidR="008B1A75">
        <w:rPr>
          <w:sz w:val="20"/>
          <w:szCs w:val="20"/>
        </w:rPr>
        <w:t xml:space="preserve"> of the provisional agenda </w:t>
      </w:r>
    </w:p>
    <w:p w:rsidR="00C06A91" w:rsidRPr="00DD2EDF" w:rsidRDefault="00AB523B" w:rsidP="008B1A75">
      <w:pPr>
        <w:rPr>
          <w:b/>
        </w:rPr>
      </w:pPr>
      <w:r w:rsidRPr="00CA55D3">
        <w:rPr>
          <w:b/>
          <w:bCs/>
          <w:lang w:val="en-US"/>
        </w:rPr>
        <w:t>Interpretation of ADR</w:t>
      </w:r>
      <w:r w:rsidR="00C06A91" w:rsidRPr="00DD2EDF">
        <w:rPr>
          <w:b/>
          <w:bCs/>
        </w:rPr>
        <w:t xml:space="preserve"> </w:t>
      </w:r>
    </w:p>
    <w:p w:rsidR="00AB523B" w:rsidRPr="00AE400B" w:rsidRDefault="00B240FC" w:rsidP="00AB523B">
      <w:pPr>
        <w:pStyle w:val="HChG"/>
        <w:tabs>
          <w:tab w:val="clear" w:pos="851"/>
        </w:tabs>
        <w:spacing w:after="0"/>
        <w:ind w:firstLine="0"/>
        <w:rPr>
          <w:lang w:val="en-US"/>
        </w:rPr>
      </w:pPr>
      <w:r>
        <w:tab/>
      </w:r>
      <w:r w:rsidR="00AB523B">
        <w:t xml:space="preserve">Comment on INF.10: </w:t>
      </w:r>
      <w:r w:rsidR="00AB523B" w:rsidRPr="00AE400B">
        <w:rPr>
          <w:lang w:val="en-US"/>
        </w:rPr>
        <w:t>Interpretation of the requirements for thermal insulation in 7.1.7.4.5 of ADR 2019</w:t>
      </w:r>
    </w:p>
    <w:p w:rsidR="00AB523B" w:rsidRDefault="00AB523B" w:rsidP="00AB523B">
      <w:pPr>
        <w:pStyle w:val="H1G"/>
      </w:pPr>
      <w:r w:rsidRPr="00B573A9">
        <w:rPr>
          <w:b w:val="0"/>
          <w:sz w:val="20"/>
        </w:rPr>
        <w:tab/>
      </w:r>
      <w:r w:rsidRPr="00B573A9">
        <w:rPr>
          <w:b w:val="0"/>
          <w:sz w:val="20"/>
        </w:rPr>
        <w:tab/>
      </w:r>
      <w:r>
        <w:t xml:space="preserve">Transmitted by the Government of the </w:t>
      </w:r>
      <w:r w:rsidRPr="00DF621A">
        <w:t>United Kingdom</w:t>
      </w:r>
    </w:p>
    <w:p w:rsidR="00AB523B" w:rsidRDefault="00AB523B" w:rsidP="00AB523B">
      <w:pPr>
        <w:pStyle w:val="HChG"/>
      </w:pPr>
      <w:r>
        <w:tab/>
      </w:r>
      <w:r>
        <w:tab/>
      </w:r>
      <w:r>
        <w:tab/>
        <w:t>Introduction</w:t>
      </w:r>
    </w:p>
    <w:p w:rsidR="00AB523B" w:rsidRPr="00702E49" w:rsidRDefault="00AB523B" w:rsidP="00AB523B">
      <w:pPr>
        <w:pStyle w:val="SingleTxtG"/>
      </w:pPr>
      <w:r>
        <w:t>1.</w:t>
      </w:r>
      <w:r>
        <w:tab/>
      </w:r>
      <w:r w:rsidRPr="00702E49">
        <w:t>At the 103</w:t>
      </w:r>
      <w:r w:rsidRPr="00702E49">
        <w:rPr>
          <w:vertAlign w:val="superscript"/>
        </w:rPr>
        <w:t>rd</w:t>
      </w:r>
      <w:r w:rsidRPr="00702E49">
        <w:t xml:space="preserve"> session of WP.15 the adoption of new text from the UN led to an examination of the ADR text regarding the transport of substances requiring temperature control. The meeting decided that certain sections of text should also appear in the UN Model Regulations and the expert for The Netherlands submitted paper ST/SG/AC.10/C.3/2018/39 to this effect. The expert from the United Kingdom expressed some concerns about the proposed changes at the UN meeting but the text of 2018/39 with some changes as reflected in ST/SG/AC.10/C.3/2018/65 was adopted in square brackets</w:t>
      </w:r>
      <w:r>
        <w:t>.</w:t>
      </w:r>
    </w:p>
    <w:p w:rsidR="00AB523B" w:rsidRPr="00702E49" w:rsidRDefault="00AB523B" w:rsidP="00AB523B">
      <w:pPr>
        <w:pStyle w:val="SingleTxtG"/>
      </w:pPr>
      <w:r>
        <w:t>2.</w:t>
      </w:r>
      <w:r>
        <w:tab/>
      </w:r>
      <w:r w:rsidRPr="00702E49">
        <w:t xml:space="preserve">The primary concern of the expert from the United Kingdom was that in transferring the ADR text to the UN, the context of some of the ADR provisions in relation to vehicles was lost because the UN has no matching references. This meant that the new text in the UN could easily be misinterpreted and could result in serious accidents occurring during transport. Following discussions with the expert from the Netherlands, they have requested the withdrawal of their UN paper 2018/39 pending further discussions at WP.15. </w:t>
      </w:r>
    </w:p>
    <w:p w:rsidR="00AB523B" w:rsidRPr="00702E49" w:rsidRDefault="00AB523B" w:rsidP="00AB523B">
      <w:pPr>
        <w:pStyle w:val="SingleTxtG"/>
      </w:pPr>
      <w:r>
        <w:t>3.</w:t>
      </w:r>
      <w:r>
        <w:tab/>
      </w:r>
      <w:r w:rsidRPr="00702E49">
        <w:t>This information paper has been prepared by the expert from the United Kingdom to provide a basis for an informed discussion at the 104</w:t>
      </w:r>
      <w:r w:rsidRPr="00702E49">
        <w:rPr>
          <w:vertAlign w:val="superscript"/>
        </w:rPr>
        <w:t>th</w:t>
      </w:r>
      <w:r w:rsidRPr="00702E49">
        <w:t xml:space="preserve"> session of WP.15 and to explain why this expert does not believe that it is appropriate for the ADR text to be offered for inclusion at the UN level.</w:t>
      </w:r>
    </w:p>
    <w:p w:rsidR="00AB523B" w:rsidRDefault="00AB523B" w:rsidP="00AB523B">
      <w:pPr>
        <w:pStyle w:val="HChG"/>
      </w:pPr>
      <w:r>
        <w:tab/>
      </w:r>
      <w:r>
        <w:tab/>
        <w:t>Historical Perspective of the UN and ADR Text</w:t>
      </w:r>
    </w:p>
    <w:p w:rsidR="00AB523B" w:rsidRPr="008C2F3D" w:rsidRDefault="00AB523B" w:rsidP="00AB523B">
      <w:pPr>
        <w:pStyle w:val="SingleTxtG"/>
      </w:pPr>
      <w:r>
        <w:t>4.</w:t>
      </w:r>
      <w:r>
        <w:tab/>
      </w:r>
      <w:r w:rsidRPr="008C2F3D">
        <w:t>The text on temperature control first appears in the UN Recommendations 6</w:t>
      </w:r>
      <w:r w:rsidRPr="008C2F3D">
        <w:rPr>
          <w:vertAlign w:val="superscript"/>
        </w:rPr>
        <w:t>th</w:t>
      </w:r>
      <w:r w:rsidRPr="008C2F3D">
        <w:t xml:space="preserve"> Edition (1990). At that time the text, under the heading “Transport under temperature control”, started in 11.3.10.1 ‘Since the circumstances to be taken into account differ for the various modes of transport, only general guidance is given in the following paragraphs’. Today this same text is the Note under the heading 7.1.5.4. “Transport under temperature control”. The current text 7.1.5.4.1 to 7.1.5.4.5 is almost verbatim from the 6</w:t>
      </w:r>
      <w:r w:rsidRPr="008C2F3D">
        <w:rPr>
          <w:vertAlign w:val="superscript"/>
        </w:rPr>
        <w:t xml:space="preserve">th </w:t>
      </w:r>
      <w:r w:rsidRPr="008C2F3D">
        <w:t>Edition, with the only major text change being 7.1.5.4.5 (c) and (e) iii where a defined break point has been introduced and a change from flame proof to explosion proof. The basic concept is a list of methods of increasing effectiveness set out in (a) to (e).</w:t>
      </w:r>
    </w:p>
    <w:p w:rsidR="00AB523B" w:rsidRPr="008C2F3D" w:rsidRDefault="00AB523B" w:rsidP="00AB523B">
      <w:pPr>
        <w:pStyle w:val="SingleTxtG"/>
      </w:pPr>
      <w:r>
        <w:t>5.</w:t>
      </w:r>
      <w:r>
        <w:tab/>
      </w:r>
      <w:r w:rsidRPr="008C2F3D">
        <w:t>The UN text from the 6</w:t>
      </w:r>
      <w:r w:rsidRPr="008C2F3D">
        <w:rPr>
          <w:vertAlign w:val="superscript"/>
        </w:rPr>
        <w:t>th</w:t>
      </w:r>
      <w:r w:rsidRPr="008C2F3D">
        <w:t xml:space="preserve"> Edition appears in the 1995 edition of ADR at marginal 52 105 but has a significant difference in that the (c), (d) and (e) methods of meeting temperature </w:t>
      </w:r>
      <w:bookmarkStart w:id="0" w:name="_GoBack"/>
      <w:bookmarkEnd w:id="0"/>
      <w:r w:rsidRPr="008C2F3D">
        <w:lastRenderedPageBreak/>
        <w:t xml:space="preserve">control all have “thermal insulation and” added at the beginning of each description. However, ADR also added context to these additions firstly in marginal 52 204, where it required the vehicle to meet certain requirements (given in 52 248) when an insulated, refrigerated or mechanically-refrigerated vehicle is required. This does not state that this equates to methods (c), (d) and (e) but also in the same marginal it allowed protective packagings filled with a coolant to be transported in closed or sheeted vehicles. This equated to method (b) and does not require the vehicle to meet the thermal insulation factor. </w:t>
      </w:r>
    </w:p>
    <w:p w:rsidR="00AB523B" w:rsidRPr="008C2F3D" w:rsidRDefault="00AB523B" w:rsidP="00AB523B">
      <w:pPr>
        <w:pStyle w:val="SingleTxtG"/>
      </w:pPr>
      <w:r>
        <w:t>6.</w:t>
      </w:r>
      <w:r>
        <w:tab/>
      </w:r>
      <w:r w:rsidRPr="008C2F3D">
        <w:t xml:space="preserve">Both UN and ADR refer to the provisions of (b) and (c) in method (d). The intent here is to make sure the vehicle is to the same standard as in (c), and that the coolant warnings given in method (b) are observed. </w:t>
      </w:r>
    </w:p>
    <w:p w:rsidR="00AB523B" w:rsidRPr="008C2F3D" w:rsidRDefault="00AB523B" w:rsidP="00AB523B">
      <w:pPr>
        <w:pStyle w:val="SingleTxtG"/>
      </w:pPr>
      <w:r>
        <w:t>7.</w:t>
      </w:r>
      <w:r>
        <w:tab/>
      </w:r>
      <w:r w:rsidRPr="008C2F3D">
        <w:t>When ADR was reformatted in 2001 the text moved to 7.2.4 V8 with (a), (b), (c) etc. becoming R1, R2, and R3 etc. with one significant change. In V8 (5) “or containers” was added after “vehicles” and both then had to comply with the provisions of Chapter 9.6 which was the text of marginal 52 248. However, no amendments were made to Chapter 9.6 which still refers exclusively to vehicles. The moving of the ADR text from V8 to 7.1.7 makes some small changes to the text for clarity but is essentially the same.</w:t>
      </w:r>
    </w:p>
    <w:p w:rsidR="00AB523B" w:rsidRPr="008C2F3D" w:rsidRDefault="00AB523B" w:rsidP="00AB523B">
      <w:pPr>
        <w:pStyle w:val="SingleTxtG"/>
      </w:pPr>
      <w:r>
        <w:t>8.</w:t>
      </w:r>
      <w:r>
        <w:tab/>
      </w:r>
      <w:r w:rsidRPr="008C2F3D">
        <w:t>In summary, the basic system as described in the UN recommendations was adopted by ADR nearly 25 years ago and from the outset ADR added its own operational and vehicle requirements. Both sets are substantially the same as they were from the start and are aligned except for the operational provisions in ADR.</w:t>
      </w:r>
    </w:p>
    <w:p w:rsidR="00AB523B" w:rsidRPr="00FB47E8" w:rsidRDefault="00AB523B" w:rsidP="00AB523B">
      <w:pPr>
        <w:spacing w:before="360" w:after="240"/>
        <w:ind w:left="1134" w:right="1134"/>
        <w:jc w:val="both"/>
        <w:rPr>
          <w:b/>
          <w:color w:val="000000" w:themeColor="text1"/>
          <w:sz w:val="28"/>
          <w:szCs w:val="28"/>
        </w:rPr>
      </w:pPr>
      <w:r w:rsidRPr="00FB47E8">
        <w:rPr>
          <w:b/>
          <w:color w:val="000000" w:themeColor="text1"/>
          <w:sz w:val="28"/>
          <w:szCs w:val="28"/>
        </w:rPr>
        <w:t>ADR SPECIFIC COMMENTS/ INTERPRETATIONS FOR DISCUSSION</w:t>
      </w:r>
    </w:p>
    <w:p w:rsidR="00AB523B" w:rsidRPr="00FB47E8" w:rsidRDefault="00AB523B" w:rsidP="00AB523B">
      <w:pPr>
        <w:pStyle w:val="SingleTxtG"/>
        <w:rPr>
          <w:color w:val="000000" w:themeColor="text1"/>
        </w:rPr>
      </w:pPr>
      <w:r>
        <w:rPr>
          <w:rStyle w:val="SingleTxtGChar"/>
        </w:rPr>
        <w:t>9.</w:t>
      </w:r>
      <w:r>
        <w:rPr>
          <w:rStyle w:val="SingleTxtGChar"/>
        </w:rPr>
        <w:tab/>
      </w:r>
      <w:r w:rsidRPr="00AB523B">
        <w:rPr>
          <w:rStyle w:val="SingleTxtGChar"/>
        </w:rPr>
        <w:t>It should be held in mind throughout that the text is primarily related to the transport of packaged dangerous goods as with the exception of Type F and polymerising substances no tank codes are p</w:t>
      </w:r>
      <w:r w:rsidRPr="00FB47E8">
        <w:rPr>
          <w:color w:val="000000" w:themeColor="text1"/>
        </w:rPr>
        <w:t>rovided.</w:t>
      </w:r>
      <w:r>
        <w:rPr>
          <w:color w:val="000000" w:themeColor="text1"/>
        </w:rPr>
        <w:t xml:space="preserve"> And that this refers to the text that has been adopted to ADR 2019.</w:t>
      </w:r>
    </w:p>
    <w:p w:rsidR="00AB523B" w:rsidRPr="00736106" w:rsidRDefault="00AB523B" w:rsidP="00AB523B">
      <w:pPr>
        <w:pStyle w:val="SingleTxtG"/>
        <w:ind w:left="2268" w:hanging="567"/>
      </w:pPr>
      <w:r>
        <w:t>i.</w:t>
      </w:r>
      <w:r>
        <w:tab/>
      </w:r>
      <w:r w:rsidRPr="00736106">
        <w:t>Method (a) is primarily concerned with packaging rather than vehicles. A thermos flask would be a good example of thermal insulation, similarly a fully lined polystyrene box. Unless specifically directed there are many instances where no particular vehicle is described and this type of packaging can be used.</w:t>
      </w:r>
    </w:p>
    <w:p w:rsidR="00AB523B" w:rsidRPr="00736106" w:rsidRDefault="00AB523B" w:rsidP="00AB523B">
      <w:pPr>
        <w:pStyle w:val="SingleTxtG"/>
        <w:ind w:left="2268" w:hanging="567"/>
        <w:rPr>
          <w:color w:val="000000" w:themeColor="text1"/>
        </w:rPr>
      </w:pPr>
      <w:r>
        <w:rPr>
          <w:color w:val="000000" w:themeColor="text1"/>
        </w:rPr>
        <w:t>ii.</w:t>
      </w:r>
      <w:r>
        <w:rPr>
          <w:color w:val="000000" w:themeColor="text1"/>
        </w:rPr>
        <w:tab/>
      </w:r>
      <w:r w:rsidRPr="00736106">
        <w:rPr>
          <w:color w:val="000000" w:themeColor="text1"/>
        </w:rPr>
        <w:t xml:space="preserve">Following on from (a), 7.1.7.4.8 effectively describes a method (b) package and allows the vehicle to be either a closed vehicle or a sheeted vehicle. There is no reference that the vehicles should be insulated. Since method (b) gives a higher level of control capability it follows that the vehicle used in method (a) would not need to equal or exceed that required for method (b). Therefore the thermal insulation given here could be either packaging or vehicle related. Examples would be taking the polystyrene box in method (a) and surrounding the inner packaging with dry ice, or dry ice in an insulated cargo compartment. </w:t>
      </w:r>
    </w:p>
    <w:p w:rsidR="00AB523B" w:rsidRPr="00736106" w:rsidRDefault="00AB523B" w:rsidP="00AB523B">
      <w:pPr>
        <w:pStyle w:val="SingleTxtG"/>
        <w:ind w:left="2268" w:hanging="567"/>
        <w:rPr>
          <w:color w:val="000000" w:themeColor="text1"/>
        </w:rPr>
      </w:pPr>
      <w:r>
        <w:rPr>
          <w:color w:val="000000" w:themeColor="text1"/>
        </w:rPr>
        <w:t>iii.</w:t>
      </w:r>
      <w:r>
        <w:rPr>
          <w:color w:val="000000" w:themeColor="text1"/>
        </w:rPr>
        <w:tab/>
      </w:r>
      <w:r w:rsidRPr="00736106">
        <w:rPr>
          <w:color w:val="000000" w:themeColor="text1"/>
        </w:rPr>
        <w:t xml:space="preserve">This leads to the conclusion that ADR in adding “Thermal insulation and” to methods (c), (d) and (e) was and is directly linked to the vehicle which is supported by 7.1.7.4.7 which directs users to 9.6 (vehicle and container requirements), only when “substances </w:t>
      </w:r>
      <w:r w:rsidRPr="00736106">
        <w:rPr>
          <w:b/>
          <w:color w:val="000000" w:themeColor="text1"/>
        </w:rPr>
        <w:t>are required to be carried in</w:t>
      </w:r>
      <w:r w:rsidRPr="00736106">
        <w:rPr>
          <w:color w:val="000000" w:themeColor="text1"/>
        </w:rPr>
        <w:t xml:space="preserve"> insulated, refrigerated or mechanically-refrigerated vehicles or containers shall satisfy the requirements of Chapter 9.6”. Vehicles for substances not required to be carried in such vehicles are dealt with in 7.1.7.4.8.</w:t>
      </w:r>
    </w:p>
    <w:p w:rsidR="00AB523B" w:rsidRPr="00736106" w:rsidRDefault="00AB523B" w:rsidP="00AB523B">
      <w:pPr>
        <w:pStyle w:val="SingleTxtG"/>
        <w:ind w:left="2268" w:hanging="567"/>
        <w:rPr>
          <w:color w:val="000000" w:themeColor="text1"/>
        </w:rPr>
      </w:pPr>
      <w:r>
        <w:rPr>
          <w:color w:val="000000" w:themeColor="text1"/>
        </w:rPr>
        <w:lastRenderedPageBreak/>
        <w:t>iv.</w:t>
      </w:r>
      <w:r>
        <w:rPr>
          <w:color w:val="000000" w:themeColor="text1"/>
        </w:rPr>
        <w:tab/>
      </w:r>
      <w:r w:rsidRPr="00736106">
        <w:rPr>
          <w:color w:val="000000" w:themeColor="text1"/>
        </w:rPr>
        <w:t>The amendment to add “containers” to the ADR text was basically sound, since prior to the insertion the only legal way to move these packages would have been in a compliant vehicle. However, in attaching it to the vehicle provisions it has been swept into 9.6 which is exclusively concerned with vehicles. This should be rectified because there is a requirement with no provisions.</w:t>
      </w:r>
    </w:p>
    <w:p w:rsidR="00AB523B" w:rsidRPr="00736106" w:rsidRDefault="00AB523B" w:rsidP="00AB523B">
      <w:pPr>
        <w:pStyle w:val="SingleTxtG"/>
        <w:ind w:left="2268" w:hanging="567"/>
        <w:rPr>
          <w:color w:val="000000" w:themeColor="text1"/>
        </w:rPr>
      </w:pPr>
      <w:r>
        <w:rPr>
          <w:color w:val="000000" w:themeColor="text1"/>
        </w:rPr>
        <w:t>v.</w:t>
      </w:r>
      <w:r>
        <w:rPr>
          <w:color w:val="000000" w:themeColor="text1"/>
        </w:rPr>
        <w:tab/>
      </w:r>
      <w:r w:rsidRPr="00736106">
        <w:rPr>
          <w:color w:val="000000" w:themeColor="text1"/>
        </w:rPr>
        <w:t>The references in (d) to the provisions in (b) and (c) we believe only relate to the sub clauses (i) to (iv) in (b) and the fittings etc. in (c). If the expectation that a package in a thermally insulated with a mechanical refrigeration system vehicle had to itself to be thermally insulated with a coolant system as well, this could produce a serious safety issue. The product in the insulated package would be able to warm up because it would be protected from the cooling of the fridge by its insulation.</w:t>
      </w:r>
    </w:p>
    <w:p w:rsidR="00AB523B" w:rsidRPr="00736106" w:rsidRDefault="00AB523B" w:rsidP="00AB523B">
      <w:pPr>
        <w:pStyle w:val="SingleTxtG"/>
        <w:ind w:left="2268" w:hanging="567"/>
        <w:rPr>
          <w:color w:val="000000" w:themeColor="text1"/>
        </w:rPr>
      </w:pPr>
      <w:r>
        <w:rPr>
          <w:color w:val="000000" w:themeColor="text1"/>
        </w:rPr>
        <w:t>vi.</w:t>
      </w:r>
      <w:r>
        <w:rPr>
          <w:color w:val="000000" w:themeColor="text1"/>
        </w:rPr>
        <w:tab/>
      </w:r>
      <w:r w:rsidRPr="00736106">
        <w:rPr>
          <w:color w:val="000000" w:themeColor="text1"/>
        </w:rPr>
        <w:t>Although 7.1.7.4.7 appears to impose the requirements of Chapter 9.6, the actual text is currently deficient in a number of ways. Firstly the allocation of the methods which is done in 7.1.7.4.6 is permissive using the word may. There are no substances that must be moved using insulated refrigerated vehicles as such. Secondly, the text in 7.1.7.4.6 only refers to the methods and the methods themselves do not indicate that the provisions relate to vehicles or containers in methods (c), (d) and (e).</w:t>
      </w:r>
    </w:p>
    <w:p w:rsidR="00AB523B" w:rsidRDefault="00AB523B" w:rsidP="00AB523B">
      <w:pPr>
        <w:pStyle w:val="HChG"/>
      </w:pPr>
      <w:r>
        <w:tab/>
      </w:r>
      <w:r>
        <w:tab/>
      </w:r>
      <w:r w:rsidRPr="00E045E6">
        <w:t>Proposal</w:t>
      </w:r>
      <w:r>
        <w:t>s</w:t>
      </w:r>
    </w:p>
    <w:p w:rsidR="00AB523B" w:rsidRPr="00520EE2" w:rsidRDefault="00AB523B" w:rsidP="00AB523B">
      <w:pPr>
        <w:pStyle w:val="SingleTxtG"/>
      </w:pPr>
      <w:r>
        <w:t>10.</w:t>
      </w:r>
      <w:r>
        <w:tab/>
      </w:r>
      <w:r>
        <w:t xml:space="preserve">In paragraph </w:t>
      </w:r>
      <w:r w:rsidRPr="00520EE2">
        <w:t>7.1.7.4.5</w:t>
      </w:r>
      <w:r>
        <w:t xml:space="preserve"> subsections</w:t>
      </w:r>
      <w:r w:rsidRPr="00520EE2">
        <w:t xml:space="preserve"> (c), (d) and (e) “Vehicle or container with”</w:t>
      </w:r>
      <w:r>
        <w:t xml:space="preserve"> at the beginning of the sentence.</w:t>
      </w:r>
      <w:r w:rsidRPr="00520EE2">
        <w:t xml:space="preserve"> </w:t>
      </w:r>
    </w:p>
    <w:p w:rsidR="00AB523B" w:rsidRPr="00520EE2" w:rsidRDefault="00AB523B" w:rsidP="00AB523B">
      <w:pPr>
        <w:pStyle w:val="SingleTxtG"/>
      </w:pPr>
      <w:r>
        <w:t>11.</w:t>
      </w:r>
      <w:r>
        <w:tab/>
      </w:r>
      <w:r>
        <w:t>In paragraph</w:t>
      </w:r>
      <w:r w:rsidRPr="00520EE2">
        <w:t xml:space="preserve"> 7.1.7.4.7</w:t>
      </w:r>
      <w:r>
        <w:t>, amend the text so that it reads</w:t>
      </w:r>
      <w:r w:rsidRPr="00520EE2">
        <w:t xml:space="preserve"> </w:t>
      </w:r>
      <w:r>
        <w:t>“</w:t>
      </w:r>
      <w:r w:rsidRPr="00520EE2">
        <w:t>Vehicles carrying substances in accordance with methods (c), (d) or (e) of 7.1.7.4.5 shall meet the requirements of 9.6</w:t>
      </w:r>
      <w:r>
        <w:t>”</w:t>
      </w:r>
      <w:r w:rsidRPr="00520EE2">
        <w:t xml:space="preserve">. </w:t>
      </w:r>
    </w:p>
    <w:p w:rsidR="00AB523B" w:rsidRPr="00681232" w:rsidRDefault="00AB523B" w:rsidP="00AB523B">
      <w:pPr>
        <w:spacing w:before="240" w:after="360"/>
        <w:ind w:left="1134"/>
        <w:jc w:val="both"/>
        <w:rPr>
          <w:b/>
          <w:color w:val="000000" w:themeColor="text1"/>
          <w:sz w:val="28"/>
          <w:szCs w:val="28"/>
        </w:rPr>
      </w:pPr>
      <w:r w:rsidRPr="00681232">
        <w:rPr>
          <w:b/>
          <w:color w:val="000000" w:themeColor="text1"/>
          <w:sz w:val="28"/>
          <w:szCs w:val="28"/>
        </w:rPr>
        <w:t>Justification</w:t>
      </w:r>
    </w:p>
    <w:p w:rsidR="00AB523B" w:rsidRDefault="00AB523B" w:rsidP="00AB523B">
      <w:pPr>
        <w:pStyle w:val="SingleTxtG"/>
      </w:pPr>
      <w:r>
        <w:t>12.</w:t>
      </w:r>
      <w:r>
        <w:tab/>
      </w:r>
      <w:r w:rsidRPr="00520EE2">
        <w:t>The first amendment removes any doubt as to the items requiring thermal insulation in road transport in methods (c), (d) and (e). The second amendment acknowledges that the construction of refrigerated containers is outside the remit of ADR.</w:t>
      </w:r>
    </w:p>
    <w:p w:rsidR="00AB523B" w:rsidRPr="00AB523B" w:rsidRDefault="00AB523B" w:rsidP="00AB523B">
      <w:pPr>
        <w:pStyle w:val="SingleTxtG"/>
        <w:spacing w:before="240" w:after="0"/>
        <w:jc w:val="center"/>
        <w:rPr>
          <w:u w:val="single"/>
        </w:rPr>
      </w:pPr>
      <w:r>
        <w:rPr>
          <w:u w:val="single"/>
        </w:rPr>
        <w:tab/>
      </w:r>
      <w:r>
        <w:rPr>
          <w:u w:val="single"/>
        </w:rPr>
        <w:tab/>
      </w:r>
      <w:r>
        <w:rPr>
          <w:u w:val="single"/>
        </w:rPr>
        <w:tab/>
      </w:r>
    </w:p>
    <w:sectPr w:rsidR="00AB523B" w:rsidRPr="00AB523B" w:rsidSect="009C2166">
      <w:headerReference w:type="even" r:id="rId8"/>
      <w:headerReference w:type="default" r:id="rId9"/>
      <w:footerReference w:type="even" r:id="rId10"/>
      <w:footerReference w:type="default" r:id="rId11"/>
      <w:footnotePr>
        <w:numStart w:val="2"/>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7BB2" w:rsidRDefault="00BA7BB2"/>
  </w:endnote>
  <w:endnote w:type="continuationSeparator" w:id="0">
    <w:p w:rsidR="00BA7BB2" w:rsidRDefault="00BA7BB2"/>
  </w:endnote>
  <w:endnote w:type="continuationNotice" w:id="1">
    <w:p w:rsidR="00BA7BB2" w:rsidRDefault="00BA7B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AFF" w:rsidRPr="009D2A5B" w:rsidRDefault="000C2DEF" w:rsidP="009D2A5B">
    <w:pPr>
      <w:pStyle w:val="Footer"/>
      <w:tabs>
        <w:tab w:val="right" w:pos="9598"/>
      </w:tabs>
    </w:pPr>
    <w:r w:rsidRPr="009D2A5B">
      <w:rPr>
        <w:b/>
        <w:sz w:val="18"/>
      </w:rPr>
      <w:fldChar w:fldCharType="begin"/>
    </w:r>
    <w:r w:rsidR="008C7AFF" w:rsidRPr="009D2A5B">
      <w:rPr>
        <w:b/>
        <w:sz w:val="18"/>
      </w:rPr>
      <w:instrText xml:space="preserve"> PAGE  \* MERGEFORMAT </w:instrText>
    </w:r>
    <w:r w:rsidRPr="009D2A5B">
      <w:rPr>
        <w:b/>
        <w:sz w:val="18"/>
      </w:rPr>
      <w:fldChar w:fldCharType="separate"/>
    </w:r>
    <w:r w:rsidR="00853ACA">
      <w:rPr>
        <w:b/>
        <w:noProof/>
        <w:sz w:val="18"/>
      </w:rPr>
      <w:t>1</w:t>
    </w:r>
    <w:r w:rsidRPr="009D2A5B">
      <w:rPr>
        <w:b/>
        <w:sz w:val="18"/>
      </w:rPr>
      <w:fldChar w:fldCharType="end"/>
    </w:r>
    <w:r w:rsidR="008C7AFF">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AFF" w:rsidRPr="009D2A5B" w:rsidRDefault="008C7AFF" w:rsidP="009D2A5B">
    <w:pPr>
      <w:pStyle w:val="Footer"/>
      <w:tabs>
        <w:tab w:val="right" w:pos="9598"/>
      </w:tabs>
      <w:rPr>
        <w:b/>
        <w:sz w:val="18"/>
      </w:rPr>
    </w:pPr>
    <w:r>
      <w:tab/>
    </w:r>
    <w:r w:rsidR="000C2DEF" w:rsidRPr="009D2A5B">
      <w:rPr>
        <w:b/>
        <w:sz w:val="18"/>
      </w:rPr>
      <w:fldChar w:fldCharType="begin"/>
    </w:r>
    <w:r w:rsidRPr="009D2A5B">
      <w:rPr>
        <w:b/>
        <w:sz w:val="18"/>
      </w:rPr>
      <w:instrText xml:space="preserve"> PAGE  \* MERGEFORMAT </w:instrText>
    </w:r>
    <w:r w:rsidR="000C2DEF" w:rsidRPr="009D2A5B">
      <w:rPr>
        <w:b/>
        <w:sz w:val="18"/>
      </w:rPr>
      <w:fldChar w:fldCharType="separate"/>
    </w:r>
    <w:r w:rsidR="00853ACA">
      <w:rPr>
        <w:b/>
        <w:noProof/>
        <w:sz w:val="18"/>
      </w:rPr>
      <w:t>1</w:t>
    </w:r>
    <w:r w:rsidR="000C2DEF" w:rsidRPr="009D2A5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7BB2" w:rsidRPr="000B175B" w:rsidRDefault="00BA7BB2" w:rsidP="000B175B">
      <w:pPr>
        <w:tabs>
          <w:tab w:val="right" w:pos="2155"/>
        </w:tabs>
        <w:spacing w:after="80"/>
        <w:ind w:left="680"/>
        <w:rPr>
          <w:u w:val="single"/>
        </w:rPr>
      </w:pPr>
      <w:r>
        <w:rPr>
          <w:u w:val="single"/>
        </w:rPr>
        <w:tab/>
      </w:r>
    </w:p>
  </w:footnote>
  <w:footnote w:type="continuationSeparator" w:id="0">
    <w:p w:rsidR="00BA7BB2" w:rsidRPr="00FC68B7" w:rsidRDefault="00BA7BB2" w:rsidP="00FC68B7">
      <w:pPr>
        <w:tabs>
          <w:tab w:val="left" w:pos="2155"/>
        </w:tabs>
        <w:spacing w:after="80"/>
        <w:ind w:left="680"/>
        <w:rPr>
          <w:u w:val="single"/>
        </w:rPr>
      </w:pPr>
      <w:r>
        <w:rPr>
          <w:u w:val="single"/>
        </w:rPr>
        <w:tab/>
      </w:r>
    </w:p>
  </w:footnote>
  <w:footnote w:type="continuationNotice" w:id="1">
    <w:p w:rsidR="00BA7BB2" w:rsidRDefault="00BA7B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23B" w:rsidRDefault="00AB523B">
    <w:pPr>
      <w:pStyle w:val="Header"/>
    </w:pPr>
    <w:r>
      <w:t>INF.30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AFF" w:rsidRDefault="008C7AFF" w:rsidP="009D2A5B">
    <w:pPr>
      <w:pStyle w:val="Header"/>
      <w:jc w:val="right"/>
      <w:rPr>
        <w:lang w:val="fr-CH"/>
      </w:rPr>
    </w:pPr>
    <w:r>
      <w:rPr>
        <w:lang w:val="fr-CH"/>
      </w:rPr>
      <w:t>INF.</w:t>
    </w:r>
    <w:r w:rsidR="00AB523B">
      <w:rPr>
        <w:lang w:val="fr-CH"/>
      </w:rPr>
      <w:t>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AD27EC"/>
    <w:multiLevelType w:val="hybridMultilevel"/>
    <w:tmpl w:val="78EE9DFE"/>
    <w:lvl w:ilvl="0" w:tplc="78B2B274">
      <w:start w:val="1"/>
      <w:numFmt w:val="decimal"/>
      <w:lvlText w:val="%1."/>
      <w:lvlJc w:val="left"/>
      <w:pPr>
        <w:ind w:left="1854" w:hanging="360"/>
      </w:pPr>
      <w:rPr>
        <w:rFonts w:hint="default"/>
      </w:rPr>
    </w:lvl>
    <w:lvl w:ilvl="1" w:tplc="041D0019" w:tentative="1">
      <w:start w:val="1"/>
      <w:numFmt w:val="lowerLetter"/>
      <w:lvlText w:val="%2."/>
      <w:lvlJc w:val="left"/>
      <w:pPr>
        <w:ind w:left="2574" w:hanging="360"/>
      </w:pPr>
    </w:lvl>
    <w:lvl w:ilvl="2" w:tplc="041D001B" w:tentative="1">
      <w:start w:val="1"/>
      <w:numFmt w:val="lowerRoman"/>
      <w:lvlText w:val="%3."/>
      <w:lvlJc w:val="right"/>
      <w:pPr>
        <w:ind w:left="3294" w:hanging="180"/>
      </w:pPr>
    </w:lvl>
    <w:lvl w:ilvl="3" w:tplc="041D000F" w:tentative="1">
      <w:start w:val="1"/>
      <w:numFmt w:val="decimal"/>
      <w:lvlText w:val="%4."/>
      <w:lvlJc w:val="left"/>
      <w:pPr>
        <w:ind w:left="4014" w:hanging="360"/>
      </w:pPr>
    </w:lvl>
    <w:lvl w:ilvl="4" w:tplc="041D0019" w:tentative="1">
      <w:start w:val="1"/>
      <w:numFmt w:val="lowerLetter"/>
      <w:lvlText w:val="%5."/>
      <w:lvlJc w:val="left"/>
      <w:pPr>
        <w:ind w:left="4734" w:hanging="360"/>
      </w:pPr>
    </w:lvl>
    <w:lvl w:ilvl="5" w:tplc="041D001B" w:tentative="1">
      <w:start w:val="1"/>
      <w:numFmt w:val="lowerRoman"/>
      <w:lvlText w:val="%6."/>
      <w:lvlJc w:val="right"/>
      <w:pPr>
        <w:ind w:left="5454" w:hanging="180"/>
      </w:pPr>
    </w:lvl>
    <w:lvl w:ilvl="6" w:tplc="041D000F" w:tentative="1">
      <w:start w:val="1"/>
      <w:numFmt w:val="decimal"/>
      <w:lvlText w:val="%7."/>
      <w:lvlJc w:val="left"/>
      <w:pPr>
        <w:ind w:left="6174" w:hanging="360"/>
      </w:pPr>
    </w:lvl>
    <w:lvl w:ilvl="7" w:tplc="041D0019" w:tentative="1">
      <w:start w:val="1"/>
      <w:numFmt w:val="lowerLetter"/>
      <w:lvlText w:val="%8."/>
      <w:lvlJc w:val="left"/>
      <w:pPr>
        <w:ind w:left="6894" w:hanging="360"/>
      </w:pPr>
    </w:lvl>
    <w:lvl w:ilvl="8" w:tplc="041D001B" w:tentative="1">
      <w:start w:val="1"/>
      <w:numFmt w:val="lowerRoman"/>
      <w:lvlText w:val="%9."/>
      <w:lvlJc w:val="right"/>
      <w:pPr>
        <w:ind w:left="7614" w:hanging="180"/>
      </w:pPr>
    </w:lvl>
  </w:abstractNum>
  <w:abstractNum w:abstractNumId="11"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28C5F87"/>
    <w:multiLevelType w:val="hybridMultilevel"/>
    <w:tmpl w:val="FBD84848"/>
    <w:lvl w:ilvl="0" w:tplc="78B2B274">
      <w:start w:val="1"/>
      <w:numFmt w:val="decimal"/>
      <w:lvlText w:val="%1."/>
      <w:lvlJc w:val="left"/>
      <w:pPr>
        <w:ind w:left="3474" w:hanging="360"/>
      </w:pPr>
      <w:rPr>
        <w:rFonts w:hint="default"/>
      </w:rPr>
    </w:lvl>
    <w:lvl w:ilvl="1" w:tplc="041D0019" w:tentative="1">
      <w:start w:val="1"/>
      <w:numFmt w:val="lowerLetter"/>
      <w:lvlText w:val="%2."/>
      <w:lvlJc w:val="left"/>
      <w:pPr>
        <w:ind w:left="3060" w:hanging="360"/>
      </w:pPr>
    </w:lvl>
    <w:lvl w:ilvl="2" w:tplc="041D001B">
      <w:start w:val="1"/>
      <w:numFmt w:val="lowerRoman"/>
      <w:lvlText w:val="%3."/>
      <w:lvlJc w:val="right"/>
      <w:pPr>
        <w:ind w:left="3780" w:hanging="180"/>
      </w:pPr>
    </w:lvl>
    <w:lvl w:ilvl="3" w:tplc="041D000F" w:tentative="1">
      <w:start w:val="1"/>
      <w:numFmt w:val="decimal"/>
      <w:lvlText w:val="%4."/>
      <w:lvlJc w:val="left"/>
      <w:pPr>
        <w:ind w:left="4500" w:hanging="360"/>
      </w:pPr>
    </w:lvl>
    <w:lvl w:ilvl="4" w:tplc="041D0019" w:tentative="1">
      <w:start w:val="1"/>
      <w:numFmt w:val="lowerLetter"/>
      <w:lvlText w:val="%5."/>
      <w:lvlJc w:val="left"/>
      <w:pPr>
        <w:ind w:left="5220" w:hanging="360"/>
      </w:pPr>
    </w:lvl>
    <w:lvl w:ilvl="5" w:tplc="041D001B" w:tentative="1">
      <w:start w:val="1"/>
      <w:numFmt w:val="lowerRoman"/>
      <w:lvlText w:val="%6."/>
      <w:lvlJc w:val="right"/>
      <w:pPr>
        <w:ind w:left="5940" w:hanging="180"/>
      </w:pPr>
    </w:lvl>
    <w:lvl w:ilvl="6" w:tplc="041D000F" w:tentative="1">
      <w:start w:val="1"/>
      <w:numFmt w:val="decimal"/>
      <w:lvlText w:val="%7."/>
      <w:lvlJc w:val="left"/>
      <w:pPr>
        <w:ind w:left="6660" w:hanging="360"/>
      </w:pPr>
    </w:lvl>
    <w:lvl w:ilvl="7" w:tplc="041D0019" w:tentative="1">
      <w:start w:val="1"/>
      <w:numFmt w:val="lowerLetter"/>
      <w:lvlText w:val="%8."/>
      <w:lvlJc w:val="left"/>
      <w:pPr>
        <w:ind w:left="7380" w:hanging="360"/>
      </w:pPr>
    </w:lvl>
    <w:lvl w:ilvl="8" w:tplc="041D001B" w:tentative="1">
      <w:start w:val="1"/>
      <w:numFmt w:val="lowerRoman"/>
      <w:lvlText w:val="%9."/>
      <w:lvlJc w:val="right"/>
      <w:pPr>
        <w:ind w:left="8100" w:hanging="180"/>
      </w:p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4150BCC"/>
    <w:multiLevelType w:val="hybridMultilevel"/>
    <w:tmpl w:val="B6264074"/>
    <w:lvl w:ilvl="0" w:tplc="CFA814B4">
      <w:start w:val="1"/>
      <w:numFmt w:val="decimal"/>
      <w:lvlText w:val="%1."/>
      <w:lvlJc w:val="left"/>
      <w:pPr>
        <w:ind w:left="1494" w:hanging="36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15" w15:restartNumberingAfterBreak="0">
    <w:nsid w:val="141A577E"/>
    <w:multiLevelType w:val="hybridMultilevel"/>
    <w:tmpl w:val="CE6205A0"/>
    <w:lvl w:ilvl="0" w:tplc="BE96F1AA">
      <w:start w:val="1"/>
      <w:numFmt w:val="decimal"/>
      <w:lvlText w:val="%1."/>
      <w:lvlJc w:val="left"/>
      <w:pPr>
        <w:ind w:left="1689" w:hanging="555"/>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15662E18"/>
    <w:multiLevelType w:val="hybridMultilevel"/>
    <w:tmpl w:val="25882728"/>
    <w:lvl w:ilvl="0" w:tplc="7B26FC8C">
      <w:numFmt w:val="bullet"/>
      <w:lvlText w:val="-"/>
      <w:lvlJc w:val="left"/>
      <w:pPr>
        <w:ind w:left="1854" w:hanging="360"/>
      </w:pPr>
      <w:rPr>
        <w:rFonts w:ascii="Arial" w:eastAsia="Times New Roman" w:hAnsi="Arial" w:cs="Aria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62B1293"/>
    <w:multiLevelType w:val="hybridMultilevel"/>
    <w:tmpl w:val="4B7E74B8"/>
    <w:lvl w:ilvl="0" w:tplc="BC6AD7F4">
      <w:start w:val="2"/>
      <w:numFmt w:val="lowerLetter"/>
      <w:lvlText w:val="%1)"/>
      <w:lvlJc w:val="left"/>
      <w:pPr>
        <w:ind w:left="1494" w:hanging="36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19"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BD0E8F"/>
    <w:multiLevelType w:val="hybridMultilevel"/>
    <w:tmpl w:val="5A2A965A"/>
    <w:lvl w:ilvl="0" w:tplc="041D000F">
      <w:start w:val="1"/>
      <w:numFmt w:val="decimal"/>
      <w:lvlText w:val="%1."/>
      <w:lvlJc w:val="left"/>
      <w:pPr>
        <w:ind w:left="1854" w:hanging="360"/>
      </w:pPr>
    </w:lvl>
    <w:lvl w:ilvl="1" w:tplc="041D0019" w:tentative="1">
      <w:start w:val="1"/>
      <w:numFmt w:val="lowerLetter"/>
      <w:lvlText w:val="%2."/>
      <w:lvlJc w:val="left"/>
      <w:pPr>
        <w:ind w:left="2574" w:hanging="360"/>
      </w:pPr>
    </w:lvl>
    <w:lvl w:ilvl="2" w:tplc="041D001B" w:tentative="1">
      <w:start w:val="1"/>
      <w:numFmt w:val="lowerRoman"/>
      <w:lvlText w:val="%3."/>
      <w:lvlJc w:val="right"/>
      <w:pPr>
        <w:ind w:left="3294" w:hanging="180"/>
      </w:pPr>
    </w:lvl>
    <w:lvl w:ilvl="3" w:tplc="041D000F" w:tentative="1">
      <w:start w:val="1"/>
      <w:numFmt w:val="decimal"/>
      <w:lvlText w:val="%4."/>
      <w:lvlJc w:val="left"/>
      <w:pPr>
        <w:ind w:left="4014" w:hanging="360"/>
      </w:pPr>
    </w:lvl>
    <w:lvl w:ilvl="4" w:tplc="041D0019" w:tentative="1">
      <w:start w:val="1"/>
      <w:numFmt w:val="lowerLetter"/>
      <w:lvlText w:val="%5."/>
      <w:lvlJc w:val="left"/>
      <w:pPr>
        <w:ind w:left="4734" w:hanging="360"/>
      </w:pPr>
    </w:lvl>
    <w:lvl w:ilvl="5" w:tplc="041D001B" w:tentative="1">
      <w:start w:val="1"/>
      <w:numFmt w:val="lowerRoman"/>
      <w:lvlText w:val="%6."/>
      <w:lvlJc w:val="right"/>
      <w:pPr>
        <w:ind w:left="5454" w:hanging="180"/>
      </w:pPr>
    </w:lvl>
    <w:lvl w:ilvl="6" w:tplc="041D000F" w:tentative="1">
      <w:start w:val="1"/>
      <w:numFmt w:val="decimal"/>
      <w:lvlText w:val="%7."/>
      <w:lvlJc w:val="left"/>
      <w:pPr>
        <w:ind w:left="6174" w:hanging="360"/>
      </w:pPr>
    </w:lvl>
    <w:lvl w:ilvl="7" w:tplc="041D0019" w:tentative="1">
      <w:start w:val="1"/>
      <w:numFmt w:val="lowerLetter"/>
      <w:lvlText w:val="%8."/>
      <w:lvlJc w:val="left"/>
      <w:pPr>
        <w:ind w:left="6894" w:hanging="360"/>
      </w:pPr>
    </w:lvl>
    <w:lvl w:ilvl="8" w:tplc="041D001B" w:tentative="1">
      <w:start w:val="1"/>
      <w:numFmt w:val="lowerRoman"/>
      <w:lvlText w:val="%9."/>
      <w:lvlJc w:val="right"/>
      <w:pPr>
        <w:ind w:left="7614" w:hanging="180"/>
      </w:pPr>
    </w:lvl>
  </w:abstractNum>
  <w:abstractNum w:abstractNumId="21"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866CA5"/>
    <w:multiLevelType w:val="hybridMultilevel"/>
    <w:tmpl w:val="F13E8478"/>
    <w:lvl w:ilvl="0" w:tplc="CFA814B4">
      <w:start w:val="1"/>
      <w:numFmt w:val="decimal"/>
      <w:lvlText w:val="%1."/>
      <w:lvlJc w:val="left"/>
      <w:pPr>
        <w:ind w:left="2826" w:hanging="360"/>
      </w:pPr>
      <w:rPr>
        <w:rFonts w:hint="default"/>
      </w:rPr>
    </w:lvl>
    <w:lvl w:ilvl="1" w:tplc="041D0019" w:tentative="1">
      <w:start w:val="1"/>
      <w:numFmt w:val="lowerLetter"/>
      <w:lvlText w:val="%2."/>
      <w:lvlJc w:val="left"/>
      <w:pPr>
        <w:ind w:left="3546" w:hanging="360"/>
      </w:pPr>
    </w:lvl>
    <w:lvl w:ilvl="2" w:tplc="041D001B" w:tentative="1">
      <w:start w:val="1"/>
      <w:numFmt w:val="lowerRoman"/>
      <w:lvlText w:val="%3."/>
      <w:lvlJc w:val="right"/>
      <w:pPr>
        <w:ind w:left="4266" w:hanging="180"/>
      </w:pPr>
    </w:lvl>
    <w:lvl w:ilvl="3" w:tplc="041D000F" w:tentative="1">
      <w:start w:val="1"/>
      <w:numFmt w:val="decimal"/>
      <w:lvlText w:val="%4."/>
      <w:lvlJc w:val="left"/>
      <w:pPr>
        <w:ind w:left="4986" w:hanging="360"/>
      </w:pPr>
    </w:lvl>
    <w:lvl w:ilvl="4" w:tplc="041D0019" w:tentative="1">
      <w:start w:val="1"/>
      <w:numFmt w:val="lowerLetter"/>
      <w:lvlText w:val="%5."/>
      <w:lvlJc w:val="left"/>
      <w:pPr>
        <w:ind w:left="5706" w:hanging="360"/>
      </w:pPr>
    </w:lvl>
    <w:lvl w:ilvl="5" w:tplc="041D001B" w:tentative="1">
      <w:start w:val="1"/>
      <w:numFmt w:val="lowerRoman"/>
      <w:lvlText w:val="%6."/>
      <w:lvlJc w:val="right"/>
      <w:pPr>
        <w:ind w:left="6426" w:hanging="180"/>
      </w:pPr>
    </w:lvl>
    <w:lvl w:ilvl="6" w:tplc="041D000F" w:tentative="1">
      <w:start w:val="1"/>
      <w:numFmt w:val="decimal"/>
      <w:lvlText w:val="%7."/>
      <w:lvlJc w:val="left"/>
      <w:pPr>
        <w:ind w:left="7146" w:hanging="360"/>
      </w:pPr>
    </w:lvl>
    <w:lvl w:ilvl="7" w:tplc="041D0019" w:tentative="1">
      <w:start w:val="1"/>
      <w:numFmt w:val="lowerLetter"/>
      <w:lvlText w:val="%8."/>
      <w:lvlJc w:val="left"/>
      <w:pPr>
        <w:ind w:left="7866" w:hanging="360"/>
      </w:pPr>
    </w:lvl>
    <w:lvl w:ilvl="8" w:tplc="041D001B" w:tentative="1">
      <w:start w:val="1"/>
      <w:numFmt w:val="lowerRoman"/>
      <w:lvlText w:val="%9."/>
      <w:lvlJc w:val="right"/>
      <w:pPr>
        <w:ind w:left="8586" w:hanging="180"/>
      </w:pPr>
    </w:lvl>
  </w:abstractNum>
  <w:abstractNum w:abstractNumId="23" w15:restartNumberingAfterBreak="0">
    <w:nsid w:val="348F221C"/>
    <w:multiLevelType w:val="hybridMultilevel"/>
    <w:tmpl w:val="7FE60012"/>
    <w:lvl w:ilvl="0" w:tplc="78B2B274">
      <w:start w:val="1"/>
      <w:numFmt w:val="decimal"/>
      <w:lvlText w:val="%1."/>
      <w:lvlJc w:val="left"/>
      <w:pPr>
        <w:ind w:left="2988" w:hanging="360"/>
      </w:pPr>
      <w:rPr>
        <w:rFonts w:hint="default"/>
      </w:rPr>
    </w:lvl>
    <w:lvl w:ilvl="1" w:tplc="041D0019" w:tentative="1">
      <w:start w:val="1"/>
      <w:numFmt w:val="lowerLetter"/>
      <w:lvlText w:val="%2."/>
      <w:lvlJc w:val="left"/>
      <w:pPr>
        <w:ind w:left="2574" w:hanging="360"/>
      </w:pPr>
    </w:lvl>
    <w:lvl w:ilvl="2" w:tplc="041D001B">
      <w:start w:val="1"/>
      <w:numFmt w:val="lowerRoman"/>
      <w:lvlText w:val="%3."/>
      <w:lvlJc w:val="right"/>
      <w:pPr>
        <w:ind w:left="3294" w:hanging="180"/>
      </w:pPr>
    </w:lvl>
    <w:lvl w:ilvl="3" w:tplc="041D000F" w:tentative="1">
      <w:start w:val="1"/>
      <w:numFmt w:val="decimal"/>
      <w:lvlText w:val="%4."/>
      <w:lvlJc w:val="left"/>
      <w:pPr>
        <w:ind w:left="4014" w:hanging="360"/>
      </w:pPr>
    </w:lvl>
    <w:lvl w:ilvl="4" w:tplc="041D0019" w:tentative="1">
      <w:start w:val="1"/>
      <w:numFmt w:val="lowerLetter"/>
      <w:lvlText w:val="%5."/>
      <w:lvlJc w:val="left"/>
      <w:pPr>
        <w:ind w:left="4734" w:hanging="360"/>
      </w:pPr>
    </w:lvl>
    <w:lvl w:ilvl="5" w:tplc="041D001B" w:tentative="1">
      <w:start w:val="1"/>
      <w:numFmt w:val="lowerRoman"/>
      <w:lvlText w:val="%6."/>
      <w:lvlJc w:val="right"/>
      <w:pPr>
        <w:ind w:left="5454" w:hanging="180"/>
      </w:pPr>
    </w:lvl>
    <w:lvl w:ilvl="6" w:tplc="041D000F" w:tentative="1">
      <w:start w:val="1"/>
      <w:numFmt w:val="decimal"/>
      <w:lvlText w:val="%7."/>
      <w:lvlJc w:val="left"/>
      <w:pPr>
        <w:ind w:left="6174" w:hanging="360"/>
      </w:pPr>
    </w:lvl>
    <w:lvl w:ilvl="7" w:tplc="041D0019" w:tentative="1">
      <w:start w:val="1"/>
      <w:numFmt w:val="lowerLetter"/>
      <w:lvlText w:val="%8."/>
      <w:lvlJc w:val="left"/>
      <w:pPr>
        <w:ind w:left="6894" w:hanging="360"/>
      </w:pPr>
    </w:lvl>
    <w:lvl w:ilvl="8" w:tplc="041D001B" w:tentative="1">
      <w:start w:val="1"/>
      <w:numFmt w:val="lowerRoman"/>
      <w:lvlText w:val="%9."/>
      <w:lvlJc w:val="right"/>
      <w:pPr>
        <w:ind w:left="7614" w:hanging="180"/>
      </w:pPr>
    </w:lvl>
  </w:abstractNum>
  <w:abstractNum w:abstractNumId="24" w15:restartNumberingAfterBreak="0">
    <w:nsid w:val="37903F25"/>
    <w:multiLevelType w:val="hybridMultilevel"/>
    <w:tmpl w:val="4C8E46C6"/>
    <w:lvl w:ilvl="0" w:tplc="D890BF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57C69A9"/>
    <w:multiLevelType w:val="hybridMultilevel"/>
    <w:tmpl w:val="6F9E5C32"/>
    <w:lvl w:ilvl="0" w:tplc="0E5C5F32">
      <w:start w:val="1"/>
      <w:numFmt w:val="bullet"/>
      <w:lvlText w:val="•"/>
      <w:lvlJc w:val="left"/>
      <w:pPr>
        <w:ind w:left="2421" w:hanging="360"/>
      </w:pPr>
      <w:rPr>
        <w:rFonts w:ascii="Times New Roman" w:hAnsi="Times New Roman"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6" w15:restartNumberingAfterBreak="0">
    <w:nsid w:val="47E85496"/>
    <w:multiLevelType w:val="hybridMultilevel"/>
    <w:tmpl w:val="C04245A0"/>
    <w:lvl w:ilvl="0" w:tplc="04070001">
      <w:start w:val="1"/>
      <w:numFmt w:val="bullet"/>
      <w:lvlText w:val=""/>
      <w:lvlJc w:val="left"/>
      <w:pPr>
        <w:ind w:left="1494" w:hanging="360"/>
      </w:pPr>
      <w:rPr>
        <w:rFonts w:ascii="Symbol" w:hAnsi="Symbol" w:hint="default"/>
      </w:rPr>
    </w:lvl>
    <w:lvl w:ilvl="1" w:tplc="04070003">
      <w:start w:val="1"/>
      <w:numFmt w:val="bullet"/>
      <w:lvlText w:val="o"/>
      <w:lvlJc w:val="left"/>
      <w:pPr>
        <w:ind w:left="2214" w:hanging="360"/>
      </w:pPr>
      <w:rPr>
        <w:rFonts w:ascii="Courier New" w:hAnsi="Courier New" w:cs="Courier New" w:hint="default"/>
      </w:rPr>
    </w:lvl>
    <w:lvl w:ilvl="2" w:tplc="04070005">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27" w15:restartNumberingAfterBreak="0">
    <w:nsid w:val="48011DD7"/>
    <w:multiLevelType w:val="multilevel"/>
    <w:tmpl w:val="0409001D"/>
    <w:numStyleLink w:val="1ai"/>
  </w:abstractNum>
  <w:abstractNum w:abstractNumId="28" w15:restartNumberingAfterBreak="0">
    <w:nsid w:val="4D7F4507"/>
    <w:multiLevelType w:val="hybridMultilevel"/>
    <w:tmpl w:val="D55CBCD6"/>
    <w:lvl w:ilvl="0" w:tplc="041D0001">
      <w:start w:val="1"/>
      <w:numFmt w:val="bullet"/>
      <w:lvlText w:val=""/>
      <w:lvlJc w:val="left"/>
      <w:pPr>
        <w:ind w:left="1854" w:hanging="360"/>
      </w:pPr>
      <w:rPr>
        <w:rFonts w:ascii="Symbol" w:hAnsi="Symbol"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2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61511FF1"/>
    <w:multiLevelType w:val="hybridMultilevel"/>
    <w:tmpl w:val="0A62BBF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1"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205E84"/>
    <w:multiLevelType w:val="hybridMultilevel"/>
    <w:tmpl w:val="A844B41C"/>
    <w:lvl w:ilvl="0" w:tplc="041D000F">
      <w:start w:val="1"/>
      <w:numFmt w:val="decimal"/>
      <w:lvlText w:val="%1."/>
      <w:lvlJc w:val="left"/>
      <w:pPr>
        <w:ind w:left="2771" w:hanging="360"/>
      </w:pPr>
    </w:lvl>
    <w:lvl w:ilvl="1" w:tplc="041D0019" w:tentative="1">
      <w:start w:val="1"/>
      <w:numFmt w:val="lowerLetter"/>
      <w:lvlText w:val="%2."/>
      <w:lvlJc w:val="left"/>
      <w:pPr>
        <w:ind w:left="3491" w:hanging="360"/>
      </w:pPr>
    </w:lvl>
    <w:lvl w:ilvl="2" w:tplc="041D001B" w:tentative="1">
      <w:start w:val="1"/>
      <w:numFmt w:val="lowerRoman"/>
      <w:lvlText w:val="%3."/>
      <w:lvlJc w:val="right"/>
      <w:pPr>
        <w:ind w:left="4211" w:hanging="180"/>
      </w:pPr>
    </w:lvl>
    <w:lvl w:ilvl="3" w:tplc="041D000F" w:tentative="1">
      <w:start w:val="1"/>
      <w:numFmt w:val="decimal"/>
      <w:lvlText w:val="%4."/>
      <w:lvlJc w:val="left"/>
      <w:pPr>
        <w:ind w:left="4931" w:hanging="360"/>
      </w:pPr>
    </w:lvl>
    <w:lvl w:ilvl="4" w:tplc="041D0019" w:tentative="1">
      <w:start w:val="1"/>
      <w:numFmt w:val="lowerLetter"/>
      <w:lvlText w:val="%5."/>
      <w:lvlJc w:val="left"/>
      <w:pPr>
        <w:ind w:left="5651" w:hanging="360"/>
      </w:pPr>
    </w:lvl>
    <w:lvl w:ilvl="5" w:tplc="041D001B" w:tentative="1">
      <w:start w:val="1"/>
      <w:numFmt w:val="lowerRoman"/>
      <w:lvlText w:val="%6."/>
      <w:lvlJc w:val="right"/>
      <w:pPr>
        <w:ind w:left="6371" w:hanging="180"/>
      </w:pPr>
    </w:lvl>
    <w:lvl w:ilvl="6" w:tplc="041D000F" w:tentative="1">
      <w:start w:val="1"/>
      <w:numFmt w:val="decimal"/>
      <w:lvlText w:val="%7."/>
      <w:lvlJc w:val="left"/>
      <w:pPr>
        <w:ind w:left="7091" w:hanging="360"/>
      </w:pPr>
    </w:lvl>
    <w:lvl w:ilvl="7" w:tplc="041D0019" w:tentative="1">
      <w:start w:val="1"/>
      <w:numFmt w:val="lowerLetter"/>
      <w:lvlText w:val="%8."/>
      <w:lvlJc w:val="left"/>
      <w:pPr>
        <w:ind w:left="7811" w:hanging="360"/>
      </w:pPr>
    </w:lvl>
    <w:lvl w:ilvl="8" w:tplc="041D001B" w:tentative="1">
      <w:start w:val="1"/>
      <w:numFmt w:val="lowerRoman"/>
      <w:lvlText w:val="%9."/>
      <w:lvlJc w:val="right"/>
      <w:pPr>
        <w:ind w:left="8531" w:hanging="180"/>
      </w:pPr>
    </w:lvl>
  </w:abstractNum>
  <w:abstractNum w:abstractNumId="33" w15:restartNumberingAfterBreak="0">
    <w:nsid w:val="78B33ECA"/>
    <w:multiLevelType w:val="hybridMultilevel"/>
    <w:tmpl w:val="FDF2BA08"/>
    <w:lvl w:ilvl="0" w:tplc="041D0001">
      <w:start w:val="1"/>
      <w:numFmt w:val="bullet"/>
      <w:lvlText w:val=""/>
      <w:lvlJc w:val="left"/>
      <w:pPr>
        <w:ind w:left="1854" w:hanging="360"/>
      </w:pPr>
      <w:rPr>
        <w:rFonts w:ascii="Symbol" w:hAnsi="Symbol"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34" w15:restartNumberingAfterBreak="0">
    <w:nsid w:val="78BC0620"/>
    <w:multiLevelType w:val="hybridMultilevel"/>
    <w:tmpl w:val="FCC49FA0"/>
    <w:lvl w:ilvl="0" w:tplc="829294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9"/>
  </w:num>
  <w:num w:numId="13">
    <w:abstractNumId w:val="11"/>
  </w:num>
  <w:num w:numId="14">
    <w:abstractNumId w:val="29"/>
  </w:num>
  <w:num w:numId="15">
    <w:abstractNumId w:val="17"/>
  </w:num>
  <w:num w:numId="16">
    <w:abstractNumId w:val="13"/>
  </w:num>
  <w:num w:numId="17">
    <w:abstractNumId w:val="34"/>
  </w:num>
  <w:num w:numId="18">
    <w:abstractNumId w:val="31"/>
  </w:num>
  <w:num w:numId="19">
    <w:abstractNumId w:val="26"/>
  </w:num>
  <w:num w:numId="20">
    <w:abstractNumId w:val="28"/>
  </w:num>
  <w:num w:numId="21">
    <w:abstractNumId w:val="32"/>
  </w:num>
  <w:num w:numId="22">
    <w:abstractNumId w:val="27"/>
  </w:num>
  <w:num w:numId="23">
    <w:abstractNumId w:val="14"/>
  </w:num>
  <w:num w:numId="24">
    <w:abstractNumId w:val="10"/>
  </w:num>
  <w:num w:numId="25">
    <w:abstractNumId w:val="23"/>
  </w:num>
  <w:num w:numId="26">
    <w:abstractNumId w:val="12"/>
  </w:num>
  <w:num w:numId="27">
    <w:abstractNumId w:val="22"/>
  </w:num>
  <w:num w:numId="28">
    <w:abstractNumId w:val="18"/>
  </w:num>
  <w:num w:numId="29">
    <w:abstractNumId w:val="20"/>
  </w:num>
  <w:num w:numId="30">
    <w:abstractNumId w:val="33"/>
  </w:num>
  <w:num w:numId="31">
    <w:abstractNumId w:val="16"/>
  </w:num>
  <w:num w:numId="32">
    <w:abstractNumId w:val="25"/>
  </w:num>
  <w:num w:numId="33">
    <w:abstractNumId w:val="15"/>
  </w:num>
  <w:num w:numId="34">
    <w:abstractNumId w:val="30"/>
  </w:num>
  <w:num w:numId="35">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0"/>
  <w:activeWritingStyle w:appName="MSWord" w:lang="de-DE" w:vendorID="64" w:dllVersion="6" w:nlCheck="1" w:checkStyle="1"/>
  <w:activeWritingStyle w:appName="MSWord" w:lang="de-CH"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de-AT" w:vendorID="64" w:dllVersion="6"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81"/>
  </w:hdrShapeDefaults>
  <w:footnotePr>
    <w:numStart w:val="2"/>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D51"/>
    <w:rsid w:val="00000D25"/>
    <w:rsid w:val="000020A2"/>
    <w:rsid w:val="000035B8"/>
    <w:rsid w:val="0000525F"/>
    <w:rsid w:val="00013E97"/>
    <w:rsid w:val="000149A1"/>
    <w:rsid w:val="00020AD1"/>
    <w:rsid w:val="000218B5"/>
    <w:rsid w:val="000260EE"/>
    <w:rsid w:val="000375AD"/>
    <w:rsid w:val="00037F90"/>
    <w:rsid w:val="00042C00"/>
    <w:rsid w:val="00046B0A"/>
    <w:rsid w:val="00046B1F"/>
    <w:rsid w:val="000470B0"/>
    <w:rsid w:val="00047EB7"/>
    <w:rsid w:val="00050F6B"/>
    <w:rsid w:val="00052175"/>
    <w:rsid w:val="00057E97"/>
    <w:rsid w:val="00061528"/>
    <w:rsid w:val="0006361C"/>
    <w:rsid w:val="00067232"/>
    <w:rsid w:val="00072C8C"/>
    <w:rsid w:val="000733B5"/>
    <w:rsid w:val="00081815"/>
    <w:rsid w:val="0008342E"/>
    <w:rsid w:val="00085917"/>
    <w:rsid w:val="00091557"/>
    <w:rsid w:val="000931C0"/>
    <w:rsid w:val="00093840"/>
    <w:rsid w:val="00096262"/>
    <w:rsid w:val="0009761A"/>
    <w:rsid w:val="00097B02"/>
    <w:rsid w:val="000A0FD0"/>
    <w:rsid w:val="000A1785"/>
    <w:rsid w:val="000A3752"/>
    <w:rsid w:val="000A4D33"/>
    <w:rsid w:val="000A58D8"/>
    <w:rsid w:val="000A5CF8"/>
    <w:rsid w:val="000A77BB"/>
    <w:rsid w:val="000B0595"/>
    <w:rsid w:val="000B175B"/>
    <w:rsid w:val="000B1D13"/>
    <w:rsid w:val="000B363D"/>
    <w:rsid w:val="000B3A0F"/>
    <w:rsid w:val="000B4EF7"/>
    <w:rsid w:val="000B633F"/>
    <w:rsid w:val="000B7AA1"/>
    <w:rsid w:val="000B7C4D"/>
    <w:rsid w:val="000B7EDC"/>
    <w:rsid w:val="000C125A"/>
    <w:rsid w:val="000C2C03"/>
    <w:rsid w:val="000C2D2E"/>
    <w:rsid w:val="000C2DEF"/>
    <w:rsid w:val="000C2F83"/>
    <w:rsid w:val="000C3305"/>
    <w:rsid w:val="000C3328"/>
    <w:rsid w:val="000C4D51"/>
    <w:rsid w:val="000C7F79"/>
    <w:rsid w:val="000D080C"/>
    <w:rsid w:val="000D1E89"/>
    <w:rsid w:val="000D3D97"/>
    <w:rsid w:val="000D7449"/>
    <w:rsid w:val="000D7C1A"/>
    <w:rsid w:val="000D7EE5"/>
    <w:rsid w:val="000E0415"/>
    <w:rsid w:val="000E300C"/>
    <w:rsid w:val="000E5C70"/>
    <w:rsid w:val="000E6237"/>
    <w:rsid w:val="000F0284"/>
    <w:rsid w:val="00101DB8"/>
    <w:rsid w:val="00102AA6"/>
    <w:rsid w:val="00103CC1"/>
    <w:rsid w:val="00104CDA"/>
    <w:rsid w:val="001103AA"/>
    <w:rsid w:val="0011119B"/>
    <w:rsid w:val="00115E1A"/>
    <w:rsid w:val="0011666B"/>
    <w:rsid w:val="0012118B"/>
    <w:rsid w:val="001211F5"/>
    <w:rsid w:val="001362A8"/>
    <w:rsid w:val="00141383"/>
    <w:rsid w:val="00142AB2"/>
    <w:rsid w:val="00154657"/>
    <w:rsid w:val="00155068"/>
    <w:rsid w:val="00162D38"/>
    <w:rsid w:val="001644E3"/>
    <w:rsid w:val="00165F3A"/>
    <w:rsid w:val="00172E32"/>
    <w:rsid w:val="00177CE8"/>
    <w:rsid w:val="0018210E"/>
    <w:rsid w:val="00186D7B"/>
    <w:rsid w:val="00193CA7"/>
    <w:rsid w:val="0019451E"/>
    <w:rsid w:val="0019698C"/>
    <w:rsid w:val="001A1DCF"/>
    <w:rsid w:val="001A6E55"/>
    <w:rsid w:val="001B08A2"/>
    <w:rsid w:val="001B13A5"/>
    <w:rsid w:val="001B4B04"/>
    <w:rsid w:val="001B5C50"/>
    <w:rsid w:val="001C03F9"/>
    <w:rsid w:val="001C0917"/>
    <w:rsid w:val="001C46D0"/>
    <w:rsid w:val="001C5A58"/>
    <w:rsid w:val="001C6027"/>
    <w:rsid w:val="001C6663"/>
    <w:rsid w:val="001C7895"/>
    <w:rsid w:val="001D0C8C"/>
    <w:rsid w:val="001D1419"/>
    <w:rsid w:val="001D26DF"/>
    <w:rsid w:val="001D3A03"/>
    <w:rsid w:val="001D3FEB"/>
    <w:rsid w:val="001E0B9E"/>
    <w:rsid w:val="001E29E7"/>
    <w:rsid w:val="001E36B4"/>
    <w:rsid w:val="001E5415"/>
    <w:rsid w:val="001E7451"/>
    <w:rsid w:val="001E7B67"/>
    <w:rsid w:val="001F1377"/>
    <w:rsid w:val="001F679D"/>
    <w:rsid w:val="001F7435"/>
    <w:rsid w:val="002027A3"/>
    <w:rsid w:val="00202DA8"/>
    <w:rsid w:val="0021157B"/>
    <w:rsid w:val="00211E0B"/>
    <w:rsid w:val="002221AA"/>
    <w:rsid w:val="0022321E"/>
    <w:rsid w:val="00225730"/>
    <w:rsid w:val="00225CB3"/>
    <w:rsid w:val="00233955"/>
    <w:rsid w:val="0023539C"/>
    <w:rsid w:val="00236A96"/>
    <w:rsid w:val="0023771B"/>
    <w:rsid w:val="0024023A"/>
    <w:rsid w:val="00242FB0"/>
    <w:rsid w:val="00243217"/>
    <w:rsid w:val="00246079"/>
    <w:rsid w:val="00246DAC"/>
    <w:rsid w:val="00247BDC"/>
    <w:rsid w:val="00250A58"/>
    <w:rsid w:val="00252290"/>
    <w:rsid w:val="00252EEE"/>
    <w:rsid w:val="00260B92"/>
    <w:rsid w:val="00267F5F"/>
    <w:rsid w:val="00280A1D"/>
    <w:rsid w:val="002820E6"/>
    <w:rsid w:val="002834C5"/>
    <w:rsid w:val="00284DBC"/>
    <w:rsid w:val="00286343"/>
    <w:rsid w:val="00286B4D"/>
    <w:rsid w:val="00287DCC"/>
    <w:rsid w:val="00291E09"/>
    <w:rsid w:val="00292ACF"/>
    <w:rsid w:val="002A0CC5"/>
    <w:rsid w:val="002A1910"/>
    <w:rsid w:val="002A3C85"/>
    <w:rsid w:val="002A603B"/>
    <w:rsid w:val="002A6EFA"/>
    <w:rsid w:val="002B2D65"/>
    <w:rsid w:val="002B46EB"/>
    <w:rsid w:val="002B65D8"/>
    <w:rsid w:val="002B742C"/>
    <w:rsid w:val="002C63B0"/>
    <w:rsid w:val="002D0CE4"/>
    <w:rsid w:val="002D13E9"/>
    <w:rsid w:val="002D27F5"/>
    <w:rsid w:val="002D2E24"/>
    <w:rsid w:val="002D4643"/>
    <w:rsid w:val="002D4B6C"/>
    <w:rsid w:val="002D5825"/>
    <w:rsid w:val="002E20D5"/>
    <w:rsid w:val="002F175C"/>
    <w:rsid w:val="002F3C64"/>
    <w:rsid w:val="002F4981"/>
    <w:rsid w:val="00301D76"/>
    <w:rsid w:val="00302E18"/>
    <w:rsid w:val="0030606F"/>
    <w:rsid w:val="00312976"/>
    <w:rsid w:val="0031543A"/>
    <w:rsid w:val="003173A5"/>
    <w:rsid w:val="003229D8"/>
    <w:rsid w:val="00324058"/>
    <w:rsid w:val="003255CD"/>
    <w:rsid w:val="0033230E"/>
    <w:rsid w:val="003358CF"/>
    <w:rsid w:val="00335D02"/>
    <w:rsid w:val="0034605E"/>
    <w:rsid w:val="00350BA2"/>
    <w:rsid w:val="00352709"/>
    <w:rsid w:val="00353039"/>
    <w:rsid w:val="00354ED9"/>
    <w:rsid w:val="0035741C"/>
    <w:rsid w:val="0036340C"/>
    <w:rsid w:val="003706D8"/>
    <w:rsid w:val="0037107E"/>
    <w:rsid w:val="00371178"/>
    <w:rsid w:val="003754FC"/>
    <w:rsid w:val="00375B70"/>
    <w:rsid w:val="00381A13"/>
    <w:rsid w:val="0038452A"/>
    <w:rsid w:val="003915D3"/>
    <w:rsid w:val="00393A3C"/>
    <w:rsid w:val="00395E1E"/>
    <w:rsid w:val="00396DCE"/>
    <w:rsid w:val="003979DC"/>
    <w:rsid w:val="003A10AC"/>
    <w:rsid w:val="003A30E1"/>
    <w:rsid w:val="003A6498"/>
    <w:rsid w:val="003A6728"/>
    <w:rsid w:val="003A6810"/>
    <w:rsid w:val="003A7C69"/>
    <w:rsid w:val="003B36D1"/>
    <w:rsid w:val="003B54D1"/>
    <w:rsid w:val="003B7418"/>
    <w:rsid w:val="003C2CC4"/>
    <w:rsid w:val="003C4E57"/>
    <w:rsid w:val="003C74DD"/>
    <w:rsid w:val="003D30B0"/>
    <w:rsid w:val="003D3380"/>
    <w:rsid w:val="003D4B23"/>
    <w:rsid w:val="003E0B6D"/>
    <w:rsid w:val="003E47CA"/>
    <w:rsid w:val="003E7421"/>
    <w:rsid w:val="003F21BB"/>
    <w:rsid w:val="003F310D"/>
    <w:rsid w:val="003F7107"/>
    <w:rsid w:val="003F710A"/>
    <w:rsid w:val="004002CE"/>
    <w:rsid w:val="00406D5C"/>
    <w:rsid w:val="00410C89"/>
    <w:rsid w:val="0041397F"/>
    <w:rsid w:val="0041539A"/>
    <w:rsid w:val="00422E03"/>
    <w:rsid w:val="00423307"/>
    <w:rsid w:val="00426B9B"/>
    <w:rsid w:val="004306DC"/>
    <w:rsid w:val="004325CB"/>
    <w:rsid w:val="004356D2"/>
    <w:rsid w:val="004428E6"/>
    <w:rsid w:val="00442A83"/>
    <w:rsid w:val="0044530F"/>
    <w:rsid w:val="00446D76"/>
    <w:rsid w:val="0045495B"/>
    <w:rsid w:val="00454D98"/>
    <w:rsid w:val="00456890"/>
    <w:rsid w:val="0045737E"/>
    <w:rsid w:val="00463984"/>
    <w:rsid w:val="00463B7B"/>
    <w:rsid w:val="004643FE"/>
    <w:rsid w:val="00470310"/>
    <w:rsid w:val="00471330"/>
    <w:rsid w:val="004757DA"/>
    <w:rsid w:val="004760B7"/>
    <w:rsid w:val="0048014F"/>
    <w:rsid w:val="00482DA4"/>
    <w:rsid w:val="0048397A"/>
    <w:rsid w:val="00485C67"/>
    <w:rsid w:val="004936A8"/>
    <w:rsid w:val="004A12F2"/>
    <w:rsid w:val="004A2986"/>
    <w:rsid w:val="004C2461"/>
    <w:rsid w:val="004C63B1"/>
    <w:rsid w:val="004C648F"/>
    <w:rsid w:val="004C72BF"/>
    <w:rsid w:val="004C7462"/>
    <w:rsid w:val="004C7936"/>
    <w:rsid w:val="004D4E04"/>
    <w:rsid w:val="004D5426"/>
    <w:rsid w:val="004D71EB"/>
    <w:rsid w:val="004E0C05"/>
    <w:rsid w:val="004E1EFB"/>
    <w:rsid w:val="004E55C6"/>
    <w:rsid w:val="004E77B2"/>
    <w:rsid w:val="004F0CCB"/>
    <w:rsid w:val="004F23C3"/>
    <w:rsid w:val="004F5695"/>
    <w:rsid w:val="004F5EC0"/>
    <w:rsid w:val="004F62F8"/>
    <w:rsid w:val="004F68B6"/>
    <w:rsid w:val="004F7A1B"/>
    <w:rsid w:val="00503DEB"/>
    <w:rsid w:val="00504B2D"/>
    <w:rsid w:val="00507CE8"/>
    <w:rsid w:val="0052013D"/>
    <w:rsid w:val="0052136D"/>
    <w:rsid w:val="00522B58"/>
    <w:rsid w:val="0052389F"/>
    <w:rsid w:val="00523CD7"/>
    <w:rsid w:val="005241AE"/>
    <w:rsid w:val="00526FF7"/>
    <w:rsid w:val="0052775E"/>
    <w:rsid w:val="00533685"/>
    <w:rsid w:val="005420F2"/>
    <w:rsid w:val="00545721"/>
    <w:rsid w:val="00546993"/>
    <w:rsid w:val="005523E5"/>
    <w:rsid w:val="00553B62"/>
    <w:rsid w:val="005628B6"/>
    <w:rsid w:val="00563C84"/>
    <w:rsid w:val="005651EF"/>
    <w:rsid w:val="005659C3"/>
    <w:rsid w:val="005659E2"/>
    <w:rsid w:val="00566B2D"/>
    <w:rsid w:val="00570148"/>
    <w:rsid w:val="0057049C"/>
    <w:rsid w:val="005731FC"/>
    <w:rsid w:val="00584FAE"/>
    <w:rsid w:val="00586DB8"/>
    <w:rsid w:val="00590F4A"/>
    <w:rsid w:val="005933E3"/>
    <w:rsid w:val="0059363D"/>
    <w:rsid w:val="00596193"/>
    <w:rsid w:val="005A1668"/>
    <w:rsid w:val="005A280E"/>
    <w:rsid w:val="005A6437"/>
    <w:rsid w:val="005B0A84"/>
    <w:rsid w:val="005B1AF0"/>
    <w:rsid w:val="005B3DB3"/>
    <w:rsid w:val="005B4E13"/>
    <w:rsid w:val="005B4EEB"/>
    <w:rsid w:val="005C5CC2"/>
    <w:rsid w:val="005C6570"/>
    <w:rsid w:val="005D01AA"/>
    <w:rsid w:val="005D0201"/>
    <w:rsid w:val="005D2A29"/>
    <w:rsid w:val="005E6A77"/>
    <w:rsid w:val="005F4EF7"/>
    <w:rsid w:val="005F7B75"/>
    <w:rsid w:val="006001EE"/>
    <w:rsid w:val="00600FA9"/>
    <w:rsid w:val="00603A22"/>
    <w:rsid w:val="00605042"/>
    <w:rsid w:val="00611FC4"/>
    <w:rsid w:val="006162FB"/>
    <w:rsid w:val="006167E8"/>
    <w:rsid w:val="00616EEB"/>
    <w:rsid w:val="006176FB"/>
    <w:rsid w:val="0062213C"/>
    <w:rsid w:val="006306B0"/>
    <w:rsid w:val="006309EF"/>
    <w:rsid w:val="00633CDB"/>
    <w:rsid w:val="00640636"/>
    <w:rsid w:val="00640B26"/>
    <w:rsid w:val="00642081"/>
    <w:rsid w:val="00644CD3"/>
    <w:rsid w:val="00651B2F"/>
    <w:rsid w:val="00652D0A"/>
    <w:rsid w:val="0066005F"/>
    <w:rsid w:val="00661C95"/>
    <w:rsid w:val="006623D5"/>
    <w:rsid w:val="00662531"/>
    <w:rsid w:val="00662BB6"/>
    <w:rsid w:val="006634C7"/>
    <w:rsid w:val="00666E0B"/>
    <w:rsid w:val="00667F8F"/>
    <w:rsid w:val="0067091C"/>
    <w:rsid w:val="00670BBE"/>
    <w:rsid w:val="006713A7"/>
    <w:rsid w:val="00671F98"/>
    <w:rsid w:val="00673C44"/>
    <w:rsid w:val="00674897"/>
    <w:rsid w:val="00674E46"/>
    <w:rsid w:val="00676B85"/>
    <w:rsid w:val="00681005"/>
    <w:rsid w:val="00684C21"/>
    <w:rsid w:val="00684E50"/>
    <w:rsid w:val="00686FF1"/>
    <w:rsid w:val="006A2530"/>
    <w:rsid w:val="006B1EC3"/>
    <w:rsid w:val="006B3CA4"/>
    <w:rsid w:val="006B49F6"/>
    <w:rsid w:val="006B4DDD"/>
    <w:rsid w:val="006C18FA"/>
    <w:rsid w:val="006C3589"/>
    <w:rsid w:val="006D03EC"/>
    <w:rsid w:val="006D2B94"/>
    <w:rsid w:val="006D317D"/>
    <w:rsid w:val="006D37AF"/>
    <w:rsid w:val="006D51D0"/>
    <w:rsid w:val="006D75CD"/>
    <w:rsid w:val="006E3B48"/>
    <w:rsid w:val="006E4935"/>
    <w:rsid w:val="006E564B"/>
    <w:rsid w:val="006E7191"/>
    <w:rsid w:val="006E73A7"/>
    <w:rsid w:val="006F303E"/>
    <w:rsid w:val="006F3CCF"/>
    <w:rsid w:val="006F416A"/>
    <w:rsid w:val="00701773"/>
    <w:rsid w:val="00702574"/>
    <w:rsid w:val="00703577"/>
    <w:rsid w:val="00705894"/>
    <w:rsid w:val="007112CD"/>
    <w:rsid w:val="0071793F"/>
    <w:rsid w:val="00722D1C"/>
    <w:rsid w:val="0072632A"/>
    <w:rsid w:val="007327D5"/>
    <w:rsid w:val="00741721"/>
    <w:rsid w:val="007418F1"/>
    <w:rsid w:val="00743878"/>
    <w:rsid w:val="00743E81"/>
    <w:rsid w:val="00753674"/>
    <w:rsid w:val="00754592"/>
    <w:rsid w:val="007545D9"/>
    <w:rsid w:val="007611CF"/>
    <w:rsid w:val="007612FF"/>
    <w:rsid w:val="007629C8"/>
    <w:rsid w:val="00765EC1"/>
    <w:rsid w:val="0077047D"/>
    <w:rsid w:val="00781439"/>
    <w:rsid w:val="007816F1"/>
    <w:rsid w:val="007834EF"/>
    <w:rsid w:val="0078507B"/>
    <w:rsid w:val="00791AC2"/>
    <w:rsid w:val="00793939"/>
    <w:rsid w:val="00796A62"/>
    <w:rsid w:val="00797575"/>
    <w:rsid w:val="007A1179"/>
    <w:rsid w:val="007A5BFA"/>
    <w:rsid w:val="007A787F"/>
    <w:rsid w:val="007B6BA5"/>
    <w:rsid w:val="007B6C1C"/>
    <w:rsid w:val="007C3390"/>
    <w:rsid w:val="007C4F4B"/>
    <w:rsid w:val="007C5966"/>
    <w:rsid w:val="007D03BF"/>
    <w:rsid w:val="007D3484"/>
    <w:rsid w:val="007D4B9F"/>
    <w:rsid w:val="007E0178"/>
    <w:rsid w:val="007E01E9"/>
    <w:rsid w:val="007E26B9"/>
    <w:rsid w:val="007E63F3"/>
    <w:rsid w:val="007F0F4A"/>
    <w:rsid w:val="007F10A1"/>
    <w:rsid w:val="007F23F5"/>
    <w:rsid w:val="007F29A5"/>
    <w:rsid w:val="007F6611"/>
    <w:rsid w:val="007F70AF"/>
    <w:rsid w:val="007F7106"/>
    <w:rsid w:val="007F7A86"/>
    <w:rsid w:val="007F7AB8"/>
    <w:rsid w:val="00804157"/>
    <w:rsid w:val="00804222"/>
    <w:rsid w:val="00804414"/>
    <w:rsid w:val="008116D7"/>
    <w:rsid w:val="00811920"/>
    <w:rsid w:val="0081418C"/>
    <w:rsid w:val="00815AD0"/>
    <w:rsid w:val="00815E91"/>
    <w:rsid w:val="008212E9"/>
    <w:rsid w:val="00823CC9"/>
    <w:rsid w:val="008242D7"/>
    <w:rsid w:val="00824EA3"/>
    <w:rsid w:val="008257B1"/>
    <w:rsid w:val="008268C5"/>
    <w:rsid w:val="00832B37"/>
    <w:rsid w:val="00835C5B"/>
    <w:rsid w:val="00836F65"/>
    <w:rsid w:val="00840043"/>
    <w:rsid w:val="00841EA6"/>
    <w:rsid w:val="00842F17"/>
    <w:rsid w:val="00843767"/>
    <w:rsid w:val="00844141"/>
    <w:rsid w:val="00845E15"/>
    <w:rsid w:val="00845E45"/>
    <w:rsid w:val="00853ACA"/>
    <w:rsid w:val="008544D5"/>
    <w:rsid w:val="00854501"/>
    <w:rsid w:val="008556FB"/>
    <w:rsid w:val="0085672F"/>
    <w:rsid w:val="008679D9"/>
    <w:rsid w:val="008711DC"/>
    <w:rsid w:val="00871389"/>
    <w:rsid w:val="0087339A"/>
    <w:rsid w:val="00875C74"/>
    <w:rsid w:val="008767BF"/>
    <w:rsid w:val="008777A4"/>
    <w:rsid w:val="008777AF"/>
    <w:rsid w:val="00880848"/>
    <w:rsid w:val="00883999"/>
    <w:rsid w:val="00887652"/>
    <w:rsid w:val="008878DE"/>
    <w:rsid w:val="00895251"/>
    <w:rsid w:val="008979B1"/>
    <w:rsid w:val="008A3058"/>
    <w:rsid w:val="008A6B25"/>
    <w:rsid w:val="008A6C4F"/>
    <w:rsid w:val="008A7F90"/>
    <w:rsid w:val="008B187F"/>
    <w:rsid w:val="008B1A75"/>
    <w:rsid w:val="008B2335"/>
    <w:rsid w:val="008B27FB"/>
    <w:rsid w:val="008B2B78"/>
    <w:rsid w:val="008B2D85"/>
    <w:rsid w:val="008B5119"/>
    <w:rsid w:val="008C400E"/>
    <w:rsid w:val="008C4ADB"/>
    <w:rsid w:val="008C678F"/>
    <w:rsid w:val="008C7AFF"/>
    <w:rsid w:val="008D7341"/>
    <w:rsid w:val="008E0678"/>
    <w:rsid w:val="008E2331"/>
    <w:rsid w:val="008E33CD"/>
    <w:rsid w:val="008E6480"/>
    <w:rsid w:val="008F03A8"/>
    <w:rsid w:val="008F5ACB"/>
    <w:rsid w:val="008F6CE6"/>
    <w:rsid w:val="00907BA5"/>
    <w:rsid w:val="0091190D"/>
    <w:rsid w:val="009223CA"/>
    <w:rsid w:val="00926CE2"/>
    <w:rsid w:val="00927829"/>
    <w:rsid w:val="00933E40"/>
    <w:rsid w:val="00934137"/>
    <w:rsid w:val="009408BB"/>
    <w:rsid w:val="00940F93"/>
    <w:rsid w:val="00943E66"/>
    <w:rsid w:val="0094558F"/>
    <w:rsid w:val="00946884"/>
    <w:rsid w:val="009536F9"/>
    <w:rsid w:val="00956168"/>
    <w:rsid w:val="00961690"/>
    <w:rsid w:val="009636BB"/>
    <w:rsid w:val="00963ABB"/>
    <w:rsid w:val="0097110C"/>
    <w:rsid w:val="00974368"/>
    <w:rsid w:val="009760F3"/>
    <w:rsid w:val="00977203"/>
    <w:rsid w:val="00986465"/>
    <w:rsid w:val="00995436"/>
    <w:rsid w:val="00995AB4"/>
    <w:rsid w:val="00997506"/>
    <w:rsid w:val="0099754E"/>
    <w:rsid w:val="009A0E8D"/>
    <w:rsid w:val="009A3C75"/>
    <w:rsid w:val="009B0F25"/>
    <w:rsid w:val="009B1518"/>
    <w:rsid w:val="009B15AA"/>
    <w:rsid w:val="009B26E7"/>
    <w:rsid w:val="009B350F"/>
    <w:rsid w:val="009C2166"/>
    <w:rsid w:val="009C454F"/>
    <w:rsid w:val="009C565B"/>
    <w:rsid w:val="009D2486"/>
    <w:rsid w:val="009D2A5B"/>
    <w:rsid w:val="009E1D30"/>
    <w:rsid w:val="009E2E6F"/>
    <w:rsid w:val="009E6561"/>
    <w:rsid w:val="009F2BB8"/>
    <w:rsid w:val="00A00A3F"/>
    <w:rsid w:val="00A00D29"/>
    <w:rsid w:val="00A01489"/>
    <w:rsid w:val="00A038B8"/>
    <w:rsid w:val="00A12B28"/>
    <w:rsid w:val="00A12E50"/>
    <w:rsid w:val="00A14388"/>
    <w:rsid w:val="00A1777D"/>
    <w:rsid w:val="00A2665E"/>
    <w:rsid w:val="00A3009E"/>
    <w:rsid w:val="00A3026E"/>
    <w:rsid w:val="00A30C84"/>
    <w:rsid w:val="00A31D95"/>
    <w:rsid w:val="00A338F1"/>
    <w:rsid w:val="00A3409F"/>
    <w:rsid w:val="00A44D24"/>
    <w:rsid w:val="00A45808"/>
    <w:rsid w:val="00A46763"/>
    <w:rsid w:val="00A477C4"/>
    <w:rsid w:val="00A51B72"/>
    <w:rsid w:val="00A533E7"/>
    <w:rsid w:val="00A5402C"/>
    <w:rsid w:val="00A547C5"/>
    <w:rsid w:val="00A568D2"/>
    <w:rsid w:val="00A56AAB"/>
    <w:rsid w:val="00A7218F"/>
    <w:rsid w:val="00A72F22"/>
    <w:rsid w:val="00A7360F"/>
    <w:rsid w:val="00A748A6"/>
    <w:rsid w:val="00A769F4"/>
    <w:rsid w:val="00A776B4"/>
    <w:rsid w:val="00A86F6A"/>
    <w:rsid w:val="00A915B4"/>
    <w:rsid w:val="00A94361"/>
    <w:rsid w:val="00A94BB3"/>
    <w:rsid w:val="00A95D61"/>
    <w:rsid w:val="00A970A8"/>
    <w:rsid w:val="00AA1F98"/>
    <w:rsid w:val="00AA293C"/>
    <w:rsid w:val="00AA475C"/>
    <w:rsid w:val="00AA5165"/>
    <w:rsid w:val="00AA55D5"/>
    <w:rsid w:val="00AA66C0"/>
    <w:rsid w:val="00AB2A18"/>
    <w:rsid w:val="00AB32F7"/>
    <w:rsid w:val="00AB4050"/>
    <w:rsid w:val="00AB523B"/>
    <w:rsid w:val="00AB52EC"/>
    <w:rsid w:val="00AB5B47"/>
    <w:rsid w:val="00AC36B7"/>
    <w:rsid w:val="00AC5045"/>
    <w:rsid w:val="00AC6EC4"/>
    <w:rsid w:val="00AD44C2"/>
    <w:rsid w:val="00AD48FA"/>
    <w:rsid w:val="00AD6ACB"/>
    <w:rsid w:val="00AE0B20"/>
    <w:rsid w:val="00AE50F3"/>
    <w:rsid w:val="00AF367E"/>
    <w:rsid w:val="00AF7B8E"/>
    <w:rsid w:val="00B0614C"/>
    <w:rsid w:val="00B101E9"/>
    <w:rsid w:val="00B117CF"/>
    <w:rsid w:val="00B11BB4"/>
    <w:rsid w:val="00B11D71"/>
    <w:rsid w:val="00B12557"/>
    <w:rsid w:val="00B129BB"/>
    <w:rsid w:val="00B12CA6"/>
    <w:rsid w:val="00B17C5B"/>
    <w:rsid w:val="00B2148A"/>
    <w:rsid w:val="00B21F96"/>
    <w:rsid w:val="00B22BC2"/>
    <w:rsid w:val="00B240FC"/>
    <w:rsid w:val="00B24F79"/>
    <w:rsid w:val="00B25EB2"/>
    <w:rsid w:val="00B27148"/>
    <w:rsid w:val="00B27885"/>
    <w:rsid w:val="00B30179"/>
    <w:rsid w:val="00B30E12"/>
    <w:rsid w:val="00B31424"/>
    <w:rsid w:val="00B34EAB"/>
    <w:rsid w:val="00B36690"/>
    <w:rsid w:val="00B41584"/>
    <w:rsid w:val="00B421C1"/>
    <w:rsid w:val="00B47633"/>
    <w:rsid w:val="00B51CEC"/>
    <w:rsid w:val="00B552A3"/>
    <w:rsid w:val="00B55C71"/>
    <w:rsid w:val="00B56E4A"/>
    <w:rsid w:val="00B56E9C"/>
    <w:rsid w:val="00B612DF"/>
    <w:rsid w:val="00B61320"/>
    <w:rsid w:val="00B6151A"/>
    <w:rsid w:val="00B61BB6"/>
    <w:rsid w:val="00B63F86"/>
    <w:rsid w:val="00B64B1F"/>
    <w:rsid w:val="00B6553F"/>
    <w:rsid w:val="00B70F1E"/>
    <w:rsid w:val="00B77D05"/>
    <w:rsid w:val="00B8059B"/>
    <w:rsid w:val="00B81206"/>
    <w:rsid w:val="00B81E12"/>
    <w:rsid w:val="00B8394B"/>
    <w:rsid w:val="00B85D76"/>
    <w:rsid w:val="00B87639"/>
    <w:rsid w:val="00B94746"/>
    <w:rsid w:val="00BA4F47"/>
    <w:rsid w:val="00BA7BB2"/>
    <w:rsid w:val="00BB090B"/>
    <w:rsid w:val="00BB1184"/>
    <w:rsid w:val="00BB4978"/>
    <w:rsid w:val="00BB5635"/>
    <w:rsid w:val="00BB7CD1"/>
    <w:rsid w:val="00BC2725"/>
    <w:rsid w:val="00BC3FA0"/>
    <w:rsid w:val="00BC626B"/>
    <w:rsid w:val="00BC67E1"/>
    <w:rsid w:val="00BC6D21"/>
    <w:rsid w:val="00BC74E9"/>
    <w:rsid w:val="00BC7D09"/>
    <w:rsid w:val="00BD4217"/>
    <w:rsid w:val="00BD6AE8"/>
    <w:rsid w:val="00BE4F17"/>
    <w:rsid w:val="00BF05A6"/>
    <w:rsid w:val="00BF3CC6"/>
    <w:rsid w:val="00BF68A8"/>
    <w:rsid w:val="00BF6B31"/>
    <w:rsid w:val="00C00247"/>
    <w:rsid w:val="00C0468A"/>
    <w:rsid w:val="00C06A91"/>
    <w:rsid w:val="00C10FE6"/>
    <w:rsid w:val="00C11A03"/>
    <w:rsid w:val="00C11B49"/>
    <w:rsid w:val="00C12341"/>
    <w:rsid w:val="00C16DB6"/>
    <w:rsid w:val="00C217A5"/>
    <w:rsid w:val="00C22C0C"/>
    <w:rsid w:val="00C23978"/>
    <w:rsid w:val="00C25E1A"/>
    <w:rsid w:val="00C26804"/>
    <w:rsid w:val="00C26AD0"/>
    <w:rsid w:val="00C30215"/>
    <w:rsid w:val="00C33407"/>
    <w:rsid w:val="00C3410A"/>
    <w:rsid w:val="00C42300"/>
    <w:rsid w:val="00C43462"/>
    <w:rsid w:val="00C43F8F"/>
    <w:rsid w:val="00C4527F"/>
    <w:rsid w:val="00C45E05"/>
    <w:rsid w:val="00C463DD"/>
    <w:rsid w:val="00C466C7"/>
    <w:rsid w:val="00C4724C"/>
    <w:rsid w:val="00C605F3"/>
    <w:rsid w:val="00C629A0"/>
    <w:rsid w:val="00C64629"/>
    <w:rsid w:val="00C66F1F"/>
    <w:rsid w:val="00C745C3"/>
    <w:rsid w:val="00C7755F"/>
    <w:rsid w:val="00C77BE5"/>
    <w:rsid w:val="00C900EB"/>
    <w:rsid w:val="00C97C39"/>
    <w:rsid w:val="00C97CF6"/>
    <w:rsid w:val="00CA39FB"/>
    <w:rsid w:val="00CB0AED"/>
    <w:rsid w:val="00CB2276"/>
    <w:rsid w:val="00CB3E03"/>
    <w:rsid w:val="00CB46A6"/>
    <w:rsid w:val="00CB4C70"/>
    <w:rsid w:val="00CB5F84"/>
    <w:rsid w:val="00CC09D0"/>
    <w:rsid w:val="00CC24B7"/>
    <w:rsid w:val="00CC2A1B"/>
    <w:rsid w:val="00CC5B3B"/>
    <w:rsid w:val="00CC719E"/>
    <w:rsid w:val="00CD1FCA"/>
    <w:rsid w:val="00CD285E"/>
    <w:rsid w:val="00CD2BAF"/>
    <w:rsid w:val="00CD46A7"/>
    <w:rsid w:val="00CD57D2"/>
    <w:rsid w:val="00CE1761"/>
    <w:rsid w:val="00CE1CFD"/>
    <w:rsid w:val="00CE3E6E"/>
    <w:rsid w:val="00CE4A8F"/>
    <w:rsid w:val="00CE4E67"/>
    <w:rsid w:val="00CF3164"/>
    <w:rsid w:val="00CF7AC0"/>
    <w:rsid w:val="00D01785"/>
    <w:rsid w:val="00D1284B"/>
    <w:rsid w:val="00D13737"/>
    <w:rsid w:val="00D13F4D"/>
    <w:rsid w:val="00D176A5"/>
    <w:rsid w:val="00D2031B"/>
    <w:rsid w:val="00D224BF"/>
    <w:rsid w:val="00D22523"/>
    <w:rsid w:val="00D25FE2"/>
    <w:rsid w:val="00D43252"/>
    <w:rsid w:val="00D43CDB"/>
    <w:rsid w:val="00D44198"/>
    <w:rsid w:val="00D46E53"/>
    <w:rsid w:val="00D47EEA"/>
    <w:rsid w:val="00D47F36"/>
    <w:rsid w:val="00D5385E"/>
    <w:rsid w:val="00D53946"/>
    <w:rsid w:val="00D550D4"/>
    <w:rsid w:val="00D56292"/>
    <w:rsid w:val="00D62742"/>
    <w:rsid w:val="00D7419E"/>
    <w:rsid w:val="00D773DF"/>
    <w:rsid w:val="00D80842"/>
    <w:rsid w:val="00D810EE"/>
    <w:rsid w:val="00D876F8"/>
    <w:rsid w:val="00D91A8D"/>
    <w:rsid w:val="00D9255F"/>
    <w:rsid w:val="00D95303"/>
    <w:rsid w:val="00D970BC"/>
    <w:rsid w:val="00D97453"/>
    <w:rsid w:val="00D978C6"/>
    <w:rsid w:val="00DA23C6"/>
    <w:rsid w:val="00DA3C1C"/>
    <w:rsid w:val="00DA5024"/>
    <w:rsid w:val="00DA54EF"/>
    <w:rsid w:val="00DB1304"/>
    <w:rsid w:val="00DB43CD"/>
    <w:rsid w:val="00DB57B1"/>
    <w:rsid w:val="00DB6E62"/>
    <w:rsid w:val="00DC12A9"/>
    <w:rsid w:val="00DD074B"/>
    <w:rsid w:val="00DD2EDF"/>
    <w:rsid w:val="00DE24B4"/>
    <w:rsid w:val="00DE37C6"/>
    <w:rsid w:val="00DE4970"/>
    <w:rsid w:val="00DE7486"/>
    <w:rsid w:val="00DF0E6D"/>
    <w:rsid w:val="00DF0EC4"/>
    <w:rsid w:val="00DF418D"/>
    <w:rsid w:val="00E01B7D"/>
    <w:rsid w:val="00E01D54"/>
    <w:rsid w:val="00E02661"/>
    <w:rsid w:val="00E046DF"/>
    <w:rsid w:val="00E04F33"/>
    <w:rsid w:val="00E10E7D"/>
    <w:rsid w:val="00E122A5"/>
    <w:rsid w:val="00E13DAF"/>
    <w:rsid w:val="00E14853"/>
    <w:rsid w:val="00E15381"/>
    <w:rsid w:val="00E15557"/>
    <w:rsid w:val="00E1723D"/>
    <w:rsid w:val="00E20D01"/>
    <w:rsid w:val="00E21502"/>
    <w:rsid w:val="00E261FA"/>
    <w:rsid w:val="00E26778"/>
    <w:rsid w:val="00E27346"/>
    <w:rsid w:val="00E333B5"/>
    <w:rsid w:val="00E50CFE"/>
    <w:rsid w:val="00E51E40"/>
    <w:rsid w:val="00E54F0D"/>
    <w:rsid w:val="00E5605F"/>
    <w:rsid w:val="00E56FD4"/>
    <w:rsid w:val="00E5731F"/>
    <w:rsid w:val="00E62A14"/>
    <w:rsid w:val="00E62CCF"/>
    <w:rsid w:val="00E71BC8"/>
    <w:rsid w:val="00E7260F"/>
    <w:rsid w:val="00E726E6"/>
    <w:rsid w:val="00E73F5D"/>
    <w:rsid w:val="00E756DA"/>
    <w:rsid w:val="00E77E4E"/>
    <w:rsid w:val="00E77FE5"/>
    <w:rsid w:val="00E836E7"/>
    <w:rsid w:val="00E8423A"/>
    <w:rsid w:val="00E879F6"/>
    <w:rsid w:val="00E93911"/>
    <w:rsid w:val="00E955EE"/>
    <w:rsid w:val="00E96630"/>
    <w:rsid w:val="00E96B8D"/>
    <w:rsid w:val="00E96C02"/>
    <w:rsid w:val="00EA13FC"/>
    <w:rsid w:val="00EA706A"/>
    <w:rsid w:val="00EA7AE1"/>
    <w:rsid w:val="00EB65AE"/>
    <w:rsid w:val="00EB7345"/>
    <w:rsid w:val="00EC098C"/>
    <w:rsid w:val="00EC106A"/>
    <w:rsid w:val="00EC32A0"/>
    <w:rsid w:val="00EC4EFA"/>
    <w:rsid w:val="00ED7A2A"/>
    <w:rsid w:val="00EE086A"/>
    <w:rsid w:val="00EE16DB"/>
    <w:rsid w:val="00EE65FE"/>
    <w:rsid w:val="00EE6B3A"/>
    <w:rsid w:val="00EF1D7F"/>
    <w:rsid w:val="00EF7771"/>
    <w:rsid w:val="00F00C6C"/>
    <w:rsid w:val="00F05E4B"/>
    <w:rsid w:val="00F1044A"/>
    <w:rsid w:val="00F1104B"/>
    <w:rsid w:val="00F13381"/>
    <w:rsid w:val="00F16B7D"/>
    <w:rsid w:val="00F2162A"/>
    <w:rsid w:val="00F227A6"/>
    <w:rsid w:val="00F23F2A"/>
    <w:rsid w:val="00F305B7"/>
    <w:rsid w:val="00F31170"/>
    <w:rsid w:val="00F31E5F"/>
    <w:rsid w:val="00F36F0D"/>
    <w:rsid w:val="00F42999"/>
    <w:rsid w:val="00F51ECD"/>
    <w:rsid w:val="00F57B45"/>
    <w:rsid w:val="00F57ED1"/>
    <w:rsid w:val="00F6100A"/>
    <w:rsid w:val="00F66565"/>
    <w:rsid w:val="00F729D8"/>
    <w:rsid w:val="00F74866"/>
    <w:rsid w:val="00F8015D"/>
    <w:rsid w:val="00F826FA"/>
    <w:rsid w:val="00F93781"/>
    <w:rsid w:val="00FA038A"/>
    <w:rsid w:val="00FA26FD"/>
    <w:rsid w:val="00FA2814"/>
    <w:rsid w:val="00FA42D6"/>
    <w:rsid w:val="00FA4773"/>
    <w:rsid w:val="00FA4FEB"/>
    <w:rsid w:val="00FA7F6B"/>
    <w:rsid w:val="00FB1A29"/>
    <w:rsid w:val="00FB1DB4"/>
    <w:rsid w:val="00FB4C10"/>
    <w:rsid w:val="00FB613B"/>
    <w:rsid w:val="00FB7B98"/>
    <w:rsid w:val="00FC1945"/>
    <w:rsid w:val="00FC2EA1"/>
    <w:rsid w:val="00FC3938"/>
    <w:rsid w:val="00FC3C87"/>
    <w:rsid w:val="00FC4E7D"/>
    <w:rsid w:val="00FC600C"/>
    <w:rsid w:val="00FC68B7"/>
    <w:rsid w:val="00FD3588"/>
    <w:rsid w:val="00FD45C9"/>
    <w:rsid w:val="00FD53D8"/>
    <w:rsid w:val="00FD70F7"/>
    <w:rsid w:val="00FD7C13"/>
    <w:rsid w:val="00FE0275"/>
    <w:rsid w:val="00FE106A"/>
    <w:rsid w:val="00FF145D"/>
    <w:rsid w:val="00FF1D85"/>
    <w:rsid w:val="00FF280A"/>
    <w:rsid w:val="00FF5BE0"/>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A744EBD"/>
  <w15:docId w15:val="{E7A0BB31-507F-4FE2-8CFD-030E121BF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CC24B7"/>
    <w:pPr>
      <w:spacing w:line="240" w:lineRule="auto"/>
      <w:outlineLvl w:val="1"/>
    </w:pPr>
  </w:style>
  <w:style w:type="paragraph" w:styleId="Heading3">
    <w:name w:val="heading 3"/>
    <w:basedOn w:val="Normal"/>
    <w:next w:val="Normal"/>
    <w:qFormat/>
    <w:rsid w:val="00CC24B7"/>
    <w:pPr>
      <w:spacing w:line="240" w:lineRule="auto"/>
      <w:outlineLvl w:val="2"/>
    </w:pPr>
  </w:style>
  <w:style w:type="paragraph" w:styleId="Heading4">
    <w:name w:val="heading 4"/>
    <w:basedOn w:val="Normal"/>
    <w:next w:val="Normal"/>
    <w:qFormat/>
    <w:rsid w:val="00CC24B7"/>
    <w:pPr>
      <w:spacing w:line="240" w:lineRule="auto"/>
      <w:outlineLvl w:val="3"/>
    </w:pPr>
  </w:style>
  <w:style w:type="paragraph" w:styleId="Heading5">
    <w:name w:val="heading 5"/>
    <w:basedOn w:val="Normal"/>
    <w:next w:val="Normal"/>
    <w:qFormat/>
    <w:rsid w:val="00CC24B7"/>
    <w:pPr>
      <w:spacing w:line="240" w:lineRule="auto"/>
      <w:outlineLvl w:val="4"/>
    </w:pPr>
  </w:style>
  <w:style w:type="paragraph" w:styleId="Heading6">
    <w:name w:val="heading 6"/>
    <w:basedOn w:val="Normal"/>
    <w:next w:val="Normal"/>
    <w:qFormat/>
    <w:rsid w:val="00CC24B7"/>
    <w:pPr>
      <w:spacing w:line="240" w:lineRule="auto"/>
      <w:outlineLvl w:val="5"/>
    </w:pPr>
  </w:style>
  <w:style w:type="paragraph" w:styleId="Heading7">
    <w:name w:val="heading 7"/>
    <w:basedOn w:val="Normal"/>
    <w:next w:val="Normal"/>
    <w:qFormat/>
    <w:rsid w:val="00CC24B7"/>
    <w:pPr>
      <w:spacing w:line="240" w:lineRule="auto"/>
      <w:outlineLvl w:val="6"/>
    </w:pPr>
  </w:style>
  <w:style w:type="paragraph" w:styleId="Heading8">
    <w:name w:val="heading 8"/>
    <w:basedOn w:val="Normal"/>
    <w:next w:val="Normal"/>
    <w:qFormat/>
    <w:rsid w:val="00CC24B7"/>
    <w:pPr>
      <w:spacing w:line="240" w:lineRule="auto"/>
      <w:outlineLvl w:val="7"/>
    </w:pPr>
  </w:style>
  <w:style w:type="paragraph" w:styleId="Heading9">
    <w:name w:val="heading 9"/>
    <w:basedOn w:val="Normal"/>
    <w:next w:val="Normal"/>
    <w:qFormat/>
    <w:rsid w:val="00CC24B7"/>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CC24B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CC24B7"/>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CC24B7"/>
    <w:pPr>
      <w:numPr>
        <w:numId w:val="13"/>
      </w:numPr>
      <w:tabs>
        <w:tab w:val="clear" w:pos="1494"/>
      </w:tabs>
    </w:pPr>
  </w:style>
  <w:style w:type="paragraph" w:customStyle="1" w:styleId="SingleTxtG">
    <w:name w:val="_ Single Txt_G"/>
    <w:basedOn w:val="Normal"/>
    <w:link w:val="SingleTxtGChar"/>
    <w:qFormat/>
    <w:rsid w:val="00CC24B7"/>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CC24B7"/>
    <w:rPr>
      <w:rFonts w:cs="Courier New"/>
    </w:rPr>
  </w:style>
  <w:style w:type="paragraph" w:styleId="BodyText">
    <w:name w:val="Body Text"/>
    <w:basedOn w:val="Normal"/>
    <w:next w:val="Normal"/>
    <w:semiHidden/>
    <w:rsid w:val="00CC24B7"/>
  </w:style>
  <w:style w:type="paragraph" w:styleId="BodyTextIndent">
    <w:name w:val="Body Text Indent"/>
    <w:basedOn w:val="Normal"/>
    <w:semiHidden/>
    <w:rsid w:val="00CC24B7"/>
    <w:pPr>
      <w:spacing w:after="120"/>
      <w:ind w:left="283"/>
    </w:pPr>
  </w:style>
  <w:style w:type="paragraph" w:styleId="BlockText">
    <w:name w:val="Block Text"/>
    <w:basedOn w:val="Normal"/>
    <w:semiHidden/>
    <w:rsid w:val="00CC24B7"/>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4_GR"/>
    <w:qFormat/>
    <w:rsid w:val="007B6BA5"/>
    <w:rPr>
      <w:rFonts w:ascii="Times New Roman" w:hAnsi="Times New Roman"/>
      <w:sz w:val="18"/>
      <w:vertAlign w:val="superscript"/>
    </w:rPr>
  </w:style>
  <w:style w:type="paragraph" w:styleId="FootnoteText">
    <w:name w:val="footnote text"/>
    <w:aliases w:val="5_G,5_GR"/>
    <w:basedOn w:val="Normal"/>
    <w:link w:val="FootnoteTextChar"/>
    <w:qFormat/>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CC24B7"/>
    <w:rPr>
      <w:sz w:val="6"/>
    </w:rPr>
  </w:style>
  <w:style w:type="paragraph" w:styleId="CommentText">
    <w:name w:val="annotation text"/>
    <w:basedOn w:val="Normal"/>
    <w:link w:val="CommentTextChar"/>
    <w:semiHidden/>
    <w:rsid w:val="00CC24B7"/>
  </w:style>
  <w:style w:type="character" w:styleId="LineNumber">
    <w:name w:val="line number"/>
    <w:semiHidden/>
    <w:rsid w:val="00CC24B7"/>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qFormat/>
    <w:rsid w:val="00CC24B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C24B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C24B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C24B7"/>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qFormat/>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uiPriority w:val="99"/>
    <w:rsid w:val="0024023A"/>
    <w:rPr>
      <w:b/>
      <w:sz w:val="28"/>
      <w:lang w:eastAsia="en-US"/>
    </w:rPr>
  </w:style>
  <w:style w:type="paragraph" w:customStyle="1" w:styleId="Tabletitle">
    <w:name w:val="Table title"/>
    <w:basedOn w:val="Normal"/>
    <w:next w:val="Normal"/>
    <w:rsid w:val="0022321E"/>
    <w:pPr>
      <w:keepNext/>
      <w:spacing w:before="120" w:after="120" w:line="230" w:lineRule="exact"/>
      <w:jc w:val="center"/>
    </w:pPr>
    <w:rPr>
      <w:rFonts w:ascii="Arial" w:eastAsia="MS Mincho" w:hAnsi="Arial"/>
      <w:b/>
      <w:lang w:eastAsia="fr-FR"/>
    </w:rPr>
  </w:style>
  <w:style w:type="character" w:customStyle="1" w:styleId="HeaderChar">
    <w:name w:val="Header Char"/>
    <w:aliases w:val="6_G Char"/>
    <w:link w:val="Header"/>
    <w:uiPriority w:val="99"/>
    <w:rsid w:val="0022321E"/>
    <w:rPr>
      <w:b/>
      <w:sz w:val="18"/>
      <w:lang w:eastAsia="en-US"/>
    </w:rPr>
  </w:style>
  <w:style w:type="paragraph" w:styleId="ListParagraph">
    <w:name w:val="List Paragraph"/>
    <w:basedOn w:val="Normal"/>
    <w:uiPriority w:val="34"/>
    <w:qFormat/>
    <w:rsid w:val="00236A96"/>
    <w:pPr>
      <w:suppressAutoHyphens w:val="0"/>
      <w:spacing w:after="200" w:line="276" w:lineRule="auto"/>
      <w:ind w:left="720"/>
      <w:contextualSpacing/>
    </w:pPr>
    <w:rPr>
      <w:rFonts w:ascii="Calibri" w:eastAsia="Calibri" w:hAnsi="Calibri"/>
      <w:sz w:val="22"/>
      <w:szCs w:val="22"/>
      <w:lang w:val="en-US"/>
    </w:rPr>
  </w:style>
  <w:style w:type="character" w:customStyle="1" w:styleId="FootnoteTextChar">
    <w:name w:val="Footnote Text Char"/>
    <w:aliases w:val="5_G Char,5_GR Char"/>
    <w:link w:val="FootnoteText"/>
    <w:rsid w:val="00A12E50"/>
    <w:rPr>
      <w:sz w:val="18"/>
      <w:lang w:eastAsia="en-US"/>
    </w:rPr>
  </w:style>
  <w:style w:type="character" w:customStyle="1" w:styleId="H23GChar">
    <w:name w:val="_ H_2/3_G Char"/>
    <w:link w:val="H23G"/>
    <w:rsid w:val="00835C5B"/>
    <w:rPr>
      <w:b/>
      <w:lang w:val="en-GB" w:eastAsia="en-US"/>
    </w:rPr>
  </w:style>
  <w:style w:type="paragraph" w:styleId="Revision">
    <w:name w:val="Revision"/>
    <w:hidden/>
    <w:uiPriority w:val="99"/>
    <w:semiHidden/>
    <w:rsid w:val="006634C7"/>
    <w:rPr>
      <w:lang w:val="en-GB"/>
    </w:rPr>
  </w:style>
  <w:style w:type="paragraph" w:styleId="Caption">
    <w:name w:val="caption"/>
    <w:basedOn w:val="Normal"/>
    <w:next w:val="Normal"/>
    <w:unhideWhenUsed/>
    <w:qFormat/>
    <w:rsid w:val="00A30C84"/>
    <w:pPr>
      <w:spacing w:after="200" w:line="240" w:lineRule="auto"/>
    </w:pPr>
    <w:rPr>
      <w:b/>
      <w:bCs/>
      <w:color w:val="5B9BD5"/>
      <w:sz w:val="18"/>
      <w:szCs w:val="18"/>
    </w:rPr>
  </w:style>
  <w:style w:type="paragraph" w:styleId="CommentSubject">
    <w:name w:val="annotation subject"/>
    <w:basedOn w:val="CommentText"/>
    <w:next w:val="CommentText"/>
    <w:link w:val="CommentSubjectChar"/>
    <w:semiHidden/>
    <w:unhideWhenUsed/>
    <w:rsid w:val="00796A62"/>
    <w:rPr>
      <w:b/>
      <w:bCs/>
    </w:rPr>
  </w:style>
  <w:style w:type="character" w:customStyle="1" w:styleId="CommentTextChar">
    <w:name w:val="Comment Text Char"/>
    <w:link w:val="CommentText"/>
    <w:semiHidden/>
    <w:rsid w:val="00796A62"/>
    <w:rPr>
      <w:lang w:val="en-GB" w:eastAsia="en-US"/>
    </w:rPr>
  </w:style>
  <w:style w:type="character" w:customStyle="1" w:styleId="CommentSubjectChar">
    <w:name w:val="Comment Subject Char"/>
    <w:link w:val="CommentSubject"/>
    <w:semiHidden/>
    <w:rsid w:val="00796A62"/>
    <w:rPr>
      <w:b/>
      <w:bCs/>
      <w:lang w:val="en-GB" w:eastAsia="en-US"/>
    </w:rPr>
  </w:style>
  <w:style w:type="character" w:customStyle="1" w:styleId="st1">
    <w:name w:val="st1"/>
    <w:basedOn w:val="DefaultParagraphFont"/>
    <w:rsid w:val="002D13E9"/>
  </w:style>
  <w:style w:type="paragraph" w:customStyle="1" w:styleId="Default">
    <w:name w:val="Default"/>
    <w:rsid w:val="00C97CF6"/>
    <w:pPr>
      <w:autoSpaceDE w:val="0"/>
      <w:autoSpaceDN w:val="0"/>
      <w:adjustRightInd w:val="0"/>
    </w:pPr>
    <w:rPr>
      <w:color w:val="000000"/>
      <w:sz w:val="24"/>
      <w:szCs w:val="24"/>
      <w:lang w:val="sv-SE"/>
    </w:rPr>
  </w:style>
  <w:style w:type="character" w:customStyle="1" w:styleId="ttext">
    <w:name w:val="t_text"/>
    <w:basedOn w:val="DefaultParagraphFont"/>
    <w:rsid w:val="00B24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126925">
      <w:bodyDiv w:val="1"/>
      <w:marLeft w:val="0"/>
      <w:marRight w:val="0"/>
      <w:marTop w:val="0"/>
      <w:marBottom w:val="0"/>
      <w:divBdr>
        <w:top w:val="none" w:sz="0" w:space="0" w:color="auto"/>
        <w:left w:val="none" w:sz="0" w:space="0" w:color="auto"/>
        <w:bottom w:val="none" w:sz="0" w:space="0" w:color="auto"/>
        <w:right w:val="none" w:sz="0" w:space="0" w:color="auto"/>
      </w:divBdr>
      <w:divsChild>
        <w:div w:id="1926961795">
          <w:marLeft w:val="0"/>
          <w:marRight w:val="0"/>
          <w:marTop w:val="0"/>
          <w:marBottom w:val="0"/>
          <w:divBdr>
            <w:top w:val="none" w:sz="0" w:space="0" w:color="auto"/>
            <w:left w:val="none" w:sz="0" w:space="0" w:color="auto"/>
            <w:bottom w:val="none" w:sz="0" w:space="0" w:color="auto"/>
            <w:right w:val="none" w:sz="0" w:space="0" w:color="auto"/>
          </w:divBdr>
          <w:divsChild>
            <w:div w:id="2122072458">
              <w:marLeft w:val="0"/>
              <w:marRight w:val="0"/>
              <w:marTop w:val="0"/>
              <w:marBottom w:val="0"/>
              <w:divBdr>
                <w:top w:val="none" w:sz="0" w:space="0" w:color="auto"/>
                <w:left w:val="none" w:sz="0" w:space="0" w:color="auto"/>
                <w:bottom w:val="none" w:sz="0" w:space="0" w:color="auto"/>
                <w:right w:val="none" w:sz="0" w:space="0" w:color="auto"/>
              </w:divBdr>
              <w:divsChild>
                <w:div w:id="1942294692">
                  <w:marLeft w:val="0"/>
                  <w:marRight w:val="0"/>
                  <w:marTop w:val="0"/>
                  <w:marBottom w:val="0"/>
                  <w:divBdr>
                    <w:top w:val="none" w:sz="0" w:space="0" w:color="auto"/>
                    <w:left w:val="none" w:sz="0" w:space="0" w:color="auto"/>
                    <w:bottom w:val="none" w:sz="0" w:space="0" w:color="auto"/>
                    <w:right w:val="none" w:sz="0" w:space="0" w:color="auto"/>
                  </w:divBdr>
                  <w:divsChild>
                    <w:div w:id="1724254872">
                      <w:marLeft w:val="0"/>
                      <w:marRight w:val="0"/>
                      <w:marTop w:val="45"/>
                      <w:marBottom w:val="0"/>
                      <w:divBdr>
                        <w:top w:val="none" w:sz="0" w:space="0" w:color="auto"/>
                        <w:left w:val="none" w:sz="0" w:space="0" w:color="auto"/>
                        <w:bottom w:val="none" w:sz="0" w:space="0" w:color="auto"/>
                        <w:right w:val="none" w:sz="0" w:space="0" w:color="auto"/>
                      </w:divBdr>
                      <w:divsChild>
                        <w:div w:id="1624655569">
                          <w:marLeft w:val="0"/>
                          <w:marRight w:val="0"/>
                          <w:marTop w:val="0"/>
                          <w:marBottom w:val="0"/>
                          <w:divBdr>
                            <w:top w:val="none" w:sz="0" w:space="0" w:color="auto"/>
                            <w:left w:val="none" w:sz="0" w:space="0" w:color="auto"/>
                            <w:bottom w:val="none" w:sz="0" w:space="0" w:color="auto"/>
                            <w:right w:val="none" w:sz="0" w:space="0" w:color="auto"/>
                          </w:divBdr>
                          <w:divsChild>
                            <w:div w:id="514685493">
                              <w:marLeft w:val="2070"/>
                              <w:marRight w:val="3960"/>
                              <w:marTop w:val="0"/>
                              <w:marBottom w:val="0"/>
                              <w:divBdr>
                                <w:top w:val="none" w:sz="0" w:space="0" w:color="auto"/>
                                <w:left w:val="none" w:sz="0" w:space="0" w:color="auto"/>
                                <w:bottom w:val="none" w:sz="0" w:space="0" w:color="auto"/>
                                <w:right w:val="none" w:sz="0" w:space="0" w:color="auto"/>
                              </w:divBdr>
                              <w:divsChild>
                                <w:div w:id="521821822">
                                  <w:marLeft w:val="0"/>
                                  <w:marRight w:val="0"/>
                                  <w:marTop w:val="0"/>
                                  <w:marBottom w:val="0"/>
                                  <w:divBdr>
                                    <w:top w:val="none" w:sz="0" w:space="0" w:color="auto"/>
                                    <w:left w:val="none" w:sz="0" w:space="0" w:color="auto"/>
                                    <w:bottom w:val="none" w:sz="0" w:space="0" w:color="auto"/>
                                    <w:right w:val="none" w:sz="0" w:space="0" w:color="auto"/>
                                  </w:divBdr>
                                  <w:divsChild>
                                    <w:div w:id="386338374">
                                      <w:marLeft w:val="0"/>
                                      <w:marRight w:val="0"/>
                                      <w:marTop w:val="0"/>
                                      <w:marBottom w:val="0"/>
                                      <w:divBdr>
                                        <w:top w:val="none" w:sz="0" w:space="0" w:color="auto"/>
                                        <w:left w:val="none" w:sz="0" w:space="0" w:color="auto"/>
                                        <w:bottom w:val="none" w:sz="0" w:space="0" w:color="auto"/>
                                        <w:right w:val="none" w:sz="0" w:space="0" w:color="auto"/>
                                      </w:divBdr>
                                      <w:divsChild>
                                        <w:div w:id="1934775659">
                                          <w:marLeft w:val="0"/>
                                          <w:marRight w:val="0"/>
                                          <w:marTop w:val="0"/>
                                          <w:marBottom w:val="0"/>
                                          <w:divBdr>
                                            <w:top w:val="none" w:sz="0" w:space="0" w:color="auto"/>
                                            <w:left w:val="none" w:sz="0" w:space="0" w:color="auto"/>
                                            <w:bottom w:val="none" w:sz="0" w:space="0" w:color="auto"/>
                                            <w:right w:val="none" w:sz="0" w:space="0" w:color="auto"/>
                                          </w:divBdr>
                                          <w:divsChild>
                                            <w:div w:id="1451127585">
                                              <w:marLeft w:val="0"/>
                                              <w:marRight w:val="0"/>
                                              <w:marTop w:val="90"/>
                                              <w:marBottom w:val="0"/>
                                              <w:divBdr>
                                                <w:top w:val="none" w:sz="0" w:space="0" w:color="auto"/>
                                                <w:left w:val="none" w:sz="0" w:space="0" w:color="auto"/>
                                                <w:bottom w:val="none" w:sz="0" w:space="0" w:color="auto"/>
                                                <w:right w:val="none" w:sz="0" w:space="0" w:color="auto"/>
                                              </w:divBdr>
                                              <w:divsChild>
                                                <w:div w:id="627320370">
                                                  <w:marLeft w:val="0"/>
                                                  <w:marRight w:val="0"/>
                                                  <w:marTop w:val="0"/>
                                                  <w:marBottom w:val="0"/>
                                                  <w:divBdr>
                                                    <w:top w:val="none" w:sz="0" w:space="0" w:color="auto"/>
                                                    <w:left w:val="none" w:sz="0" w:space="0" w:color="auto"/>
                                                    <w:bottom w:val="none" w:sz="0" w:space="0" w:color="auto"/>
                                                    <w:right w:val="none" w:sz="0" w:space="0" w:color="auto"/>
                                                  </w:divBdr>
                                                  <w:divsChild>
                                                    <w:div w:id="1904291731">
                                                      <w:marLeft w:val="0"/>
                                                      <w:marRight w:val="0"/>
                                                      <w:marTop w:val="0"/>
                                                      <w:marBottom w:val="0"/>
                                                      <w:divBdr>
                                                        <w:top w:val="none" w:sz="0" w:space="0" w:color="auto"/>
                                                        <w:left w:val="none" w:sz="0" w:space="0" w:color="auto"/>
                                                        <w:bottom w:val="none" w:sz="0" w:space="0" w:color="auto"/>
                                                        <w:right w:val="none" w:sz="0" w:space="0" w:color="auto"/>
                                                      </w:divBdr>
                                                      <w:divsChild>
                                                        <w:div w:id="1540169920">
                                                          <w:marLeft w:val="0"/>
                                                          <w:marRight w:val="0"/>
                                                          <w:marTop w:val="0"/>
                                                          <w:marBottom w:val="390"/>
                                                          <w:divBdr>
                                                            <w:top w:val="none" w:sz="0" w:space="0" w:color="auto"/>
                                                            <w:left w:val="none" w:sz="0" w:space="0" w:color="auto"/>
                                                            <w:bottom w:val="none" w:sz="0" w:space="0" w:color="auto"/>
                                                            <w:right w:val="none" w:sz="0" w:space="0" w:color="auto"/>
                                                          </w:divBdr>
                                                          <w:divsChild>
                                                            <w:div w:id="641546753">
                                                              <w:marLeft w:val="0"/>
                                                              <w:marRight w:val="0"/>
                                                              <w:marTop w:val="0"/>
                                                              <w:marBottom w:val="0"/>
                                                              <w:divBdr>
                                                                <w:top w:val="none" w:sz="0" w:space="0" w:color="auto"/>
                                                                <w:left w:val="none" w:sz="0" w:space="0" w:color="auto"/>
                                                                <w:bottom w:val="none" w:sz="0" w:space="0" w:color="auto"/>
                                                                <w:right w:val="none" w:sz="0" w:space="0" w:color="auto"/>
                                                              </w:divBdr>
                                                              <w:divsChild>
                                                                <w:div w:id="685253672">
                                                                  <w:marLeft w:val="0"/>
                                                                  <w:marRight w:val="0"/>
                                                                  <w:marTop w:val="0"/>
                                                                  <w:marBottom w:val="0"/>
                                                                  <w:divBdr>
                                                                    <w:top w:val="none" w:sz="0" w:space="0" w:color="auto"/>
                                                                    <w:left w:val="none" w:sz="0" w:space="0" w:color="auto"/>
                                                                    <w:bottom w:val="none" w:sz="0" w:space="0" w:color="auto"/>
                                                                    <w:right w:val="none" w:sz="0" w:space="0" w:color="auto"/>
                                                                  </w:divBdr>
                                                                  <w:divsChild>
                                                                    <w:div w:id="2076008082">
                                                                      <w:marLeft w:val="0"/>
                                                                      <w:marRight w:val="0"/>
                                                                      <w:marTop w:val="0"/>
                                                                      <w:marBottom w:val="0"/>
                                                                      <w:divBdr>
                                                                        <w:top w:val="none" w:sz="0" w:space="0" w:color="auto"/>
                                                                        <w:left w:val="none" w:sz="0" w:space="0" w:color="auto"/>
                                                                        <w:bottom w:val="none" w:sz="0" w:space="0" w:color="auto"/>
                                                                        <w:right w:val="none" w:sz="0" w:space="0" w:color="auto"/>
                                                                      </w:divBdr>
                                                                      <w:divsChild>
                                                                        <w:div w:id="468128359">
                                                                          <w:marLeft w:val="0"/>
                                                                          <w:marRight w:val="0"/>
                                                                          <w:marTop w:val="0"/>
                                                                          <w:marBottom w:val="0"/>
                                                                          <w:divBdr>
                                                                            <w:top w:val="none" w:sz="0" w:space="0" w:color="auto"/>
                                                                            <w:left w:val="none" w:sz="0" w:space="0" w:color="auto"/>
                                                                            <w:bottom w:val="none" w:sz="0" w:space="0" w:color="auto"/>
                                                                            <w:right w:val="none" w:sz="0" w:space="0" w:color="auto"/>
                                                                          </w:divBdr>
                                                                          <w:divsChild>
                                                                            <w:div w:id="2125422332">
                                                                              <w:marLeft w:val="0"/>
                                                                              <w:marRight w:val="0"/>
                                                                              <w:marTop w:val="0"/>
                                                                              <w:marBottom w:val="0"/>
                                                                              <w:divBdr>
                                                                                <w:top w:val="none" w:sz="0" w:space="0" w:color="auto"/>
                                                                                <w:left w:val="none" w:sz="0" w:space="0" w:color="auto"/>
                                                                                <w:bottom w:val="none" w:sz="0" w:space="0" w:color="auto"/>
                                                                                <w:right w:val="none" w:sz="0" w:space="0" w:color="auto"/>
                                                                              </w:divBdr>
                                                                              <w:divsChild>
                                                                                <w:div w:id="501622219">
                                                                                  <w:marLeft w:val="0"/>
                                                                                  <w:marRight w:val="0"/>
                                                                                  <w:marTop w:val="0"/>
                                                                                  <w:marBottom w:val="0"/>
                                                                                  <w:divBdr>
                                                                                    <w:top w:val="none" w:sz="0" w:space="0" w:color="auto"/>
                                                                                    <w:left w:val="none" w:sz="0" w:space="0" w:color="auto"/>
                                                                                    <w:bottom w:val="none" w:sz="0" w:space="0" w:color="auto"/>
                                                                                    <w:right w:val="none" w:sz="0" w:space="0" w:color="auto"/>
                                                                                  </w:divBdr>
                                                                                  <w:divsChild>
                                                                                    <w:div w:id="1230458386">
                                                                                      <w:marLeft w:val="0"/>
                                                                                      <w:marRight w:val="0"/>
                                                                                      <w:marTop w:val="0"/>
                                                                                      <w:marBottom w:val="0"/>
                                                                                      <w:divBdr>
                                                                                        <w:top w:val="none" w:sz="0" w:space="0" w:color="auto"/>
                                                                                        <w:left w:val="none" w:sz="0" w:space="0" w:color="auto"/>
                                                                                        <w:bottom w:val="none" w:sz="0" w:space="0" w:color="auto"/>
                                                                                        <w:right w:val="none" w:sz="0" w:space="0" w:color="auto"/>
                                                                                      </w:divBdr>
                                                                                      <w:divsChild>
                                                                                        <w:div w:id="18951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3854288">
      <w:bodyDiv w:val="1"/>
      <w:marLeft w:val="0"/>
      <w:marRight w:val="0"/>
      <w:marTop w:val="0"/>
      <w:marBottom w:val="0"/>
      <w:divBdr>
        <w:top w:val="none" w:sz="0" w:space="0" w:color="auto"/>
        <w:left w:val="none" w:sz="0" w:space="0" w:color="auto"/>
        <w:bottom w:val="none" w:sz="0" w:space="0" w:color="auto"/>
        <w:right w:val="none" w:sz="0" w:space="0" w:color="auto"/>
      </w:divBdr>
    </w:div>
    <w:div w:id="1338532782">
      <w:bodyDiv w:val="1"/>
      <w:marLeft w:val="0"/>
      <w:marRight w:val="0"/>
      <w:marTop w:val="0"/>
      <w:marBottom w:val="0"/>
      <w:divBdr>
        <w:top w:val="none" w:sz="0" w:space="0" w:color="auto"/>
        <w:left w:val="none" w:sz="0" w:space="0" w:color="auto"/>
        <w:bottom w:val="none" w:sz="0" w:space="0" w:color="auto"/>
        <w:right w:val="none" w:sz="0" w:space="0" w:color="auto"/>
      </w:divBdr>
    </w:div>
    <w:div w:id="1476069646">
      <w:bodyDiv w:val="1"/>
      <w:marLeft w:val="0"/>
      <w:marRight w:val="0"/>
      <w:marTop w:val="0"/>
      <w:marBottom w:val="0"/>
      <w:divBdr>
        <w:top w:val="none" w:sz="0" w:space="0" w:color="auto"/>
        <w:left w:val="none" w:sz="0" w:space="0" w:color="auto"/>
        <w:bottom w:val="none" w:sz="0" w:space="0" w:color="auto"/>
        <w:right w:val="none" w:sz="0" w:space="0" w:color="auto"/>
      </w:divBdr>
    </w:div>
    <w:div w:id="1593709069">
      <w:bodyDiv w:val="1"/>
      <w:marLeft w:val="0"/>
      <w:marRight w:val="0"/>
      <w:marTop w:val="0"/>
      <w:marBottom w:val="0"/>
      <w:divBdr>
        <w:top w:val="none" w:sz="0" w:space="0" w:color="auto"/>
        <w:left w:val="none" w:sz="0" w:space="0" w:color="auto"/>
        <w:bottom w:val="none" w:sz="0" w:space="0" w:color="auto"/>
        <w:right w:val="none" w:sz="0" w:space="0" w:color="auto"/>
      </w:divBdr>
    </w:div>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 w:id="209265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1808C-AFC6-4966-A9F3-F4381DABB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1234</Words>
  <Characters>7037</Characters>
  <Application>Microsoft Office Word</Application>
  <DocSecurity>0</DocSecurity>
  <Lines>58</Lines>
  <Paragraphs>16</Paragraphs>
  <ScaleCrop>false</ScaleCrop>
  <HeadingPairs>
    <vt:vector size="10" baseType="variant">
      <vt:variant>
        <vt:lpstr>Title</vt:lpstr>
      </vt:variant>
      <vt:variant>
        <vt:i4>1</vt:i4>
      </vt:variant>
      <vt:variant>
        <vt:lpstr>Titel</vt:lpstr>
      </vt:variant>
      <vt:variant>
        <vt:i4>1</vt:i4>
      </vt:variant>
      <vt:variant>
        <vt:lpstr>Titolo</vt:lpstr>
      </vt:variant>
      <vt:variant>
        <vt:i4>1</vt:i4>
      </vt:variant>
      <vt:variant>
        <vt:lpstr>Titre</vt:lpstr>
      </vt:variant>
      <vt:variant>
        <vt:i4>1</vt:i4>
      </vt:variant>
      <vt:variant>
        <vt:lpstr>Rubrik</vt:lpstr>
      </vt:variant>
      <vt:variant>
        <vt:i4>1</vt:i4>
      </vt:variant>
    </vt:vector>
  </HeadingPairs>
  <TitlesOfParts>
    <vt:vector size="5" baseType="lpstr">
      <vt:lpstr/>
      <vt:lpstr/>
      <vt:lpstr/>
      <vt:lpstr>1126259</vt:lpstr>
      <vt:lpstr>1126259</vt:lpstr>
    </vt:vector>
  </TitlesOfParts>
  <Company>MyCompany</Company>
  <LinksUpToDate>false</LinksUpToDate>
  <CharactersWithSpaces>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c:creator>
  <cp:lastModifiedBy>Christine Barrio-Champeau</cp:lastModifiedBy>
  <cp:revision>3</cp:revision>
  <cp:lastPrinted>2018-11-02T15:01:00Z</cp:lastPrinted>
  <dcterms:created xsi:type="dcterms:W3CDTF">2018-11-06T14:05:00Z</dcterms:created>
  <dcterms:modified xsi:type="dcterms:W3CDTF">2018-11-06T14:15:00Z</dcterms:modified>
</cp:coreProperties>
</file>