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99001C" w:rsidRPr="005A1400" w:rsidTr="00691F20">
        <w:trPr>
          <w:cantSplit/>
          <w:trHeight w:hRule="exact" w:val="851"/>
        </w:trPr>
        <w:tc>
          <w:tcPr>
            <w:tcW w:w="9639" w:type="dxa"/>
            <w:tcBorders>
              <w:bottom w:val="single" w:sz="4" w:space="0" w:color="auto"/>
            </w:tcBorders>
            <w:vAlign w:val="bottom"/>
          </w:tcPr>
          <w:p w:rsidR="0099001C" w:rsidRPr="005A1400" w:rsidRDefault="0099001C" w:rsidP="005A1400">
            <w:pPr>
              <w:jc w:val="right"/>
              <w:rPr>
                <w:b/>
                <w:sz w:val="40"/>
                <w:szCs w:val="40"/>
              </w:rPr>
            </w:pPr>
            <w:r w:rsidRPr="005A1400">
              <w:rPr>
                <w:b/>
                <w:sz w:val="40"/>
                <w:szCs w:val="40"/>
              </w:rPr>
              <w:t>UN/SCEGHS/</w:t>
            </w:r>
            <w:r w:rsidR="00664234" w:rsidRPr="005A1400">
              <w:rPr>
                <w:b/>
                <w:sz w:val="40"/>
                <w:szCs w:val="40"/>
              </w:rPr>
              <w:t>3</w:t>
            </w:r>
            <w:r w:rsidR="001C187F">
              <w:rPr>
                <w:b/>
                <w:sz w:val="40"/>
                <w:szCs w:val="40"/>
              </w:rPr>
              <w:t>6</w:t>
            </w:r>
            <w:r w:rsidRPr="005A1400">
              <w:rPr>
                <w:b/>
                <w:sz w:val="40"/>
                <w:szCs w:val="40"/>
              </w:rPr>
              <w:t>/INF.</w:t>
            </w:r>
            <w:r w:rsidR="00BB7437">
              <w:rPr>
                <w:b/>
                <w:sz w:val="40"/>
                <w:szCs w:val="40"/>
              </w:rPr>
              <w:t>36</w:t>
            </w:r>
          </w:p>
        </w:tc>
      </w:tr>
      <w:tr w:rsidR="0099001C" w:rsidRPr="005A1400" w:rsidTr="008B6E26">
        <w:trPr>
          <w:cantSplit/>
          <w:trHeight w:hRule="exact" w:val="3114"/>
        </w:trPr>
        <w:tc>
          <w:tcPr>
            <w:tcW w:w="9639" w:type="dxa"/>
            <w:tcBorders>
              <w:top w:val="single" w:sz="4" w:space="0" w:color="auto"/>
            </w:tcBorders>
          </w:tcPr>
          <w:p w:rsidR="00965932" w:rsidRPr="005A1400" w:rsidRDefault="00965932" w:rsidP="00965932">
            <w:pPr>
              <w:spacing w:before="120"/>
              <w:rPr>
                <w:b/>
                <w:sz w:val="24"/>
                <w:szCs w:val="24"/>
                <w:lang w:val="en-US"/>
              </w:rPr>
            </w:pPr>
            <w:r w:rsidRPr="005A1400">
              <w:rPr>
                <w:b/>
                <w:sz w:val="24"/>
                <w:szCs w:val="24"/>
                <w:lang w:val="en-US"/>
              </w:rPr>
              <w:t>Committee of Experts on the Transport of Dangerous Goods</w:t>
            </w:r>
            <w:r w:rsidRPr="005A1400">
              <w:rPr>
                <w:b/>
                <w:sz w:val="24"/>
                <w:szCs w:val="24"/>
                <w:lang w:val="en-US"/>
              </w:rPr>
              <w:br/>
              <w:t>and on the Globally Harmonized System of Classification</w:t>
            </w:r>
            <w:r w:rsidRPr="005A1400">
              <w:rPr>
                <w:b/>
                <w:sz w:val="24"/>
                <w:szCs w:val="24"/>
                <w:lang w:val="en-US"/>
              </w:rPr>
              <w:br/>
              <w:t>and Labelling of Chemicals</w:t>
            </w:r>
          </w:p>
          <w:p w:rsidR="00965932" w:rsidRPr="005A1400" w:rsidRDefault="00965932" w:rsidP="00965932">
            <w:pPr>
              <w:tabs>
                <w:tab w:val="left" w:pos="7230"/>
                <w:tab w:val="right" w:pos="9300"/>
              </w:tabs>
              <w:spacing w:before="120"/>
              <w:rPr>
                <w:rFonts w:ascii="Helv" w:hAnsi="Helv" w:cs="Helv"/>
                <w:b/>
                <w:color w:val="000000"/>
                <w:lang w:val="en-US"/>
              </w:rPr>
            </w:pPr>
            <w:r w:rsidRPr="005A1400">
              <w:rPr>
                <w:b/>
                <w:lang w:val="en-US"/>
              </w:rPr>
              <w:t>Sub-Committee of Experts on the Globally Harmonized</w:t>
            </w:r>
            <w:r w:rsidRPr="005A1400">
              <w:rPr>
                <w:b/>
                <w:lang w:val="en-US"/>
              </w:rPr>
              <w:br/>
              <w:t>System of Classification and Labelling of Chemicals</w:t>
            </w:r>
            <w:r w:rsidRPr="005A1400">
              <w:rPr>
                <w:b/>
                <w:lang w:val="en-US"/>
              </w:rPr>
              <w:tab/>
            </w:r>
            <w:r w:rsidR="001B06A5" w:rsidRPr="005A1400">
              <w:rPr>
                <w:b/>
                <w:lang w:val="en-US"/>
              </w:rPr>
              <w:tab/>
            </w:r>
            <w:r w:rsidR="001C187F">
              <w:rPr>
                <w:b/>
                <w:lang w:val="en-US"/>
              </w:rPr>
              <w:t>4 December</w:t>
            </w:r>
            <w:r w:rsidR="009738B3">
              <w:rPr>
                <w:b/>
                <w:lang w:val="en-US"/>
              </w:rPr>
              <w:t xml:space="preserve"> 2018</w:t>
            </w:r>
          </w:p>
          <w:p w:rsidR="00965932" w:rsidRPr="005A1400" w:rsidRDefault="00965932" w:rsidP="00965932">
            <w:pPr>
              <w:jc w:val="both"/>
              <w:rPr>
                <w:b/>
                <w:lang w:val="en-US"/>
              </w:rPr>
            </w:pPr>
          </w:p>
          <w:p w:rsidR="00965932" w:rsidRPr="005A1400" w:rsidRDefault="00965932" w:rsidP="00965932">
            <w:pPr>
              <w:jc w:val="both"/>
            </w:pPr>
            <w:r w:rsidRPr="005A1400">
              <w:rPr>
                <w:b/>
              </w:rPr>
              <w:t>Thirty-</w:t>
            </w:r>
            <w:r w:rsidR="001C187F">
              <w:rPr>
                <w:b/>
              </w:rPr>
              <w:t>sixth</w:t>
            </w:r>
            <w:r w:rsidRPr="005A1400">
              <w:rPr>
                <w:b/>
              </w:rPr>
              <w:t xml:space="preserve"> session</w:t>
            </w:r>
            <w:r w:rsidRPr="005A1400">
              <w:t xml:space="preserve"> </w:t>
            </w:r>
          </w:p>
          <w:p w:rsidR="001B06A5" w:rsidRPr="005A1400" w:rsidRDefault="001B06A5" w:rsidP="001B06A5">
            <w:pPr>
              <w:jc w:val="both"/>
            </w:pPr>
            <w:r w:rsidRPr="005A1400">
              <w:t xml:space="preserve">Geneva, </w:t>
            </w:r>
            <w:r w:rsidR="001C187F">
              <w:t>5</w:t>
            </w:r>
            <w:r w:rsidRPr="005A1400">
              <w:t>-</w:t>
            </w:r>
            <w:r w:rsidR="001C187F">
              <w:t>7</w:t>
            </w:r>
            <w:r w:rsidRPr="005A1400">
              <w:t xml:space="preserve"> </w:t>
            </w:r>
            <w:r w:rsidR="001C187F">
              <w:t>December</w:t>
            </w:r>
            <w:r w:rsidR="00664234" w:rsidRPr="005A1400">
              <w:t xml:space="preserve"> 2018</w:t>
            </w:r>
          </w:p>
          <w:p w:rsidR="0099001C" w:rsidRPr="005A1400" w:rsidRDefault="001B06A5" w:rsidP="005A1400">
            <w:pPr>
              <w:spacing w:before="40"/>
            </w:pPr>
            <w:r w:rsidRPr="005A1400">
              <w:t xml:space="preserve">Item </w:t>
            </w:r>
            <w:r w:rsidR="009738B3">
              <w:t>3</w:t>
            </w:r>
            <w:r w:rsidR="00265243" w:rsidRPr="005A1400">
              <w:t xml:space="preserve"> </w:t>
            </w:r>
            <w:r w:rsidR="005A1400" w:rsidRPr="005A1400">
              <w:t xml:space="preserve">(a) </w:t>
            </w:r>
            <w:r w:rsidRPr="005A1400">
              <w:t>of the provisional agenda</w:t>
            </w:r>
          </w:p>
        </w:tc>
      </w:tr>
    </w:tbl>
    <w:p w:rsidR="00C00ACE" w:rsidRPr="00C00ACE" w:rsidRDefault="00965932" w:rsidP="00126F98">
      <w:pPr>
        <w:pStyle w:val="HChG"/>
        <w:spacing w:before="0"/>
      </w:pPr>
      <w:r w:rsidRPr="009E7ABD">
        <w:rPr>
          <w:rFonts w:eastAsia="MS Mincho"/>
          <w:lang w:val="en-US" w:eastAsia="ja-JP"/>
        </w:rPr>
        <w:tab/>
      </w:r>
      <w:r w:rsidR="00C00ACE">
        <w:rPr>
          <w:rFonts w:eastAsia="MS Mincho"/>
          <w:lang w:val="en-US" w:eastAsia="ja-JP"/>
        </w:rPr>
        <w:tab/>
      </w:r>
      <w:r w:rsidR="00C00ACE" w:rsidRPr="005A1400">
        <w:t>Work of the Sub-Committee of Experts on the Transport of</w:t>
      </w:r>
      <w:r w:rsidR="00C00ACE" w:rsidRPr="00C00ACE">
        <w:t xml:space="preserve"> Dangerous Goods on its fifty-</w:t>
      </w:r>
      <w:r w:rsidR="001C187F">
        <w:t>fourth</w:t>
      </w:r>
      <w:r w:rsidR="00C00ACE" w:rsidRPr="00C00ACE">
        <w:t xml:space="preserve"> session on matters of interest to the GHS Sub-Committee</w:t>
      </w:r>
    </w:p>
    <w:p w:rsidR="00C00ACE" w:rsidRDefault="00C00ACE" w:rsidP="00C00ACE">
      <w:pPr>
        <w:pStyle w:val="H1G"/>
      </w:pPr>
      <w:r>
        <w:tab/>
      </w:r>
      <w:r>
        <w:tab/>
        <w:t>Note by the secretariat</w:t>
      </w:r>
    </w:p>
    <w:p w:rsidR="00E27CDD" w:rsidRDefault="00C00ACE" w:rsidP="00C00ACE">
      <w:pPr>
        <w:pStyle w:val="SingleTxtG"/>
      </w:pPr>
      <w:r w:rsidRPr="001A5EFA">
        <w:t xml:space="preserve">1. </w:t>
      </w:r>
      <w:r w:rsidRPr="001A5EFA">
        <w:tab/>
        <w:t>At its fifty-</w:t>
      </w:r>
      <w:r w:rsidR="001C187F">
        <w:t>fourth</w:t>
      </w:r>
      <w:r w:rsidRPr="001A5EFA">
        <w:t xml:space="preserve"> session, the Sub-Committee of Experts on the Transport of Dangerous Goods (TDG Sub-Committee) considered matters o</w:t>
      </w:r>
      <w:r w:rsidR="007229DF">
        <w:t>f</w:t>
      </w:r>
      <w:r w:rsidRPr="001A5EFA">
        <w:t xml:space="preserve"> interest to the GHS Sub-</w:t>
      </w:r>
      <w:r w:rsidRPr="00125265">
        <w:t xml:space="preserve">Committee under items </w:t>
      </w:r>
      <w:r w:rsidR="00DB33C1">
        <w:t>2</w:t>
      </w:r>
      <w:r w:rsidRPr="00125265">
        <w:t xml:space="preserve"> and </w:t>
      </w:r>
      <w:r w:rsidR="001C187F">
        <w:t>7</w:t>
      </w:r>
      <w:r w:rsidRPr="00125265">
        <w:t xml:space="preserve"> of its agenda</w:t>
      </w:r>
      <w:r w:rsidR="00E30EE8" w:rsidRPr="00125265">
        <w:rPr>
          <w:rStyle w:val="FootnoteReference"/>
        </w:rPr>
        <w:footnoteReference w:id="2"/>
      </w:r>
      <w:r w:rsidRPr="00125265">
        <w:t>.</w:t>
      </w:r>
      <w:r w:rsidR="00E27CDD" w:rsidRPr="00125265">
        <w:t xml:space="preserve"> These included:</w:t>
      </w:r>
    </w:p>
    <w:p w:rsidR="00E27CDD" w:rsidRDefault="00E27CDD" w:rsidP="00126F98">
      <w:pPr>
        <w:pStyle w:val="SingleTxtG"/>
        <w:spacing w:after="80" w:line="240" w:lineRule="auto"/>
        <w:ind w:left="2268" w:hanging="567"/>
      </w:pPr>
      <w:r>
        <w:t>(a)</w:t>
      </w:r>
      <w:r>
        <w:tab/>
      </w:r>
      <w:bookmarkStart w:id="0" w:name="_GoBack"/>
      <w:r>
        <w:t>Explos</w:t>
      </w:r>
      <w:bookmarkEnd w:id="0"/>
      <w:r>
        <w:t>ives and related matters</w:t>
      </w:r>
      <w:r w:rsidR="00A0275E">
        <w:t>;</w:t>
      </w:r>
      <w:r w:rsidR="00125265">
        <w:t xml:space="preserve"> and</w:t>
      </w:r>
    </w:p>
    <w:p w:rsidR="00E27CDD" w:rsidRDefault="00E27CDD" w:rsidP="00126F98">
      <w:pPr>
        <w:pStyle w:val="SingleTxtG"/>
        <w:spacing w:after="80" w:line="240" w:lineRule="auto"/>
        <w:ind w:left="2268" w:hanging="567"/>
      </w:pPr>
      <w:r>
        <w:t>(</w:t>
      </w:r>
      <w:r w:rsidR="00DB33C1">
        <w:t>b</w:t>
      </w:r>
      <w:r>
        <w:t>)</w:t>
      </w:r>
      <w:r>
        <w:tab/>
        <w:t>Use of the Manual of Tests and Criteria in the context of the GHS</w:t>
      </w:r>
      <w:r w:rsidR="00BC6217">
        <w:t>;</w:t>
      </w:r>
    </w:p>
    <w:p w:rsidR="00BC6217" w:rsidRPr="00634742" w:rsidRDefault="001A5EFA" w:rsidP="00BC6217">
      <w:pPr>
        <w:pStyle w:val="SingleTxtG"/>
      </w:pPr>
      <w:r>
        <w:t>3</w:t>
      </w:r>
      <w:r w:rsidR="00C00ACE" w:rsidRPr="001A5EFA">
        <w:t xml:space="preserve">. </w:t>
      </w:r>
      <w:r w:rsidR="00C00ACE" w:rsidRPr="001A5EFA">
        <w:tab/>
      </w:r>
      <w:r w:rsidR="00BC6217" w:rsidRPr="00634742">
        <w:t xml:space="preserve">Following preliminary consideration in plenary, most issues related to </w:t>
      </w:r>
      <w:r w:rsidR="009738B3">
        <w:t xml:space="preserve">agenda item 2 were </w:t>
      </w:r>
      <w:r w:rsidR="00BC6217" w:rsidRPr="00634742">
        <w:t>referred to the Working Group on Explosives</w:t>
      </w:r>
      <w:r w:rsidR="00100A84">
        <w:t xml:space="preserve"> (EWG)</w:t>
      </w:r>
      <w:r w:rsidR="00BC6217" w:rsidRPr="00634742">
        <w:t xml:space="preserve">, which met from </w:t>
      </w:r>
      <w:r w:rsidR="001C187F">
        <w:t>26</w:t>
      </w:r>
      <w:r w:rsidR="009738B3">
        <w:t xml:space="preserve"> to </w:t>
      </w:r>
      <w:r w:rsidR="001C187F">
        <w:t>30 November</w:t>
      </w:r>
      <w:r w:rsidR="009738B3">
        <w:t xml:space="preserve"> </w:t>
      </w:r>
      <w:r w:rsidR="00BC6217" w:rsidRPr="00634742">
        <w:t>201</w:t>
      </w:r>
      <w:r w:rsidR="009738B3">
        <w:t>8</w:t>
      </w:r>
      <w:r w:rsidR="00BC6217" w:rsidRPr="00634742">
        <w:t>, with Mr. E. de Jong (Netherlands) as Chair.</w:t>
      </w:r>
      <w:r w:rsidR="001C187F">
        <w:t xml:space="preserve"> The full report of the Working Group has been circulated as informal document </w:t>
      </w:r>
      <w:r w:rsidR="001C187F" w:rsidRPr="00BC6217">
        <w:t>INF.</w:t>
      </w:r>
      <w:r w:rsidR="001C187F">
        <w:t xml:space="preserve">50 (fifty-fourth session of the </w:t>
      </w:r>
      <w:r w:rsidR="001C187F" w:rsidRPr="001A5EFA">
        <w:t>TDG Sub-Committee</w:t>
      </w:r>
      <w:r w:rsidR="001C187F">
        <w:t>)</w:t>
      </w:r>
      <w:r w:rsidR="001C187F">
        <w:rPr>
          <w:rStyle w:val="FootnoteReference"/>
        </w:rPr>
        <w:t xml:space="preserve"> </w:t>
      </w:r>
      <w:r w:rsidR="001C187F">
        <w:t xml:space="preserve">and is reproduced as informal document INF.34 (thirty-sixth session of the GHS Sub-Committee). </w:t>
      </w:r>
    </w:p>
    <w:p w:rsidR="00970988" w:rsidRDefault="00BC6217" w:rsidP="00970988">
      <w:pPr>
        <w:pStyle w:val="SingleTxtG"/>
      </w:pPr>
      <w:r>
        <w:t>4</w:t>
      </w:r>
      <w:r w:rsidRPr="00634742">
        <w:t>.</w:t>
      </w:r>
      <w:r w:rsidRPr="00634742">
        <w:tab/>
      </w:r>
      <w:r w:rsidR="009738B3">
        <w:t>Document</w:t>
      </w:r>
      <w:r w:rsidR="001C187F">
        <w:t>s</w:t>
      </w:r>
      <w:r w:rsidR="009738B3">
        <w:t xml:space="preserve"> </w:t>
      </w:r>
      <w:r w:rsidR="00231719">
        <w:t>ST/SG/AC.10/C.4/2018/15, ST/SG/AC.10/C.4/2018/16 and ST/SG/AC.10/C.4/2018/26</w:t>
      </w:r>
      <w:r w:rsidR="009738B3">
        <w:t xml:space="preserve"> and informal documents INF.3, INF.4 and INF.5 </w:t>
      </w:r>
      <w:r w:rsidRPr="00634742">
        <w:t>on the Use of the Manual of Tests and Criteria in the c</w:t>
      </w:r>
      <w:r w:rsidR="00231719">
        <w:t>ontext of GHS</w:t>
      </w:r>
      <w:r w:rsidRPr="00634742">
        <w:t xml:space="preserve"> were also referred to the </w:t>
      </w:r>
      <w:r w:rsidR="00100A84">
        <w:t>EWG</w:t>
      </w:r>
      <w:r w:rsidRPr="00634742">
        <w:t>.</w:t>
      </w:r>
      <w:r>
        <w:t xml:space="preserve"> </w:t>
      </w:r>
      <w:r w:rsidR="00231719">
        <w:t>See informal document INF.34.</w:t>
      </w:r>
      <w:r w:rsidR="00970988">
        <w:t xml:space="preserve"> </w:t>
      </w:r>
    </w:p>
    <w:p w:rsidR="00231719" w:rsidRDefault="00231719" w:rsidP="00231719">
      <w:pPr>
        <w:pStyle w:val="SingleTxtG"/>
      </w:pPr>
      <w:r w:rsidRPr="00BC6217">
        <w:t>5.</w:t>
      </w:r>
      <w:r w:rsidRPr="00BC6217">
        <w:tab/>
        <w:t xml:space="preserve">The outcome of the discussions of the TDG Sub-Committee on matters of interest to the GHS Sub-Committee is summarized </w:t>
      </w:r>
      <w:r>
        <w:t>below</w:t>
      </w:r>
      <w:r w:rsidRPr="00BC6217">
        <w:t xml:space="preserve">. </w:t>
      </w:r>
    </w:p>
    <w:p w:rsidR="006D612A" w:rsidRDefault="006D612A" w:rsidP="00231719">
      <w:pPr>
        <w:pStyle w:val="SingleTxtG"/>
      </w:pPr>
      <w:r>
        <w:t xml:space="preserve">6. </w:t>
      </w:r>
      <w:r>
        <w:tab/>
        <w:t>Unless specified, informal documents listed are the informal documents submitted at the 36</w:t>
      </w:r>
      <w:r w:rsidRPr="006D612A">
        <w:rPr>
          <w:vertAlign w:val="superscript"/>
        </w:rPr>
        <w:t>th</w:t>
      </w:r>
      <w:r>
        <w:t xml:space="preserve"> session of the GHS Sub-Committee.</w:t>
      </w:r>
    </w:p>
    <w:p w:rsidR="00C868BA" w:rsidRDefault="00C868BA" w:rsidP="00C868BA">
      <w:pPr>
        <w:pStyle w:val="H23G"/>
      </w:pPr>
      <w:r>
        <w:t xml:space="preserve">Item </w:t>
      </w:r>
      <w:r w:rsidR="00BB7437">
        <w:t>1</w:t>
      </w:r>
      <w:r>
        <w:tab/>
      </w:r>
      <w:r>
        <w:tab/>
        <w:t xml:space="preserve">Use of the Manual of Tests and Criteria in the context of GHS </w:t>
      </w:r>
      <w:r w:rsidRPr="00C868BA">
        <w:t>(GHS Sub-Committee agenda item 3 (a))</w:t>
      </w:r>
    </w:p>
    <w:p w:rsidR="00C868BA" w:rsidRDefault="00C868BA" w:rsidP="00C868BA">
      <w:pPr>
        <w:pStyle w:val="SingleTxtG"/>
        <w:tabs>
          <w:tab w:val="left" w:pos="3119"/>
        </w:tabs>
        <w:spacing w:after="0"/>
        <w:ind w:left="3119" w:hanging="1985"/>
        <w:rPr>
          <w:lang w:val="en-US"/>
        </w:rPr>
      </w:pPr>
      <w:r>
        <w:rPr>
          <w:i/>
          <w:iCs/>
        </w:rPr>
        <w:t xml:space="preserve">Documents:  </w:t>
      </w:r>
      <w:r>
        <w:rPr>
          <w:i/>
          <w:iCs/>
        </w:rPr>
        <w:tab/>
      </w:r>
      <w:r>
        <w:rPr>
          <w:lang w:val="en-US"/>
        </w:rPr>
        <w:t>ST/SG/AC.10/C.4/2018/15 (Chairman of the Working Group on Explosives)</w:t>
      </w:r>
    </w:p>
    <w:p w:rsidR="00C868BA" w:rsidRDefault="00C868BA" w:rsidP="00C868BA">
      <w:pPr>
        <w:pStyle w:val="SingleTxtG"/>
        <w:tabs>
          <w:tab w:val="left" w:pos="3119"/>
        </w:tabs>
        <w:spacing w:after="0"/>
        <w:ind w:left="3119" w:hanging="1985"/>
        <w:rPr>
          <w:lang w:val="en-US"/>
        </w:rPr>
      </w:pPr>
      <w:r>
        <w:rPr>
          <w:i/>
          <w:iCs/>
        </w:rPr>
        <w:tab/>
      </w:r>
      <w:r w:rsidRPr="00070BEE">
        <w:t>ST/SG/AC.10/C.4/2018/</w:t>
      </w:r>
      <w:r>
        <w:t>16</w:t>
      </w:r>
      <w:r w:rsidRPr="00070BEE">
        <w:t xml:space="preserve"> (Chairman of the Working Group on Explosives)</w:t>
      </w:r>
    </w:p>
    <w:p w:rsidR="00C868BA" w:rsidRPr="00070BEE" w:rsidRDefault="00C868BA" w:rsidP="00C868BA">
      <w:pPr>
        <w:pStyle w:val="SingleTxtG"/>
        <w:tabs>
          <w:tab w:val="left" w:pos="3119"/>
        </w:tabs>
        <w:spacing w:after="240"/>
        <w:ind w:left="3119" w:hanging="1985"/>
      </w:pPr>
      <w:r>
        <w:lastRenderedPageBreak/>
        <w:tab/>
      </w:r>
      <w:r w:rsidRPr="00070BEE">
        <w:t>ST/SG/AC.10/C.4/2018/</w:t>
      </w:r>
      <w:r>
        <w:t>26</w:t>
      </w:r>
      <w:r w:rsidRPr="00070BEE">
        <w:t xml:space="preserve"> (Chairman of the Working Group on Explosives)</w:t>
      </w:r>
    </w:p>
    <w:p w:rsidR="00C868BA" w:rsidRDefault="00C868BA" w:rsidP="00C868BA">
      <w:pPr>
        <w:pStyle w:val="SingleTxtG"/>
        <w:ind w:left="3119" w:hanging="1985"/>
        <w:rPr>
          <w:lang w:val="en-US"/>
        </w:rPr>
      </w:pPr>
      <w:r>
        <w:rPr>
          <w:i/>
          <w:iCs/>
        </w:rPr>
        <w:t>Informal documents</w:t>
      </w:r>
      <w:r w:rsidRPr="00EF030F">
        <w:rPr>
          <w:i/>
          <w:iCs/>
        </w:rPr>
        <w:t>:</w:t>
      </w:r>
      <w:r w:rsidRPr="00634742">
        <w:tab/>
      </w:r>
      <w:r>
        <w:rPr>
          <w:lang w:val="en-US"/>
        </w:rPr>
        <w:t>INF.3, INF.4 and INF.5 (</w:t>
      </w:r>
      <w:r w:rsidRPr="00070BEE">
        <w:t>Chairman of the Working Group on Explosives</w:t>
      </w:r>
      <w:r>
        <w:rPr>
          <w:lang w:val="en-US"/>
        </w:rPr>
        <w:t>)</w:t>
      </w:r>
    </w:p>
    <w:p w:rsidR="00C868BA" w:rsidRDefault="00A34497" w:rsidP="00C868BA">
      <w:pPr>
        <w:pStyle w:val="SingleTxtG"/>
        <w:rPr>
          <w:lang w:val="en-US"/>
        </w:rPr>
      </w:pPr>
      <w:r w:rsidRPr="00A34497">
        <w:t>7.</w:t>
      </w:r>
      <w:r w:rsidRPr="00A34497">
        <w:tab/>
      </w:r>
      <w:r w:rsidR="00C868BA" w:rsidRPr="00A34497">
        <w:rPr>
          <w:b/>
          <w:bCs/>
        </w:rPr>
        <w:t>The revision work has been completed</w:t>
      </w:r>
      <w:r w:rsidR="00C868BA">
        <w:t xml:space="preserve">. See informal document INF.34, </w:t>
      </w:r>
      <w:r w:rsidR="00C868BA">
        <w:rPr>
          <w:lang w:val="en-US"/>
        </w:rPr>
        <w:t xml:space="preserve">paragraphs 17-19 of the report of the </w:t>
      </w:r>
      <w:r w:rsidR="002C6FD3" w:rsidRPr="00634742">
        <w:t>Working Group on Explosives</w:t>
      </w:r>
      <w:r w:rsidR="002C6FD3">
        <w:rPr>
          <w:lang w:val="en-US"/>
        </w:rPr>
        <w:t xml:space="preserve"> </w:t>
      </w:r>
      <w:r w:rsidR="00C868BA">
        <w:rPr>
          <w:lang w:val="en-US"/>
        </w:rPr>
        <w:t>(</w:t>
      </w:r>
      <w:r w:rsidR="00C868BA">
        <w:t>Chairman of the Working Group</w:t>
      </w:r>
      <w:r w:rsidR="00C868BA">
        <w:rPr>
          <w:lang w:val="en-US"/>
        </w:rPr>
        <w:t>).</w:t>
      </w:r>
    </w:p>
    <w:p w:rsidR="002A76F3" w:rsidRPr="00DB33C1" w:rsidRDefault="002A76F3" w:rsidP="002A76F3">
      <w:pPr>
        <w:pStyle w:val="H23G"/>
      </w:pPr>
      <w:r w:rsidRPr="00DB33C1">
        <w:t xml:space="preserve">Item </w:t>
      </w:r>
      <w:r w:rsidR="00C868BA">
        <w:t>2</w:t>
      </w:r>
      <w:r w:rsidRPr="00DB33C1">
        <w:tab/>
      </w:r>
      <w:r w:rsidRPr="00DB33C1">
        <w:tab/>
      </w:r>
      <w:r>
        <w:tab/>
      </w:r>
      <w:r w:rsidR="00C868BA">
        <w:t>Improvement of the 8</w:t>
      </w:r>
      <w:r w:rsidR="00A34497">
        <w:t xml:space="preserve"> </w:t>
      </w:r>
      <w:r w:rsidR="00C868BA">
        <w:t xml:space="preserve">(c) test for UN 3375 ANE candidates </w:t>
      </w:r>
      <w:r w:rsidR="00C868BA" w:rsidRPr="00C868BA">
        <w:t>(GHS Sub-Committee agenda item 3 (a))</w:t>
      </w:r>
    </w:p>
    <w:p w:rsidR="002A76F3" w:rsidRDefault="002A76F3" w:rsidP="002A76F3">
      <w:pPr>
        <w:pStyle w:val="SingleTxtG"/>
        <w:tabs>
          <w:tab w:val="left" w:pos="3119"/>
        </w:tabs>
        <w:spacing w:after="240"/>
        <w:ind w:left="3119" w:hanging="1985"/>
        <w:rPr>
          <w:lang w:val="en-US"/>
        </w:rPr>
      </w:pPr>
      <w:r w:rsidRPr="00EF030F">
        <w:rPr>
          <w:i/>
          <w:iCs/>
        </w:rPr>
        <w:t>Document:</w:t>
      </w:r>
      <w:r w:rsidRPr="00634742">
        <w:tab/>
      </w:r>
      <w:r>
        <w:t>ST/SG/AC.10/C.3/2018/17 (IME)</w:t>
      </w:r>
    </w:p>
    <w:p w:rsidR="002A76F3" w:rsidRDefault="002A76F3" w:rsidP="006D612A">
      <w:pPr>
        <w:pStyle w:val="SingleTxtG"/>
        <w:tabs>
          <w:tab w:val="left" w:pos="3119"/>
        </w:tabs>
        <w:spacing w:after="0"/>
        <w:rPr>
          <w:lang w:val="en-US"/>
        </w:rPr>
      </w:pPr>
      <w:r>
        <w:rPr>
          <w:i/>
          <w:iCs/>
        </w:rPr>
        <w:t>Informal documents</w:t>
      </w:r>
      <w:r w:rsidRPr="00EF030F">
        <w:rPr>
          <w:i/>
          <w:iCs/>
        </w:rPr>
        <w:t>:</w:t>
      </w:r>
      <w:r w:rsidRPr="00634742">
        <w:tab/>
      </w:r>
      <w:r>
        <w:rPr>
          <w:lang w:val="en-US"/>
        </w:rPr>
        <w:t>INF.12 (Canada, IME)</w:t>
      </w:r>
    </w:p>
    <w:p w:rsidR="002A76F3" w:rsidRDefault="002A76F3" w:rsidP="006D612A">
      <w:pPr>
        <w:pStyle w:val="SingleTxtG"/>
        <w:tabs>
          <w:tab w:val="left" w:pos="1701"/>
          <w:tab w:val="left" w:pos="3119"/>
        </w:tabs>
        <w:ind w:left="3119"/>
        <w:rPr>
          <w:lang w:val="en-US"/>
        </w:rPr>
      </w:pPr>
      <w:r>
        <w:rPr>
          <w:lang w:val="en-US"/>
        </w:rPr>
        <w:t xml:space="preserve">INF.34, paragraph 5 of the report of the </w:t>
      </w:r>
      <w:r w:rsidR="002C6FD3" w:rsidRPr="00634742">
        <w:t>Working Group on Explosives</w:t>
      </w:r>
      <w:r w:rsidR="002C6FD3">
        <w:rPr>
          <w:lang w:val="en-US"/>
        </w:rPr>
        <w:t xml:space="preserve"> </w:t>
      </w:r>
      <w:r>
        <w:rPr>
          <w:lang w:val="en-US"/>
        </w:rPr>
        <w:t>(</w:t>
      </w:r>
      <w:r>
        <w:t>Chairman of the Working Group</w:t>
      </w:r>
      <w:r>
        <w:rPr>
          <w:lang w:val="en-US"/>
        </w:rPr>
        <w:t>)</w:t>
      </w:r>
    </w:p>
    <w:p w:rsidR="002A76F3" w:rsidRPr="00A34497" w:rsidRDefault="00A34497" w:rsidP="002A76F3">
      <w:pPr>
        <w:pStyle w:val="SingleTxtG"/>
        <w:rPr>
          <w:b/>
          <w:bCs/>
        </w:rPr>
      </w:pPr>
      <w:r>
        <w:t>8.</w:t>
      </w:r>
      <w:r>
        <w:tab/>
      </w:r>
      <w:r w:rsidR="00CF6EA9">
        <w:t>T</w:t>
      </w:r>
      <w:r w:rsidR="002A76F3" w:rsidRPr="006E31EC">
        <w:t xml:space="preserve">he </w:t>
      </w:r>
      <w:r w:rsidR="00847E8B">
        <w:t xml:space="preserve">TDG </w:t>
      </w:r>
      <w:r w:rsidR="002A76F3" w:rsidRPr="006E31EC">
        <w:t xml:space="preserve">Sub-Committee adopted amendments 1 to 5 in annex 3 </w:t>
      </w:r>
      <w:r w:rsidR="00847E8B">
        <w:t xml:space="preserve">of the report of the </w:t>
      </w:r>
      <w:r w:rsidR="00847E8B" w:rsidRPr="00D6609E">
        <w:t>Working Group on Explosives</w:t>
      </w:r>
      <w:r w:rsidR="00847E8B">
        <w:t xml:space="preserve"> (reproduced as </w:t>
      </w:r>
      <w:r w:rsidR="00C868BA">
        <w:t xml:space="preserve">informal document </w:t>
      </w:r>
      <w:r w:rsidR="00847E8B">
        <w:t>INF.34)</w:t>
      </w:r>
      <w:r w:rsidR="002A76F3" w:rsidRPr="006E31EC">
        <w:t xml:space="preserve">. </w:t>
      </w:r>
      <w:r w:rsidR="002A76F3" w:rsidRPr="00A34497">
        <w:rPr>
          <w:b/>
          <w:bCs/>
        </w:rPr>
        <w:t xml:space="preserve">The consequential amendments to the GHS in amendment 1 in annex 4 </w:t>
      </w:r>
      <w:r w:rsidR="00847E8B" w:rsidRPr="00A34497">
        <w:rPr>
          <w:b/>
          <w:bCs/>
        </w:rPr>
        <w:t>of the report of the Working Group on Explosives (</w:t>
      </w:r>
      <w:r w:rsidR="00C868BA" w:rsidRPr="00A34497">
        <w:rPr>
          <w:b/>
          <w:bCs/>
        </w:rPr>
        <w:t>informal document</w:t>
      </w:r>
      <w:r w:rsidR="00847E8B" w:rsidRPr="00A34497">
        <w:rPr>
          <w:b/>
          <w:bCs/>
        </w:rPr>
        <w:t xml:space="preserve"> INF.34) </w:t>
      </w:r>
      <w:r w:rsidR="002A76F3" w:rsidRPr="00A34497">
        <w:rPr>
          <w:b/>
          <w:bCs/>
        </w:rPr>
        <w:t xml:space="preserve">will be brought to the attention of the GHS Sub-Committee. </w:t>
      </w:r>
    </w:p>
    <w:p w:rsidR="00847E8B" w:rsidRPr="00417338" w:rsidRDefault="002A76F3" w:rsidP="00847E8B">
      <w:pPr>
        <w:pStyle w:val="SingleTxtG"/>
        <w:rPr>
          <w:i/>
        </w:rPr>
      </w:pPr>
      <w:r w:rsidRPr="00417338">
        <w:rPr>
          <w:i/>
        </w:rPr>
        <w:t>(Ref.Doc.: Draft report of the TDG Sub-Committee on its 5</w:t>
      </w:r>
      <w:r>
        <w:rPr>
          <w:i/>
        </w:rPr>
        <w:t>4th</w:t>
      </w:r>
      <w:r w:rsidRPr="00417338">
        <w:rPr>
          <w:i/>
        </w:rPr>
        <w:t xml:space="preserve"> session: ST/SG/AC.10/C.3/201</w:t>
      </w:r>
      <w:r>
        <w:rPr>
          <w:i/>
        </w:rPr>
        <w:t>8</w:t>
      </w:r>
      <w:r w:rsidRPr="00417338">
        <w:rPr>
          <w:i/>
        </w:rPr>
        <w:t>/CRP.</w:t>
      </w:r>
      <w:r>
        <w:rPr>
          <w:i/>
        </w:rPr>
        <w:t>3</w:t>
      </w:r>
      <w:r w:rsidRPr="00417338">
        <w:rPr>
          <w:i/>
        </w:rPr>
        <w:t>/Add.</w:t>
      </w:r>
      <w:r>
        <w:rPr>
          <w:i/>
        </w:rPr>
        <w:t>9</w:t>
      </w:r>
      <w:r w:rsidRPr="00417338">
        <w:rPr>
          <w:i/>
        </w:rPr>
        <w:t>, paragraph</w:t>
      </w:r>
      <w:r>
        <w:rPr>
          <w:i/>
        </w:rPr>
        <w:t xml:space="preserve"> 101</w:t>
      </w:r>
      <w:r w:rsidRPr="00417338">
        <w:rPr>
          <w:i/>
        </w:rPr>
        <w:t>)</w:t>
      </w:r>
    </w:p>
    <w:p w:rsidR="002A76F3" w:rsidRPr="00A34497" w:rsidRDefault="00A34497" w:rsidP="002A76F3">
      <w:pPr>
        <w:pStyle w:val="SingleTxtG"/>
      </w:pPr>
      <w:r w:rsidRPr="00A34497">
        <w:t>9.</w:t>
      </w:r>
      <w:r w:rsidRPr="00A34497">
        <w:tab/>
      </w:r>
      <w:r w:rsidR="002A76F3" w:rsidRPr="00A34497">
        <w:rPr>
          <w:b/>
          <w:bCs/>
        </w:rPr>
        <w:t>Draft amendments to the seventh revised edition of the Globally Harmonized System of Classification and Labelling of Chemicals (ST/SG/AC.10/30/Rev.7):</w:t>
      </w:r>
    </w:p>
    <w:p w:rsidR="002A76F3" w:rsidRPr="00A34497" w:rsidRDefault="002A76F3" w:rsidP="002A76F3">
      <w:pPr>
        <w:pStyle w:val="SingleTxtG"/>
      </w:pPr>
      <w:r w:rsidRPr="00A34497">
        <w:t xml:space="preserve">See annex 4 of </w:t>
      </w:r>
      <w:r w:rsidR="00070BEE" w:rsidRPr="00A34497">
        <w:rPr>
          <w:lang w:val="en-US"/>
        </w:rPr>
        <w:t xml:space="preserve">report of the </w:t>
      </w:r>
      <w:r w:rsidR="002C6FD3" w:rsidRPr="00634742">
        <w:t>Working Group on Explosives</w:t>
      </w:r>
      <w:r w:rsidR="002C6FD3" w:rsidRPr="00A34497">
        <w:rPr>
          <w:lang w:val="en-US"/>
        </w:rPr>
        <w:t xml:space="preserve"> </w:t>
      </w:r>
      <w:r w:rsidR="00070BEE" w:rsidRPr="00A34497">
        <w:rPr>
          <w:lang w:val="en-US"/>
        </w:rPr>
        <w:t>(</w:t>
      </w:r>
      <w:r w:rsidR="00070BEE" w:rsidRPr="00A34497">
        <w:t>Chairman of the Working Group</w:t>
      </w:r>
      <w:r w:rsidR="00070BEE" w:rsidRPr="00A34497">
        <w:rPr>
          <w:lang w:val="en-US"/>
        </w:rPr>
        <w:t xml:space="preserve">) in </w:t>
      </w:r>
      <w:r w:rsidR="00A34497" w:rsidRPr="00A34497">
        <w:rPr>
          <w:lang w:val="en-US"/>
        </w:rPr>
        <w:t xml:space="preserve">informal document </w:t>
      </w:r>
      <w:r w:rsidR="00070BEE" w:rsidRPr="00A34497">
        <w:rPr>
          <w:lang w:val="en-US"/>
        </w:rPr>
        <w:t>INF.34.</w:t>
      </w:r>
    </w:p>
    <w:p w:rsidR="00C868BA" w:rsidRPr="00DB33C1" w:rsidRDefault="00C868BA" w:rsidP="00C868BA">
      <w:pPr>
        <w:pStyle w:val="H23G"/>
      </w:pPr>
      <w:r w:rsidRPr="00DB33C1">
        <w:t xml:space="preserve">Item </w:t>
      </w:r>
      <w:r>
        <w:t>3</w:t>
      </w:r>
      <w:r w:rsidRPr="00DB33C1">
        <w:tab/>
      </w:r>
      <w:r w:rsidRPr="00DB33C1">
        <w:tab/>
      </w:r>
      <w:r w:rsidRPr="00833A2A">
        <w:t>Amendment to the classification of flammable liquids in Chapter 2.6 of the GHS</w:t>
      </w:r>
      <w:r>
        <w:t xml:space="preserve"> </w:t>
      </w:r>
      <w:r w:rsidRPr="00C868BA">
        <w:t>(GHS Sub-Committee agenda item 3 (a))</w:t>
      </w:r>
    </w:p>
    <w:p w:rsidR="00C868BA" w:rsidRPr="00833A2A" w:rsidRDefault="00C868BA" w:rsidP="00C868BA">
      <w:pPr>
        <w:pStyle w:val="SingleTxtG"/>
        <w:tabs>
          <w:tab w:val="left" w:pos="3119"/>
        </w:tabs>
        <w:spacing w:after="240"/>
        <w:ind w:left="3119" w:hanging="1985"/>
        <w:rPr>
          <w:lang w:val="en-US"/>
        </w:rPr>
      </w:pPr>
      <w:r w:rsidRPr="00833A2A">
        <w:rPr>
          <w:i/>
          <w:iCs/>
        </w:rPr>
        <w:t>Document:</w:t>
      </w:r>
      <w:r w:rsidRPr="00833A2A">
        <w:tab/>
      </w:r>
      <w:r w:rsidRPr="00833A2A">
        <w:rPr>
          <w:lang w:val="en-US"/>
        </w:rPr>
        <w:t>ST/SG/AC.10/C.4/2018/22 (IPPIC)</w:t>
      </w:r>
    </w:p>
    <w:p w:rsidR="00C868BA" w:rsidRPr="00833A2A" w:rsidRDefault="00C868BA" w:rsidP="00C868BA">
      <w:pPr>
        <w:pStyle w:val="SingleTxtG"/>
        <w:tabs>
          <w:tab w:val="left" w:pos="3119"/>
        </w:tabs>
        <w:ind w:left="3119" w:hanging="1985"/>
        <w:rPr>
          <w:lang w:val="en-US"/>
        </w:rPr>
      </w:pPr>
      <w:r w:rsidRPr="00833A2A">
        <w:rPr>
          <w:i/>
          <w:iCs/>
        </w:rPr>
        <w:t>Informal document:</w:t>
      </w:r>
      <w:r w:rsidRPr="00833A2A">
        <w:tab/>
      </w:r>
      <w:r w:rsidRPr="00833A2A">
        <w:rPr>
          <w:lang w:val="en-US"/>
        </w:rPr>
        <w:t>INF.29 (IPPIC)</w:t>
      </w:r>
    </w:p>
    <w:p w:rsidR="00C868BA" w:rsidRPr="00070BEE" w:rsidRDefault="00A34497" w:rsidP="00C868BA">
      <w:pPr>
        <w:pStyle w:val="SingleTxtG"/>
        <w:rPr>
          <w:lang w:val="en-US"/>
        </w:rPr>
      </w:pPr>
      <w:r>
        <w:rPr>
          <w:lang w:val="en-US"/>
        </w:rPr>
        <w:t>10.</w:t>
      </w:r>
      <w:r>
        <w:rPr>
          <w:lang w:val="en-US"/>
        </w:rPr>
        <w:tab/>
      </w:r>
      <w:r w:rsidR="00C868BA" w:rsidRPr="00070BEE">
        <w:rPr>
          <w:lang w:val="en-US"/>
        </w:rPr>
        <w:t>There was support for the proposal in document ST/SG/AC.10/C.4/2018/22 in principle. However, it was noted that the modified proposal in informal document INF.29 included consequential amendments to the Manual of Tests and Criteria and that it had been circulated rather late. Since several experts expressed some concerns on the proposed amendments in paragraphs 8 and 9 of informal document INF.</w:t>
      </w:r>
      <w:r w:rsidR="00C868BA">
        <w:rPr>
          <w:lang w:val="en-US"/>
        </w:rPr>
        <w:t>29</w:t>
      </w:r>
      <w:r w:rsidR="00C868BA" w:rsidRPr="00070BEE">
        <w:rPr>
          <w:lang w:val="en-US"/>
        </w:rPr>
        <w:t xml:space="preserve"> and indicated that they had not had time to conduct the necessary consultations at national level, the </w:t>
      </w:r>
      <w:r w:rsidR="00C868BA">
        <w:rPr>
          <w:lang w:val="en-US"/>
        </w:rPr>
        <w:t xml:space="preserve">TDG </w:t>
      </w:r>
      <w:r w:rsidR="00C868BA" w:rsidRPr="00070BEE">
        <w:rPr>
          <w:lang w:val="en-US"/>
        </w:rPr>
        <w:t>Sub-Committee decided to defer their consideration to the next session.</w:t>
      </w:r>
    </w:p>
    <w:p w:rsidR="00C868BA" w:rsidRPr="00A34497" w:rsidRDefault="00A34497" w:rsidP="00C868BA">
      <w:pPr>
        <w:pStyle w:val="SingleTxtG"/>
        <w:rPr>
          <w:b/>
          <w:bCs/>
        </w:rPr>
      </w:pPr>
      <w:r w:rsidRPr="00A34497">
        <w:rPr>
          <w:lang w:val="en-US"/>
        </w:rPr>
        <w:t>11.</w:t>
      </w:r>
      <w:r w:rsidRPr="00A34497">
        <w:rPr>
          <w:lang w:val="en-US"/>
        </w:rPr>
        <w:tab/>
      </w:r>
      <w:r w:rsidR="00C868BA" w:rsidRPr="00A34497">
        <w:rPr>
          <w:b/>
          <w:bCs/>
          <w:lang w:val="en-US"/>
        </w:rPr>
        <w:t>The representative of IPPIC volunteered to submit an official document for the next session that would also take account of the feedback provided by the GHS Sub-Committee.</w:t>
      </w:r>
    </w:p>
    <w:p w:rsidR="00C868BA" w:rsidRPr="00417338" w:rsidRDefault="00C868BA" w:rsidP="00C868BA">
      <w:pPr>
        <w:pStyle w:val="SingleTxtG"/>
        <w:rPr>
          <w:i/>
        </w:rPr>
      </w:pPr>
      <w:r w:rsidRPr="00417338">
        <w:rPr>
          <w:i/>
        </w:rPr>
        <w:t>(Ref.Doc.: Draft report of the TDG Sub-Committee on its 5</w:t>
      </w:r>
      <w:r>
        <w:rPr>
          <w:i/>
        </w:rPr>
        <w:t>4th</w:t>
      </w:r>
      <w:r w:rsidRPr="00417338">
        <w:rPr>
          <w:i/>
        </w:rPr>
        <w:t xml:space="preserve"> session: ST/SG/AC.10/C.3/201</w:t>
      </w:r>
      <w:r>
        <w:rPr>
          <w:i/>
        </w:rPr>
        <w:t>8</w:t>
      </w:r>
      <w:r w:rsidRPr="00417338">
        <w:rPr>
          <w:i/>
        </w:rPr>
        <w:t>/CRP.</w:t>
      </w:r>
      <w:r>
        <w:rPr>
          <w:i/>
        </w:rPr>
        <w:t>3</w:t>
      </w:r>
      <w:r w:rsidRPr="00417338">
        <w:rPr>
          <w:i/>
        </w:rPr>
        <w:t>/Add.</w:t>
      </w:r>
      <w:r>
        <w:rPr>
          <w:i/>
        </w:rPr>
        <w:t>10</w:t>
      </w:r>
      <w:r w:rsidRPr="00417338">
        <w:rPr>
          <w:i/>
        </w:rPr>
        <w:t>, paragraph</w:t>
      </w:r>
      <w:r>
        <w:rPr>
          <w:i/>
        </w:rPr>
        <w:t>s 121-122</w:t>
      </w:r>
      <w:r w:rsidRPr="00417338">
        <w:rPr>
          <w:i/>
        </w:rPr>
        <w:t>)</w:t>
      </w:r>
    </w:p>
    <w:p w:rsidR="00C868BA" w:rsidRPr="00DB33C1" w:rsidRDefault="00C868BA" w:rsidP="00C868BA">
      <w:pPr>
        <w:pStyle w:val="H23G"/>
      </w:pPr>
      <w:r w:rsidRPr="00C868BA">
        <w:t xml:space="preserve">Item </w:t>
      </w:r>
      <w:r w:rsidR="00BB7437">
        <w:t>4</w:t>
      </w:r>
      <w:r w:rsidRPr="00C868BA">
        <w:tab/>
      </w:r>
      <w:r w:rsidRPr="00C868BA">
        <w:tab/>
        <w:t>Testing of oxidizing substances (GHS Sub-Committee agenda item 3 (a))</w:t>
      </w:r>
    </w:p>
    <w:p w:rsidR="00C868BA" w:rsidRPr="00417338" w:rsidRDefault="00C868BA" w:rsidP="00C868BA">
      <w:pPr>
        <w:pStyle w:val="SingleTxtG"/>
      </w:pPr>
      <w:r w:rsidRPr="00100A84">
        <w:rPr>
          <w:i/>
          <w:iCs/>
        </w:rPr>
        <w:t>Document</w:t>
      </w:r>
      <w:r w:rsidRPr="00417338">
        <w:t>: ST/SG/AC.10/C.4/2018/</w:t>
      </w:r>
      <w:r>
        <w:t>24</w:t>
      </w:r>
      <w:r w:rsidRPr="00417338">
        <w:t xml:space="preserve"> (</w:t>
      </w:r>
      <w:r>
        <w:t>France</w:t>
      </w:r>
      <w:r w:rsidRPr="00417338">
        <w:t xml:space="preserve">) </w:t>
      </w:r>
    </w:p>
    <w:p w:rsidR="00C868BA" w:rsidRDefault="00C868BA" w:rsidP="00C868BA">
      <w:pPr>
        <w:pStyle w:val="SingleTxtG"/>
      </w:pPr>
      <w:r w:rsidRPr="00100A84">
        <w:rPr>
          <w:i/>
          <w:iCs/>
        </w:rPr>
        <w:lastRenderedPageBreak/>
        <w:t>Informal document</w:t>
      </w:r>
      <w:r w:rsidRPr="00417338">
        <w:t>: INF.</w:t>
      </w:r>
      <w:r>
        <w:t>23</w:t>
      </w:r>
      <w:r w:rsidRPr="00417338">
        <w:t xml:space="preserve"> (</w:t>
      </w:r>
      <w:r>
        <w:t>France</w:t>
      </w:r>
      <w:r w:rsidRPr="00417338">
        <w:t xml:space="preserve">) </w:t>
      </w:r>
    </w:p>
    <w:p w:rsidR="00C868BA" w:rsidRPr="007B184B" w:rsidRDefault="00A34497" w:rsidP="00C868BA">
      <w:pPr>
        <w:pStyle w:val="SingleTxtG"/>
        <w:tabs>
          <w:tab w:val="left" w:pos="1985"/>
          <w:tab w:val="left" w:pos="3119"/>
        </w:tabs>
        <w:rPr>
          <w:lang w:val="en-US"/>
        </w:rPr>
      </w:pPr>
      <w:r>
        <w:t>12.</w:t>
      </w:r>
      <w:r>
        <w:tab/>
      </w:r>
      <w:r w:rsidR="00C868BA" w:rsidRPr="007B184B">
        <w:t xml:space="preserve">The expert from Germany pointed out that work was still ongoing on Test O.3 and suggested deferring the adoption of the amendments proposed in paragraph 18 of document </w:t>
      </w:r>
      <w:r w:rsidR="00C868BA" w:rsidRPr="00417338">
        <w:t>ST/SG/AC.10/C.4/2018/</w:t>
      </w:r>
      <w:r w:rsidR="00C868BA">
        <w:t>24</w:t>
      </w:r>
      <w:r w:rsidR="00C868BA" w:rsidRPr="007B184B">
        <w:rPr>
          <w:lang w:val="en-US"/>
        </w:rPr>
        <w:t xml:space="preserve"> until this work was completed. Several other experts noted that the amendments proposed by France would solve the existing difficulty to find calcium peroxide within the concentration limits currently specified in the Manual and reiterated their support to the proposal.</w:t>
      </w:r>
    </w:p>
    <w:p w:rsidR="00C868BA" w:rsidRPr="007B184B" w:rsidRDefault="00A34497" w:rsidP="00C868BA">
      <w:pPr>
        <w:pStyle w:val="SingleTxtG"/>
      </w:pPr>
      <w:r>
        <w:t>13.</w:t>
      </w:r>
      <w:r>
        <w:tab/>
      </w:r>
      <w:r w:rsidR="00C868BA" w:rsidRPr="007B184B">
        <w:t xml:space="preserve">After an exchange of views, </w:t>
      </w:r>
      <w:r w:rsidR="00C868BA" w:rsidRPr="00A34497">
        <w:rPr>
          <w:b/>
          <w:bCs/>
        </w:rPr>
        <w:t>the TDG Sub-Committee adopted the proposals of amendments to the Manual of Tests and Criteria</w:t>
      </w:r>
      <w:r w:rsidR="00C868BA">
        <w:t xml:space="preserve"> </w:t>
      </w:r>
      <w:r w:rsidR="00C868BA" w:rsidRPr="007B184B">
        <w:t xml:space="preserve">in paragraphs 17, 18, 19, 20 and 21 in document </w:t>
      </w:r>
      <w:r w:rsidR="00C868BA" w:rsidRPr="00417338">
        <w:t>ST/SG/AC.10/C.4/2018/</w:t>
      </w:r>
      <w:r w:rsidR="00C868BA">
        <w:t>24</w:t>
      </w:r>
      <w:r w:rsidR="00C868BA" w:rsidRPr="007B184B">
        <w:t>.</w:t>
      </w:r>
    </w:p>
    <w:p w:rsidR="00C868BA" w:rsidRPr="007B184B" w:rsidRDefault="00A34497" w:rsidP="00C868BA">
      <w:pPr>
        <w:pStyle w:val="SingleTxtG"/>
        <w:rPr>
          <w:lang w:val="en-US"/>
        </w:rPr>
      </w:pPr>
      <w:r w:rsidRPr="00A34497">
        <w:rPr>
          <w:lang w:val="en-US"/>
        </w:rPr>
        <w:t>14.</w:t>
      </w:r>
      <w:r w:rsidRPr="00A34497">
        <w:rPr>
          <w:lang w:val="en-US"/>
        </w:rPr>
        <w:tab/>
      </w:r>
      <w:r w:rsidR="00C868BA" w:rsidRPr="00A34497">
        <w:rPr>
          <w:b/>
          <w:bCs/>
          <w:lang w:val="en-US"/>
        </w:rPr>
        <w:t>The TDG Sub-</w:t>
      </w:r>
      <w:r w:rsidR="00C868BA" w:rsidRPr="00A34497">
        <w:rPr>
          <w:b/>
          <w:bCs/>
        </w:rPr>
        <w:t>Committee</w:t>
      </w:r>
      <w:r w:rsidR="00C868BA" w:rsidRPr="00A34497">
        <w:rPr>
          <w:b/>
          <w:bCs/>
          <w:lang w:val="en-US"/>
        </w:rPr>
        <w:t xml:space="preserve"> also adopted the proposal in paragraph 22 for continuation of the work on this issue</w:t>
      </w:r>
      <w:r w:rsidR="00C868BA" w:rsidRPr="007B184B">
        <w:rPr>
          <w:lang w:val="en-US"/>
        </w:rPr>
        <w:t xml:space="preserve"> (see also</w:t>
      </w:r>
      <w:r>
        <w:rPr>
          <w:lang w:val="en-US"/>
        </w:rPr>
        <w:t xml:space="preserve"> item 9</w:t>
      </w:r>
      <w:r w:rsidR="00C868BA" w:rsidRPr="007B184B">
        <w:rPr>
          <w:lang w:val="en-US"/>
        </w:rPr>
        <w:t xml:space="preserve"> </w:t>
      </w:r>
      <w:r w:rsidR="00C868BA">
        <w:rPr>
          <w:lang w:val="en-US"/>
        </w:rPr>
        <w:t>below</w:t>
      </w:r>
      <w:r w:rsidR="00C868BA" w:rsidRPr="007B184B">
        <w:rPr>
          <w:lang w:val="en-US"/>
        </w:rPr>
        <w:t xml:space="preserve">). </w:t>
      </w:r>
    </w:p>
    <w:p w:rsidR="00C868BA" w:rsidRPr="00417338" w:rsidRDefault="00C868BA" w:rsidP="00C868BA">
      <w:pPr>
        <w:pStyle w:val="SingleTxtG"/>
        <w:rPr>
          <w:i/>
        </w:rPr>
      </w:pPr>
      <w:r w:rsidRPr="00417338">
        <w:rPr>
          <w:i/>
        </w:rPr>
        <w:t>(Ref.Doc.: Draft report of the TDG Sub-Committee on its 5</w:t>
      </w:r>
      <w:r>
        <w:rPr>
          <w:i/>
        </w:rPr>
        <w:t>4th</w:t>
      </w:r>
      <w:r w:rsidRPr="00417338">
        <w:rPr>
          <w:i/>
        </w:rPr>
        <w:t xml:space="preserve"> session: ST/SG/AC.10/C.3/201</w:t>
      </w:r>
      <w:r>
        <w:rPr>
          <w:i/>
        </w:rPr>
        <w:t>8</w:t>
      </w:r>
      <w:r w:rsidRPr="00417338">
        <w:rPr>
          <w:i/>
        </w:rPr>
        <w:t>/CRP.</w:t>
      </w:r>
      <w:r>
        <w:rPr>
          <w:i/>
        </w:rPr>
        <w:t>3</w:t>
      </w:r>
      <w:r w:rsidRPr="00417338">
        <w:rPr>
          <w:i/>
        </w:rPr>
        <w:t>/Add.</w:t>
      </w:r>
      <w:r>
        <w:rPr>
          <w:i/>
        </w:rPr>
        <w:t>10</w:t>
      </w:r>
      <w:r w:rsidRPr="00417338">
        <w:rPr>
          <w:i/>
        </w:rPr>
        <w:t>, paragraph</w:t>
      </w:r>
      <w:r>
        <w:rPr>
          <w:i/>
        </w:rPr>
        <w:t>s 112-114</w:t>
      </w:r>
      <w:r w:rsidRPr="00417338">
        <w:rPr>
          <w:i/>
        </w:rPr>
        <w:t>)</w:t>
      </w:r>
    </w:p>
    <w:p w:rsidR="00A046B9" w:rsidRPr="00DB33C1" w:rsidRDefault="00A046B9" w:rsidP="00A046B9">
      <w:pPr>
        <w:pStyle w:val="H23G"/>
      </w:pPr>
      <w:r w:rsidRPr="00DB33C1">
        <w:t xml:space="preserve">Item </w:t>
      </w:r>
      <w:r>
        <w:t>5</w:t>
      </w:r>
      <w:r w:rsidRPr="00DB33C1">
        <w:tab/>
      </w:r>
      <w:r w:rsidRPr="00DB33C1">
        <w:tab/>
      </w:r>
      <w:r w:rsidRPr="00833A2A">
        <w:t>Classification of chemicals under pressure (Chapter 2.3 of the GHS and special provision 362 of the Model Regulations) and additional consequential amendments to the GHS</w:t>
      </w:r>
      <w:r>
        <w:t xml:space="preserve"> </w:t>
      </w:r>
      <w:r w:rsidRPr="00C868BA">
        <w:t>(GHS Sub-Committee agenda item 3 (a))</w:t>
      </w:r>
    </w:p>
    <w:p w:rsidR="00A046B9" w:rsidRPr="00833A2A" w:rsidRDefault="00A046B9" w:rsidP="00A046B9">
      <w:pPr>
        <w:pStyle w:val="SingleTxtG"/>
        <w:tabs>
          <w:tab w:val="left" w:pos="3119"/>
        </w:tabs>
        <w:spacing w:after="0" w:line="240" w:lineRule="auto"/>
        <w:ind w:left="3119" w:hanging="1985"/>
        <w:rPr>
          <w:lang w:val="en-US"/>
        </w:rPr>
      </w:pPr>
      <w:r w:rsidRPr="00833A2A">
        <w:rPr>
          <w:i/>
          <w:iCs/>
        </w:rPr>
        <w:t>Documents:</w:t>
      </w:r>
      <w:r w:rsidRPr="00833A2A">
        <w:tab/>
      </w:r>
      <w:r w:rsidRPr="00833A2A">
        <w:rPr>
          <w:lang w:val="en-US"/>
        </w:rPr>
        <w:t>ST/SG/AC.10/C.4/2018/25 (CEFIC, EIGA)</w:t>
      </w:r>
    </w:p>
    <w:p w:rsidR="00A046B9" w:rsidRPr="00833A2A" w:rsidRDefault="00A046B9" w:rsidP="00A046B9">
      <w:pPr>
        <w:pStyle w:val="SingleTxtG"/>
        <w:tabs>
          <w:tab w:val="left" w:pos="3119"/>
        </w:tabs>
        <w:spacing w:after="0" w:line="240" w:lineRule="auto"/>
        <w:ind w:left="3119" w:hanging="1985"/>
        <w:rPr>
          <w:lang w:val="en-US"/>
        </w:rPr>
      </w:pPr>
      <w:r w:rsidRPr="00833A2A">
        <w:rPr>
          <w:lang w:val="en-US"/>
        </w:rPr>
        <w:tab/>
        <w:t>ST/SG/AC.10/C.4/2018/23 (</w:t>
      </w:r>
      <w:r w:rsidR="0086228F">
        <w:rPr>
          <w:lang w:val="en-US"/>
        </w:rPr>
        <w:t>FEA</w:t>
      </w:r>
      <w:r w:rsidRPr="00833A2A">
        <w:rPr>
          <w:lang w:val="en-US"/>
        </w:rPr>
        <w:t>)</w:t>
      </w:r>
    </w:p>
    <w:p w:rsidR="00A046B9" w:rsidRPr="00833A2A" w:rsidRDefault="00A34497" w:rsidP="00A046B9">
      <w:pPr>
        <w:pStyle w:val="SingleTxtG"/>
        <w:spacing w:before="240"/>
        <w:rPr>
          <w:lang w:val="en-US"/>
        </w:rPr>
      </w:pPr>
      <w:r>
        <w:rPr>
          <w:lang w:val="en-US"/>
        </w:rPr>
        <w:t>15.</w:t>
      </w:r>
      <w:r>
        <w:rPr>
          <w:lang w:val="en-US"/>
        </w:rPr>
        <w:tab/>
      </w:r>
      <w:r w:rsidR="00A046B9" w:rsidRPr="00833A2A">
        <w:rPr>
          <w:lang w:val="en-US"/>
        </w:rPr>
        <w:t>There was support for a harmonized approach for the classification for chemicals under pressure for all sectors. However, several experts considered that further work was necessary before the proposed amendments to the Model Regulations could be adopted.</w:t>
      </w:r>
    </w:p>
    <w:p w:rsidR="00A046B9" w:rsidRPr="00833A2A" w:rsidRDefault="00A34497" w:rsidP="00A046B9">
      <w:pPr>
        <w:pStyle w:val="SingleTxtG"/>
        <w:spacing w:before="240"/>
        <w:rPr>
          <w:lang w:val="en-US"/>
        </w:rPr>
      </w:pPr>
      <w:r>
        <w:rPr>
          <w:lang w:val="en-US"/>
        </w:rPr>
        <w:t>16.</w:t>
      </w:r>
      <w:r>
        <w:rPr>
          <w:lang w:val="en-US"/>
        </w:rPr>
        <w:tab/>
      </w:r>
      <w:r w:rsidR="00A046B9" w:rsidRPr="00833A2A">
        <w:rPr>
          <w:lang w:val="en-US"/>
        </w:rPr>
        <w:t xml:space="preserve">In view of the above, </w:t>
      </w:r>
      <w:r w:rsidR="00A046B9" w:rsidRPr="00A34497">
        <w:rPr>
          <w:b/>
          <w:bCs/>
          <w:lang w:val="en-US"/>
        </w:rPr>
        <w:t>the representative of CEFIC withdrew the proposal in paragraphs 8 and 9 of the document</w:t>
      </w:r>
      <w:r w:rsidR="00A046B9" w:rsidRPr="00833A2A">
        <w:rPr>
          <w:lang w:val="en-US"/>
        </w:rPr>
        <w:t>, invited delegations who offered to provide comments in writing to share them with her and said that she would consider submitting a revised proposal during the next biennium that would also take account of the feedback received from the GHS Sub-Committee.</w:t>
      </w:r>
    </w:p>
    <w:p w:rsidR="00A046B9" w:rsidRPr="00A34497" w:rsidRDefault="00A34497" w:rsidP="00A046B9">
      <w:pPr>
        <w:pStyle w:val="SingleTxtG"/>
        <w:spacing w:before="240"/>
        <w:rPr>
          <w:b/>
          <w:bCs/>
          <w:lang w:val="en-US"/>
        </w:rPr>
      </w:pPr>
      <w:r w:rsidRPr="00A34497">
        <w:rPr>
          <w:lang w:val="en-US"/>
        </w:rPr>
        <w:t>17.</w:t>
      </w:r>
      <w:r w:rsidRPr="00A34497">
        <w:rPr>
          <w:lang w:val="en-US"/>
        </w:rPr>
        <w:tab/>
      </w:r>
      <w:r w:rsidR="00A046B9" w:rsidRPr="00A34497">
        <w:rPr>
          <w:b/>
          <w:bCs/>
          <w:lang w:val="en-US"/>
        </w:rPr>
        <w:t>TDG Sub-Committee experts were invited to work with their counterparts at the GHS Sub-Committee to ensure multisectoral harmonization of the criteria for chemicals under pressure.</w:t>
      </w:r>
    </w:p>
    <w:p w:rsidR="00A046B9" w:rsidRPr="00A34497" w:rsidRDefault="00A34497" w:rsidP="00A046B9">
      <w:pPr>
        <w:pStyle w:val="SingleTxtG"/>
        <w:spacing w:before="240"/>
        <w:rPr>
          <w:b/>
          <w:bCs/>
          <w:lang w:val="en-US"/>
        </w:rPr>
      </w:pPr>
      <w:r w:rsidRPr="00A34497">
        <w:rPr>
          <w:lang w:val="en-US"/>
        </w:rPr>
        <w:t>18.</w:t>
      </w:r>
      <w:r w:rsidRPr="00A34497">
        <w:rPr>
          <w:lang w:val="en-US"/>
        </w:rPr>
        <w:tab/>
      </w:r>
      <w:r w:rsidR="00A046B9" w:rsidRPr="00A34497">
        <w:rPr>
          <w:b/>
          <w:bCs/>
          <w:lang w:val="en-US"/>
        </w:rPr>
        <w:t>Noting that the proposals in document ST/SG/AC.10/C.4/2018/23 addressed amendments to the GHS only, the Sub-Committee did not consider them.</w:t>
      </w:r>
    </w:p>
    <w:p w:rsidR="00A046B9" w:rsidRPr="00417338" w:rsidRDefault="00A046B9" w:rsidP="00A046B9">
      <w:pPr>
        <w:pStyle w:val="SingleTxtG"/>
        <w:rPr>
          <w:i/>
        </w:rPr>
      </w:pPr>
      <w:r w:rsidRPr="00417338">
        <w:rPr>
          <w:i/>
        </w:rPr>
        <w:t>(Ref.Doc.: Draft report of the TDG Sub-Committee on its 5</w:t>
      </w:r>
      <w:r>
        <w:rPr>
          <w:i/>
        </w:rPr>
        <w:t>4th</w:t>
      </w:r>
      <w:r w:rsidRPr="00417338">
        <w:rPr>
          <w:i/>
        </w:rPr>
        <w:t xml:space="preserve"> session: ST/SG/AC.10/C.3/201</w:t>
      </w:r>
      <w:r>
        <w:rPr>
          <w:i/>
        </w:rPr>
        <w:t>8</w:t>
      </w:r>
      <w:r w:rsidRPr="00417338">
        <w:rPr>
          <w:i/>
        </w:rPr>
        <w:t>/CRP.</w:t>
      </w:r>
      <w:r>
        <w:rPr>
          <w:i/>
        </w:rPr>
        <w:t>3</w:t>
      </w:r>
      <w:r w:rsidRPr="00417338">
        <w:rPr>
          <w:i/>
        </w:rPr>
        <w:t>/Add.</w:t>
      </w:r>
      <w:r>
        <w:rPr>
          <w:i/>
        </w:rPr>
        <w:t>10</w:t>
      </w:r>
      <w:r w:rsidRPr="00417338">
        <w:rPr>
          <w:i/>
        </w:rPr>
        <w:t>, paragraph</w:t>
      </w:r>
      <w:r>
        <w:rPr>
          <w:i/>
        </w:rPr>
        <w:t>s 116-119</w:t>
      </w:r>
      <w:r w:rsidRPr="00417338">
        <w:rPr>
          <w:i/>
        </w:rPr>
        <w:t>)</w:t>
      </w:r>
    </w:p>
    <w:p w:rsidR="00865AD1" w:rsidRPr="00DB33C1" w:rsidRDefault="00865AD1" w:rsidP="00865AD1">
      <w:pPr>
        <w:pStyle w:val="H23G"/>
      </w:pPr>
      <w:r w:rsidRPr="00DB33C1">
        <w:t xml:space="preserve">Item </w:t>
      </w:r>
      <w:r w:rsidR="00BB7437">
        <w:t>6</w:t>
      </w:r>
      <w:r w:rsidRPr="00DB33C1">
        <w:tab/>
      </w:r>
      <w:r w:rsidRPr="00DB33C1">
        <w:tab/>
      </w:r>
      <w:r>
        <w:tab/>
        <w:t>Review of Chapter 2.1 of the GHS</w:t>
      </w:r>
      <w:r w:rsidR="00046D59">
        <w:t xml:space="preserve"> </w:t>
      </w:r>
      <w:r w:rsidR="00046D59" w:rsidRPr="00C868BA">
        <w:t>(GHS Sub-Committee agenda item 3 (</w:t>
      </w:r>
      <w:r w:rsidR="00046D59">
        <w:t>b</w:t>
      </w:r>
      <w:r w:rsidR="00046D59" w:rsidRPr="00C868BA">
        <w:t>))</w:t>
      </w:r>
    </w:p>
    <w:p w:rsidR="00865AD1" w:rsidRPr="00CF2BA3" w:rsidRDefault="00865AD1" w:rsidP="00865AD1">
      <w:pPr>
        <w:pStyle w:val="SingleTxtG"/>
        <w:tabs>
          <w:tab w:val="left" w:pos="3119"/>
        </w:tabs>
        <w:spacing w:after="240"/>
        <w:ind w:left="3119" w:hanging="1985"/>
        <w:rPr>
          <w:i/>
          <w:iCs/>
        </w:rPr>
      </w:pPr>
      <w:r>
        <w:rPr>
          <w:i/>
          <w:iCs/>
        </w:rPr>
        <w:t xml:space="preserve">Documents:  </w:t>
      </w:r>
      <w:r>
        <w:rPr>
          <w:i/>
          <w:iCs/>
        </w:rPr>
        <w:tab/>
      </w:r>
      <w:r>
        <w:rPr>
          <w:lang w:val="en-US"/>
        </w:rPr>
        <w:t>ST/SG/AC.10/C.4/2018/20 (Chairman of the Working Group on Explosives, Sweden)</w:t>
      </w:r>
    </w:p>
    <w:p w:rsidR="00865AD1" w:rsidRDefault="00865AD1" w:rsidP="00865AD1">
      <w:pPr>
        <w:tabs>
          <w:tab w:val="left" w:pos="3119"/>
        </w:tabs>
        <w:ind w:left="567" w:firstLine="567"/>
        <w:rPr>
          <w:lang w:val="en-US"/>
        </w:rPr>
      </w:pPr>
      <w:r>
        <w:rPr>
          <w:i/>
          <w:iCs/>
        </w:rPr>
        <w:t>Informal documents</w:t>
      </w:r>
      <w:r w:rsidRPr="00EF030F">
        <w:rPr>
          <w:i/>
          <w:iCs/>
        </w:rPr>
        <w:t>:</w:t>
      </w:r>
      <w:r w:rsidRPr="00634742">
        <w:tab/>
      </w:r>
      <w:r>
        <w:rPr>
          <w:lang w:val="en-US"/>
        </w:rPr>
        <w:t>INF.10 (United States of America, IME, SAAMI)</w:t>
      </w:r>
    </w:p>
    <w:p w:rsidR="00865AD1" w:rsidRPr="00CF2BA3" w:rsidRDefault="00865AD1" w:rsidP="00865AD1">
      <w:pPr>
        <w:tabs>
          <w:tab w:val="left" w:pos="3119"/>
        </w:tabs>
        <w:ind w:left="567" w:firstLine="567"/>
        <w:rPr>
          <w:lang w:val="en-US"/>
        </w:rPr>
      </w:pPr>
      <w:r>
        <w:rPr>
          <w:i/>
          <w:iCs/>
        </w:rPr>
        <w:tab/>
      </w:r>
      <w:r>
        <w:t xml:space="preserve">INF.18 </w:t>
      </w:r>
      <w:r w:rsidRPr="00B30333">
        <w:rPr>
          <w:lang w:val="en-US"/>
        </w:rPr>
        <w:t>(</w:t>
      </w:r>
      <w:r>
        <w:rPr>
          <w:lang w:val="en-US"/>
        </w:rPr>
        <w:t>United States of America</w:t>
      </w:r>
      <w:r w:rsidRPr="00B30333">
        <w:rPr>
          <w:lang w:val="en-US"/>
        </w:rPr>
        <w:t>, IME, SAAMI)</w:t>
      </w:r>
    </w:p>
    <w:p w:rsidR="00865AD1" w:rsidRDefault="00865AD1" w:rsidP="00070BEE">
      <w:pPr>
        <w:pStyle w:val="SingleTxtG"/>
        <w:tabs>
          <w:tab w:val="left" w:pos="1701"/>
          <w:tab w:val="left" w:pos="3119"/>
        </w:tabs>
        <w:ind w:left="3119"/>
        <w:rPr>
          <w:lang w:val="en-US"/>
        </w:rPr>
      </w:pPr>
      <w:r>
        <w:rPr>
          <w:lang w:val="en-US"/>
        </w:rPr>
        <w:t xml:space="preserve">INF.34, paragraph 10 of the report of the </w:t>
      </w:r>
      <w:r w:rsidR="002C6FD3" w:rsidRPr="00634742">
        <w:t>Working Group on Explosives</w:t>
      </w:r>
      <w:r>
        <w:rPr>
          <w:lang w:val="en-US"/>
        </w:rPr>
        <w:t xml:space="preserve"> (</w:t>
      </w:r>
      <w:r>
        <w:t>Chairman of the Working Group</w:t>
      </w:r>
      <w:r>
        <w:rPr>
          <w:lang w:val="en-US"/>
        </w:rPr>
        <w:t>)</w:t>
      </w:r>
    </w:p>
    <w:p w:rsidR="00865AD1" w:rsidRDefault="00A34497" w:rsidP="00865AD1">
      <w:pPr>
        <w:pStyle w:val="SingleTxtG"/>
        <w:tabs>
          <w:tab w:val="left" w:pos="1701"/>
          <w:tab w:val="left" w:pos="3119"/>
        </w:tabs>
      </w:pPr>
      <w:r>
        <w:lastRenderedPageBreak/>
        <w:t>19.</w:t>
      </w:r>
      <w:r>
        <w:tab/>
      </w:r>
      <w:r w:rsidR="00865AD1" w:rsidRPr="005505D0">
        <w:t xml:space="preserve">The </w:t>
      </w:r>
      <w:r w:rsidR="00847E8B">
        <w:t xml:space="preserve">TDG </w:t>
      </w:r>
      <w:r w:rsidR="00865AD1" w:rsidRPr="005505D0">
        <w:t xml:space="preserve">Sub-Committee took note of the outcome of the discussions of the Working Group on Explosives on this issue </w:t>
      </w:r>
      <w:r w:rsidR="00B63F07">
        <w:t>(</w:t>
      </w:r>
      <w:r w:rsidR="00B63F07" w:rsidRPr="00A34497">
        <w:rPr>
          <w:b/>
          <w:bCs/>
        </w:rPr>
        <w:t xml:space="preserve">see informal document </w:t>
      </w:r>
      <w:r w:rsidR="00B63F07" w:rsidRPr="00A34497">
        <w:rPr>
          <w:b/>
          <w:bCs/>
          <w:lang w:val="en-US"/>
        </w:rPr>
        <w:t>INF.34, paragraph 10 of the report of the Explosives Working Group</w:t>
      </w:r>
      <w:r w:rsidR="00B63F07">
        <w:t xml:space="preserve">) </w:t>
      </w:r>
      <w:r w:rsidR="00865AD1" w:rsidRPr="005505D0">
        <w:t xml:space="preserve">and noted that it had accomplished its mandate to review the technical criteria for assignment of explosives to sub-categories 2A, 2B and 2C in the GHS, without consequential changes to the current classification system in transport. It was noted that this would provide an improved system to address classification of explosives in packaging configurations other than those used for transport purposes. The </w:t>
      </w:r>
      <w:r w:rsidR="00847E8B">
        <w:t xml:space="preserve">TDG </w:t>
      </w:r>
      <w:r w:rsidR="00865AD1" w:rsidRPr="005505D0">
        <w:t xml:space="preserve">Sub-Committee was informed that </w:t>
      </w:r>
      <w:r w:rsidR="00865AD1" w:rsidRPr="00847E8B">
        <w:rPr>
          <w:b/>
          <w:bCs/>
        </w:rPr>
        <w:t>a proposal for amendment to the GHS was being developed</w:t>
      </w:r>
      <w:r w:rsidR="00865AD1">
        <w:t xml:space="preserve">. It was also noted that no agreement was reached on the splitting of Category 1 and that discussions on this issue would continue. </w:t>
      </w:r>
    </w:p>
    <w:p w:rsidR="00865AD1" w:rsidRDefault="00A34497" w:rsidP="00865AD1">
      <w:pPr>
        <w:pStyle w:val="SingleTxtG"/>
        <w:tabs>
          <w:tab w:val="left" w:pos="1701"/>
          <w:tab w:val="left" w:pos="3119"/>
        </w:tabs>
      </w:pPr>
      <w:r>
        <w:t>20.</w:t>
      </w:r>
      <w:r>
        <w:tab/>
      </w:r>
      <w:r w:rsidR="00865AD1">
        <w:t xml:space="preserve">The expert from Spain reiterated its opposition to the revised classification scheme developed within the framework of the work on the review of Chapter 2.1 of the GHS. </w:t>
      </w:r>
    </w:p>
    <w:p w:rsidR="00865AD1" w:rsidRPr="00CF2BA3" w:rsidRDefault="00A34497" w:rsidP="00865AD1">
      <w:pPr>
        <w:pStyle w:val="SingleTxtG"/>
        <w:tabs>
          <w:tab w:val="left" w:pos="1701"/>
          <w:tab w:val="left" w:pos="3119"/>
        </w:tabs>
      </w:pPr>
      <w:r>
        <w:t>21.</w:t>
      </w:r>
      <w:r>
        <w:tab/>
      </w:r>
      <w:r w:rsidR="00865AD1">
        <w:t xml:space="preserve">The </w:t>
      </w:r>
      <w:r w:rsidR="00847E8B">
        <w:t xml:space="preserve">TDG </w:t>
      </w:r>
      <w:r w:rsidR="00865AD1">
        <w:t xml:space="preserve">Sub-Committee expressed its appreciation to the Working Group for the work accomplished in this area. The Chairman of the Working Group informed the </w:t>
      </w:r>
      <w:r w:rsidR="00847E8B">
        <w:t xml:space="preserve">TDG </w:t>
      </w:r>
      <w:r w:rsidR="00865AD1">
        <w:t xml:space="preserve">Sub-Committee that </w:t>
      </w:r>
      <w:r w:rsidR="00865AD1" w:rsidRPr="00A34497">
        <w:rPr>
          <w:b/>
          <w:bCs/>
        </w:rPr>
        <w:t xml:space="preserve">the Working Group would continue to provide technical advice and support to the GHS Sub-Committee and its informal correspondence group on the review of Chapter 2.1, if needed. </w:t>
      </w:r>
      <w:r w:rsidR="00865AD1" w:rsidRPr="00A34497">
        <w:rPr>
          <w:b/>
          <w:bCs/>
        </w:rPr>
        <w:tab/>
      </w:r>
    </w:p>
    <w:p w:rsidR="00865AD1" w:rsidRPr="00417338" w:rsidRDefault="00865AD1" w:rsidP="00865AD1">
      <w:pPr>
        <w:pStyle w:val="SingleTxtG"/>
        <w:rPr>
          <w:i/>
        </w:rPr>
      </w:pPr>
      <w:r w:rsidRPr="00417338">
        <w:rPr>
          <w:i/>
        </w:rPr>
        <w:t>(Ref.Doc.: Draft report of the TDG Sub-Committee on its 5</w:t>
      </w:r>
      <w:r>
        <w:rPr>
          <w:i/>
        </w:rPr>
        <w:t>4th</w:t>
      </w:r>
      <w:r w:rsidRPr="00417338">
        <w:rPr>
          <w:i/>
        </w:rPr>
        <w:t xml:space="preserve"> session: ST/SG/AC.10/C.3/201</w:t>
      </w:r>
      <w:r>
        <w:rPr>
          <w:i/>
        </w:rPr>
        <w:t>8</w:t>
      </w:r>
      <w:r w:rsidRPr="00417338">
        <w:rPr>
          <w:i/>
        </w:rPr>
        <w:t>/CRP.</w:t>
      </w:r>
      <w:r>
        <w:rPr>
          <w:i/>
        </w:rPr>
        <w:t>3</w:t>
      </w:r>
      <w:r w:rsidRPr="00417338">
        <w:rPr>
          <w:i/>
        </w:rPr>
        <w:t>/Add.</w:t>
      </w:r>
      <w:r>
        <w:rPr>
          <w:i/>
        </w:rPr>
        <w:t>9</w:t>
      </w:r>
      <w:r w:rsidRPr="00417338">
        <w:rPr>
          <w:i/>
        </w:rPr>
        <w:t>, paragraph</w:t>
      </w:r>
      <w:r>
        <w:rPr>
          <w:i/>
        </w:rPr>
        <w:t>s 108-110</w:t>
      </w:r>
      <w:r w:rsidRPr="00417338">
        <w:rPr>
          <w:i/>
        </w:rPr>
        <w:t>)</w:t>
      </w:r>
    </w:p>
    <w:p w:rsidR="00BB7437" w:rsidRDefault="00BB7437" w:rsidP="00BB7437">
      <w:pPr>
        <w:pStyle w:val="H23G"/>
      </w:pPr>
      <w:r>
        <w:t>Item 7</w:t>
      </w:r>
      <w:r>
        <w:tab/>
      </w:r>
      <w:r>
        <w:tab/>
        <w:t>Alignment of the wording of “shall be considered” and “shall be categorised” in the Manual of tests and Criteria in the context of the GHS</w:t>
      </w:r>
      <w:r w:rsidRPr="00C868BA">
        <w:t xml:space="preserve"> (GHS Sub-Committee agenda item 3 (a))</w:t>
      </w:r>
    </w:p>
    <w:p w:rsidR="00BB7437" w:rsidRDefault="00BB7437" w:rsidP="00BB7437">
      <w:pPr>
        <w:pStyle w:val="SingleTxtG"/>
        <w:ind w:left="3119" w:hanging="1985"/>
        <w:rPr>
          <w:lang w:val="en-US"/>
        </w:rPr>
      </w:pPr>
      <w:r>
        <w:rPr>
          <w:i/>
          <w:iCs/>
        </w:rPr>
        <w:t>Informal document</w:t>
      </w:r>
      <w:r w:rsidRPr="00EF030F">
        <w:rPr>
          <w:i/>
          <w:iCs/>
        </w:rPr>
        <w:t>:</w:t>
      </w:r>
      <w:r w:rsidRPr="00634742">
        <w:tab/>
      </w:r>
      <w:r>
        <w:rPr>
          <w:lang w:val="en-US"/>
        </w:rPr>
        <w:t>INF.11 (</w:t>
      </w:r>
      <w:r>
        <w:t>Germany</w:t>
      </w:r>
      <w:r>
        <w:rPr>
          <w:lang w:val="en-US"/>
        </w:rPr>
        <w:t>)</w:t>
      </w:r>
    </w:p>
    <w:p w:rsidR="00BB7437" w:rsidRPr="0086228F" w:rsidRDefault="00A34497" w:rsidP="00BB7437">
      <w:pPr>
        <w:pStyle w:val="SingleTxtG"/>
      </w:pPr>
      <w:r>
        <w:t>22.</w:t>
      </w:r>
      <w:r>
        <w:tab/>
      </w:r>
      <w:r w:rsidR="00BB7437" w:rsidRPr="0086228F">
        <w:t xml:space="preserve">After discussion in the Working Group of Explosives of the TDG Sub-Committee, </w:t>
      </w:r>
      <w:r w:rsidR="00BB7437" w:rsidRPr="00A34497">
        <w:rPr>
          <w:b/>
          <w:bCs/>
        </w:rPr>
        <w:t>Germany withdrew</w:t>
      </w:r>
      <w:r>
        <w:rPr>
          <w:b/>
          <w:bCs/>
        </w:rPr>
        <w:t xml:space="preserve"> informal document</w:t>
      </w:r>
      <w:r w:rsidR="00BB7437" w:rsidRPr="00A34497">
        <w:rPr>
          <w:b/>
          <w:bCs/>
        </w:rPr>
        <w:t xml:space="preserve"> INF.11</w:t>
      </w:r>
      <w:r w:rsidR="00BB7437" w:rsidRPr="0086228F">
        <w:t xml:space="preserve">. See informal document INF.34, paragraph 20 of the report </w:t>
      </w:r>
      <w:r w:rsidR="000962CD">
        <w:t xml:space="preserve">of the </w:t>
      </w:r>
      <w:r w:rsidR="002C6FD3" w:rsidRPr="00634742">
        <w:t>Working Group on Explosives</w:t>
      </w:r>
      <w:r w:rsidR="002C6FD3">
        <w:t>.</w:t>
      </w:r>
    </w:p>
    <w:p w:rsidR="007B184B" w:rsidRPr="00DB33C1" w:rsidRDefault="007B184B" w:rsidP="007B184B">
      <w:pPr>
        <w:pStyle w:val="H23G"/>
      </w:pPr>
      <w:r w:rsidRPr="00DB33C1">
        <w:t xml:space="preserve">Item </w:t>
      </w:r>
      <w:r w:rsidR="00BB7437">
        <w:t>8</w:t>
      </w:r>
      <w:r w:rsidRPr="00DB33C1">
        <w:tab/>
      </w:r>
      <w:r w:rsidRPr="00DB33C1">
        <w:tab/>
      </w:r>
      <w:r w:rsidRPr="007B184B">
        <w:t>Updating of references to OECD Guidelines</w:t>
      </w:r>
      <w:r w:rsidR="00046D59">
        <w:t xml:space="preserve"> </w:t>
      </w:r>
      <w:r w:rsidR="00046D59" w:rsidRPr="00C868BA">
        <w:t>(GHS Sub-Committee agenda item 3 (</w:t>
      </w:r>
      <w:r w:rsidR="000163B0">
        <w:t>a</w:t>
      </w:r>
      <w:r w:rsidR="00046D59" w:rsidRPr="00C868BA">
        <w:t>))</w:t>
      </w:r>
    </w:p>
    <w:p w:rsidR="007B184B" w:rsidRPr="00417338" w:rsidRDefault="007B184B" w:rsidP="007B184B">
      <w:pPr>
        <w:pStyle w:val="SingleTxtG"/>
      </w:pPr>
      <w:r w:rsidRPr="00100A84">
        <w:rPr>
          <w:i/>
          <w:iCs/>
        </w:rPr>
        <w:t>Document</w:t>
      </w:r>
      <w:r w:rsidRPr="00417338">
        <w:t>: ST/SG/AC.10/C.</w:t>
      </w:r>
      <w:r w:rsidR="00833A2A">
        <w:t>3</w:t>
      </w:r>
      <w:r w:rsidRPr="00417338">
        <w:t>/2018/</w:t>
      </w:r>
      <w:r w:rsidR="00833A2A">
        <w:t>70</w:t>
      </w:r>
      <w:r w:rsidRPr="00417338">
        <w:t xml:space="preserve"> (</w:t>
      </w:r>
      <w:r w:rsidR="00833A2A">
        <w:t>European Union</w:t>
      </w:r>
      <w:r w:rsidRPr="00417338">
        <w:t xml:space="preserve">) </w:t>
      </w:r>
    </w:p>
    <w:p w:rsidR="00833A2A" w:rsidRPr="00833A2A" w:rsidRDefault="00A34497" w:rsidP="00833A2A">
      <w:pPr>
        <w:pStyle w:val="SingleTxtG"/>
        <w:rPr>
          <w:lang w:val="en-US"/>
        </w:rPr>
      </w:pPr>
      <w:r>
        <w:rPr>
          <w:lang w:val="en-US"/>
        </w:rPr>
        <w:t>23.</w:t>
      </w:r>
      <w:r>
        <w:rPr>
          <w:lang w:val="en-US"/>
        </w:rPr>
        <w:tab/>
      </w:r>
      <w:r w:rsidR="00833A2A" w:rsidRPr="00833A2A">
        <w:rPr>
          <w:lang w:val="en-US"/>
        </w:rPr>
        <w:t xml:space="preserve">The </w:t>
      </w:r>
      <w:r w:rsidR="00046D59">
        <w:rPr>
          <w:lang w:val="en-US"/>
        </w:rPr>
        <w:t xml:space="preserve">TDG </w:t>
      </w:r>
      <w:r w:rsidR="00833A2A" w:rsidRPr="00833A2A">
        <w:rPr>
          <w:lang w:val="en-US"/>
        </w:rPr>
        <w:t xml:space="preserve">Sub-Committee </w:t>
      </w:r>
      <w:r w:rsidR="00833A2A" w:rsidRPr="00A34497">
        <w:rPr>
          <w:b/>
          <w:bCs/>
          <w:lang w:val="en-US"/>
        </w:rPr>
        <w:t xml:space="preserve">adopted the amendment to 2.8.3.2 </w:t>
      </w:r>
      <w:r w:rsidR="00046D59" w:rsidRPr="00A34497">
        <w:rPr>
          <w:b/>
          <w:bCs/>
          <w:lang w:val="en-US"/>
        </w:rPr>
        <w:t>of the Model Regulations</w:t>
      </w:r>
      <w:r w:rsidR="00046D59">
        <w:rPr>
          <w:lang w:val="en-US"/>
        </w:rPr>
        <w:t xml:space="preserve"> </w:t>
      </w:r>
      <w:r w:rsidR="00046D59" w:rsidRPr="00046D59">
        <w:rPr>
          <w:lang w:val="en-US"/>
        </w:rPr>
        <w:t xml:space="preserve">to </w:t>
      </w:r>
      <w:proofErr w:type="gramStart"/>
      <w:r w:rsidR="00046D59" w:rsidRPr="00046D59">
        <w:rPr>
          <w:lang w:val="en-US"/>
        </w:rPr>
        <w:t>take into account</w:t>
      </w:r>
      <w:proofErr w:type="gramEnd"/>
      <w:r w:rsidR="00046D59" w:rsidRPr="00046D59">
        <w:rPr>
          <w:lang w:val="en-US"/>
        </w:rPr>
        <w:t xml:space="preserve"> the revised OECD Test Guideline 431 allowing sub-</w:t>
      </w:r>
      <w:proofErr w:type="spellStart"/>
      <w:r w:rsidR="00046D59" w:rsidRPr="00046D59">
        <w:rPr>
          <w:lang w:val="en-US"/>
        </w:rPr>
        <w:t>categorisation</w:t>
      </w:r>
      <w:proofErr w:type="spellEnd"/>
      <w:r w:rsidR="00046D59" w:rsidRPr="00046D59">
        <w:rPr>
          <w:lang w:val="en-US"/>
        </w:rPr>
        <w:t xml:space="preserve"> for skin corrosion </w:t>
      </w:r>
      <w:r w:rsidR="00833A2A" w:rsidRPr="00833A2A">
        <w:rPr>
          <w:lang w:val="en-US"/>
        </w:rPr>
        <w:t xml:space="preserve">with some changes. </w:t>
      </w:r>
    </w:p>
    <w:p w:rsidR="00833A2A" w:rsidRPr="00417338" w:rsidRDefault="00833A2A" w:rsidP="00833A2A">
      <w:pPr>
        <w:pStyle w:val="SingleTxtG"/>
        <w:rPr>
          <w:i/>
        </w:rPr>
      </w:pPr>
      <w:r w:rsidRPr="00417338">
        <w:rPr>
          <w:i/>
        </w:rPr>
        <w:t>(Ref.Doc.: Draft report of the TDG Sub-Committee on its 5</w:t>
      </w:r>
      <w:r>
        <w:rPr>
          <w:i/>
        </w:rPr>
        <w:t>4th</w:t>
      </w:r>
      <w:r w:rsidRPr="00417338">
        <w:rPr>
          <w:i/>
        </w:rPr>
        <w:t xml:space="preserve"> session: ST/SG/AC.10/C.3/201</w:t>
      </w:r>
      <w:r>
        <w:rPr>
          <w:i/>
        </w:rPr>
        <w:t>8</w:t>
      </w:r>
      <w:r w:rsidRPr="00417338">
        <w:rPr>
          <w:i/>
        </w:rPr>
        <w:t>/CRP.</w:t>
      </w:r>
      <w:r>
        <w:rPr>
          <w:i/>
        </w:rPr>
        <w:t>3</w:t>
      </w:r>
      <w:r w:rsidRPr="00417338">
        <w:rPr>
          <w:i/>
        </w:rPr>
        <w:t>/Add.</w:t>
      </w:r>
      <w:r>
        <w:rPr>
          <w:i/>
        </w:rPr>
        <w:t>10</w:t>
      </w:r>
      <w:r w:rsidRPr="00417338">
        <w:rPr>
          <w:i/>
        </w:rPr>
        <w:t>, paragraph</w:t>
      </w:r>
      <w:r>
        <w:rPr>
          <w:i/>
        </w:rPr>
        <w:t xml:space="preserve"> 115</w:t>
      </w:r>
      <w:r w:rsidRPr="00417338">
        <w:rPr>
          <w:i/>
        </w:rPr>
        <w:t>)</w:t>
      </w:r>
    </w:p>
    <w:p w:rsidR="00833A2A" w:rsidRDefault="00865AD1" w:rsidP="00865AD1">
      <w:pPr>
        <w:pStyle w:val="H23G"/>
      </w:pPr>
      <w:r>
        <w:t xml:space="preserve">Item </w:t>
      </w:r>
      <w:r w:rsidR="00BB7437">
        <w:t>9</w:t>
      </w:r>
      <w:r>
        <w:tab/>
      </w:r>
      <w:r>
        <w:tab/>
        <w:t>Programme of work</w:t>
      </w:r>
    </w:p>
    <w:p w:rsidR="00CB2328" w:rsidRPr="00DB33C1" w:rsidRDefault="00CB2328" w:rsidP="00CB2328">
      <w:pPr>
        <w:pStyle w:val="H23G"/>
      </w:pPr>
      <w:r>
        <w:tab/>
      </w:r>
      <w:r w:rsidRPr="00DB33C1">
        <w:tab/>
      </w:r>
      <w:r w:rsidRPr="00DB33C1">
        <w:tab/>
      </w:r>
      <w:r w:rsidRPr="00833A2A">
        <w:t>Terms of reference for the work on combinations of physical hazards</w:t>
      </w:r>
    </w:p>
    <w:p w:rsidR="00CB2328" w:rsidRPr="00833A2A" w:rsidRDefault="00CB2328" w:rsidP="00CB2328">
      <w:pPr>
        <w:pStyle w:val="SingleTxtG"/>
        <w:tabs>
          <w:tab w:val="left" w:pos="3119"/>
        </w:tabs>
        <w:spacing w:after="240"/>
        <w:ind w:left="3119" w:hanging="1985"/>
        <w:rPr>
          <w:lang w:val="en-US"/>
        </w:rPr>
      </w:pPr>
      <w:r w:rsidRPr="00833A2A">
        <w:rPr>
          <w:i/>
          <w:iCs/>
        </w:rPr>
        <w:t>Document:</w:t>
      </w:r>
      <w:r w:rsidRPr="00833A2A">
        <w:tab/>
      </w:r>
      <w:r w:rsidRPr="00833A2A">
        <w:rPr>
          <w:lang w:val="en-US"/>
        </w:rPr>
        <w:t>ST/SG/AC.10/C.4/2018/21 (Germany)</w:t>
      </w:r>
    </w:p>
    <w:p w:rsidR="00CB2328" w:rsidRDefault="00A34497" w:rsidP="00CB2328">
      <w:pPr>
        <w:pStyle w:val="SingleTxtG"/>
        <w:rPr>
          <w:lang w:val="en-US"/>
        </w:rPr>
      </w:pPr>
      <w:r>
        <w:rPr>
          <w:lang w:val="en-US"/>
        </w:rPr>
        <w:t>24.</w:t>
      </w:r>
      <w:r>
        <w:rPr>
          <w:lang w:val="en-US"/>
        </w:rPr>
        <w:tab/>
      </w:r>
      <w:r w:rsidR="00CB2328" w:rsidRPr="00833A2A">
        <w:rPr>
          <w:lang w:val="en-US"/>
        </w:rPr>
        <w:t xml:space="preserve">There was general support to the terms of reference proposed by Germany for a systematic analysis of all possible combinations of physical hazard classes with regards to their simultaneous assignment to a chemical. The </w:t>
      </w:r>
      <w:r w:rsidR="00CB2328">
        <w:rPr>
          <w:lang w:val="en-US"/>
        </w:rPr>
        <w:t xml:space="preserve">TDG </w:t>
      </w:r>
      <w:r w:rsidR="00CB2328" w:rsidRPr="00833A2A">
        <w:rPr>
          <w:lang w:val="en-US"/>
        </w:rPr>
        <w:t xml:space="preserve">Sub-Committee noted that the GHS </w:t>
      </w:r>
      <w:r w:rsidR="00CB2328" w:rsidRPr="00833A2A">
        <w:rPr>
          <w:lang w:val="en-US"/>
        </w:rPr>
        <w:br/>
        <w:t xml:space="preserve">Sub-Committee would consider including this item on its </w:t>
      </w:r>
      <w:proofErr w:type="spellStart"/>
      <w:r w:rsidR="00CB2328" w:rsidRPr="00833A2A">
        <w:rPr>
          <w:lang w:val="en-US"/>
        </w:rPr>
        <w:t>programme</w:t>
      </w:r>
      <w:proofErr w:type="spellEnd"/>
      <w:r w:rsidR="00CB2328" w:rsidRPr="00833A2A">
        <w:rPr>
          <w:lang w:val="en-US"/>
        </w:rPr>
        <w:t xml:space="preserve"> of work for 2019-2020.</w:t>
      </w:r>
    </w:p>
    <w:p w:rsidR="00CB2328" w:rsidRPr="00417338" w:rsidRDefault="00CB2328" w:rsidP="00CB2328">
      <w:pPr>
        <w:pStyle w:val="SingleTxtG"/>
        <w:rPr>
          <w:i/>
        </w:rPr>
      </w:pPr>
      <w:r w:rsidRPr="00417338">
        <w:rPr>
          <w:i/>
        </w:rPr>
        <w:t>(Ref.Doc.: Draft report of the TDG Sub-Committee on its 5</w:t>
      </w:r>
      <w:r>
        <w:rPr>
          <w:i/>
        </w:rPr>
        <w:t>4th</w:t>
      </w:r>
      <w:r w:rsidRPr="00417338">
        <w:rPr>
          <w:i/>
        </w:rPr>
        <w:t xml:space="preserve"> session: ST/SG/AC.10/C.3/201</w:t>
      </w:r>
      <w:r>
        <w:rPr>
          <w:i/>
        </w:rPr>
        <w:t>8</w:t>
      </w:r>
      <w:r w:rsidRPr="00417338">
        <w:rPr>
          <w:i/>
        </w:rPr>
        <w:t>/CRP.</w:t>
      </w:r>
      <w:r>
        <w:rPr>
          <w:i/>
        </w:rPr>
        <w:t>3</w:t>
      </w:r>
      <w:r w:rsidRPr="00417338">
        <w:rPr>
          <w:i/>
        </w:rPr>
        <w:t>/Add.</w:t>
      </w:r>
      <w:r>
        <w:rPr>
          <w:i/>
        </w:rPr>
        <w:t>10</w:t>
      </w:r>
      <w:r w:rsidRPr="00417338">
        <w:rPr>
          <w:i/>
        </w:rPr>
        <w:t>, paragraph</w:t>
      </w:r>
      <w:r>
        <w:rPr>
          <w:i/>
        </w:rPr>
        <w:t xml:space="preserve"> 120</w:t>
      </w:r>
      <w:r w:rsidRPr="00417338">
        <w:rPr>
          <w:i/>
        </w:rPr>
        <w:t>)</w:t>
      </w:r>
    </w:p>
    <w:p w:rsidR="00EA2E29" w:rsidRDefault="00EA2E29" w:rsidP="00EA2E29">
      <w:pPr>
        <w:pStyle w:val="H23G"/>
      </w:pPr>
      <w:r>
        <w:lastRenderedPageBreak/>
        <w:tab/>
      </w:r>
      <w:r>
        <w:tab/>
        <w:t>Criteria for water-reactivity</w:t>
      </w:r>
    </w:p>
    <w:p w:rsidR="00EA2E29" w:rsidRDefault="00A34497" w:rsidP="00EA2E29">
      <w:pPr>
        <w:pStyle w:val="SingleTxtG"/>
        <w:tabs>
          <w:tab w:val="left" w:pos="1701"/>
        </w:tabs>
      </w:pPr>
      <w:r>
        <w:t>25.</w:t>
      </w:r>
      <w:r>
        <w:tab/>
      </w:r>
      <w:r w:rsidR="00EA2E29" w:rsidRPr="00266E7D">
        <w:t xml:space="preserve">The expert from Germany informed the </w:t>
      </w:r>
      <w:r w:rsidR="00CB2328">
        <w:t xml:space="preserve">TDG </w:t>
      </w:r>
      <w:r w:rsidR="00EA2E29" w:rsidRPr="00266E7D">
        <w:t xml:space="preserve">Sub-Committee that some work was done on this issue but considered that there was no need to keep it as specific item </w:t>
      </w:r>
      <w:r w:rsidR="00EA2E29">
        <w:t>in</w:t>
      </w:r>
      <w:r w:rsidR="00EA2E29" w:rsidRPr="00266E7D">
        <w:t xml:space="preserve"> the programme of work </w:t>
      </w:r>
      <w:r w:rsidR="00EA2E29">
        <w:t>for</w:t>
      </w:r>
      <w:r w:rsidR="00EA2E29" w:rsidRPr="00266E7D">
        <w:t xml:space="preserve"> the next biennium.</w:t>
      </w:r>
    </w:p>
    <w:p w:rsidR="00EA2E29" w:rsidRDefault="00EA2E29" w:rsidP="00EA2E29">
      <w:pPr>
        <w:pStyle w:val="SingleTxtG"/>
        <w:rPr>
          <w:i/>
        </w:rPr>
      </w:pPr>
      <w:r w:rsidRPr="00417338">
        <w:rPr>
          <w:i/>
        </w:rPr>
        <w:t>(Ref.Doc.: Draft report of the TDG Sub-Committee on its 5</w:t>
      </w:r>
      <w:r>
        <w:rPr>
          <w:i/>
        </w:rPr>
        <w:t>4th</w:t>
      </w:r>
      <w:r w:rsidRPr="00417338">
        <w:rPr>
          <w:i/>
        </w:rPr>
        <w:t xml:space="preserve"> session: ST/SG/AC.10/C.3/201</w:t>
      </w:r>
      <w:r>
        <w:rPr>
          <w:i/>
        </w:rPr>
        <w:t>8</w:t>
      </w:r>
      <w:r w:rsidRPr="00417338">
        <w:rPr>
          <w:i/>
        </w:rPr>
        <w:t>/CRP.</w:t>
      </w:r>
      <w:r>
        <w:rPr>
          <w:i/>
        </w:rPr>
        <w:t>3</w:t>
      </w:r>
      <w:r w:rsidRPr="00417338">
        <w:rPr>
          <w:i/>
        </w:rPr>
        <w:t>/Add.</w:t>
      </w:r>
      <w:r>
        <w:rPr>
          <w:i/>
        </w:rPr>
        <w:t>11</w:t>
      </w:r>
      <w:r w:rsidRPr="00417338">
        <w:rPr>
          <w:i/>
        </w:rPr>
        <w:t>, paragraph</w:t>
      </w:r>
      <w:r>
        <w:rPr>
          <w:i/>
        </w:rPr>
        <w:t xml:space="preserve"> 129</w:t>
      </w:r>
      <w:r w:rsidRPr="00417338">
        <w:rPr>
          <w:i/>
        </w:rPr>
        <w:t>)</w:t>
      </w:r>
    </w:p>
    <w:p w:rsidR="006D612A" w:rsidRPr="00D6609E" w:rsidRDefault="006D612A" w:rsidP="006D612A">
      <w:pPr>
        <w:pStyle w:val="H23G"/>
      </w:pPr>
      <w:r>
        <w:tab/>
      </w:r>
      <w:r w:rsidRPr="00D6609E">
        <w:tab/>
        <w:t>Tests for oxidizing liquids (UN Test O.2) and oxidizing solids (UN Tests O.1 and O.3) </w:t>
      </w:r>
    </w:p>
    <w:p w:rsidR="006D612A" w:rsidRPr="00D6609E" w:rsidRDefault="006D612A" w:rsidP="006D612A">
      <w:pPr>
        <w:pStyle w:val="SingleTxtG"/>
        <w:tabs>
          <w:tab w:val="left" w:pos="3119"/>
        </w:tabs>
        <w:spacing w:after="240"/>
        <w:ind w:left="3119" w:hanging="1985"/>
        <w:rPr>
          <w:lang w:val="en-US"/>
        </w:rPr>
      </w:pPr>
      <w:r w:rsidRPr="00D6609E">
        <w:rPr>
          <w:i/>
          <w:iCs/>
        </w:rPr>
        <w:t>Document:</w:t>
      </w:r>
      <w:r w:rsidRPr="00D6609E">
        <w:tab/>
      </w:r>
      <w:r w:rsidRPr="00D6609E">
        <w:rPr>
          <w:lang w:val="en-US"/>
        </w:rPr>
        <w:t>ST/SG/AC.10/C.</w:t>
      </w:r>
      <w:r>
        <w:rPr>
          <w:lang w:val="en-US"/>
        </w:rPr>
        <w:t>4</w:t>
      </w:r>
      <w:r w:rsidRPr="00D6609E">
        <w:rPr>
          <w:lang w:val="en-US"/>
        </w:rPr>
        <w:t>/2018/</w:t>
      </w:r>
      <w:r>
        <w:rPr>
          <w:lang w:val="en-US"/>
        </w:rPr>
        <w:t>24</w:t>
      </w:r>
      <w:r w:rsidRPr="00D6609E">
        <w:rPr>
          <w:lang w:val="en-US"/>
        </w:rPr>
        <w:t>, paragraph 22 (France)</w:t>
      </w:r>
    </w:p>
    <w:p w:rsidR="006D612A" w:rsidRPr="00D6609E" w:rsidRDefault="006D612A" w:rsidP="006D612A">
      <w:pPr>
        <w:pStyle w:val="SingleTxtG"/>
        <w:tabs>
          <w:tab w:val="left" w:pos="3119"/>
        </w:tabs>
        <w:ind w:left="3119" w:hanging="1985"/>
        <w:rPr>
          <w:lang w:val="en-US"/>
        </w:rPr>
      </w:pPr>
      <w:r w:rsidRPr="00D6609E">
        <w:rPr>
          <w:i/>
          <w:iCs/>
        </w:rPr>
        <w:t>Informal document:</w:t>
      </w:r>
      <w:r w:rsidRPr="00D6609E">
        <w:tab/>
      </w:r>
      <w:r w:rsidRPr="00D6609E">
        <w:rPr>
          <w:lang w:val="en-US"/>
        </w:rPr>
        <w:t>INF.</w:t>
      </w:r>
      <w:r>
        <w:rPr>
          <w:lang w:val="en-US"/>
        </w:rPr>
        <w:t>22</w:t>
      </w:r>
      <w:r w:rsidRPr="00D6609E">
        <w:rPr>
          <w:lang w:val="en-US"/>
        </w:rPr>
        <w:t xml:space="preserve"> (France)</w:t>
      </w:r>
    </w:p>
    <w:p w:rsidR="006D612A" w:rsidRPr="00D6609E" w:rsidRDefault="00A34497" w:rsidP="006D612A">
      <w:pPr>
        <w:pStyle w:val="SingleTxtG"/>
      </w:pPr>
      <w:r>
        <w:t>26.</w:t>
      </w:r>
      <w:r>
        <w:tab/>
      </w:r>
      <w:r w:rsidR="006D612A" w:rsidRPr="00D6609E">
        <w:t xml:space="preserve">The </w:t>
      </w:r>
      <w:r w:rsidR="007719BC">
        <w:t xml:space="preserve">TDG </w:t>
      </w:r>
      <w:r w:rsidR="006D612A" w:rsidRPr="00D6609E">
        <w:t>Sub-Committee noted that work on tests O.1, O.2 and O.3 would have to be pursued during the next biennium and agreed to the additiona</w:t>
      </w:r>
      <w:r w:rsidR="006D612A">
        <w:t>l tasks proposed in paragraph 2 </w:t>
      </w:r>
      <w:r w:rsidR="006D612A" w:rsidRPr="00D6609E">
        <w:t>(a) and (b) of informal document INF.</w:t>
      </w:r>
      <w:r w:rsidR="006D612A">
        <w:t>22</w:t>
      </w:r>
      <w:r w:rsidR="006D612A" w:rsidRPr="00D6609E">
        <w:t>, as well as those listed in paragraph 3 of informal document INF.</w:t>
      </w:r>
      <w:r w:rsidR="006D612A">
        <w:t>19</w:t>
      </w:r>
      <w:r w:rsidR="006D612A" w:rsidRPr="00D6609E">
        <w:t xml:space="preserve"> (submitted at the </w:t>
      </w:r>
      <w:r w:rsidR="006D612A">
        <w:t>thirty-fifth</w:t>
      </w:r>
      <w:r w:rsidR="006D612A" w:rsidRPr="00D6609E">
        <w:t xml:space="preserve"> session</w:t>
      </w:r>
      <w:r w:rsidR="007719BC">
        <w:t xml:space="preserve"> of the GHS Sub-Committee</w:t>
      </w:r>
      <w:r w:rsidR="006D612A" w:rsidRPr="00D6609E">
        <w:t xml:space="preserve">) referred to in document </w:t>
      </w:r>
      <w:r w:rsidR="006D612A" w:rsidRPr="00D6609E">
        <w:rPr>
          <w:lang w:val="en-US"/>
        </w:rPr>
        <w:t>ST/SG/AC.10/C.</w:t>
      </w:r>
      <w:r w:rsidR="006D612A">
        <w:rPr>
          <w:lang w:val="en-US"/>
        </w:rPr>
        <w:t>4</w:t>
      </w:r>
      <w:r w:rsidR="006D612A" w:rsidRPr="00D6609E">
        <w:rPr>
          <w:lang w:val="en-US"/>
        </w:rPr>
        <w:t>/2018/</w:t>
      </w:r>
      <w:r w:rsidR="006D612A">
        <w:rPr>
          <w:lang w:val="en-US"/>
        </w:rPr>
        <w:t>24</w:t>
      </w:r>
      <w:r w:rsidR="006D612A" w:rsidRPr="00D6609E">
        <w:rPr>
          <w:lang w:val="en-US"/>
        </w:rPr>
        <w:t>, paragraph 22</w:t>
      </w:r>
      <w:r w:rsidR="006D612A" w:rsidRPr="00D6609E">
        <w:t xml:space="preserve">. It was also noted that France would continue </w:t>
      </w:r>
      <w:r w:rsidR="006D612A">
        <w:t xml:space="preserve">to lead </w:t>
      </w:r>
      <w:r w:rsidR="006D612A" w:rsidRPr="00D6609E">
        <w:t xml:space="preserve">the work on this matter. </w:t>
      </w:r>
    </w:p>
    <w:p w:rsidR="006D612A" w:rsidRDefault="006D612A" w:rsidP="006D612A">
      <w:pPr>
        <w:pStyle w:val="SingleTxtG"/>
        <w:rPr>
          <w:i/>
        </w:rPr>
      </w:pPr>
      <w:r w:rsidRPr="00417338">
        <w:rPr>
          <w:i/>
        </w:rPr>
        <w:t>(Ref.Doc.: Draft report of the TDG Sub-Committee on its 5</w:t>
      </w:r>
      <w:r>
        <w:rPr>
          <w:i/>
        </w:rPr>
        <w:t>4th</w:t>
      </w:r>
      <w:r w:rsidRPr="00417338">
        <w:rPr>
          <w:i/>
        </w:rPr>
        <w:t xml:space="preserve"> session: ST/SG/AC.10/C.3/201</w:t>
      </w:r>
      <w:r>
        <w:rPr>
          <w:i/>
        </w:rPr>
        <w:t>8</w:t>
      </w:r>
      <w:r w:rsidRPr="00417338">
        <w:rPr>
          <w:i/>
        </w:rPr>
        <w:t>/CRP.</w:t>
      </w:r>
      <w:r>
        <w:rPr>
          <w:i/>
        </w:rPr>
        <w:t>3</w:t>
      </w:r>
      <w:r w:rsidRPr="00417338">
        <w:rPr>
          <w:i/>
        </w:rPr>
        <w:t>/Add.</w:t>
      </w:r>
      <w:r>
        <w:rPr>
          <w:i/>
        </w:rPr>
        <w:t>11</w:t>
      </w:r>
      <w:r w:rsidRPr="00417338">
        <w:rPr>
          <w:i/>
        </w:rPr>
        <w:t>, paragraph</w:t>
      </w:r>
      <w:r>
        <w:rPr>
          <w:i/>
        </w:rPr>
        <w:t xml:space="preserve"> 132</w:t>
      </w:r>
      <w:r w:rsidRPr="00417338">
        <w:rPr>
          <w:i/>
        </w:rPr>
        <w:t>)</w:t>
      </w:r>
    </w:p>
    <w:p w:rsidR="006D612A" w:rsidRPr="00D6609E" w:rsidRDefault="006D612A" w:rsidP="006D612A">
      <w:pPr>
        <w:pStyle w:val="H23G"/>
      </w:pPr>
      <w:r w:rsidRPr="00D6609E">
        <w:tab/>
      </w:r>
      <w:r w:rsidRPr="00D6609E">
        <w:tab/>
        <w:t xml:space="preserve">Working Group on Explosives </w:t>
      </w:r>
    </w:p>
    <w:p w:rsidR="006D612A" w:rsidRDefault="00A34497" w:rsidP="006D612A">
      <w:pPr>
        <w:pStyle w:val="SingleTxtG"/>
      </w:pPr>
      <w:r>
        <w:t>27.</w:t>
      </w:r>
      <w:r>
        <w:tab/>
      </w:r>
      <w:r w:rsidR="006D612A" w:rsidRPr="00D6609E">
        <w:t xml:space="preserve">The </w:t>
      </w:r>
      <w:r w:rsidR="007719BC">
        <w:t xml:space="preserve">TDG </w:t>
      </w:r>
      <w:r w:rsidR="006D612A" w:rsidRPr="00D6609E">
        <w:t xml:space="preserve">Sub-Committee agreed </w:t>
      </w:r>
      <w:r w:rsidR="006D612A">
        <w:t xml:space="preserve">on the work items for 2019-2020 proposed by Working Group in paragraph 21 of the report of the </w:t>
      </w:r>
      <w:r w:rsidR="006D612A" w:rsidRPr="00D6609E">
        <w:t xml:space="preserve">Working Group on Explosives </w:t>
      </w:r>
      <w:r w:rsidR="006D612A">
        <w:t xml:space="preserve">of the TDG Sub-Committee reproduced in informal document INF.34. It also agreed </w:t>
      </w:r>
      <w:r w:rsidR="006D612A" w:rsidRPr="00D6609E">
        <w:t xml:space="preserve">that the Working Group should meet again twice during </w:t>
      </w:r>
      <w:r w:rsidR="006D612A">
        <w:t>that period</w:t>
      </w:r>
      <w:r w:rsidR="006D612A" w:rsidRPr="00D6609E">
        <w:t xml:space="preserve"> under the Chairmanship </w:t>
      </w:r>
      <w:r w:rsidR="006D612A">
        <w:t xml:space="preserve">of Mr. E de Jong (Netherlands). </w:t>
      </w:r>
    </w:p>
    <w:p w:rsidR="006D612A" w:rsidRDefault="006D612A" w:rsidP="006D612A">
      <w:pPr>
        <w:pStyle w:val="SingleTxtG"/>
        <w:rPr>
          <w:i/>
        </w:rPr>
      </w:pPr>
      <w:r w:rsidRPr="00417338">
        <w:rPr>
          <w:i/>
        </w:rPr>
        <w:t>(Ref.Doc.: Draft report of the TDG Sub-Committee on its 5</w:t>
      </w:r>
      <w:r>
        <w:rPr>
          <w:i/>
        </w:rPr>
        <w:t>4th</w:t>
      </w:r>
      <w:r w:rsidRPr="00417338">
        <w:rPr>
          <w:i/>
        </w:rPr>
        <w:t xml:space="preserve"> session: ST/SG/AC.10/C.3/201</w:t>
      </w:r>
      <w:r>
        <w:rPr>
          <w:i/>
        </w:rPr>
        <w:t>8</w:t>
      </w:r>
      <w:r w:rsidRPr="00417338">
        <w:rPr>
          <w:i/>
        </w:rPr>
        <w:t>/CRP.</w:t>
      </w:r>
      <w:r>
        <w:rPr>
          <w:i/>
        </w:rPr>
        <w:t>3</w:t>
      </w:r>
      <w:r w:rsidRPr="00417338">
        <w:rPr>
          <w:i/>
        </w:rPr>
        <w:t>/Add.</w:t>
      </w:r>
      <w:r>
        <w:rPr>
          <w:i/>
        </w:rPr>
        <w:t>11</w:t>
      </w:r>
      <w:r w:rsidRPr="00417338">
        <w:rPr>
          <w:i/>
        </w:rPr>
        <w:t>, paragraph</w:t>
      </w:r>
      <w:r>
        <w:rPr>
          <w:i/>
        </w:rPr>
        <w:t xml:space="preserve"> 133</w:t>
      </w:r>
      <w:r w:rsidRPr="00417338">
        <w:rPr>
          <w:i/>
        </w:rPr>
        <w:t>)</w:t>
      </w:r>
    </w:p>
    <w:p w:rsidR="006D612A" w:rsidRPr="00D6609E" w:rsidRDefault="006D612A" w:rsidP="006D612A">
      <w:pPr>
        <w:pStyle w:val="H23G"/>
      </w:pPr>
      <w:r w:rsidRPr="00D6609E">
        <w:tab/>
      </w:r>
      <w:r w:rsidRPr="00D6609E">
        <w:tab/>
        <w:t xml:space="preserve">Consolidated programme of work for 2019-2020 </w:t>
      </w:r>
    </w:p>
    <w:p w:rsidR="006D612A" w:rsidRDefault="00A34497" w:rsidP="006D612A">
      <w:pPr>
        <w:pStyle w:val="SingleTxtG"/>
      </w:pPr>
      <w:r>
        <w:t>28.</w:t>
      </w:r>
      <w:r>
        <w:tab/>
      </w:r>
      <w:r w:rsidR="006D612A">
        <w:t>T</w:t>
      </w:r>
      <w:r w:rsidR="006D612A" w:rsidRPr="00E114EF">
        <w:t>he</w:t>
      </w:r>
      <w:r w:rsidR="006D612A">
        <w:t xml:space="preserve"> TDG</w:t>
      </w:r>
      <w:r w:rsidR="006D612A" w:rsidRPr="00E114EF">
        <w:t xml:space="preserve"> Sub-Committee agreed to include the following items in its work programme for 2019-2020:</w:t>
      </w:r>
    </w:p>
    <w:p w:rsidR="006D612A" w:rsidRPr="00D6609E" w:rsidRDefault="006D612A" w:rsidP="006D612A">
      <w:pPr>
        <w:pStyle w:val="SingleTxtG"/>
        <w:ind w:left="1560" w:hanging="426"/>
      </w:pPr>
      <w:r w:rsidRPr="00D6609E">
        <w:t xml:space="preserve">(a) </w:t>
      </w:r>
      <w:r w:rsidRPr="00D6609E">
        <w:tab/>
        <w:t>Explosives and related matters (including review of test series 6; improvement of test series 8; review of tests in parts I, II and III of the Manual of Tests and Criteria; UN standard detonator; review of packing instructions for explosives; application of security provisions to explosives N.O.S.; Test N.1 for readily combustible solids; review of Chapter 2.1 of the GHS; energetic samples; issues related to the definition of explosives; review of packaging and transport requirements for ANEs);</w:t>
      </w:r>
    </w:p>
    <w:p w:rsidR="006D612A" w:rsidRPr="00C40A46" w:rsidRDefault="006D612A" w:rsidP="006D612A">
      <w:pPr>
        <w:pStyle w:val="SingleTxtG"/>
        <w:ind w:left="1560" w:hanging="426"/>
      </w:pPr>
      <w:r w:rsidRPr="00D6609E">
        <w:t xml:space="preserve">(b) </w:t>
      </w:r>
      <w:r w:rsidRPr="00D6609E">
        <w:tab/>
        <w:t>Listing, classification and packing</w:t>
      </w:r>
      <w:r w:rsidRPr="00D6609E">
        <w:rPr>
          <w:lang w:val="fr-CH"/>
        </w:rPr>
        <w:t xml:space="preserve"> </w:t>
      </w:r>
      <w:r w:rsidRPr="00D6609E">
        <w:t>(including amendments to the list of dangerous goods and packing instructions</w:t>
      </w:r>
      <w:r w:rsidRPr="00D6609E">
        <w:rPr>
          <w:lang w:val="fr-CH"/>
        </w:rPr>
        <w:t>;</w:t>
      </w:r>
      <w:r w:rsidRPr="00D6609E">
        <w:t xml:space="preserve"> </w:t>
      </w:r>
      <w:r w:rsidRPr="00572528">
        <w:t>toxicity of UN Nos. 2248, 2264 and 2357</w:t>
      </w:r>
      <w:r>
        <w:t xml:space="preserve">, polymerizing </w:t>
      </w:r>
      <w:r w:rsidRPr="00C40A46">
        <w:t>substances</w:t>
      </w:r>
      <w:r w:rsidRPr="00C40A46">
        <w:rPr>
          <w:lang w:val="fr-CH"/>
        </w:rPr>
        <w:t>);</w:t>
      </w:r>
      <w:r w:rsidRPr="00C40A46">
        <w:t xml:space="preserve"> </w:t>
      </w:r>
    </w:p>
    <w:p w:rsidR="006D612A" w:rsidRPr="00D6609E" w:rsidRDefault="006D612A" w:rsidP="006D612A">
      <w:pPr>
        <w:pStyle w:val="SingleTxtG"/>
        <w:ind w:left="1560" w:hanging="426"/>
      </w:pPr>
      <w:r w:rsidRPr="00D6609E">
        <w:t xml:space="preserve"> (c) </w:t>
      </w:r>
      <w:r w:rsidRPr="00D6609E">
        <w:tab/>
        <w:t>Electric storage systems (including testing of lithium batteries; hazard-based system for classification of lithium b</w:t>
      </w:r>
      <w:r>
        <w:t>atteries; transport provisions</w:t>
      </w:r>
      <w:r w:rsidRPr="00572528">
        <w:t>; damaged or defective lithium batteries; and sodium-ion batteries);</w:t>
      </w:r>
      <w:r w:rsidRPr="00D6609E">
        <w:t xml:space="preserve"> </w:t>
      </w:r>
    </w:p>
    <w:p w:rsidR="006D612A" w:rsidRPr="00D6609E" w:rsidRDefault="006D612A" w:rsidP="006D612A">
      <w:pPr>
        <w:pStyle w:val="SingleTxtG"/>
        <w:ind w:left="1560" w:hanging="426"/>
      </w:pPr>
      <w:r w:rsidRPr="00D6609E">
        <w:t xml:space="preserve">(d) </w:t>
      </w:r>
      <w:r w:rsidRPr="00D6609E">
        <w:tab/>
        <w:t xml:space="preserve">Transport of gases (including global recognition of UN and non-UN pressure receptacles); </w:t>
      </w:r>
    </w:p>
    <w:p w:rsidR="006D612A" w:rsidRPr="00D6609E" w:rsidRDefault="006D612A" w:rsidP="006D612A">
      <w:pPr>
        <w:pStyle w:val="SingleTxtG"/>
        <w:ind w:left="1560" w:hanging="426"/>
      </w:pPr>
      <w:r w:rsidRPr="00D6609E">
        <w:lastRenderedPageBreak/>
        <w:t xml:space="preserve">(e) </w:t>
      </w:r>
      <w:r w:rsidRPr="00D6609E">
        <w:tab/>
        <w:t>Miscellaneous proposals of amendments to the Model Regulations (</w:t>
      </w:r>
      <w:r>
        <w:t xml:space="preserve">including documentation (e.g. e-documentation), </w:t>
      </w:r>
      <w:r w:rsidRPr="00D6609E">
        <w:t>marking and labelling issues; packaging issues; tank issues</w:t>
      </w:r>
      <w:r>
        <w:t>; fibre-reinforced plastics (FRP) portable tanks</w:t>
      </w:r>
      <w:r w:rsidRPr="00D6609E">
        <w:t xml:space="preserve">); </w:t>
      </w:r>
    </w:p>
    <w:p w:rsidR="006D612A" w:rsidRPr="00D6609E" w:rsidRDefault="006D612A" w:rsidP="006D612A">
      <w:pPr>
        <w:pStyle w:val="SingleTxtG"/>
        <w:ind w:left="1560" w:hanging="426"/>
      </w:pPr>
      <w:r w:rsidRPr="00D6609E">
        <w:t xml:space="preserve">(f) </w:t>
      </w:r>
      <w:r w:rsidRPr="00D6609E">
        <w:tab/>
        <w:t xml:space="preserve">Cooperation with IAEA; </w:t>
      </w:r>
    </w:p>
    <w:p w:rsidR="006D612A" w:rsidRPr="00D6609E" w:rsidRDefault="006D612A" w:rsidP="006D612A">
      <w:pPr>
        <w:pStyle w:val="SingleTxtG"/>
        <w:ind w:left="1560" w:hanging="426"/>
      </w:pPr>
      <w:r w:rsidRPr="00D6609E">
        <w:t xml:space="preserve">(g) </w:t>
      </w:r>
      <w:r w:rsidRPr="00D6609E">
        <w:tab/>
        <w:t xml:space="preserve">Global harmonization of transport of dangerous goods regulations with the Model Regulations; </w:t>
      </w:r>
    </w:p>
    <w:p w:rsidR="006D612A" w:rsidRPr="00D6609E" w:rsidRDefault="006D612A" w:rsidP="006D612A">
      <w:pPr>
        <w:pStyle w:val="SingleTxtG"/>
        <w:ind w:left="1560" w:hanging="426"/>
      </w:pPr>
      <w:r w:rsidRPr="00D6609E">
        <w:t xml:space="preserve">(h) </w:t>
      </w:r>
      <w:r w:rsidRPr="00D6609E">
        <w:tab/>
        <w:t xml:space="preserve">Guiding principles for the Model Regulations; </w:t>
      </w:r>
    </w:p>
    <w:p w:rsidR="00DB1726" w:rsidRDefault="00DB1726" w:rsidP="00DB1726">
      <w:pPr>
        <w:pStyle w:val="SingleTxtG"/>
        <w:jc w:val="center"/>
        <w:rPr>
          <w:i/>
        </w:rPr>
      </w:pPr>
      <w:r w:rsidRPr="00533570">
        <w:rPr>
          <w:i/>
        </w:rPr>
        <w:t>________________</w:t>
      </w:r>
    </w:p>
    <w:sectPr w:rsidR="00DB1726" w:rsidSect="0099001C">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3881" w:rsidRDefault="00D63881"/>
  </w:endnote>
  <w:endnote w:type="continuationSeparator" w:id="0">
    <w:p w:rsidR="00D63881" w:rsidRDefault="00D63881"/>
  </w:endnote>
  <w:endnote w:type="continuationNotice" w:id="1">
    <w:p w:rsidR="00D63881" w:rsidRDefault="00D638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altName w:val="Arial"/>
    <w:panose1 w:val="020B06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7757" w:rsidRPr="0099001C" w:rsidRDefault="006A7757" w:rsidP="0099001C">
    <w:pPr>
      <w:pStyle w:val="Footer"/>
      <w:tabs>
        <w:tab w:val="right" w:pos="9638"/>
      </w:tabs>
      <w:rPr>
        <w:sz w:val="18"/>
      </w:rPr>
    </w:pPr>
    <w:r w:rsidRPr="0099001C">
      <w:rPr>
        <w:b/>
        <w:sz w:val="18"/>
      </w:rPr>
      <w:fldChar w:fldCharType="begin"/>
    </w:r>
    <w:r w:rsidRPr="0099001C">
      <w:rPr>
        <w:b/>
        <w:sz w:val="18"/>
      </w:rPr>
      <w:instrText xml:space="preserve"> PAGE  \* MERGEFORMAT </w:instrText>
    </w:r>
    <w:r w:rsidRPr="0099001C">
      <w:rPr>
        <w:b/>
        <w:sz w:val="18"/>
      </w:rPr>
      <w:fldChar w:fldCharType="separate"/>
    </w:r>
    <w:r w:rsidR="00CC5715">
      <w:rPr>
        <w:b/>
        <w:noProof/>
        <w:sz w:val="18"/>
      </w:rPr>
      <w:t>4</w:t>
    </w:r>
    <w:r w:rsidRPr="0099001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7757" w:rsidRPr="0099001C" w:rsidRDefault="006A7757" w:rsidP="0099001C">
    <w:pPr>
      <w:pStyle w:val="Footer"/>
      <w:tabs>
        <w:tab w:val="right" w:pos="9638"/>
      </w:tabs>
      <w:rPr>
        <w:b/>
        <w:sz w:val="18"/>
      </w:rPr>
    </w:pPr>
    <w:r>
      <w:tab/>
    </w:r>
    <w:r w:rsidRPr="0099001C">
      <w:rPr>
        <w:b/>
        <w:sz w:val="18"/>
      </w:rPr>
      <w:fldChar w:fldCharType="begin"/>
    </w:r>
    <w:r w:rsidRPr="0099001C">
      <w:rPr>
        <w:b/>
        <w:sz w:val="18"/>
      </w:rPr>
      <w:instrText xml:space="preserve"> PAGE  \* MERGEFORMAT </w:instrText>
    </w:r>
    <w:r w:rsidRPr="0099001C">
      <w:rPr>
        <w:b/>
        <w:sz w:val="18"/>
      </w:rPr>
      <w:fldChar w:fldCharType="separate"/>
    </w:r>
    <w:r w:rsidR="00CC5715">
      <w:rPr>
        <w:b/>
        <w:noProof/>
        <w:sz w:val="18"/>
      </w:rPr>
      <w:t>5</w:t>
    </w:r>
    <w:r w:rsidRPr="0099001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7757" w:rsidRPr="0099001C" w:rsidRDefault="007044AC">
    <w:r>
      <w:rPr>
        <w:noProof/>
        <w:lang w:val="en-US"/>
      </w:rPr>
      <w:drawing>
        <wp:anchor distT="0" distB="0" distL="114300" distR="114300" simplePos="0" relativeHeight="251657728" behindDoc="0" locked="1" layoutInCell="1" allowOverlap="1">
          <wp:simplePos x="0" y="0"/>
          <wp:positionH relativeFrom="column">
            <wp:posOffset>5148580</wp:posOffset>
          </wp:positionH>
          <wp:positionV relativeFrom="paragraph">
            <wp:posOffset>-79375</wp:posOffset>
          </wp:positionV>
          <wp:extent cx="930275" cy="230505"/>
          <wp:effectExtent l="0" t="0" r="0" b="0"/>
          <wp:wrapNone/>
          <wp:docPr id="1" name="Picture 1"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3881" w:rsidRPr="000B175B" w:rsidRDefault="00D63881" w:rsidP="000B175B">
      <w:pPr>
        <w:tabs>
          <w:tab w:val="right" w:pos="2155"/>
        </w:tabs>
        <w:spacing w:after="80"/>
        <w:ind w:left="680"/>
        <w:rPr>
          <w:u w:val="single"/>
        </w:rPr>
      </w:pPr>
      <w:r>
        <w:rPr>
          <w:u w:val="single"/>
        </w:rPr>
        <w:tab/>
      </w:r>
    </w:p>
  </w:footnote>
  <w:footnote w:type="continuationSeparator" w:id="0">
    <w:p w:rsidR="00D63881" w:rsidRPr="00FC68B7" w:rsidRDefault="00D63881" w:rsidP="00FC68B7">
      <w:pPr>
        <w:tabs>
          <w:tab w:val="left" w:pos="2155"/>
        </w:tabs>
        <w:spacing w:after="80"/>
        <w:ind w:left="680"/>
        <w:rPr>
          <w:u w:val="single"/>
        </w:rPr>
      </w:pPr>
      <w:r>
        <w:rPr>
          <w:u w:val="single"/>
        </w:rPr>
        <w:tab/>
      </w:r>
    </w:p>
  </w:footnote>
  <w:footnote w:type="continuationNotice" w:id="1">
    <w:p w:rsidR="00D63881" w:rsidRDefault="00D63881"/>
  </w:footnote>
  <w:footnote w:id="2">
    <w:p w:rsidR="00E30EE8" w:rsidRPr="00E30EE8" w:rsidRDefault="00E30EE8">
      <w:pPr>
        <w:pStyle w:val="FootnoteText"/>
      </w:pPr>
      <w:r>
        <w:tab/>
      </w:r>
      <w:r>
        <w:rPr>
          <w:rStyle w:val="FootnoteReference"/>
        </w:rPr>
        <w:footnoteRef/>
      </w:r>
      <w:r>
        <w:t xml:space="preserve"> </w:t>
      </w:r>
      <w:r>
        <w:tab/>
      </w:r>
      <w:r w:rsidRPr="001A5EFA">
        <w:t>The final version of the report of the TDG Sub-Committee will be circulated as document ST/SG/AC.10/C.3/</w:t>
      </w:r>
      <w:r w:rsidR="00664234">
        <w:t>10</w:t>
      </w:r>
      <w:r w:rsidR="001C187F">
        <w:t>8</w:t>
      </w:r>
      <w:r>
        <w:t xml:space="preserve"> (</w:t>
      </w:r>
      <w:r w:rsidRPr="001A5EFA">
        <w:t>http://www.unece.org/trans/main/dgdb/dgsubc3/c3rep.html</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7757" w:rsidRPr="0099001C" w:rsidRDefault="006A7757" w:rsidP="00366CA7">
    <w:pPr>
      <w:pStyle w:val="Header"/>
    </w:pPr>
    <w:r w:rsidRPr="005A1400">
      <w:t>UN/SCEGHS/</w:t>
    </w:r>
    <w:r w:rsidR="00664234" w:rsidRPr="005A1400">
      <w:t>3</w:t>
    </w:r>
    <w:r w:rsidR="00231719">
      <w:t>6</w:t>
    </w:r>
    <w:r w:rsidRPr="005A1400">
      <w:t>/INF.</w:t>
    </w:r>
    <w:r w:rsidR="005E35C8">
      <w:t>36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7757" w:rsidRPr="0099001C" w:rsidRDefault="006A7757" w:rsidP="0099001C">
    <w:pPr>
      <w:pStyle w:val="Header"/>
      <w:jc w:val="right"/>
    </w:pPr>
    <w:r>
      <w:t>UN/SCEGHS/</w:t>
    </w:r>
    <w:r w:rsidR="00A8562B">
      <w:t>3</w:t>
    </w:r>
    <w:r w:rsidR="005E35C8">
      <w:t>6</w:t>
    </w:r>
    <w:r>
      <w:t>/INF.</w:t>
    </w:r>
    <w:r w:rsidR="005E35C8">
      <w:t>36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036B"/>
    <w:multiLevelType w:val="hybridMultilevel"/>
    <w:tmpl w:val="141A7D7E"/>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8C77AB"/>
    <w:multiLevelType w:val="hybridMultilevel"/>
    <w:tmpl w:val="7304EA0E"/>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 w15:restartNumberingAfterBreak="0">
    <w:nsid w:val="2B686A4B"/>
    <w:multiLevelType w:val="hybridMultilevel"/>
    <w:tmpl w:val="2CF41074"/>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3" w15:restartNumberingAfterBreak="0">
    <w:nsid w:val="2F186A1D"/>
    <w:multiLevelType w:val="hybridMultilevel"/>
    <w:tmpl w:val="8612F4E6"/>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4" w15:restartNumberingAfterBreak="0">
    <w:nsid w:val="51502AF8"/>
    <w:multiLevelType w:val="hybridMultilevel"/>
    <w:tmpl w:val="7CA2B210"/>
    <w:lvl w:ilvl="0" w:tplc="E3C6E986">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2BA0BC1"/>
    <w:multiLevelType w:val="hybridMultilevel"/>
    <w:tmpl w:val="4E687A88"/>
    <w:lvl w:ilvl="0" w:tplc="08090017">
      <w:start w:val="1"/>
      <w:numFmt w:val="lowerLetter"/>
      <w:lvlText w:val="%1)"/>
      <w:lvlJc w:val="left"/>
      <w:pPr>
        <w:ind w:left="2061" w:hanging="360"/>
      </w:p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num w:numId="1">
    <w:abstractNumId w:val="0"/>
  </w:num>
  <w:num w:numId="2">
    <w:abstractNumId w:val="5"/>
  </w:num>
  <w:num w:numId="3">
    <w:abstractNumId w:val="4"/>
  </w:num>
  <w:num w:numId="4">
    <w:abstractNumId w:val="1"/>
  </w:num>
  <w:num w:numId="5">
    <w:abstractNumId w:val="2"/>
  </w:num>
  <w:num w:numId="6">
    <w:abstractNumId w:val="3"/>
  </w:num>
  <w:num w:numId="7">
    <w:abstractNumId w:val="6"/>
  </w:num>
  <w:num w:numId="8">
    <w:abstractNumId w:val="0"/>
  </w:num>
  <w:num w:numId="9">
    <w:abstractNumId w:val="0"/>
  </w:num>
  <w:num w:numId="10">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fr-CH" w:vendorID="64" w:dllVersion="6" w:nlCheck="1" w:checkStyle="0"/>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2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01C"/>
    <w:rsid w:val="00002EFA"/>
    <w:rsid w:val="000045C9"/>
    <w:rsid w:val="00011433"/>
    <w:rsid w:val="000163B0"/>
    <w:rsid w:val="00021514"/>
    <w:rsid w:val="000314D0"/>
    <w:rsid w:val="00033B3D"/>
    <w:rsid w:val="00046D59"/>
    <w:rsid w:val="00050F6B"/>
    <w:rsid w:val="00070BEE"/>
    <w:rsid w:val="00072C8C"/>
    <w:rsid w:val="00081647"/>
    <w:rsid w:val="000931C0"/>
    <w:rsid w:val="000962CD"/>
    <w:rsid w:val="000B175B"/>
    <w:rsid w:val="000B3A0F"/>
    <w:rsid w:val="000B3BED"/>
    <w:rsid w:val="000C6544"/>
    <w:rsid w:val="000D10AA"/>
    <w:rsid w:val="000E0415"/>
    <w:rsid w:val="00100A84"/>
    <w:rsid w:val="00111620"/>
    <w:rsid w:val="001220B8"/>
    <w:rsid w:val="00125265"/>
    <w:rsid w:val="00126807"/>
    <w:rsid w:val="00126F98"/>
    <w:rsid w:val="00144F53"/>
    <w:rsid w:val="00156F3C"/>
    <w:rsid w:val="0015786F"/>
    <w:rsid w:val="00162BF7"/>
    <w:rsid w:val="00190AEA"/>
    <w:rsid w:val="001A5EFA"/>
    <w:rsid w:val="001B06A5"/>
    <w:rsid w:val="001B4B04"/>
    <w:rsid w:val="001C187F"/>
    <w:rsid w:val="001C6663"/>
    <w:rsid w:val="001C7895"/>
    <w:rsid w:val="001D26DF"/>
    <w:rsid w:val="001E3484"/>
    <w:rsid w:val="001E47FD"/>
    <w:rsid w:val="00211E0B"/>
    <w:rsid w:val="00231719"/>
    <w:rsid w:val="002405A7"/>
    <w:rsid w:val="0025322D"/>
    <w:rsid w:val="00257E45"/>
    <w:rsid w:val="00262488"/>
    <w:rsid w:val="00263054"/>
    <w:rsid w:val="00265243"/>
    <w:rsid w:val="002A76F3"/>
    <w:rsid w:val="002C6FD3"/>
    <w:rsid w:val="002C7509"/>
    <w:rsid w:val="002D59D3"/>
    <w:rsid w:val="002F32B7"/>
    <w:rsid w:val="003107FA"/>
    <w:rsid w:val="003127A2"/>
    <w:rsid w:val="00312888"/>
    <w:rsid w:val="003229D8"/>
    <w:rsid w:val="0032550E"/>
    <w:rsid w:val="0033745A"/>
    <w:rsid w:val="003642AF"/>
    <w:rsid w:val="00366CA7"/>
    <w:rsid w:val="0039277A"/>
    <w:rsid w:val="00394612"/>
    <w:rsid w:val="003972E0"/>
    <w:rsid w:val="003B3A99"/>
    <w:rsid w:val="003C2CC4"/>
    <w:rsid w:val="003C3936"/>
    <w:rsid w:val="003D4B23"/>
    <w:rsid w:val="003F1ED3"/>
    <w:rsid w:val="00417338"/>
    <w:rsid w:val="00421612"/>
    <w:rsid w:val="004325CB"/>
    <w:rsid w:val="00446DE4"/>
    <w:rsid w:val="00452F90"/>
    <w:rsid w:val="00457287"/>
    <w:rsid w:val="00460DD9"/>
    <w:rsid w:val="00467F71"/>
    <w:rsid w:val="004A41CA"/>
    <w:rsid w:val="004E7ED6"/>
    <w:rsid w:val="00503228"/>
    <w:rsid w:val="00505384"/>
    <w:rsid w:val="00532EF8"/>
    <w:rsid w:val="00533570"/>
    <w:rsid w:val="005420F2"/>
    <w:rsid w:val="005538B1"/>
    <w:rsid w:val="005969DF"/>
    <w:rsid w:val="005A1400"/>
    <w:rsid w:val="005B2C89"/>
    <w:rsid w:val="005B3DB3"/>
    <w:rsid w:val="005E22FE"/>
    <w:rsid w:val="005E35C8"/>
    <w:rsid w:val="005F2E88"/>
    <w:rsid w:val="00611FC4"/>
    <w:rsid w:val="006176FB"/>
    <w:rsid w:val="00627ED0"/>
    <w:rsid w:val="00640B26"/>
    <w:rsid w:val="00664234"/>
    <w:rsid w:val="00665595"/>
    <w:rsid w:val="00691F20"/>
    <w:rsid w:val="00693543"/>
    <w:rsid w:val="006A7392"/>
    <w:rsid w:val="006A7757"/>
    <w:rsid w:val="006D612A"/>
    <w:rsid w:val="006E36AF"/>
    <w:rsid w:val="006E564B"/>
    <w:rsid w:val="00704032"/>
    <w:rsid w:val="007044AC"/>
    <w:rsid w:val="0071349F"/>
    <w:rsid w:val="00714D20"/>
    <w:rsid w:val="00720DEB"/>
    <w:rsid w:val="007229DF"/>
    <w:rsid w:val="0072632A"/>
    <w:rsid w:val="00727BE5"/>
    <w:rsid w:val="00733AAE"/>
    <w:rsid w:val="007719BC"/>
    <w:rsid w:val="00781042"/>
    <w:rsid w:val="00781A60"/>
    <w:rsid w:val="007A0B22"/>
    <w:rsid w:val="007B184B"/>
    <w:rsid w:val="007B2603"/>
    <w:rsid w:val="007B6BA5"/>
    <w:rsid w:val="007C3390"/>
    <w:rsid w:val="007C4F4B"/>
    <w:rsid w:val="007F0B83"/>
    <w:rsid w:val="007F48EF"/>
    <w:rsid w:val="007F4FCD"/>
    <w:rsid w:val="007F6611"/>
    <w:rsid w:val="008055BF"/>
    <w:rsid w:val="0081732C"/>
    <w:rsid w:val="008175E9"/>
    <w:rsid w:val="008242D7"/>
    <w:rsid w:val="00827E05"/>
    <w:rsid w:val="008311A3"/>
    <w:rsid w:val="00833A2A"/>
    <w:rsid w:val="00836AF7"/>
    <w:rsid w:val="00847E8B"/>
    <w:rsid w:val="0086228F"/>
    <w:rsid w:val="00865AD1"/>
    <w:rsid w:val="00871FD5"/>
    <w:rsid w:val="008979B1"/>
    <w:rsid w:val="008A6B25"/>
    <w:rsid w:val="008A6C4F"/>
    <w:rsid w:val="008B6E26"/>
    <w:rsid w:val="008C63FA"/>
    <w:rsid w:val="008E0E46"/>
    <w:rsid w:val="008E4C4C"/>
    <w:rsid w:val="00907AD2"/>
    <w:rsid w:val="00911047"/>
    <w:rsid w:val="00911EB1"/>
    <w:rsid w:val="0093352C"/>
    <w:rsid w:val="00963CBA"/>
    <w:rsid w:val="009650E6"/>
    <w:rsid w:val="00965932"/>
    <w:rsid w:val="00970988"/>
    <w:rsid w:val="009738B3"/>
    <w:rsid w:val="00974A8D"/>
    <w:rsid w:val="00982581"/>
    <w:rsid w:val="0099001C"/>
    <w:rsid w:val="00991261"/>
    <w:rsid w:val="009E50B5"/>
    <w:rsid w:val="009F3A17"/>
    <w:rsid w:val="009F3D53"/>
    <w:rsid w:val="00A0275E"/>
    <w:rsid w:val="00A046B9"/>
    <w:rsid w:val="00A1427D"/>
    <w:rsid w:val="00A34497"/>
    <w:rsid w:val="00A426FB"/>
    <w:rsid w:val="00A55FB2"/>
    <w:rsid w:val="00A72F22"/>
    <w:rsid w:val="00A748A6"/>
    <w:rsid w:val="00A80459"/>
    <w:rsid w:val="00A805EB"/>
    <w:rsid w:val="00A8562B"/>
    <w:rsid w:val="00A8760B"/>
    <w:rsid w:val="00A879A4"/>
    <w:rsid w:val="00AA496B"/>
    <w:rsid w:val="00AE71F3"/>
    <w:rsid w:val="00AF63FF"/>
    <w:rsid w:val="00B30179"/>
    <w:rsid w:val="00B30E8F"/>
    <w:rsid w:val="00B322EE"/>
    <w:rsid w:val="00B33EC0"/>
    <w:rsid w:val="00B6064F"/>
    <w:rsid w:val="00B63F07"/>
    <w:rsid w:val="00B81E12"/>
    <w:rsid w:val="00B97D28"/>
    <w:rsid w:val="00BB7437"/>
    <w:rsid w:val="00BC30B2"/>
    <w:rsid w:val="00BC6217"/>
    <w:rsid w:val="00BC74E9"/>
    <w:rsid w:val="00BD2146"/>
    <w:rsid w:val="00BE02AE"/>
    <w:rsid w:val="00BE4F74"/>
    <w:rsid w:val="00BE618E"/>
    <w:rsid w:val="00C00ACE"/>
    <w:rsid w:val="00C17699"/>
    <w:rsid w:val="00C1778D"/>
    <w:rsid w:val="00C41A28"/>
    <w:rsid w:val="00C463DD"/>
    <w:rsid w:val="00C6210B"/>
    <w:rsid w:val="00C745C3"/>
    <w:rsid w:val="00C868BA"/>
    <w:rsid w:val="00C945EB"/>
    <w:rsid w:val="00CB2328"/>
    <w:rsid w:val="00CC5715"/>
    <w:rsid w:val="00CC65B7"/>
    <w:rsid w:val="00CE4A8F"/>
    <w:rsid w:val="00CF6EA9"/>
    <w:rsid w:val="00D055EB"/>
    <w:rsid w:val="00D2031B"/>
    <w:rsid w:val="00D25FE2"/>
    <w:rsid w:val="00D317BB"/>
    <w:rsid w:val="00D31B3A"/>
    <w:rsid w:val="00D35D8F"/>
    <w:rsid w:val="00D43252"/>
    <w:rsid w:val="00D5565C"/>
    <w:rsid w:val="00D563D8"/>
    <w:rsid w:val="00D56545"/>
    <w:rsid w:val="00D63881"/>
    <w:rsid w:val="00D7387D"/>
    <w:rsid w:val="00D978C6"/>
    <w:rsid w:val="00DA67AD"/>
    <w:rsid w:val="00DB1726"/>
    <w:rsid w:val="00DB33C1"/>
    <w:rsid w:val="00DB5D0F"/>
    <w:rsid w:val="00DC1478"/>
    <w:rsid w:val="00DC3242"/>
    <w:rsid w:val="00DE7F20"/>
    <w:rsid w:val="00DF12F7"/>
    <w:rsid w:val="00DF2C64"/>
    <w:rsid w:val="00E02C81"/>
    <w:rsid w:val="00E04A75"/>
    <w:rsid w:val="00E06EAB"/>
    <w:rsid w:val="00E11308"/>
    <w:rsid w:val="00E130AB"/>
    <w:rsid w:val="00E27CDD"/>
    <w:rsid w:val="00E305B8"/>
    <w:rsid w:val="00E30EE8"/>
    <w:rsid w:val="00E31C87"/>
    <w:rsid w:val="00E40D39"/>
    <w:rsid w:val="00E677EC"/>
    <w:rsid w:val="00E70DF5"/>
    <w:rsid w:val="00E7260F"/>
    <w:rsid w:val="00E80F5F"/>
    <w:rsid w:val="00E86024"/>
    <w:rsid w:val="00E87921"/>
    <w:rsid w:val="00E96630"/>
    <w:rsid w:val="00EA264E"/>
    <w:rsid w:val="00EA2E29"/>
    <w:rsid w:val="00EA3A41"/>
    <w:rsid w:val="00EB5B0A"/>
    <w:rsid w:val="00ED1541"/>
    <w:rsid w:val="00ED71D9"/>
    <w:rsid w:val="00ED7A2A"/>
    <w:rsid w:val="00EF1D7F"/>
    <w:rsid w:val="00EF358F"/>
    <w:rsid w:val="00F05E3F"/>
    <w:rsid w:val="00F124A0"/>
    <w:rsid w:val="00F53EDA"/>
    <w:rsid w:val="00F5581D"/>
    <w:rsid w:val="00F73015"/>
    <w:rsid w:val="00F7753D"/>
    <w:rsid w:val="00F85F34"/>
    <w:rsid w:val="00FA06F7"/>
    <w:rsid w:val="00FB171A"/>
    <w:rsid w:val="00FC09B8"/>
    <w:rsid w:val="00FC68B7"/>
    <w:rsid w:val="00FD4F7E"/>
    <w:rsid w:val="00FD7BF6"/>
    <w:rsid w:val="00FE783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FA52921"/>
  <w15:docId w15:val="{C98F3037-D55C-4297-8D34-A6FD565AF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rsid w:val="0099001C"/>
    <w:rPr>
      <w:b/>
      <w:sz w:val="28"/>
      <w:lang w:val="en-GB" w:eastAsia="en-US" w:bidi="ar-SA"/>
    </w:rPr>
  </w:style>
  <w:style w:type="character" w:customStyle="1" w:styleId="SingleTxtGChar">
    <w:name w:val="_ Single Txt_G Char"/>
    <w:link w:val="SingleTxtG"/>
    <w:qFormat/>
    <w:rsid w:val="006A7757"/>
    <w:rPr>
      <w:lang w:eastAsia="en-US"/>
    </w:rPr>
  </w:style>
  <w:style w:type="character" w:customStyle="1" w:styleId="FootnoteTextChar">
    <w:name w:val="Footnote Text Char"/>
    <w:aliases w:val="5_G Char"/>
    <w:link w:val="FootnoteText"/>
    <w:rsid w:val="006A7757"/>
    <w:rPr>
      <w:sz w:val="18"/>
      <w:lang w:eastAsia="en-US"/>
    </w:rPr>
  </w:style>
  <w:style w:type="table" w:customStyle="1" w:styleId="TableGrid1">
    <w:name w:val="Table Grid1"/>
    <w:basedOn w:val="TableNormal"/>
    <w:next w:val="TableGrid"/>
    <w:rsid w:val="00965932"/>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GZchnZchn">
    <w:name w:val="_ Single Txt_G Zchn Zchn"/>
    <w:rsid w:val="005A1400"/>
    <w:rPr>
      <w:lang w:val="en-GB" w:eastAsia="en-US" w:bidi="ar-SA"/>
    </w:rPr>
  </w:style>
  <w:style w:type="character" w:customStyle="1" w:styleId="HeaderChar">
    <w:name w:val="Header Char"/>
    <w:aliases w:val="6_G Char"/>
    <w:link w:val="Header"/>
    <w:rsid w:val="001E3484"/>
    <w:rPr>
      <w:b/>
      <w:sz w:val="18"/>
      <w:lang w:eastAsia="en-US"/>
    </w:rPr>
  </w:style>
  <w:style w:type="character" w:customStyle="1" w:styleId="H23GChar">
    <w:name w:val="_ H_2/3_G Char"/>
    <w:link w:val="H23G"/>
    <w:locked/>
    <w:rsid w:val="00781042"/>
    <w:rPr>
      <w:b/>
      <w:lang w:eastAsia="en-US"/>
    </w:rPr>
  </w:style>
  <w:style w:type="character" w:customStyle="1" w:styleId="H1GChar">
    <w:name w:val="_ H_1_G Char"/>
    <w:link w:val="H1G"/>
    <w:rsid w:val="007B184B"/>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CE884-17C3-4F9C-9A2B-2C813F28E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Template>
  <TotalTime>130</TotalTime>
  <Pages>6</Pages>
  <Words>2044</Words>
  <Characters>11655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UN/SCEGHS/19/INF</vt:lpstr>
    </vt:vector>
  </TitlesOfParts>
  <Company>CSD</Company>
  <LinksUpToDate>false</LinksUpToDate>
  <CharactersWithSpaces>13672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UN/SCEGHS/19/INF</dc:title>
  <dc:creator>Garcia_Couto</dc:creator>
  <cp:lastModifiedBy>Sabrina Mansion</cp:lastModifiedBy>
  <cp:revision>22</cp:revision>
  <cp:lastPrinted>2017-12-05T17:01:00Z</cp:lastPrinted>
  <dcterms:created xsi:type="dcterms:W3CDTF">2018-12-03T14:05:00Z</dcterms:created>
  <dcterms:modified xsi:type="dcterms:W3CDTF">2018-12-04T15:26:00Z</dcterms:modified>
</cp:coreProperties>
</file>