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A10134" w:rsidRPr="0099001C" w14:paraId="7236B30F" w14:textId="77777777" w:rsidTr="004D384A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63D80B4F" w14:textId="4FC2F091" w:rsidR="00A10134" w:rsidRPr="0099001C" w:rsidRDefault="00A10134" w:rsidP="00A10134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>
              <w:rPr>
                <w:b/>
                <w:sz w:val="40"/>
                <w:szCs w:val="40"/>
              </w:rPr>
              <w:t>35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01032C">
              <w:rPr>
                <w:b/>
                <w:sz w:val="40"/>
                <w:szCs w:val="40"/>
              </w:rPr>
              <w:t>26</w:t>
            </w:r>
          </w:p>
        </w:tc>
      </w:tr>
      <w:tr w:rsidR="00A10134" w14:paraId="17AB6ABD" w14:textId="77777777" w:rsidTr="004D384A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7802CBA" w14:textId="77777777" w:rsidR="00A10134" w:rsidRPr="001B03EA" w:rsidRDefault="00A10134" w:rsidP="004D384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4B40B329" w14:textId="7B1943EF" w:rsidR="00A10134" w:rsidRPr="001B03EA" w:rsidRDefault="00A10134" w:rsidP="004D384A">
            <w:pPr>
              <w:tabs>
                <w:tab w:val="left" w:pos="7797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01032C">
              <w:rPr>
                <w:b/>
                <w:lang w:val="en-US"/>
              </w:rPr>
              <w:t>2 July</w:t>
            </w:r>
            <w:r w:rsidRPr="00DB4C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2018</w:t>
            </w:r>
          </w:p>
          <w:p w14:paraId="0C2612B3" w14:textId="77777777" w:rsidR="00A10134" w:rsidRPr="001B03EA" w:rsidRDefault="00A10134" w:rsidP="004D384A">
            <w:pPr>
              <w:jc w:val="both"/>
              <w:rPr>
                <w:b/>
              </w:rPr>
            </w:pPr>
          </w:p>
          <w:p w14:paraId="2BA81899" w14:textId="77777777" w:rsidR="00A10134" w:rsidRPr="001B03EA" w:rsidRDefault="00A10134" w:rsidP="004D384A">
            <w:pPr>
              <w:jc w:val="both"/>
            </w:pPr>
            <w:r w:rsidRPr="001B03EA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14:paraId="6AC46891" w14:textId="77777777" w:rsidR="00A10134" w:rsidRPr="00283442" w:rsidRDefault="00A10134" w:rsidP="004D384A">
            <w:pPr>
              <w:spacing w:before="40"/>
            </w:pPr>
            <w:r w:rsidRPr="00283442">
              <w:t xml:space="preserve">Geneva, </w:t>
            </w:r>
            <w:r>
              <w:t>4-6 July 2018</w:t>
            </w:r>
          </w:p>
          <w:p w14:paraId="0BEC6B5B" w14:textId="77777777" w:rsidR="00A10134" w:rsidRPr="00C6210B" w:rsidRDefault="00A10134" w:rsidP="004D384A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>
              <w:t>3 (</w:t>
            </w:r>
            <w:r w:rsidR="00FB71EB">
              <w:t>h</w:t>
            </w:r>
            <w:r>
              <w:t>)</w:t>
            </w:r>
            <w:r w:rsidRPr="006F47DE">
              <w:t xml:space="preserve"> of the provisional agenda</w:t>
            </w:r>
          </w:p>
          <w:p w14:paraId="07DF2C19" w14:textId="77777777" w:rsidR="00A10134" w:rsidRPr="007B4521" w:rsidRDefault="00FB71EB" w:rsidP="004D384A">
            <w:pPr>
              <w:spacing w:line="240" w:lineRule="exact"/>
              <w:rPr>
                <w:b/>
                <w:bCs/>
              </w:rPr>
            </w:pPr>
            <w:r>
              <w:rPr>
                <w:b/>
              </w:rPr>
              <w:t>Classification criteria and related hazard communication:</w:t>
            </w:r>
            <w:r>
              <w:rPr>
                <w:b/>
              </w:rPr>
              <w:br/>
              <w:t>other issues</w:t>
            </w:r>
          </w:p>
        </w:tc>
      </w:tr>
    </w:tbl>
    <w:p w14:paraId="262A9C38" w14:textId="43558485" w:rsidR="00A10134" w:rsidRPr="00172646" w:rsidRDefault="00A10134" w:rsidP="00A10134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606A3E">
        <w:rPr>
          <w:rFonts w:eastAsia="MS Mincho"/>
        </w:rPr>
        <w:t xml:space="preserve">Revisions to proposed </w:t>
      </w:r>
      <w:r w:rsidR="00FB71EB">
        <w:rPr>
          <w:rFonts w:eastAsia="MS Mincho"/>
        </w:rPr>
        <w:t>amendments to Chapter 2.3</w:t>
      </w:r>
      <w:r w:rsidRPr="00172646">
        <w:rPr>
          <w:rFonts w:eastAsia="MS Mincho"/>
        </w:rPr>
        <w:t xml:space="preserve"> </w:t>
      </w:r>
      <w:r w:rsidR="00606A3E">
        <w:rPr>
          <w:rFonts w:eastAsia="MS Mincho"/>
        </w:rPr>
        <w:t>to convert decision logics into text language</w:t>
      </w:r>
    </w:p>
    <w:p w14:paraId="4BB7D5BA" w14:textId="77777777" w:rsidR="00A10134" w:rsidRPr="00172646" w:rsidRDefault="00A10134" w:rsidP="00A10134">
      <w:pPr>
        <w:pStyle w:val="H1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172646">
        <w:rPr>
          <w:rFonts w:eastAsia="MS Mincho"/>
        </w:rPr>
        <w:t xml:space="preserve">Transmitted by the expert from the United States of America </w:t>
      </w:r>
    </w:p>
    <w:p w14:paraId="668F220D" w14:textId="77777777" w:rsidR="00A10134" w:rsidRPr="00957B7F" w:rsidRDefault="00A10134" w:rsidP="00A10134">
      <w:pPr>
        <w:pStyle w:val="HChG"/>
        <w:tabs>
          <w:tab w:val="clear" w:pos="851"/>
        </w:tabs>
        <w:rPr>
          <w:sz w:val="24"/>
          <w:szCs w:val="24"/>
        </w:rPr>
      </w:pPr>
      <w:r>
        <w:tab/>
      </w:r>
      <w:r w:rsidR="00DA0EFD" w:rsidRPr="00957B7F">
        <w:rPr>
          <w:sz w:val="24"/>
          <w:szCs w:val="24"/>
        </w:rPr>
        <w:t>Int</w:t>
      </w:r>
      <w:r w:rsidR="00957B7F" w:rsidRPr="00957B7F">
        <w:rPr>
          <w:sz w:val="24"/>
          <w:szCs w:val="24"/>
        </w:rPr>
        <w:t>roduction</w:t>
      </w:r>
    </w:p>
    <w:p w14:paraId="1C1A32A1" w14:textId="71B46663" w:rsidR="00A10134" w:rsidRPr="003143EA" w:rsidRDefault="007911BE" w:rsidP="00A22166">
      <w:pPr>
        <w:pStyle w:val="SingleTxtG"/>
        <w:numPr>
          <w:ilvl w:val="0"/>
          <w:numId w:val="6"/>
        </w:numPr>
        <w:tabs>
          <w:tab w:val="left" w:pos="1701"/>
        </w:tabs>
        <w:ind w:left="1134" w:firstLine="0"/>
      </w:pPr>
      <w:r w:rsidRPr="003143EA">
        <w:t xml:space="preserve">This paper </w:t>
      </w:r>
      <w:r w:rsidR="00E27A67">
        <w:t>builds on the</w:t>
      </w:r>
      <w:r w:rsidR="00E27A67" w:rsidRPr="003143EA">
        <w:t xml:space="preserve"> </w:t>
      </w:r>
      <w:r w:rsidRPr="003143EA">
        <w:t xml:space="preserve">amendments to Chapter 2.3 </w:t>
      </w:r>
      <w:r w:rsidR="00497369" w:rsidRPr="003143EA">
        <w:t>as proposed in ST/SG/AC.10/C.4/2018/9</w:t>
      </w:r>
      <w:r w:rsidR="00E27A67">
        <w:t xml:space="preserve"> “Proposed amendments to chapter 2.3 to convert decision logics into text language</w:t>
      </w:r>
      <w:r w:rsidR="00497369" w:rsidRPr="003143EA">
        <w:t>.</w:t>
      </w:r>
      <w:r w:rsidR="00E27A67">
        <w:t>”</w:t>
      </w:r>
      <w:r w:rsidR="00497369" w:rsidRPr="003143EA">
        <w:t xml:space="preserve"> </w:t>
      </w:r>
    </w:p>
    <w:p w14:paraId="3414FF2A" w14:textId="30C8D82E" w:rsidR="003143EA" w:rsidRPr="003143EA" w:rsidRDefault="003143EA" w:rsidP="00A22166">
      <w:pPr>
        <w:pStyle w:val="SingleTxtG"/>
        <w:numPr>
          <w:ilvl w:val="0"/>
          <w:numId w:val="6"/>
        </w:numPr>
        <w:tabs>
          <w:tab w:val="left" w:pos="1701"/>
        </w:tabs>
        <w:ind w:left="1134" w:firstLine="0"/>
      </w:pPr>
      <w:r w:rsidRPr="003143EA">
        <w:rPr>
          <w:color w:val="000000"/>
        </w:rPr>
        <w:t>Th</w:t>
      </w:r>
      <w:r w:rsidR="00E27A67">
        <w:rPr>
          <w:color w:val="000000"/>
        </w:rPr>
        <w:t xml:space="preserve">is paper </w:t>
      </w:r>
      <w:r w:rsidRPr="003143EA">
        <w:rPr>
          <w:color w:val="000000"/>
        </w:rPr>
        <w:t>proposes</w:t>
      </w:r>
      <w:r>
        <w:rPr>
          <w:color w:val="000000"/>
        </w:rPr>
        <w:t xml:space="preserve"> that the criteria listed in Table 2.3.1</w:t>
      </w:r>
      <w:r w:rsidR="00DA0EFD">
        <w:rPr>
          <w:color w:val="000000"/>
        </w:rPr>
        <w:t xml:space="preserve"> be</w:t>
      </w:r>
      <w:r w:rsidRPr="003143EA">
        <w:rPr>
          <w:color w:val="000000"/>
        </w:rPr>
        <w:t>:</w:t>
      </w:r>
    </w:p>
    <w:p w14:paraId="248DBC56" w14:textId="0AA0D780" w:rsidR="00497369" w:rsidRPr="003143EA" w:rsidRDefault="009B6AEF" w:rsidP="00A22166">
      <w:pPr>
        <w:pStyle w:val="SingleTxtG"/>
        <w:numPr>
          <w:ilvl w:val="1"/>
          <w:numId w:val="6"/>
        </w:numPr>
        <w:ind w:left="1701" w:firstLine="0"/>
      </w:pPr>
      <w:r w:rsidRPr="003143EA">
        <w:rPr>
          <w:color w:val="000000"/>
        </w:rPr>
        <w:t>Expressed</w:t>
      </w:r>
      <w:r w:rsidR="003143EA" w:rsidRPr="003143EA">
        <w:rPr>
          <w:color w:val="000000"/>
        </w:rPr>
        <w:t xml:space="preserve"> as</w:t>
      </w:r>
      <w:r w:rsidR="009F6C8E">
        <w:rPr>
          <w:color w:val="000000"/>
        </w:rPr>
        <w:t xml:space="preserve"> symbols (e.g.,</w:t>
      </w:r>
      <w:r w:rsidR="003143EA" w:rsidRPr="003143EA">
        <w:rPr>
          <w:color w:val="000000"/>
        </w:rPr>
        <w:t xml:space="preserve"> “≤” and “≥”</w:t>
      </w:r>
      <w:r w:rsidR="009F6C8E">
        <w:rPr>
          <w:color w:val="000000"/>
        </w:rPr>
        <w:t>)</w:t>
      </w:r>
      <w:r w:rsidR="003143EA" w:rsidRPr="003143EA">
        <w:rPr>
          <w:color w:val="000000"/>
        </w:rPr>
        <w:t xml:space="preserve">, instead of </w:t>
      </w:r>
      <w:r w:rsidR="00D36A3D">
        <w:rPr>
          <w:color w:val="000000"/>
        </w:rPr>
        <w:t xml:space="preserve">as </w:t>
      </w:r>
      <w:r w:rsidR="003143EA" w:rsidRPr="003143EA">
        <w:rPr>
          <w:color w:val="000000"/>
        </w:rPr>
        <w:t>written text.  This provide</w:t>
      </w:r>
      <w:r w:rsidR="00E27A67">
        <w:rPr>
          <w:color w:val="000000"/>
        </w:rPr>
        <w:t>s</w:t>
      </w:r>
      <w:r w:rsidR="003143EA" w:rsidRPr="003143EA">
        <w:rPr>
          <w:color w:val="000000"/>
        </w:rPr>
        <w:t xml:space="preserve"> a clear distinction of the </w:t>
      </w:r>
      <w:r w:rsidR="00E27A67">
        <w:rPr>
          <w:color w:val="000000"/>
        </w:rPr>
        <w:t xml:space="preserve">relevant </w:t>
      </w:r>
      <w:r w:rsidR="003143EA" w:rsidRPr="003143EA">
        <w:rPr>
          <w:color w:val="000000"/>
        </w:rPr>
        <w:t>cut-offs</w:t>
      </w:r>
      <w:r w:rsidR="0007686F">
        <w:rPr>
          <w:color w:val="000000"/>
        </w:rPr>
        <w:t xml:space="preserve">. </w:t>
      </w:r>
      <w:r w:rsidR="00E50B83">
        <w:rPr>
          <w:color w:val="000000"/>
        </w:rPr>
        <w:t xml:space="preserve"> </w:t>
      </w:r>
      <w:r w:rsidR="0007686F">
        <w:rPr>
          <w:color w:val="000000"/>
        </w:rPr>
        <w:t>In addition, expressing the criteria as symbols</w:t>
      </w:r>
      <w:r w:rsidR="003143EA" w:rsidRPr="003143EA">
        <w:rPr>
          <w:color w:val="000000"/>
        </w:rPr>
        <w:t xml:space="preserve"> is</w:t>
      </w:r>
      <w:r w:rsidR="00B12637">
        <w:rPr>
          <w:color w:val="000000"/>
        </w:rPr>
        <w:t xml:space="preserve"> </w:t>
      </w:r>
      <w:r w:rsidR="003143EA" w:rsidRPr="003143EA">
        <w:rPr>
          <w:color w:val="000000"/>
        </w:rPr>
        <w:t>consistent with how the criteria are provided in other GHS chapters</w:t>
      </w:r>
      <w:r w:rsidR="005235DC">
        <w:rPr>
          <w:color w:val="000000"/>
        </w:rPr>
        <w:t xml:space="preserve"> (e.g., Chapters 2.6, 2.7, 3.1 – 3.10).</w:t>
      </w:r>
    </w:p>
    <w:p w14:paraId="6C7EED0E" w14:textId="77777777" w:rsidR="003143EA" w:rsidRDefault="009B6AEF" w:rsidP="00A22166">
      <w:pPr>
        <w:pStyle w:val="SingleTxtG"/>
        <w:numPr>
          <w:ilvl w:val="1"/>
          <w:numId w:val="6"/>
        </w:numPr>
        <w:ind w:left="1701" w:firstLine="0"/>
      </w:pPr>
      <w:r>
        <w:t>Identified</w:t>
      </w:r>
      <w:r w:rsidR="0007686F">
        <w:t xml:space="preserve"> in a bulleted</w:t>
      </w:r>
      <w:r w:rsidR="009F6C8E">
        <w:t>/numbered</w:t>
      </w:r>
      <w:r w:rsidR="0007686F">
        <w:t xml:space="preserve"> format</w:t>
      </w:r>
      <w:r w:rsidR="00DA0EFD">
        <w:t>.</w:t>
      </w:r>
      <w:r w:rsidR="0007686F">
        <w:t xml:space="preserve"> </w:t>
      </w:r>
      <w:r w:rsidR="00E14835">
        <w:t>This would provide consistency in the GHS, as it follows the same structure as other chapters that have alternate criteria within a single category</w:t>
      </w:r>
      <w:r w:rsidR="005235DC">
        <w:t xml:space="preserve"> (e.g., Chapters 2.8, 2.11, </w:t>
      </w:r>
      <w:r w:rsidR="00606A3E">
        <w:t>2.15, 2.17)</w:t>
      </w:r>
      <w:r w:rsidR="00E14835">
        <w:t>.</w:t>
      </w:r>
    </w:p>
    <w:p w14:paraId="5C592CAB" w14:textId="1277E5AE" w:rsidR="00DA0EFD" w:rsidRPr="00957B7F" w:rsidRDefault="00A22166" w:rsidP="00A22166">
      <w:pPr>
        <w:pStyle w:val="HChG"/>
      </w:pPr>
      <w:r>
        <w:tab/>
      </w:r>
      <w:r>
        <w:tab/>
      </w:r>
      <w:r w:rsidR="00DA0EFD" w:rsidRPr="00957B7F">
        <w:t>Proposal</w:t>
      </w:r>
    </w:p>
    <w:p w14:paraId="64137C41" w14:textId="250AE7D0" w:rsidR="0007686F" w:rsidRDefault="0007686F" w:rsidP="00A22166">
      <w:pPr>
        <w:pStyle w:val="SingleTxtG"/>
        <w:numPr>
          <w:ilvl w:val="0"/>
          <w:numId w:val="6"/>
        </w:numPr>
        <w:tabs>
          <w:tab w:val="left" w:pos="1701"/>
        </w:tabs>
        <w:ind w:left="1134" w:firstLine="0"/>
      </w:pPr>
      <w:r>
        <w:t xml:space="preserve">The proposed amendments </w:t>
      </w:r>
      <w:r w:rsidR="00606A3E">
        <w:t xml:space="preserve">to Table 2.3.1 </w:t>
      </w:r>
      <w:r>
        <w:t>are</w:t>
      </w:r>
      <w:r w:rsidR="00957B7F">
        <w:t xml:space="preserve"> </w:t>
      </w:r>
      <w:r w:rsidR="00D36A3D">
        <w:t>presented in</w:t>
      </w:r>
      <w:r>
        <w:t xml:space="preserve"> Annex </w:t>
      </w:r>
      <w:r w:rsidR="009F6C8E">
        <w:t xml:space="preserve">I </w:t>
      </w:r>
      <w:r>
        <w:t xml:space="preserve">of this </w:t>
      </w:r>
      <w:r w:rsidR="00D36A3D">
        <w:t>document</w:t>
      </w:r>
      <w:r>
        <w:t>. Tex</w:t>
      </w:r>
      <w:r w:rsidR="00957B7F">
        <w:t xml:space="preserve">t to </w:t>
      </w:r>
      <w:r>
        <w:t>be deleted is</w:t>
      </w:r>
      <w:r w:rsidR="00DA0EFD">
        <w:t xml:space="preserve"> provided in </w:t>
      </w:r>
      <w:r w:rsidR="00DA0EFD" w:rsidRPr="00E50B83">
        <w:rPr>
          <w:b/>
          <w:color w:val="C00000"/>
        </w:rPr>
        <w:t>red</w:t>
      </w:r>
      <w:r w:rsidR="00DA0EFD" w:rsidRPr="004F4683">
        <w:rPr>
          <w:color w:val="C00000"/>
        </w:rPr>
        <w:t xml:space="preserve"> </w:t>
      </w:r>
      <w:r w:rsidR="00D36A3D">
        <w:t>bold strikethrough and</w:t>
      </w:r>
      <w:r w:rsidR="00DA0EFD">
        <w:t xml:space="preserve"> new text is provided in </w:t>
      </w:r>
      <w:r w:rsidR="00DA0EFD" w:rsidRPr="00E50B83">
        <w:rPr>
          <w:b/>
          <w:color w:val="C00000"/>
        </w:rPr>
        <w:t>red</w:t>
      </w:r>
      <w:r w:rsidR="00DA0EFD" w:rsidRPr="004F4683">
        <w:rPr>
          <w:color w:val="C00000"/>
        </w:rPr>
        <w:t xml:space="preserve"> </w:t>
      </w:r>
      <w:r w:rsidR="00DA0EFD">
        <w:t>bold underline.</w:t>
      </w:r>
    </w:p>
    <w:p w14:paraId="5A92A52D" w14:textId="31B26487" w:rsidR="009F6C8E" w:rsidRPr="003143EA" w:rsidRDefault="005A587F" w:rsidP="00A22166">
      <w:pPr>
        <w:pStyle w:val="SingleTxtG"/>
        <w:numPr>
          <w:ilvl w:val="0"/>
          <w:numId w:val="6"/>
        </w:numPr>
        <w:tabs>
          <w:tab w:val="left" w:pos="1701"/>
        </w:tabs>
        <w:ind w:left="1134" w:firstLine="0"/>
      </w:pPr>
      <w:r>
        <w:t>Annex II provides a</w:t>
      </w:r>
      <w:r w:rsidR="009F6C8E">
        <w:t xml:space="preserve"> </w:t>
      </w:r>
      <w:r w:rsidR="00CB7EA4">
        <w:t>clean version of the proposed amendments.</w:t>
      </w:r>
    </w:p>
    <w:p w14:paraId="1F344188" w14:textId="06B3CC32" w:rsidR="00FB71EB" w:rsidRDefault="00A10134" w:rsidP="00A22166">
      <w:pPr>
        <w:pStyle w:val="HChG"/>
        <w:ind w:left="0" w:firstLine="0"/>
      </w:pPr>
      <w:r>
        <w:tab/>
      </w:r>
      <w:r>
        <w:tab/>
      </w:r>
    </w:p>
    <w:p w14:paraId="752E7A3E" w14:textId="77777777" w:rsidR="00FB71EB" w:rsidRDefault="00FB71EB">
      <w:pPr>
        <w:suppressAutoHyphens w:val="0"/>
        <w:spacing w:after="160" w:line="259" w:lineRule="auto"/>
      </w:pPr>
      <w:r>
        <w:br w:type="page"/>
      </w:r>
    </w:p>
    <w:p w14:paraId="13148221" w14:textId="77777777" w:rsidR="00FB71EB" w:rsidRDefault="00DA0EFD" w:rsidP="00A22166">
      <w:pPr>
        <w:pStyle w:val="HChG"/>
      </w:pPr>
      <w:r w:rsidRPr="00DA0EFD">
        <w:lastRenderedPageBreak/>
        <w:t>Annex</w:t>
      </w:r>
      <w:r w:rsidR="009F6C8E">
        <w:t xml:space="preserve"> I</w:t>
      </w:r>
    </w:p>
    <w:p w14:paraId="22806341" w14:textId="5CEC05EC" w:rsidR="00957B7F" w:rsidRPr="00A22166" w:rsidRDefault="00A22166" w:rsidP="00A22166">
      <w:pPr>
        <w:pStyle w:val="H1G"/>
        <w:rPr>
          <w:u w:val="single"/>
        </w:rPr>
      </w:pPr>
      <w:r>
        <w:tab/>
      </w:r>
      <w:r>
        <w:tab/>
      </w:r>
      <w:r w:rsidR="00DA0EFD" w:rsidRPr="00A22166">
        <w:rPr>
          <w:u w:val="single"/>
        </w:rPr>
        <w:t>Table 2.3.1 Criteria for aerosols</w:t>
      </w:r>
    </w:p>
    <w:tbl>
      <w:tblPr>
        <w:tblStyle w:val="TableGrid"/>
        <w:tblW w:w="8442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35"/>
        <w:gridCol w:w="6207"/>
      </w:tblGrid>
      <w:tr w:rsidR="00FB71EB" w14:paraId="3F08FF94" w14:textId="77777777" w:rsidTr="00957B7F">
        <w:trPr>
          <w:tblHeader/>
        </w:trPr>
        <w:tc>
          <w:tcPr>
            <w:tcW w:w="2235" w:type="dxa"/>
          </w:tcPr>
          <w:p w14:paraId="326C708F" w14:textId="77777777" w:rsidR="00FB71EB" w:rsidRPr="00BE3932" w:rsidRDefault="00FB71EB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Category</w:t>
            </w:r>
          </w:p>
        </w:tc>
        <w:tc>
          <w:tcPr>
            <w:tcW w:w="6207" w:type="dxa"/>
          </w:tcPr>
          <w:p w14:paraId="0526DD6B" w14:textId="77777777" w:rsidR="00FB71EB" w:rsidRPr="00BE3932" w:rsidRDefault="00FB71EB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Criteria</w:t>
            </w:r>
          </w:p>
        </w:tc>
      </w:tr>
      <w:tr w:rsidR="00FB71EB" w14:paraId="281D11A1" w14:textId="77777777" w:rsidTr="00957B7F">
        <w:tc>
          <w:tcPr>
            <w:tcW w:w="2235" w:type="dxa"/>
          </w:tcPr>
          <w:p w14:paraId="5741A2F6" w14:textId="77777777" w:rsidR="00FB71EB" w:rsidRPr="00BE3932" w:rsidRDefault="00FB71EB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1</w:t>
            </w:r>
          </w:p>
        </w:tc>
        <w:tc>
          <w:tcPr>
            <w:tcW w:w="6207" w:type="dxa"/>
          </w:tcPr>
          <w:p w14:paraId="0C159B2D" w14:textId="77777777" w:rsidR="00FB71EB" w:rsidRDefault="00FB71EB" w:rsidP="00FB71EB">
            <w:pPr>
              <w:pStyle w:val="SingleTxtG"/>
              <w:numPr>
                <w:ilvl w:val="0"/>
                <w:numId w:val="3"/>
              </w:numPr>
              <w:tabs>
                <w:tab w:val="left" w:pos="1701"/>
              </w:tabs>
              <w:spacing w:after="60"/>
              <w:ind w:left="412" w:hanging="270"/>
              <w:rPr>
                <w:u w:val="single"/>
                <w:lang w:val="en-US"/>
              </w:rPr>
            </w:pPr>
            <w:r w:rsidRPr="00B91CDB">
              <w:rPr>
                <w:u w:val="single"/>
                <w:lang w:val="en-US"/>
              </w:rPr>
              <w:t xml:space="preserve">Any aerosol that contains </w:t>
            </w:r>
            <w:r w:rsidRPr="00E14835">
              <w:rPr>
                <w:b/>
                <w:color w:val="C00000"/>
                <w:u w:val="single"/>
                <w:lang w:val="en-US"/>
              </w:rPr>
              <w:sym w:font="Symbol" w:char="F0B3"/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 </w:t>
            </w:r>
            <w:r w:rsidRPr="00B91CDB">
              <w:rPr>
                <w:u w:val="single"/>
                <w:lang w:val="en-US"/>
              </w:rPr>
              <w:t xml:space="preserve">85% flammable components (by mass) and </w:t>
            </w:r>
            <w:r w:rsidRPr="00BE3932">
              <w:rPr>
                <w:u w:val="single"/>
                <w:lang w:val="en-US"/>
              </w:rPr>
              <w:t>has a heat of co</w:t>
            </w:r>
            <w:r>
              <w:rPr>
                <w:u w:val="single"/>
                <w:lang w:val="en-US"/>
              </w:rPr>
              <w:t xml:space="preserve">mbustion of </w:t>
            </w:r>
            <w:r w:rsidRPr="00E14835">
              <w:rPr>
                <w:b/>
                <w:color w:val="C00000"/>
                <w:u w:val="single"/>
                <w:lang w:val="en-US"/>
              </w:rPr>
              <w:sym w:font="Symbol" w:char="F0B3"/>
            </w:r>
            <w:r w:rsidRPr="00E16C46">
              <w:rPr>
                <w:color w:val="FF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30 kJ/g; or</w:t>
            </w:r>
          </w:p>
          <w:p w14:paraId="33EEBEBA" w14:textId="77777777" w:rsidR="00FB71EB" w:rsidRPr="0044054C" w:rsidRDefault="00FB71EB" w:rsidP="00FB71EB">
            <w:pPr>
              <w:pStyle w:val="SingleTxtG"/>
              <w:numPr>
                <w:ilvl w:val="0"/>
                <w:numId w:val="3"/>
              </w:numPr>
              <w:tabs>
                <w:tab w:val="left" w:pos="1701"/>
              </w:tabs>
              <w:spacing w:after="60"/>
              <w:ind w:left="412" w:hanging="270"/>
              <w:rPr>
                <w:u w:val="single"/>
                <w:lang w:val="en-US"/>
              </w:rPr>
            </w:pPr>
            <w:r w:rsidRPr="0044054C">
              <w:rPr>
                <w:u w:val="single"/>
                <w:lang w:val="en-US"/>
              </w:rPr>
              <w:t xml:space="preserve">Any aerosol that dispenses a spray that, in the ignition distance test, has an ignition distance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rFonts w:eastAsia="Arial Unicode MS"/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44054C">
              <w:rPr>
                <w:u w:val="single"/>
                <w:lang w:val="en-US"/>
              </w:rPr>
              <w:t>75 cm; or</w:t>
            </w:r>
          </w:p>
          <w:p w14:paraId="6917B3F1" w14:textId="77777777" w:rsidR="00FB71EB" w:rsidRPr="0044054C" w:rsidRDefault="00FB71EB" w:rsidP="00FB71EB">
            <w:pPr>
              <w:pStyle w:val="SingleTxtG"/>
              <w:numPr>
                <w:ilvl w:val="0"/>
                <w:numId w:val="3"/>
              </w:numPr>
              <w:tabs>
                <w:tab w:val="left" w:pos="1701"/>
              </w:tabs>
              <w:spacing w:after="60"/>
              <w:ind w:left="412" w:hanging="270"/>
              <w:rPr>
                <w:rFonts w:eastAsia="Arial Unicode MS"/>
                <w:u w:val="single"/>
                <w:lang w:val="en-US"/>
              </w:rPr>
            </w:pPr>
            <w:r w:rsidRPr="0044054C">
              <w:rPr>
                <w:u w:val="single"/>
                <w:lang w:val="en-US"/>
              </w:rPr>
              <w:t>Any aerosol that dispenses a foam that, in the foam flammability test, has</w:t>
            </w:r>
          </w:p>
          <w:p w14:paraId="4D5F249A" w14:textId="77777777" w:rsidR="00FB71EB" w:rsidRDefault="00FB71EB" w:rsidP="00FB71EB">
            <w:pPr>
              <w:pStyle w:val="SingleTxtG"/>
              <w:numPr>
                <w:ilvl w:val="0"/>
                <w:numId w:val="1"/>
              </w:numPr>
              <w:tabs>
                <w:tab w:val="left" w:pos="1701"/>
              </w:tabs>
              <w:spacing w:after="60"/>
              <w:rPr>
                <w:rFonts w:eastAsia="Arial Unicode MS"/>
                <w:u w:val="single"/>
                <w:lang w:val="en-US"/>
              </w:rPr>
            </w:pPr>
            <w:r w:rsidRPr="00BE3932">
              <w:rPr>
                <w:rFonts w:eastAsia="Arial Unicode MS"/>
                <w:u w:val="single"/>
                <w:lang w:val="en-US"/>
              </w:rPr>
              <w:t xml:space="preserve">a flame height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rFonts w:eastAsia="Arial Unicode MS"/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rFonts w:eastAsia="Arial Unicode MS"/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rFonts w:eastAsia="Arial Unicode MS"/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rFonts w:eastAsia="Arial Unicode MS"/>
                <w:u w:val="single"/>
                <w:lang w:val="en-US"/>
              </w:rPr>
              <w:t xml:space="preserve">20 cm and a flame duration </w:t>
            </w:r>
            <w:r w:rsidRPr="003C0767">
              <w:rPr>
                <w:rFonts w:eastAsia="Arial Unicode MS"/>
                <w:u w:val="single"/>
                <w:lang w:val="en-US"/>
              </w:rPr>
              <w:t xml:space="preserve">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b/>
                <w:color w:val="C00000"/>
                <w:u w:val="single"/>
              </w:rPr>
              <w:t xml:space="preserve"> </w:t>
            </w:r>
            <w:r w:rsidRPr="00E14835">
              <w:rPr>
                <w:rFonts w:eastAsia="Arial Unicode MS"/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rFonts w:eastAsia="Arial Unicode MS"/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rFonts w:eastAsia="Arial Unicode MS"/>
                <w:u w:val="single"/>
                <w:lang w:val="en-US"/>
              </w:rPr>
              <w:t>2 s, or</w:t>
            </w:r>
          </w:p>
          <w:p w14:paraId="560C120B" w14:textId="77777777" w:rsidR="00FB71EB" w:rsidRPr="00685D57" w:rsidRDefault="00FB71EB" w:rsidP="00FB71EB">
            <w:pPr>
              <w:pStyle w:val="SingleTxtG"/>
              <w:numPr>
                <w:ilvl w:val="0"/>
                <w:numId w:val="1"/>
              </w:numPr>
              <w:tabs>
                <w:tab w:val="left" w:pos="1701"/>
              </w:tabs>
              <w:spacing w:after="60"/>
              <w:rPr>
                <w:rFonts w:eastAsia="Arial Unicode MS"/>
                <w:u w:val="single"/>
                <w:lang w:val="en-US"/>
              </w:rPr>
            </w:pPr>
            <w:r w:rsidRPr="00C80FCC">
              <w:rPr>
                <w:rFonts w:eastAsia="Arial Unicode MS"/>
                <w:u w:val="single"/>
                <w:lang w:val="en-US"/>
              </w:rPr>
              <w:t xml:space="preserve">a flame height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rFonts w:eastAsia="Arial Unicode MS"/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rFonts w:eastAsia="Arial Unicode MS"/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rFonts w:eastAsia="Arial Unicode MS"/>
                <w:color w:val="C00000"/>
                <w:u w:val="single"/>
                <w:lang w:val="en-US"/>
              </w:rPr>
              <w:t xml:space="preserve"> </w:t>
            </w:r>
            <w:r w:rsidRPr="00C80FCC">
              <w:rPr>
                <w:rFonts w:eastAsia="Arial Unicode MS"/>
                <w:u w:val="single"/>
                <w:lang w:val="en-US"/>
              </w:rPr>
              <w:t>4 cm and a</w:t>
            </w:r>
            <w:r>
              <w:rPr>
                <w:rFonts w:eastAsia="Arial Unicode MS"/>
                <w:u w:val="single"/>
                <w:lang w:val="en-US"/>
              </w:rPr>
              <w:t xml:space="preserve"> flame duration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rFonts w:eastAsia="Arial Unicode MS"/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rFonts w:eastAsia="Arial Unicode MS"/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rFonts w:eastAsia="Arial Unicode MS"/>
                <w:color w:val="C00000"/>
                <w:u w:val="single"/>
                <w:lang w:val="en-US"/>
              </w:rPr>
              <w:t xml:space="preserve"> </w:t>
            </w:r>
            <w:r>
              <w:rPr>
                <w:rFonts w:eastAsia="Arial Unicode MS"/>
                <w:u w:val="single"/>
                <w:lang w:val="en-US"/>
              </w:rPr>
              <w:t>7 s.</w:t>
            </w:r>
          </w:p>
        </w:tc>
      </w:tr>
      <w:tr w:rsidR="00FB71EB" w14:paraId="048153F9" w14:textId="77777777" w:rsidTr="00957B7F">
        <w:tc>
          <w:tcPr>
            <w:tcW w:w="2235" w:type="dxa"/>
          </w:tcPr>
          <w:p w14:paraId="7E3A1AF6" w14:textId="77777777" w:rsidR="00FB71EB" w:rsidRPr="00BE3932" w:rsidRDefault="00FB71EB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2</w:t>
            </w:r>
          </w:p>
        </w:tc>
        <w:tc>
          <w:tcPr>
            <w:tcW w:w="6207" w:type="dxa"/>
          </w:tcPr>
          <w:p w14:paraId="16294887" w14:textId="77777777" w:rsidR="00FB71EB" w:rsidRPr="00BE3932" w:rsidRDefault="00FB71EB" w:rsidP="00FB71EB">
            <w:pPr>
              <w:pStyle w:val="SingleTxtG"/>
              <w:numPr>
                <w:ilvl w:val="0"/>
                <w:numId w:val="4"/>
              </w:numPr>
              <w:tabs>
                <w:tab w:val="left" w:pos="1701"/>
              </w:tabs>
              <w:spacing w:after="60"/>
              <w:ind w:hanging="223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Any</w:t>
            </w:r>
            <w:r w:rsidRPr="00BE3932">
              <w:rPr>
                <w:u w:val="single"/>
                <w:lang w:val="en-US"/>
              </w:rPr>
              <w:t xml:space="preserve"> aerosol </w:t>
            </w:r>
            <w:r>
              <w:rPr>
                <w:u w:val="single"/>
                <w:lang w:val="en-US"/>
              </w:rPr>
              <w:t>that dispenses</w:t>
            </w:r>
            <w:r w:rsidRPr="00BE3932">
              <w:rPr>
                <w:u w:val="single"/>
                <w:lang w:val="en-US"/>
              </w:rPr>
              <w:t xml:space="preserve"> a spray that</w:t>
            </w:r>
            <w:r>
              <w:rPr>
                <w:u w:val="single"/>
                <w:lang w:val="en-US"/>
              </w:rPr>
              <w:t>, based on the results of the ignition distance test,</w:t>
            </w:r>
            <w:r w:rsidRPr="00BE3932">
              <w:rPr>
                <w:u w:val="single"/>
                <w:lang w:val="en-US"/>
              </w:rPr>
              <w:t xml:space="preserve"> does not meet the criteria for </w:t>
            </w:r>
            <w:r>
              <w:rPr>
                <w:u w:val="single"/>
                <w:lang w:val="en-US"/>
              </w:rPr>
              <w:t>Category 1, and which</w:t>
            </w:r>
            <w:r w:rsidRPr="00BE3932">
              <w:rPr>
                <w:u w:val="single"/>
                <w:lang w:val="en-US"/>
              </w:rPr>
              <w:t xml:space="preserve"> has</w:t>
            </w:r>
          </w:p>
          <w:p w14:paraId="48D031F1" w14:textId="77777777" w:rsidR="00FB71EB" w:rsidRPr="00BE3932" w:rsidRDefault="00FB71EB" w:rsidP="00FB71EB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BE3932">
              <w:rPr>
                <w:u w:val="single"/>
                <w:lang w:val="en-US"/>
              </w:rPr>
              <w:t xml:space="preserve"> a heat of combustion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rFonts w:eastAsia="Arial Unicode MS"/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>20 kJ/g, or</w:t>
            </w:r>
          </w:p>
          <w:p w14:paraId="7618CEA7" w14:textId="77777777" w:rsidR="00FB71EB" w:rsidRPr="00BE3932" w:rsidRDefault="00FB71EB" w:rsidP="00FB71EB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a heat of combustion of </w:t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&lt;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less than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 xml:space="preserve">20 kJ/g along with an ignition distance of </w:t>
            </w:r>
            <w:r w:rsidRPr="00E14835">
              <w:rPr>
                <w:b/>
                <w:color w:val="C00000"/>
                <w:u w:val="single"/>
              </w:rPr>
              <w:sym w:font="Symbol" w:char="F0B3"/>
            </w:r>
            <w:r w:rsidRPr="00E14835">
              <w:rPr>
                <w:b/>
                <w:color w:val="C00000"/>
                <w:u w:val="single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>15 cm, or</w:t>
            </w:r>
          </w:p>
          <w:p w14:paraId="30BCD049" w14:textId="77777777" w:rsidR="00FB71EB" w:rsidRPr="00BE3932" w:rsidRDefault="00FB71EB" w:rsidP="00FB71EB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006490">
              <w:rPr>
                <w:u w:val="single"/>
                <w:lang w:val="en-US"/>
              </w:rPr>
              <w:t>a</w:t>
            </w:r>
            <w:r>
              <w:rPr>
                <w:u w:val="single"/>
                <w:lang w:val="en-US"/>
              </w:rPr>
              <w:t xml:space="preserve"> heat of combustion</w:t>
            </w:r>
            <w:r w:rsidRPr="00BE3932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of </w:t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&lt;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less than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 xml:space="preserve">20 kJ/g </w:t>
            </w:r>
            <w:r>
              <w:rPr>
                <w:u w:val="single"/>
                <w:lang w:val="en-US"/>
              </w:rPr>
              <w:t xml:space="preserve">and </w:t>
            </w:r>
            <w:r w:rsidRPr="00BE3932">
              <w:rPr>
                <w:u w:val="single"/>
                <w:lang w:val="en-US"/>
              </w:rPr>
              <w:t xml:space="preserve">an ignition distance of </w:t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&lt;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less than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>15 cm along with either</w:t>
            </w:r>
            <w:r>
              <w:rPr>
                <w:u w:val="single"/>
                <w:lang w:val="en-US"/>
              </w:rPr>
              <w:t>, in the enclosed space ignition test,</w:t>
            </w:r>
          </w:p>
          <w:p w14:paraId="568F3E7C" w14:textId="77777777" w:rsidR="00FB71EB" w:rsidRDefault="00FB71EB" w:rsidP="00FB71EB">
            <w:pPr>
              <w:pStyle w:val="SingleTxtG"/>
              <w:numPr>
                <w:ilvl w:val="1"/>
                <w:numId w:val="2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BE3932">
              <w:rPr>
                <w:u w:val="single"/>
                <w:lang w:val="en-US"/>
              </w:rPr>
              <w:t xml:space="preserve">a time equivalent of </w:t>
            </w:r>
            <w:r w:rsidRPr="00E14835">
              <w:rPr>
                <w:b/>
                <w:color w:val="C00000"/>
                <w:u w:val="single"/>
              </w:rPr>
              <w:sym w:font="Symbol" w:char="F0A3"/>
            </w:r>
            <w:r w:rsidRPr="0007686F">
              <w:rPr>
                <w:b/>
                <w:u w:val="single"/>
              </w:rPr>
              <w:t xml:space="preserve"> </w:t>
            </w:r>
            <w:r w:rsidRPr="00BE3932">
              <w:rPr>
                <w:u w:val="single"/>
                <w:lang w:val="en-US"/>
              </w:rPr>
              <w:t>300 s/m</w:t>
            </w:r>
            <w:r w:rsidRPr="00BE3932">
              <w:rPr>
                <w:u w:val="single"/>
                <w:vertAlign w:val="superscript"/>
                <w:lang w:val="en-US"/>
              </w:rPr>
              <w:t>3</w:t>
            </w:r>
            <w:r w:rsidRPr="00D750FF">
              <w:rPr>
                <w:color w:val="FF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or less</w:t>
            </w:r>
            <w:r w:rsidRPr="00BE3932">
              <w:rPr>
                <w:u w:val="single"/>
                <w:lang w:val="en-US"/>
              </w:rPr>
              <w:t>, or</w:t>
            </w:r>
          </w:p>
          <w:p w14:paraId="505CFD34" w14:textId="77777777" w:rsidR="00FB71EB" w:rsidRPr="005044B6" w:rsidRDefault="00FB71EB" w:rsidP="00FB71EB">
            <w:pPr>
              <w:pStyle w:val="SingleTxtG"/>
              <w:numPr>
                <w:ilvl w:val="1"/>
                <w:numId w:val="2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5044B6">
              <w:rPr>
                <w:u w:val="single"/>
                <w:lang w:val="en-US"/>
              </w:rPr>
              <w:t xml:space="preserve">a deflagration density of </w:t>
            </w:r>
            <w:r w:rsidRPr="00E14835">
              <w:rPr>
                <w:b/>
                <w:color w:val="C00000"/>
                <w:u w:val="single"/>
              </w:rPr>
              <w:sym w:font="Symbol" w:char="F0A3"/>
            </w:r>
            <w:r w:rsidRPr="00E14835">
              <w:rPr>
                <w:color w:val="C00000"/>
              </w:rPr>
              <w:t xml:space="preserve"> </w:t>
            </w:r>
            <w:r w:rsidRPr="005044B6">
              <w:rPr>
                <w:u w:val="single"/>
                <w:lang w:val="en-US"/>
              </w:rPr>
              <w:t>300 g/m</w:t>
            </w:r>
            <w:r w:rsidRPr="005044B6">
              <w:rPr>
                <w:u w:val="single"/>
                <w:vertAlign w:val="superscript"/>
                <w:lang w:val="en-US"/>
              </w:rPr>
              <w:t>3</w:t>
            </w:r>
            <w:r>
              <w:rPr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or less</w:t>
            </w:r>
            <w:r w:rsidRPr="005044B6">
              <w:rPr>
                <w:u w:val="single"/>
                <w:lang w:val="en-US"/>
              </w:rPr>
              <w:t>; or</w:t>
            </w:r>
          </w:p>
          <w:p w14:paraId="1A6A8BC9" w14:textId="77777777" w:rsidR="00FB71EB" w:rsidRPr="00BE3932" w:rsidRDefault="00FB71EB" w:rsidP="00FB71EB">
            <w:pPr>
              <w:pStyle w:val="SingleTxtG"/>
              <w:numPr>
                <w:ilvl w:val="0"/>
                <w:numId w:val="4"/>
              </w:numPr>
              <w:tabs>
                <w:tab w:val="left" w:pos="1701"/>
              </w:tabs>
              <w:spacing w:after="60"/>
              <w:ind w:hanging="223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Any</w:t>
            </w:r>
            <w:r w:rsidRPr="00BE3932">
              <w:rPr>
                <w:u w:val="single"/>
                <w:lang w:val="en-US"/>
              </w:rPr>
              <w:t xml:space="preserve"> aerosol </w:t>
            </w:r>
            <w:r>
              <w:rPr>
                <w:u w:val="single"/>
                <w:lang w:val="en-US"/>
              </w:rPr>
              <w:t>that</w:t>
            </w:r>
            <w:r w:rsidRPr="00BE3932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dispenses</w:t>
            </w:r>
            <w:r w:rsidRPr="00BE3932">
              <w:rPr>
                <w:u w:val="single"/>
                <w:lang w:val="en-US"/>
              </w:rPr>
              <w:t xml:space="preserve"> a foam </w:t>
            </w:r>
            <w:r>
              <w:rPr>
                <w:u w:val="single"/>
                <w:lang w:val="en-US"/>
              </w:rPr>
              <w:t>that, based on the results of the aerosol foam flammability test, does not meet the criteria for Category 1, and which</w:t>
            </w:r>
            <w:r w:rsidRPr="00BE3932">
              <w:rPr>
                <w:u w:val="single"/>
                <w:lang w:val="en-US"/>
              </w:rPr>
              <w:t xml:space="preserve"> has a flame height of </w:t>
            </w:r>
            <w:r w:rsidRPr="00E14835">
              <w:rPr>
                <w:b/>
                <w:color w:val="C00000"/>
                <w:u w:val="single"/>
                <w:lang w:val="en-US"/>
              </w:rPr>
              <w:sym w:font="Symbol" w:char="F0B3"/>
            </w:r>
            <w:r w:rsidRPr="00DB3EAC">
              <w:rPr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>4 cm and</w:t>
            </w:r>
            <w:r>
              <w:rPr>
                <w:u w:val="single"/>
                <w:lang w:val="en-US"/>
              </w:rPr>
              <w:t xml:space="preserve"> a flame duration of </w:t>
            </w:r>
            <w:r w:rsidRPr="00E14835">
              <w:rPr>
                <w:b/>
                <w:color w:val="C00000"/>
                <w:u w:val="single"/>
                <w:lang w:val="en-US"/>
              </w:rPr>
              <w:sym w:font="Symbol" w:char="F0B3"/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2 </w:t>
            </w:r>
            <w:r w:rsidRPr="00BE3932">
              <w:rPr>
                <w:u w:val="single"/>
                <w:lang w:val="en-US"/>
              </w:rPr>
              <w:t>s</w:t>
            </w:r>
            <w:r>
              <w:rPr>
                <w:u w:val="single"/>
                <w:lang w:val="en-US"/>
              </w:rPr>
              <w:t>.</w:t>
            </w:r>
          </w:p>
        </w:tc>
      </w:tr>
      <w:tr w:rsidR="00FB71EB" w14:paraId="07D3734E" w14:textId="77777777" w:rsidTr="00957B7F">
        <w:tc>
          <w:tcPr>
            <w:tcW w:w="2235" w:type="dxa"/>
          </w:tcPr>
          <w:p w14:paraId="707F228A" w14:textId="77777777" w:rsidR="00FB71EB" w:rsidRPr="00BE3932" w:rsidRDefault="00FB71EB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3</w:t>
            </w:r>
          </w:p>
        </w:tc>
        <w:tc>
          <w:tcPr>
            <w:tcW w:w="6207" w:type="dxa"/>
          </w:tcPr>
          <w:p w14:paraId="585CF2FB" w14:textId="77777777" w:rsidR="00FB71EB" w:rsidRDefault="00FB71EB" w:rsidP="00FB71EB">
            <w:pPr>
              <w:pStyle w:val="SingleTxtG"/>
              <w:numPr>
                <w:ilvl w:val="0"/>
                <w:numId w:val="5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Any</w:t>
            </w:r>
            <w:r w:rsidRPr="00BE3932">
              <w:rPr>
                <w:u w:val="single"/>
                <w:lang w:val="en-US"/>
              </w:rPr>
              <w:t xml:space="preserve"> aerosol </w:t>
            </w:r>
            <w:r>
              <w:rPr>
                <w:u w:val="single"/>
                <w:lang w:val="en-US"/>
              </w:rPr>
              <w:t>that</w:t>
            </w:r>
            <w:r w:rsidRPr="00BE3932">
              <w:rPr>
                <w:u w:val="single"/>
                <w:lang w:val="en-US"/>
              </w:rPr>
              <w:t xml:space="preserve"> contains </w:t>
            </w:r>
            <w:r w:rsidRPr="00E14835">
              <w:rPr>
                <w:b/>
                <w:color w:val="C00000"/>
                <w:u w:val="single"/>
              </w:rPr>
              <w:sym w:font="Symbol" w:char="F0A3"/>
            </w:r>
            <w:r w:rsidRPr="00E14835">
              <w:rPr>
                <w:color w:val="C00000"/>
                <w:u w:val="single"/>
              </w:rPr>
              <w:t xml:space="preserve"> </w:t>
            </w:r>
            <w:r w:rsidRPr="00BE3932">
              <w:rPr>
                <w:u w:val="single"/>
                <w:lang w:val="en-US"/>
              </w:rPr>
              <w:t xml:space="preserve">1%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or less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 xml:space="preserve">flammable components (by mass) and </w:t>
            </w:r>
            <w:r>
              <w:rPr>
                <w:u w:val="single"/>
                <w:lang w:val="en-US"/>
              </w:rPr>
              <w:t xml:space="preserve">that </w:t>
            </w:r>
            <w:r w:rsidRPr="00BE3932">
              <w:rPr>
                <w:u w:val="single"/>
                <w:lang w:val="en-US"/>
              </w:rPr>
              <w:t xml:space="preserve">has a heat of combustion </w:t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&lt; </w:t>
            </w:r>
            <w:r w:rsidRPr="00D36A3D">
              <w:rPr>
                <w:b/>
                <w:strike/>
                <w:color w:val="C00000"/>
                <w:u w:val="single"/>
                <w:lang w:val="en-US"/>
              </w:rPr>
              <w:t>below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BE3932">
              <w:rPr>
                <w:u w:val="single"/>
                <w:lang w:val="en-US"/>
              </w:rPr>
              <w:t>20 kJ/g; or</w:t>
            </w:r>
          </w:p>
          <w:p w14:paraId="00E261ED" w14:textId="77777777" w:rsidR="00FB71EB" w:rsidRPr="00DB3EAC" w:rsidRDefault="00FB71EB" w:rsidP="00FB71EB">
            <w:pPr>
              <w:pStyle w:val="SingleTxtG"/>
              <w:numPr>
                <w:ilvl w:val="0"/>
                <w:numId w:val="5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DB3EAC">
              <w:rPr>
                <w:u w:val="single"/>
                <w:lang w:val="en-US"/>
              </w:rPr>
              <w:t xml:space="preserve">Any aerosol that contains </w:t>
            </w:r>
            <w:r w:rsidRPr="00E14835">
              <w:rPr>
                <w:b/>
                <w:color w:val="C00000"/>
                <w:u w:val="single"/>
                <w:lang w:val="en-US"/>
              </w:rPr>
              <w:t>&gt;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more than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DB3EAC">
              <w:rPr>
                <w:u w:val="single"/>
                <w:lang w:val="en-US"/>
              </w:rPr>
              <w:t xml:space="preserve">1% (by mass) flammable components or which has a heat of combustion of </w:t>
            </w:r>
            <w:r w:rsidRPr="00E14835">
              <w:rPr>
                <w:b/>
                <w:color w:val="C00000"/>
                <w:u w:val="single"/>
                <w:lang w:val="en-US"/>
              </w:rPr>
              <w:sym w:font="Symbol" w:char="F0B3"/>
            </w:r>
            <w:r w:rsidRPr="00E14835">
              <w:rPr>
                <w:b/>
                <w:color w:val="C00000"/>
                <w:u w:val="single"/>
                <w:lang w:val="en-US"/>
              </w:rPr>
              <w:t xml:space="preserve"> </w:t>
            </w:r>
            <w:r w:rsidRPr="00E14835">
              <w:rPr>
                <w:b/>
                <w:strike/>
                <w:color w:val="C00000"/>
                <w:u w:val="single"/>
                <w:lang w:val="en-US"/>
              </w:rPr>
              <w:t>at least</w:t>
            </w:r>
            <w:r w:rsidRPr="00E14835">
              <w:rPr>
                <w:color w:val="C00000"/>
                <w:u w:val="single"/>
                <w:lang w:val="en-US"/>
              </w:rPr>
              <w:t xml:space="preserve"> </w:t>
            </w:r>
            <w:r w:rsidRPr="00DB3EAC">
              <w:rPr>
                <w:u w:val="single"/>
                <w:lang w:val="en-US"/>
              </w:rPr>
              <w:t>20 kJ/g but which, based on the results of the ignition distance test, the enclosed space ignition test or the aerosol foam flammability test, does not meet the criteria for Category 1 or Category 2.</w:t>
            </w:r>
          </w:p>
        </w:tc>
      </w:tr>
    </w:tbl>
    <w:p w14:paraId="55FB1F46" w14:textId="77777777" w:rsidR="00727914" w:rsidRDefault="00727914"/>
    <w:p w14:paraId="1DEB9EA8" w14:textId="77777777" w:rsidR="00727914" w:rsidRDefault="00727914">
      <w:pPr>
        <w:suppressAutoHyphens w:val="0"/>
        <w:spacing w:after="160" w:line="259" w:lineRule="auto"/>
      </w:pPr>
      <w:r>
        <w:br w:type="page"/>
      </w:r>
    </w:p>
    <w:p w14:paraId="73324322" w14:textId="77777777" w:rsidR="009F6C8E" w:rsidRDefault="009F6C8E" w:rsidP="00A22166">
      <w:pPr>
        <w:pStyle w:val="HChG"/>
      </w:pPr>
      <w:r w:rsidRPr="00DA0EFD">
        <w:lastRenderedPageBreak/>
        <w:t>Annex</w:t>
      </w:r>
      <w:r>
        <w:t xml:space="preserve"> II</w:t>
      </w:r>
    </w:p>
    <w:p w14:paraId="28F945F1" w14:textId="16C5BF10" w:rsidR="00727914" w:rsidRPr="00A22166" w:rsidRDefault="00A22166" w:rsidP="00A22166">
      <w:pPr>
        <w:pStyle w:val="H1G"/>
        <w:rPr>
          <w:u w:val="single"/>
        </w:rPr>
      </w:pPr>
      <w:r>
        <w:tab/>
      </w:r>
      <w:r>
        <w:tab/>
      </w:r>
      <w:r w:rsidR="00727914" w:rsidRPr="00A22166">
        <w:rPr>
          <w:u w:val="single"/>
        </w:rPr>
        <w:t>Table 2.3.1:  Criteria for aerosols</w:t>
      </w:r>
    </w:p>
    <w:p w14:paraId="7DFCF2E2" w14:textId="77777777" w:rsidR="00727914" w:rsidRPr="004549FB" w:rsidRDefault="00727914" w:rsidP="00727914">
      <w:pPr>
        <w:ind w:left="1134" w:right="1134"/>
        <w:jc w:val="center"/>
        <w:rPr>
          <w:b/>
        </w:rPr>
      </w:pP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235"/>
        <w:gridCol w:w="6207"/>
      </w:tblGrid>
      <w:tr w:rsidR="00727914" w14:paraId="628D7B4E" w14:textId="77777777" w:rsidTr="004D384A">
        <w:trPr>
          <w:tblHeader/>
        </w:trPr>
        <w:tc>
          <w:tcPr>
            <w:tcW w:w="2235" w:type="dxa"/>
          </w:tcPr>
          <w:p w14:paraId="6BFEBB1D" w14:textId="77777777" w:rsidR="00727914" w:rsidRPr="00BE3932" w:rsidRDefault="00727914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Category</w:t>
            </w:r>
          </w:p>
        </w:tc>
        <w:tc>
          <w:tcPr>
            <w:tcW w:w="6207" w:type="dxa"/>
          </w:tcPr>
          <w:p w14:paraId="265D40D9" w14:textId="77777777" w:rsidR="00727914" w:rsidRPr="00BE3932" w:rsidRDefault="00727914" w:rsidP="004D384A">
            <w:pPr>
              <w:ind w:right="1134"/>
              <w:jc w:val="center"/>
              <w:rPr>
                <w:b/>
                <w:u w:val="single"/>
              </w:rPr>
            </w:pPr>
            <w:r w:rsidRPr="00BE3932">
              <w:rPr>
                <w:b/>
                <w:u w:val="single"/>
              </w:rPr>
              <w:t>Criteria</w:t>
            </w:r>
          </w:p>
        </w:tc>
      </w:tr>
      <w:tr w:rsidR="00727914" w14:paraId="209E71D0" w14:textId="77777777" w:rsidTr="004D384A">
        <w:tc>
          <w:tcPr>
            <w:tcW w:w="2235" w:type="dxa"/>
          </w:tcPr>
          <w:p w14:paraId="68C03B32" w14:textId="77777777" w:rsidR="00727914" w:rsidRPr="00B524FF" w:rsidRDefault="00727914" w:rsidP="004D384A">
            <w:pPr>
              <w:ind w:right="1134"/>
              <w:jc w:val="center"/>
              <w:rPr>
                <w:b/>
              </w:rPr>
            </w:pPr>
            <w:r w:rsidRPr="00B524FF">
              <w:rPr>
                <w:b/>
              </w:rPr>
              <w:t>1</w:t>
            </w:r>
          </w:p>
        </w:tc>
        <w:tc>
          <w:tcPr>
            <w:tcW w:w="6207" w:type="dxa"/>
          </w:tcPr>
          <w:p w14:paraId="31ABE187" w14:textId="77777777" w:rsidR="00727914" w:rsidRPr="00B524FF" w:rsidRDefault="00727914" w:rsidP="00727914">
            <w:pPr>
              <w:pStyle w:val="SingleTxtG"/>
              <w:numPr>
                <w:ilvl w:val="0"/>
                <w:numId w:val="9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Any aerosol that contains </w:t>
            </w:r>
            <w:r w:rsidRPr="00B524FF">
              <w:rPr>
                <w:lang w:val="en-US"/>
              </w:rPr>
              <w:sym w:font="Symbol" w:char="F0B3"/>
            </w:r>
            <w:r w:rsidRPr="00B524FF">
              <w:rPr>
                <w:lang w:val="en-US"/>
              </w:rPr>
              <w:t xml:space="preserve"> 85% flammable components (by mass) and has a heat of combustion of </w:t>
            </w:r>
            <w:r w:rsidRPr="00B524FF">
              <w:rPr>
                <w:lang w:val="en-US"/>
              </w:rPr>
              <w:sym w:font="Symbol" w:char="F0B3"/>
            </w:r>
            <w:r w:rsidRPr="00B524FF">
              <w:rPr>
                <w:lang w:val="en-US"/>
              </w:rPr>
              <w:t xml:space="preserve"> 30 kJ/g; or</w:t>
            </w:r>
          </w:p>
          <w:p w14:paraId="29F7D541" w14:textId="77777777" w:rsidR="00727914" w:rsidRPr="00B524FF" w:rsidRDefault="00727914" w:rsidP="00727914">
            <w:pPr>
              <w:pStyle w:val="SingleTxtG"/>
              <w:numPr>
                <w:ilvl w:val="0"/>
                <w:numId w:val="9"/>
              </w:numPr>
              <w:tabs>
                <w:tab w:val="left" w:pos="1701"/>
              </w:tabs>
              <w:spacing w:after="60"/>
              <w:ind w:left="412" w:hanging="270"/>
              <w:rPr>
                <w:lang w:val="en-US"/>
              </w:rPr>
            </w:pPr>
            <w:r w:rsidRPr="00B524FF">
              <w:rPr>
                <w:lang w:val="en-US"/>
              </w:rPr>
              <w:t xml:space="preserve">Any aerosol that dispenses a spray that, in the ignition distance test, has an ignition distance of 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</w:t>
            </w:r>
            <w:r w:rsidRPr="00B524FF">
              <w:rPr>
                <w:lang w:val="en-US"/>
              </w:rPr>
              <w:t>75 cm; or</w:t>
            </w:r>
          </w:p>
          <w:p w14:paraId="23BCF6F5" w14:textId="77777777" w:rsidR="00727914" w:rsidRPr="00B524FF" w:rsidRDefault="00727914" w:rsidP="00727914">
            <w:pPr>
              <w:pStyle w:val="SingleTxtG"/>
              <w:numPr>
                <w:ilvl w:val="0"/>
                <w:numId w:val="9"/>
              </w:numPr>
              <w:tabs>
                <w:tab w:val="left" w:pos="1701"/>
              </w:tabs>
              <w:spacing w:after="60"/>
              <w:ind w:left="412" w:hanging="270"/>
              <w:rPr>
                <w:rFonts w:eastAsia="Arial Unicode MS"/>
                <w:lang w:val="en-US"/>
              </w:rPr>
            </w:pPr>
            <w:r w:rsidRPr="00B524FF">
              <w:rPr>
                <w:lang w:val="en-US"/>
              </w:rPr>
              <w:t>Any aerosol that dispenses a foam that, in the foam flammability test, has</w:t>
            </w:r>
          </w:p>
          <w:p w14:paraId="235ACE67" w14:textId="77777777" w:rsidR="00727914" w:rsidRPr="00B524FF" w:rsidRDefault="00727914" w:rsidP="00727914">
            <w:pPr>
              <w:pStyle w:val="SingleTxtG"/>
              <w:numPr>
                <w:ilvl w:val="0"/>
                <w:numId w:val="1"/>
              </w:numPr>
              <w:tabs>
                <w:tab w:val="left" w:pos="1701"/>
              </w:tabs>
              <w:spacing w:after="60"/>
              <w:rPr>
                <w:rFonts w:eastAsia="Arial Unicode MS"/>
                <w:lang w:val="en-US"/>
              </w:rPr>
            </w:pPr>
            <w:r w:rsidRPr="00B524FF">
              <w:rPr>
                <w:rFonts w:eastAsia="Arial Unicode MS"/>
                <w:lang w:val="en-US"/>
              </w:rPr>
              <w:t xml:space="preserve">a flame height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20 cm and a flame duration of  </w:t>
            </w:r>
            <w:r w:rsidRPr="00B524FF">
              <w:sym w:font="Symbol" w:char="F0B3"/>
            </w:r>
            <w:r w:rsidR="00D36A3D">
              <w:rPr>
                <w:rFonts w:eastAsia="Arial Unicode MS"/>
                <w:lang w:val="en-US"/>
              </w:rPr>
              <w:t xml:space="preserve">  2 </w:t>
            </w:r>
            <w:r w:rsidRPr="00B524FF">
              <w:rPr>
                <w:rFonts w:eastAsia="Arial Unicode MS"/>
                <w:lang w:val="en-US"/>
              </w:rPr>
              <w:t>s, or</w:t>
            </w:r>
          </w:p>
          <w:p w14:paraId="6DACFE23" w14:textId="77777777" w:rsidR="00727914" w:rsidRPr="00685D57" w:rsidRDefault="00727914" w:rsidP="00D36A3D">
            <w:pPr>
              <w:pStyle w:val="SingleTxtG"/>
              <w:numPr>
                <w:ilvl w:val="0"/>
                <w:numId w:val="1"/>
              </w:numPr>
              <w:tabs>
                <w:tab w:val="left" w:pos="1701"/>
              </w:tabs>
              <w:spacing w:after="60"/>
              <w:rPr>
                <w:rFonts w:eastAsia="Arial Unicode MS"/>
                <w:u w:val="single"/>
                <w:lang w:val="en-US"/>
              </w:rPr>
            </w:pPr>
            <w:r w:rsidRPr="00B524FF">
              <w:rPr>
                <w:rFonts w:eastAsia="Arial Unicode MS"/>
                <w:lang w:val="en-US"/>
              </w:rPr>
              <w:t xml:space="preserve">a flame height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4 cm and a flame duration of</w:t>
            </w:r>
            <w:r w:rsidR="00D36A3D">
              <w:rPr>
                <w:rFonts w:eastAsia="Arial Unicode MS"/>
                <w:lang w:val="en-US"/>
              </w:rPr>
              <w:t xml:space="preserve">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7 s</w:t>
            </w:r>
          </w:p>
        </w:tc>
      </w:tr>
      <w:tr w:rsidR="00727914" w14:paraId="32029681" w14:textId="77777777" w:rsidTr="004D384A">
        <w:tc>
          <w:tcPr>
            <w:tcW w:w="2235" w:type="dxa"/>
          </w:tcPr>
          <w:p w14:paraId="7980FE05" w14:textId="77777777" w:rsidR="00727914" w:rsidRPr="00B524FF" w:rsidRDefault="00727914" w:rsidP="004D384A">
            <w:pPr>
              <w:ind w:right="1134"/>
              <w:jc w:val="center"/>
              <w:rPr>
                <w:b/>
              </w:rPr>
            </w:pPr>
            <w:r w:rsidRPr="00B524FF">
              <w:rPr>
                <w:b/>
              </w:rPr>
              <w:t>2</w:t>
            </w:r>
          </w:p>
        </w:tc>
        <w:tc>
          <w:tcPr>
            <w:tcW w:w="6207" w:type="dxa"/>
          </w:tcPr>
          <w:p w14:paraId="649DEE44" w14:textId="77777777" w:rsidR="00727914" w:rsidRPr="00B524FF" w:rsidRDefault="00727914" w:rsidP="00727914">
            <w:pPr>
              <w:pStyle w:val="SingleTxtG"/>
              <w:numPr>
                <w:ilvl w:val="0"/>
                <w:numId w:val="8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>Any aerosol that dispenses a spray that, based on the results of the ignition distance test, does not meet the criteria for Category 1, and which has</w:t>
            </w:r>
          </w:p>
          <w:p w14:paraId="19CA88A3" w14:textId="77777777" w:rsidR="00727914" w:rsidRPr="00B524FF" w:rsidRDefault="00727914" w:rsidP="00727914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 a heat of combustion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</w:t>
            </w:r>
            <w:r w:rsidRPr="00B524FF">
              <w:rPr>
                <w:lang w:val="en-US"/>
              </w:rPr>
              <w:t>20 kJ/g, or</w:t>
            </w:r>
          </w:p>
          <w:p w14:paraId="09E89834" w14:textId="77777777" w:rsidR="00727914" w:rsidRPr="00B524FF" w:rsidRDefault="00727914" w:rsidP="00727914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a heat of combustion of &lt; 20 kJ/g along with an ignition distance of </w:t>
            </w:r>
            <w:r w:rsidRPr="00B524FF">
              <w:sym w:font="Symbol" w:char="F0B3"/>
            </w:r>
            <w:r w:rsidRPr="00B524FF">
              <w:t xml:space="preserve"> </w:t>
            </w:r>
            <w:r w:rsidRPr="00B524FF">
              <w:rPr>
                <w:lang w:val="en-US"/>
              </w:rPr>
              <w:t>15 cm, or</w:t>
            </w:r>
          </w:p>
          <w:p w14:paraId="3B23C534" w14:textId="77777777" w:rsidR="00727914" w:rsidRPr="00B524FF" w:rsidRDefault="00727914" w:rsidP="00727914">
            <w:pPr>
              <w:pStyle w:val="SingleTxtG"/>
              <w:numPr>
                <w:ilvl w:val="0"/>
                <w:numId w:val="2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>a heat of combustion of &lt; 20 kJ/g and an ignition distance of &lt; 15 cm along with either, in the enclosed space ignition test,</w:t>
            </w:r>
          </w:p>
          <w:p w14:paraId="66512C36" w14:textId="77777777" w:rsidR="00727914" w:rsidRPr="00B524FF" w:rsidRDefault="00727914" w:rsidP="00727914">
            <w:pPr>
              <w:pStyle w:val="SingleTxtG"/>
              <w:numPr>
                <w:ilvl w:val="1"/>
                <w:numId w:val="2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a time equivalent of </w:t>
            </w:r>
            <w:r w:rsidRPr="00B524FF">
              <w:sym w:font="Symbol" w:char="F0A3"/>
            </w:r>
            <w:r w:rsidRPr="00B524FF">
              <w:t xml:space="preserve"> </w:t>
            </w:r>
            <w:r w:rsidRPr="00B524FF">
              <w:rPr>
                <w:lang w:val="en-US"/>
              </w:rPr>
              <w:t>300 s/m</w:t>
            </w:r>
            <w:r w:rsidRPr="00B524FF">
              <w:rPr>
                <w:vertAlign w:val="superscript"/>
                <w:lang w:val="en-US"/>
              </w:rPr>
              <w:t>3</w:t>
            </w:r>
            <w:r w:rsidRPr="00B524FF">
              <w:rPr>
                <w:lang w:val="en-US"/>
              </w:rPr>
              <w:t>, or</w:t>
            </w:r>
          </w:p>
          <w:p w14:paraId="531A0907" w14:textId="77777777" w:rsidR="00727914" w:rsidRPr="00B524FF" w:rsidRDefault="00727914" w:rsidP="00727914">
            <w:pPr>
              <w:pStyle w:val="SingleTxtG"/>
              <w:numPr>
                <w:ilvl w:val="1"/>
                <w:numId w:val="2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a deflagration density of </w:t>
            </w:r>
            <w:r w:rsidRPr="00B524FF">
              <w:sym w:font="Symbol" w:char="F0A3"/>
            </w:r>
            <w:r w:rsidRPr="00B524FF">
              <w:t xml:space="preserve"> </w:t>
            </w:r>
            <w:r w:rsidRPr="00B524FF">
              <w:rPr>
                <w:lang w:val="en-US"/>
              </w:rPr>
              <w:t>300 g/m</w:t>
            </w:r>
            <w:r w:rsidRPr="00B524FF">
              <w:rPr>
                <w:vertAlign w:val="superscript"/>
                <w:lang w:val="en-US"/>
              </w:rPr>
              <w:t>3</w:t>
            </w:r>
            <w:r w:rsidRPr="00B524FF">
              <w:rPr>
                <w:lang w:val="en-US"/>
              </w:rPr>
              <w:t>; or</w:t>
            </w:r>
          </w:p>
          <w:p w14:paraId="28D94396" w14:textId="77777777" w:rsidR="00727914" w:rsidRPr="00BE3932" w:rsidRDefault="00727914" w:rsidP="00727914">
            <w:pPr>
              <w:pStyle w:val="SingleTxtG"/>
              <w:numPr>
                <w:ilvl w:val="0"/>
                <w:numId w:val="8"/>
              </w:numPr>
              <w:tabs>
                <w:tab w:val="left" w:pos="1701"/>
              </w:tabs>
              <w:spacing w:after="60"/>
              <w:ind w:left="412" w:hanging="270"/>
              <w:rPr>
                <w:u w:val="single"/>
                <w:lang w:val="en-US"/>
              </w:rPr>
            </w:pPr>
            <w:r w:rsidRPr="00B524FF">
              <w:rPr>
                <w:lang w:val="en-US"/>
              </w:rPr>
              <w:t xml:space="preserve">Any aerosol that dispenses a foam that, based on the results of the aerosol foam flammability test, does not meet the criteria for Category 1, and which has a flame height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</w:t>
            </w:r>
            <w:r w:rsidRPr="00B524FF">
              <w:rPr>
                <w:lang w:val="en-US"/>
              </w:rPr>
              <w:t xml:space="preserve">4 cm and a flame duration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</w:t>
            </w:r>
            <w:r w:rsidRPr="00B524FF">
              <w:rPr>
                <w:lang w:val="en-US"/>
              </w:rPr>
              <w:t>2 s.</w:t>
            </w:r>
          </w:p>
        </w:tc>
      </w:tr>
      <w:tr w:rsidR="00727914" w14:paraId="61E78183" w14:textId="77777777" w:rsidTr="004D384A">
        <w:tc>
          <w:tcPr>
            <w:tcW w:w="2235" w:type="dxa"/>
          </w:tcPr>
          <w:p w14:paraId="28549181" w14:textId="77777777" w:rsidR="00727914" w:rsidRPr="00B524FF" w:rsidRDefault="00727914" w:rsidP="004D384A">
            <w:pPr>
              <w:ind w:right="1134"/>
              <w:jc w:val="center"/>
              <w:rPr>
                <w:b/>
              </w:rPr>
            </w:pPr>
            <w:r w:rsidRPr="00B524FF">
              <w:rPr>
                <w:b/>
              </w:rPr>
              <w:t>3</w:t>
            </w:r>
          </w:p>
        </w:tc>
        <w:tc>
          <w:tcPr>
            <w:tcW w:w="6207" w:type="dxa"/>
          </w:tcPr>
          <w:p w14:paraId="4F5ED602" w14:textId="77777777" w:rsidR="00727914" w:rsidRPr="00B524FF" w:rsidRDefault="00727914" w:rsidP="00727914">
            <w:pPr>
              <w:pStyle w:val="SingleTxtG"/>
              <w:numPr>
                <w:ilvl w:val="0"/>
                <w:numId w:val="7"/>
              </w:numPr>
              <w:tabs>
                <w:tab w:val="left" w:pos="1701"/>
              </w:tabs>
              <w:spacing w:after="60"/>
              <w:rPr>
                <w:lang w:val="en-US"/>
              </w:rPr>
            </w:pPr>
            <w:r w:rsidRPr="00B524FF">
              <w:rPr>
                <w:lang w:val="en-US"/>
              </w:rPr>
              <w:t xml:space="preserve">Any aerosol that contains </w:t>
            </w:r>
            <w:r w:rsidRPr="00B524FF">
              <w:sym w:font="Symbol" w:char="F0A3"/>
            </w:r>
            <w:r w:rsidRPr="00B524FF">
              <w:t xml:space="preserve"> </w:t>
            </w:r>
            <w:r w:rsidRPr="00B524FF">
              <w:rPr>
                <w:lang w:val="en-US"/>
              </w:rPr>
              <w:t>1% flammable components (by mass) and tha</w:t>
            </w:r>
            <w:bookmarkStart w:id="0" w:name="_GoBack"/>
            <w:bookmarkEnd w:id="0"/>
            <w:r w:rsidRPr="00B524FF">
              <w:rPr>
                <w:lang w:val="en-US"/>
              </w:rPr>
              <w:t>t has a heat of combustion &lt; 20 kJ/g; or</w:t>
            </w:r>
          </w:p>
          <w:p w14:paraId="0444E3E5" w14:textId="77777777" w:rsidR="00727914" w:rsidRPr="00BE3932" w:rsidRDefault="00727914" w:rsidP="00727914">
            <w:pPr>
              <w:pStyle w:val="SingleTxtG"/>
              <w:numPr>
                <w:ilvl w:val="0"/>
                <w:numId w:val="7"/>
              </w:numPr>
              <w:tabs>
                <w:tab w:val="left" w:pos="1701"/>
              </w:tabs>
              <w:spacing w:after="60"/>
              <w:rPr>
                <w:u w:val="single"/>
                <w:lang w:val="en-US"/>
              </w:rPr>
            </w:pPr>
            <w:r w:rsidRPr="00B524FF">
              <w:rPr>
                <w:lang w:val="en-US"/>
              </w:rPr>
              <w:t xml:space="preserve">Any aerosol that contains &gt; 1% (by mass) flammable components or which has a heat of combustion of </w:t>
            </w:r>
            <w:r w:rsidRPr="00B524FF">
              <w:sym w:font="Symbol" w:char="F0B3"/>
            </w:r>
            <w:r w:rsidRPr="00B524FF">
              <w:rPr>
                <w:rFonts w:eastAsia="Arial Unicode MS"/>
                <w:lang w:val="en-US"/>
              </w:rPr>
              <w:t xml:space="preserve"> </w:t>
            </w:r>
            <w:r w:rsidRPr="00B524FF">
              <w:rPr>
                <w:lang w:val="en-US"/>
              </w:rPr>
              <w:t>20 kJ/g but which, based on the results of the ignition distance test, the enclosed space ignition test or the aerosol foam flammability test, does not meet the criteria for Category 1 or Category 2.</w:t>
            </w:r>
          </w:p>
        </w:tc>
      </w:tr>
    </w:tbl>
    <w:p w14:paraId="096056B6" w14:textId="6B47B739" w:rsidR="00E32E99" w:rsidRPr="00A22166" w:rsidRDefault="00A22166" w:rsidP="00A2216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BA3CD" w14:textId="4C57B5C1" w:rsidR="00A22166" w:rsidRDefault="00A22166"/>
    <w:p w14:paraId="5BE4957D" w14:textId="77777777" w:rsidR="00A22166" w:rsidRDefault="00A22166"/>
    <w:sectPr w:rsidR="00A22166" w:rsidSect="00A2216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287E" w14:textId="77777777" w:rsidR="008B42F0" w:rsidRDefault="008B42F0" w:rsidP="008B42F0">
      <w:pPr>
        <w:spacing w:line="240" w:lineRule="auto"/>
      </w:pPr>
      <w:r>
        <w:separator/>
      </w:r>
    </w:p>
  </w:endnote>
  <w:endnote w:type="continuationSeparator" w:id="0">
    <w:p w14:paraId="16863DAB" w14:textId="77777777" w:rsidR="008B42F0" w:rsidRDefault="008B42F0" w:rsidP="008B4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36372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0B8FB" w14:textId="476F1D20" w:rsidR="00A22166" w:rsidRPr="00A22166" w:rsidRDefault="00A22166">
        <w:pPr>
          <w:pStyle w:val="Footer"/>
          <w:rPr>
            <w:b/>
            <w:bCs/>
          </w:rPr>
        </w:pPr>
        <w:r w:rsidRPr="00A22166">
          <w:rPr>
            <w:b/>
            <w:bCs/>
          </w:rPr>
          <w:fldChar w:fldCharType="begin"/>
        </w:r>
        <w:r w:rsidRPr="00A22166">
          <w:rPr>
            <w:b/>
            <w:bCs/>
          </w:rPr>
          <w:instrText xml:space="preserve"> PAGE   \* MERGEFORMAT </w:instrText>
        </w:r>
        <w:r w:rsidRPr="00A22166"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 w:rsidRPr="00A22166">
          <w:rPr>
            <w:b/>
            <w:bCs/>
            <w:noProof/>
          </w:rPr>
          <w:fldChar w:fldCharType="end"/>
        </w:r>
      </w:p>
    </w:sdtContent>
  </w:sdt>
  <w:p w14:paraId="3CA532A3" w14:textId="77777777" w:rsidR="00A22166" w:rsidRDefault="00A22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82912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5E8FE" w14:textId="4E031B8D" w:rsidR="00A22166" w:rsidRPr="00A22166" w:rsidRDefault="00A22166">
        <w:pPr>
          <w:pStyle w:val="Footer"/>
          <w:jc w:val="right"/>
          <w:rPr>
            <w:b/>
            <w:bCs/>
          </w:rPr>
        </w:pPr>
        <w:r w:rsidRPr="00A22166">
          <w:rPr>
            <w:b/>
            <w:bCs/>
          </w:rPr>
          <w:fldChar w:fldCharType="begin"/>
        </w:r>
        <w:r w:rsidRPr="00A22166">
          <w:rPr>
            <w:b/>
            <w:bCs/>
          </w:rPr>
          <w:instrText xml:space="preserve"> PAGE   \* MERGEFORMAT </w:instrText>
        </w:r>
        <w:r w:rsidRPr="00A22166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A22166">
          <w:rPr>
            <w:b/>
            <w:bCs/>
            <w:noProof/>
          </w:rPr>
          <w:fldChar w:fldCharType="end"/>
        </w:r>
      </w:p>
    </w:sdtContent>
  </w:sdt>
  <w:p w14:paraId="5FD66DDF" w14:textId="77777777" w:rsidR="00A22166" w:rsidRDefault="00A22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292D" w14:textId="77777777" w:rsidR="008B42F0" w:rsidRDefault="008B42F0" w:rsidP="008B42F0">
      <w:pPr>
        <w:spacing w:line="240" w:lineRule="auto"/>
      </w:pPr>
      <w:r>
        <w:separator/>
      </w:r>
    </w:p>
  </w:footnote>
  <w:footnote w:type="continuationSeparator" w:id="0">
    <w:p w14:paraId="0518CDDF" w14:textId="77777777" w:rsidR="008B42F0" w:rsidRDefault="008B42F0" w:rsidP="008B4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45C7" w14:textId="6D5EAB05" w:rsidR="00A22166" w:rsidRPr="00A22166" w:rsidRDefault="00A22166" w:rsidP="00A22166">
    <w:pPr>
      <w:pStyle w:val="Header"/>
      <w:pBdr>
        <w:bottom w:val="single" w:sz="4" w:space="1" w:color="auto"/>
      </w:pBdr>
      <w:rPr>
        <w:b/>
        <w:bCs/>
        <w:lang w:val="fr-CH"/>
      </w:rPr>
    </w:pPr>
    <w:r w:rsidRPr="00A22166">
      <w:rPr>
        <w:b/>
        <w:bCs/>
        <w:lang w:val="fr-CH"/>
      </w:rPr>
      <w:t>UN/SCEGHS/35/INF.26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880A" w14:textId="6F7441BA" w:rsidR="00A22166" w:rsidRPr="00A22166" w:rsidRDefault="00A22166" w:rsidP="00A22166">
    <w:pPr>
      <w:pStyle w:val="Header"/>
      <w:pBdr>
        <w:bottom w:val="single" w:sz="4" w:space="1" w:color="auto"/>
      </w:pBdr>
      <w:jc w:val="right"/>
      <w:rPr>
        <w:b/>
        <w:bCs/>
        <w:lang w:val="fr-CH"/>
      </w:rPr>
    </w:pPr>
    <w:r w:rsidRPr="00A22166">
      <w:rPr>
        <w:b/>
        <w:bCs/>
        <w:lang w:val="fr-CH"/>
      </w:rPr>
      <w:t>UN/SCEGHS/35/INF.26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8E3"/>
    <w:multiLevelType w:val="hybridMultilevel"/>
    <w:tmpl w:val="FB64EE96"/>
    <w:lvl w:ilvl="0" w:tplc="10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AA303D"/>
    <w:multiLevelType w:val="hybridMultilevel"/>
    <w:tmpl w:val="EFCABD4E"/>
    <w:lvl w:ilvl="0" w:tplc="F6EC7B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u w:val="none" w:color="C00000"/>
      </w:r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2D7778D5"/>
    <w:multiLevelType w:val="hybridMultilevel"/>
    <w:tmpl w:val="D43461CA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C4B381A"/>
    <w:multiLevelType w:val="hybridMultilevel"/>
    <w:tmpl w:val="AEEE6038"/>
    <w:lvl w:ilvl="0" w:tplc="4FE46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DD88D2E">
      <w:start w:val="1"/>
      <w:numFmt w:val="lowerLetter"/>
      <w:lvlText w:val="(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2A40D2"/>
    <w:multiLevelType w:val="hybridMultilevel"/>
    <w:tmpl w:val="E216026C"/>
    <w:lvl w:ilvl="0" w:tplc="4C8027C4">
      <w:start w:val="1"/>
      <w:numFmt w:val="decimal"/>
      <w:lvlText w:val="%1)"/>
      <w:lvlJc w:val="left"/>
      <w:pPr>
        <w:ind w:left="436" w:hanging="360"/>
      </w:pPr>
      <w:rPr>
        <w:rFonts w:hint="default"/>
        <w:b/>
        <w:color w:val="C00000"/>
        <w:u w:val="single" w:color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339D"/>
    <w:multiLevelType w:val="hybridMultilevel"/>
    <w:tmpl w:val="1DE071D2"/>
    <w:lvl w:ilvl="0" w:tplc="1FDEE84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C00000"/>
        <w:u w:val="single" w:color="C00000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6" w15:restartNumberingAfterBreak="0">
    <w:nsid w:val="608C1E86"/>
    <w:multiLevelType w:val="hybridMultilevel"/>
    <w:tmpl w:val="0838B5E4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9C73348"/>
    <w:multiLevelType w:val="hybridMultilevel"/>
    <w:tmpl w:val="7D021D94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  <w:b/>
        <w:color w:val="C00000"/>
        <w:u w:val="single" w:color="C0000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1CE3034"/>
    <w:multiLevelType w:val="hybridMultilevel"/>
    <w:tmpl w:val="08528C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0F7D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4"/>
    <w:rsid w:val="0001032C"/>
    <w:rsid w:val="0007686F"/>
    <w:rsid w:val="000E5B34"/>
    <w:rsid w:val="00251371"/>
    <w:rsid w:val="003143EA"/>
    <w:rsid w:val="003A56CC"/>
    <w:rsid w:val="003E051C"/>
    <w:rsid w:val="00476918"/>
    <w:rsid w:val="00497369"/>
    <w:rsid w:val="004F4683"/>
    <w:rsid w:val="005235DC"/>
    <w:rsid w:val="005A587F"/>
    <w:rsid w:val="00606A3E"/>
    <w:rsid w:val="00622C34"/>
    <w:rsid w:val="00727914"/>
    <w:rsid w:val="007911BE"/>
    <w:rsid w:val="008B42F0"/>
    <w:rsid w:val="00957B7F"/>
    <w:rsid w:val="009B6AEF"/>
    <w:rsid w:val="009F6C8E"/>
    <w:rsid w:val="00A10134"/>
    <w:rsid w:val="00A22166"/>
    <w:rsid w:val="00A353BD"/>
    <w:rsid w:val="00B12637"/>
    <w:rsid w:val="00B872D2"/>
    <w:rsid w:val="00CB7EA4"/>
    <w:rsid w:val="00CC00BA"/>
    <w:rsid w:val="00D36A3D"/>
    <w:rsid w:val="00DA0EFD"/>
    <w:rsid w:val="00E14835"/>
    <w:rsid w:val="00E27570"/>
    <w:rsid w:val="00E27A67"/>
    <w:rsid w:val="00E50B83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AFAE3"/>
  <w15:chartTrackingRefBased/>
  <w15:docId w15:val="{0FE1A349-B0CC-4CF2-B41D-9CEB6247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13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1013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A1013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A1013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A1013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A10134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B71E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A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A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3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42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2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F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CD96-4E97-4CA6-8E62-46BD4A1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Laurence Berthet</cp:lastModifiedBy>
  <cp:revision>3</cp:revision>
  <cp:lastPrinted>2018-07-02T08:03:00Z</cp:lastPrinted>
  <dcterms:created xsi:type="dcterms:W3CDTF">2018-07-02T07:58:00Z</dcterms:created>
  <dcterms:modified xsi:type="dcterms:W3CDTF">2018-07-02T08:03:00Z</dcterms:modified>
</cp:coreProperties>
</file>