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130577"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130577" w:rsidRDefault="00B3317B" w:rsidP="00F54674">
            <w:pPr>
              <w:spacing w:after="80" w:line="340" w:lineRule="exact"/>
              <w:rPr>
                <w:sz w:val="28"/>
                <w:szCs w:val="28"/>
              </w:rPr>
            </w:pPr>
            <w:r w:rsidRPr="00130577">
              <w:rPr>
                <w:sz w:val="28"/>
                <w:szCs w:val="28"/>
              </w:rPr>
              <w:t>United Nations</w:t>
            </w:r>
          </w:p>
        </w:tc>
        <w:tc>
          <w:tcPr>
            <w:tcW w:w="6144" w:type="dxa"/>
            <w:gridSpan w:val="2"/>
            <w:tcBorders>
              <w:top w:val="nil"/>
              <w:left w:val="nil"/>
              <w:bottom w:val="single" w:sz="4" w:space="0" w:color="auto"/>
              <w:right w:val="nil"/>
            </w:tcBorders>
            <w:vAlign w:val="bottom"/>
          </w:tcPr>
          <w:p w14:paraId="43AAFFF3" w14:textId="7683C9E4" w:rsidR="0095385C" w:rsidRPr="00130577" w:rsidRDefault="00227EEF" w:rsidP="00AB385E">
            <w:pPr>
              <w:jc w:val="right"/>
              <w:rPr>
                <w:highlight w:val="yellow"/>
              </w:rPr>
            </w:pPr>
            <w:r w:rsidRPr="00130577">
              <w:rPr>
                <w:sz w:val="40"/>
              </w:rPr>
              <w:t>ST</w:t>
            </w:r>
            <w:r w:rsidRPr="00130577">
              <w:t>/SG/AC.10/C.4/2018/</w:t>
            </w:r>
            <w:r w:rsidR="0034547F">
              <w:t>34</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eastAsia="en-GB"/>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4410B39F" w:rsidR="0095385C" w:rsidRPr="002600C2" w:rsidRDefault="0034547F" w:rsidP="0095385C">
            <w:pPr>
              <w:spacing w:line="240" w:lineRule="exact"/>
            </w:pPr>
            <w:r>
              <w:t>26</w:t>
            </w:r>
            <w:r w:rsidR="001F685B">
              <w:t xml:space="preserve"> </w:t>
            </w:r>
            <w:r w:rsidR="00586F32">
              <w:t>September</w:t>
            </w:r>
            <w:r w:rsidR="002600C2" w:rsidRPr="002600C2">
              <w:t xml:space="preserve"> 2018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09901E08" w14:textId="77777777" w:rsidR="00227EEF" w:rsidRPr="006500BA" w:rsidRDefault="00227EEF" w:rsidP="00227EE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5046" w:type="dxa"/>
        <w:tblLayout w:type="fixed"/>
        <w:tblCellMar>
          <w:left w:w="0" w:type="dxa"/>
          <w:right w:w="0" w:type="dxa"/>
        </w:tblCellMar>
        <w:tblLook w:val="01E0" w:firstRow="1" w:lastRow="1" w:firstColumn="1" w:lastColumn="1" w:noHBand="0" w:noVBand="0"/>
      </w:tblPr>
      <w:tblGrid>
        <w:gridCol w:w="5046"/>
      </w:tblGrid>
      <w:tr w:rsidR="00586F32" w14:paraId="406F6A53" w14:textId="77777777" w:rsidTr="00586F32">
        <w:tc>
          <w:tcPr>
            <w:tcW w:w="5046" w:type="dxa"/>
            <w:shd w:val="clear" w:color="auto" w:fill="auto"/>
          </w:tcPr>
          <w:p w14:paraId="4B9C2620" w14:textId="77777777" w:rsidR="00586F32" w:rsidRPr="00D76B09" w:rsidRDefault="00586F32" w:rsidP="000563CA">
            <w:pPr>
              <w:spacing w:before="120"/>
              <w:rPr>
                <w:b/>
              </w:rPr>
            </w:pPr>
            <w:r w:rsidRPr="00D76B09">
              <w:rPr>
                <w:b/>
              </w:rPr>
              <w:t xml:space="preserve">Sub-Committee of Experts on the Globally Harmonized System of Classification and Labelling of Chemicals </w:t>
            </w:r>
          </w:p>
        </w:tc>
      </w:tr>
      <w:tr w:rsidR="00586F32" w14:paraId="57463C30" w14:textId="77777777" w:rsidTr="00586F32">
        <w:tc>
          <w:tcPr>
            <w:tcW w:w="5046" w:type="dxa"/>
            <w:shd w:val="clear" w:color="auto" w:fill="auto"/>
          </w:tcPr>
          <w:p w14:paraId="20CF99A6" w14:textId="0AA6B5C3" w:rsidR="00586F32" w:rsidRPr="00D76B09" w:rsidRDefault="00586F32" w:rsidP="0034547F">
            <w:pPr>
              <w:spacing w:before="240"/>
              <w:rPr>
                <w:b/>
              </w:rPr>
            </w:pPr>
            <w:r w:rsidRPr="00D76B09">
              <w:rPr>
                <w:b/>
              </w:rPr>
              <w:t>Thirty-</w:t>
            </w:r>
            <w:r>
              <w:rPr>
                <w:b/>
              </w:rPr>
              <w:t>sixth</w:t>
            </w:r>
            <w:r w:rsidRPr="00D76B09">
              <w:rPr>
                <w:b/>
              </w:rPr>
              <w:t xml:space="preserve"> session</w:t>
            </w:r>
          </w:p>
        </w:tc>
      </w:tr>
      <w:tr w:rsidR="00586F32" w14:paraId="0F17A7D9" w14:textId="77777777" w:rsidTr="00586F32">
        <w:trPr>
          <w:trHeight w:val="1016"/>
        </w:trPr>
        <w:tc>
          <w:tcPr>
            <w:tcW w:w="5046" w:type="dxa"/>
            <w:shd w:val="clear" w:color="auto" w:fill="auto"/>
          </w:tcPr>
          <w:p w14:paraId="6EA846ED" w14:textId="07E0217C" w:rsidR="00586F32" w:rsidRDefault="00586F32" w:rsidP="000563CA">
            <w:r>
              <w:t>Geneva, 5-7 December 2018</w:t>
            </w:r>
          </w:p>
          <w:p w14:paraId="48B5EBC8" w14:textId="7C07BFFC" w:rsidR="00586F32" w:rsidRPr="005A0185" w:rsidRDefault="00586F32" w:rsidP="000563CA">
            <w:r w:rsidRPr="005A0185">
              <w:t xml:space="preserve">Item </w:t>
            </w:r>
            <w:r>
              <w:t>3 (f)</w:t>
            </w:r>
            <w:r w:rsidRPr="005A0185">
              <w:t xml:space="preserve"> of the provisional agenda</w:t>
            </w:r>
          </w:p>
          <w:p w14:paraId="365C452F" w14:textId="77777777" w:rsidR="00586F32" w:rsidRDefault="00586F32" w:rsidP="000563CA">
            <w:pPr>
              <w:rPr>
                <w:b/>
              </w:rPr>
            </w:pPr>
            <w:r w:rsidRPr="007B52DB">
              <w:rPr>
                <w:b/>
              </w:rPr>
              <w:t>Classification criteria and related hazard communication:</w:t>
            </w:r>
          </w:p>
          <w:p w14:paraId="062330E6" w14:textId="08029662" w:rsidR="00586F32" w:rsidRPr="00D76B09" w:rsidRDefault="0034547F" w:rsidP="000563CA">
            <w:pPr>
              <w:rPr>
                <w:b/>
              </w:rPr>
            </w:pPr>
            <w:r>
              <w:rPr>
                <w:b/>
              </w:rPr>
              <w:t>a</w:t>
            </w:r>
            <w:r w:rsidR="00586F32">
              <w:rPr>
                <w:b/>
              </w:rPr>
              <w:t>spiration hazard</w:t>
            </w:r>
          </w:p>
        </w:tc>
      </w:tr>
    </w:tbl>
    <w:p w14:paraId="6E5E7DF2" w14:textId="4CBAA2A8" w:rsidR="006A7B01" w:rsidRPr="007B5849" w:rsidRDefault="00BC03B3" w:rsidP="0034547F">
      <w:pPr>
        <w:pStyle w:val="HChG"/>
      </w:pPr>
      <w:r>
        <w:tab/>
      </w:r>
      <w:r>
        <w:tab/>
      </w:r>
      <w:r w:rsidR="00586F32">
        <w:rPr>
          <w:rFonts w:eastAsia="MS Mincho"/>
          <w:lang w:val="en-US" w:eastAsia="ja-JP"/>
        </w:rPr>
        <w:t xml:space="preserve">Aspiration hazard – viscosity criterion for </w:t>
      </w:r>
      <w:r w:rsidR="00586F32" w:rsidRPr="0034547F">
        <w:rPr>
          <w:rFonts w:eastAsia="MS Mincho"/>
        </w:rPr>
        <w:t>classification</w:t>
      </w:r>
      <w:r w:rsidR="00586F32">
        <w:rPr>
          <w:rFonts w:eastAsia="MS Mincho"/>
          <w:lang w:val="en-US" w:eastAsia="ja-JP"/>
        </w:rPr>
        <w:t xml:space="preserve"> of mixtures</w:t>
      </w:r>
      <w:r w:rsidR="007B52DB">
        <w:t xml:space="preserve"> </w:t>
      </w:r>
    </w:p>
    <w:p w14:paraId="3A12A21A" w14:textId="246281E8" w:rsidR="0095385C" w:rsidRDefault="006A7B01" w:rsidP="009D1290">
      <w:pPr>
        <w:pStyle w:val="H1G"/>
      </w:pPr>
      <w:r w:rsidRPr="00D24888">
        <w:tab/>
      </w:r>
      <w:r w:rsidRPr="00D24888">
        <w:tab/>
      </w:r>
      <w:r w:rsidR="007B5849">
        <w:t xml:space="preserve">Submitted </w:t>
      </w:r>
      <w:r w:rsidR="00227EEF">
        <w:t xml:space="preserve">by the </w:t>
      </w:r>
      <w:r w:rsidR="007B52DB">
        <w:t>International Paint and Printing Ink Council</w:t>
      </w:r>
      <w:r w:rsidR="00227EEF">
        <w:t xml:space="preserve"> (</w:t>
      </w:r>
      <w:r w:rsidR="007B52DB">
        <w:t>IPPIC)</w:t>
      </w:r>
      <w:r w:rsidR="001F685B">
        <w:rPr>
          <w:rStyle w:val="FootnoteReference"/>
        </w:rPr>
        <w:footnoteReference w:customMarkFollows="1" w:id="2"/>
        <w:t>*</w:t>
      </w:r>
    </w:p>
    <w:p w14:paraId="330C3346" w14:textId="5DE61EC8" w:rsidR="00830015" w:rsidRPr="00830015" w:rsidRDefault="0034547F" w:rsidP="0034547F">
      <w:pPr>
        <w:pStyle w:val="HChG"/>
      </w:pPr>
      <w:r>
        <w:tab/>
      </w:r>
      <w:r>
        <w:tab/>
      </w:r>
      <w:r w:rsidR="002E47A8">
        <w:t>Background</w:t>
      </w:r>
    </w:p>
    <w:p w14:paraId="121CABE7" w14:textId="4EF2AF6D" w:rsidR="00A57EF0" w:rsidRDefault="00A57EF0" w:rsidP="00A57EF0">
      <w:pPr>
        <w:pStyle w:val="SingleTxtG"/>
      </w:pPr>
      <w:r>
        <w:t>1.</w:t>
      </w:r>
      <w:r>
        <w:tab/>
      </w:r>
      <w:r w:rsidR="002E47A8" w:rsidRPr="002E47A8">
        <w:t>At the twentieth session of the Sub-Committee IPPIC presented informal document INF.28 regarding Chapter 3.10 of the GHS on aspiration hazard, and specifically the absence of viscosity criteria suitable for mixtures such as paints and printing inks, for which it is generally not practicable to measure kinematic viscosity at 40</w:t>
      </w:r>
      <w:r w:rsidR="00545059">
        <w:t> </w:t>
      </w:r>
      <w:r w:rsidR="002E47A8" w:rsidRPr="002E47A8">
        <w:t xml:space="preserve">°C.  </w:t>
      </w:r>
    </w:p>
    <w:p w14:paraId="70FB703E" w14:textId="4F40B9BF" w:rsidR="00A57EF0" w:rsidRDefault="00486443" w:rsidP="00A57EF0">
      <w:pPr>
        <w:pStyle w:val="SingleTxtG"/>
      </w:pPr>
      <w:r>
        <w:t>2.</w:t>
      </w:r>
      <w:r>
        <w:tab/>
      </w:r>
      <w:r w:rsidR="002E47A8" w:rsidRPr="002E47A8">
        <w:t>IPPIC proposed to develop appropriate viscosity criteria determined at 23</w:t>
      </w:r>
      <w:r w:rsidR="00545059">
        <w:t> </w:t>
      </w:r>
      <w:r w:rsidR="002E47A8" w:rsidRPr="002E47A8">
        <w:t>°C, using a method such as flow cups according to ISO 2431, for inclusion in paragraph 3.10.3.3 of the GHS (with consequential changes to the Manual of Tes</w:t>
      </w:r>
      <w:r w:rsidR="0034547F">
        <w:t xml:space="preserve">ts and Criteria as necessary). </w:t>
      </w:r>
      <w:r w:rsidR="002E47A8" w:rsidRPr="002E47A8">
        <w:t>The Sub-Committee agreed to include this item in its programme for further work.</w:t>
      </w:r>
    </w:p>
    <w:p w14:paraId="7075FF3C" w14:textId="77777777" w:rsidR="002E47A8" w:rsidRDefault="002E47A8" w:rsidP="002E47A8">
      <w:pPr>
        <w:pStyle w:val="SingleTxtG"/>
      </w:pPr>
      <w:r>
        <w:t>3.</w:t>
      </w:r>
      <w:r>
        <w:tab/>
        <w:t>This issue remains of high importance for paint and printing ink manufacturers.</w:t>
      </w:r>
    </w:p>
    <w:p w14:paraId="3DD182DD" w14:textId="1CFA4FC9" w:rsidR="002E47A8" w:rsidRDefault="002E47A8" w:rsidP="002E47A8">
      <w:pPr>
        <w:pStyle w:val="SingleTxtG"/>
      </w:pPr>
      <w:r>
        <w:t>4.</w:t>
      </w:r>
      <w:r>
        <w:tab/>
        <w:t xml:space="preserve">IPPIC has invited its members and </w:t>
      </w:r>
      <w:proofErr w:type="gramStart"/>
      <w:r>
        <w:t>third party</w:t>
      </w:r>
      <w:proofErr w:type="gramEnd"/>
      <w:r>
        <w:t xml:space="preserve"> organisations to deliver test data in order to substantiate the proposed amendment of the criteria.</w:t>
      </w:r>
    </w:p>
    <w:p w14:paraId="57AA3CA5" w14:textId="77777777" w:rsidR="00273203" w:rsidRDefault="00273203">
      <w:pPr>
        <w:suppressAutoHyphens w:val="0"/>
        <w:spacing w:line="240" w:lineRule="auto"/>
        <w:rPr>
          <w:b/>
          <w:sz w:val="28"/>
        </w:rPr>
      </w:pPr>
      <w:r>
        <w:rPr>
          <w:b/>
          <w:sz w:val="28"/>
        </w:rPr>
        <w:br w:type="page"/>
      </w:r>
    </w:p>
    <w:p w14:paraId="45F206C2" w14:textId="56571EAB" w:rsidR="00273203" w:rsidRDefault="0034547F" w:rsidP="0034547F">
      <w:pPr>
        <w:pStyle w:val="HChG"/>
      </w:pPr>
      <w:r>
        <w:lastRenderedPageBreak/>
        <w:tab/>
      </w:r>
      <w:r>
        <w:tab/>
      </w:r>
      <w:r w:rsidR="002E47A8">
        <w:t>Introduction</w:t>
      </w:r>
    </w:p>
    <w:p w14:paraId="790DE49E" w14:textId="1F75EB57" w:rsidR="00A57EF0" w:rsidRDefault="002E47A8" w:rsidP="00A57EF0">
      <w:pPr>
        <w:pStyle w:val="SingleTxtG"/>
      </w:pPr>
      <w:r>
        <w:t>5</w:t>
      </w:r>
      <w:r w:rsidR="00A57EF0">
        <w:t>.</w:t>
      </w:r>
      <w:r w:rsidR="00A57EF0">
        <w:tab/>
      </w:r>
      <w:r w:rsidRPr="002E47A8">
        <w:t xml:space="preserve">In the chapters for classification </w:t>
      </w:r>
      <w:r>
        <w:t xml:space="preserve">of </w:t>
      </w:r>
      <w:r w:rsidRPr="002E47A8">
        <w:t>physical hazards</w:t>
      </w:r>
      <w:r>
        <w:t>,</w:t>
      </w:r>
      <w:r w:rsidRPr="002E47A8">
        <w:t xml:space="preserve"> appropriate test methods are </w:t>
      </w:r>
      <w:r w:rsidR="0034547F">
        <w:t xml:space="preserve">included as described in the </w:t>
      </w:r>
      <w:r w:rsidRPr="002E47A8">
        <w:t>Manual of Tests and Criteria, in ISO or othe</w:t>
      </w:r>
      <w:r>
        <w:t>r s</w:t>
      </w:r>
      <w:r w:rsidRPr="002E47A8">
        <w:t xml:space="preserve">tandards. Whereas the GHS uses viscosity data as experimental basis for classification of the </w:t>
      </w:r>
      <w:r>
        <w:t>a</w:t>
      </w:r>
      <w:r w:rsidRPr="002E47A8">
        <w:t xml:space="preserve">spiration hazard </w:t>
      </w:r>
      <w:r>
        <w:t xml:space="preserve">in Category 1 or 2 </w:t>
      </w:r>
      <w:r w:rsidRPr="002E47A8">
        <w:t>(GHS Table 3.10.1</w:t>
      </w:r>
      <w:r>
        <w:t>),</w:t>
      </w:r>
      <w:r w:rsidR="0034547F">
        <w:t xml:space="preserve"> the </w:t>
      </w:r>
      <w:r w:rsidRPr="002E47A8">
        <w:t xml:space="preserve">Model </w:t>
      </w:r>
      <w:r>
        <w:t>R</w:t>
      </w:r>
      <w:r w:rsidRPr="002E47A8">
        <w:t>egulation</w:t>
      </w:r>
      <w:r>
        <w:t>s on the Transport of Dangerous Goods</w:t>
      </w:r>
      <w:r w:rsidRPr="002E47A8">
        <w:t xml:space="preserve"> (also </w:t>
      </w:r>
      <w:r>
        <w:t xml:space="preserve">the modal regulations </w:t>
      </w:r>
      <w:r w:rsidRPr="002E47A8">
        <w:t>ADR/RID)</w:t>
      </w:r>
      <w:r>
        <w:t>,</w:t>
      </w:r>
      <w:r w:rsidRPr="002E47A8">
        <w:t xml:space="preserve"> which </w:t>
      </w:r>
      <w:r w:rsidR="00A763B6">
        <w:t>do</w:t>
      </w:r>
      <w:r w:rsidRPr="002E47A8">
        <w:t xml:space="preserve"> not include aspiration hazard, use viscosity data determined as an additional criterion</w:t>
      </w:r>
      <w:r w:rsidR="00A763B6">
        <w:t xml:space="preserve"> for allocation of the Packing G</w:t>
      </w:r>
      <w:r w:rsidRPr="002E47A8">
        <w:t xml:space="preserve">roup in Class 3 </w:t>
      </w:r>
      <w:r w:rsidR="00B252FF">
        <w:t>Flammable L</w:t>
      </w:r>
      <w:r w:rsidRPr="002E47A8">
        <w:t>iquids for certain products (e.g. paints, varnishes)</w:t>
      </w:r>
      <w:r w:rsidR="0034547F">
        <w:t xml:space="preserve">. </w:t>
      </w:r>
      <w:r w:rsidR="00A763B6">
        <w:t>T</w:t>
      </w:r>
      <w:r w:rsidRPr="002E47A8">
        <w:t xml:space="preserve">hese criteria are described in </w:t>
      </w:r>
      <w:r w:rsidR="00A763B6">
        <w:t>section</w:t>
      </w:r>
      <w:r w:rsidRPr="002E47A8">
        <w:t xml:space="preserve"> 2.3.2.2 </w:t>
      </w:r>
      <w:r w:rsidR="00A763B6">
        <w:t>of the Model R</w:t>
      </w:r>
      <w:r w:rsidRPr="002E47A8">
        <w:t xml:space="preserve">egulations with reference to </w:t>
      </w:r>
      <w:r w:rsidR="00A763B6">
        <w:t xml:space="preserve">the Manual of Tests and Criteria </w:t>
      </w:r>
      <w:r w:rsidRPr="002E47A8">
        <w:t xml:space="preserve">Part </w:t>
      </w:r>
      <w:r w:rsidR="00A763B6">
        <w:t xml:space="preserve">III, sub-section </w:t>
      </w:r>
      <w:r w:rsidRPr="002E47A8">
        <w:t>32</w:t>
      </w:r>
      <w:r w:rsidR="00A763B6">
        <w:t>.4.3, the f</w:t>
      </w:r>
      <w:r w:rsidRPr="002E47A8">
        <w:t xml:space="preserve">low-time method </w:t>
      </w:r>
      <w:r w:rsidR="00A763B6">
        <w:t>(</w:t>
      </w:r>
      <w:r w:rsidRPr="002E47A8">
        <w:t>ISO 2431).</w:t>
      </w:r>
      <w:r w:rsidR="00E66E35">
        <w:t xml:space="preserve">  </w:t>
      </w:r>
    </w:p>
    <w:p w14:paraId="3B9A4707" w14:textId="5C5B13C3" w:rsidR="00B252FF" w:rsidRPr="00544314" w:rsidRDefault="00B252FF" w:rsidP="00544314">
      <w:pPr>
        <w:pStyle w:val="SingleTxtG"/>
      </w:pPr>
      <w:r>
        <w:t>6</w:t>
      </w:r>
      <w:r w:rsidR="009F58CC">
        <w:t>.</w:t>
      </w:r>
      <w:r w:rsidR="009F58CC">
        <w:tab/>
      </w:r>
      <w:r>
        <w:t>Alt</w:t>
      </w:r>
      <w:r w:rsidRPr="00B252FF">
        <w:t xml:space="preserve">hough the determination of viscosity is also a measurement of a physical parameter, there is no reference </w:t>
      </w:r>
      <w:r>
        <w:t xml:space="preserve">to test methods </w:t>
      </w:r>
      <w:r w:rsidRPr="00B252FF">
        <w:t xml:space="preserve">in GHS Chapter 3.10 Aspiration </w:t>
      </w:r>
      <w:r>
        <w:t>H</w:t>
      </w:r>
      <w:r w:rsidRPr="00B252FF">
        <w:t xml:space="preserve">azard. Thus, it would be appropriate and consistent with the practice in the physical hazard classes to include suitable test methods also in GHS </w:t>
      </w:r>
      <w:r>
        <w:t>C</w:t>
      </w:r>
      <w:r w:rsidRPr="00B252FF">
        <w:t>hapter 3.10</w:t>
      </w:r>
      <w:r>
        <w:t>.</w:t>
      </w:r>
    </w:p>
    <w:p w14:paraId="718CA4C6" w14:textId="5F12E633" w:rsidR="00B252FF" w:rsidRDefault="0034547F" w:rsidP="0034547F">
      <w:pPr>
        <w:pStyle w:val="HChG"/>
      </w:pPr>
      <w:r>
        <w:tab/>
      </w:r>
      <w:r>
        <w:tab/>
      </w:r>
      <w:r w:rsidR="00B252FF">
        <w:t>Discussion of issues</w:t>
      </w:r>
    </w:p>
    <w:p w14:paraId="1FF97C47" w14:textId="77777777" w:rsidR="00B252FF" w:rsidRDefault="00B252FF" w:rsidP="00B252FF">
      <w:pPr>
        <w:pStyle w:val="SingleTxtG"/>
      </w:pPr>
      <w:r>
        <w:t>7</w:t>
      </w:r>
      <w:r w:rsidR="00B173CE">
        <w:t>.</w:t>
      </w:r>
      <w:r w:rsidR="00B173CE">
        <w:tab/>
      </w:r>
      <w:r w:rsidRPr="00B252FF">
        <w:t xml:space="preserve">It is well known that the rheological properties (e.g. Newtonian versus non-Newtonian flow behaviour) are responsible for the choice of the appropriate test method(s) for viscosity measurements. Thus, different methods are suitable for different types of chemicals. These methods can be issued e.g. by ISO and ASTM. </w:t>
      </w:r>
    </w:p>
    <w:p w14:paraId="118EBC77" w14:textId="55121E31" w:rsidR="00B252FF" w:rsidRDefault="00B252FF" w:rsidP="00B252FF">
      <w:pPr>
        <w:pStyle w:val="SingleTxtG"/>
      </w:pPr>
      <w:r>
        <w:t>8</w:t>
      </w:r>
      <w:r w:rsidR="00007F78">
        <w:t>.</w:t>
      </w:r>
      <w:r w:rsidR="00007F78">
        <w:tab/>
      </w:r>
      <w:r>
        <w:t>In the E</w:t>
      </w:r>
      <w:r w:rsidR="00545059">
        <w:t>uropean Union</w:t>
      </w:r>
      <w:r>
        <w:t xml:space="preserve"> legislation before implementation of the GHS, the following product</w:t>
      </w:r>
      <w:r w:rsidR="00B53FD3">
        <w:t>-</w:t>
      </w:r>
      <w:r>
        <w:t>specific test methods with corresponding assessment criteria were given for the former cut-off value for kinematic viscosity of ≤ 7 mm</w:t>
      </w:r>
      <w:r w:rsidRPr="00B53FD3">
        <w:rPr>
          <w:vertAlign w:val="superscript"/>
        </w:rPr>
        <w:t>2</w:t>
      </w:r>
      <w:r>
        <w:t xml:space="preserve">/s (Annex VI of the </w:t>
      </w:r>
      <w:r w:rsidR="00545059">
        <w:t xml:space="preserve">European Union </w:t>
      </w:r>
      <w:r>
        <w:t xml:space="preserve">Dangerous Substances Directive 67/548/EEC; </w:t>
      </w:r>
      <w:r w:rsidR="00545059">
        <w:t>twentieth-eighth</w:t>
      </w:r>
      <w:r>
        <w:t xml:space="preserve"> adaptation</w:t>
      </w:r>
      <w:r w:rsidR="00B53FD3">
        <w:t xml:space="preserve"> to technical progress</w:t>
      </w:r>
      <w:r>
        <w:t>, Directive 2001/59/EC, section 3.2.3)</w:t>
      </w:r>
      <w:r w:rsidR="00B53FD3">
        <w:t>:</w:t>
      </w:r>
    </w:p>
    <w:p w14:paraId="2BE0E3FE" w14:textId="0198F84B" w:rsidR="00B252FF" w:rsidRDefault="00B252FF" w:rsidP="0034547F">
      <w:pPr>
        <w:pStyle w:val="SingleTxtG"/>
        <w:tabs>
          <w:tab w:val="left" w:pos="2127"/>
        </w:tabs>
        <w:ind w:left="1701"/>
      </w:pPr>
      <w:r>
        <w:t>-</w:t>
      </w:r>
      <w:r>
        <w:tab/>
        <w:t>Paints and varnishes: ISO 2431:2011 (March 2012); Paints and varnishes</w:t>
      </w:r>
      <w:r w:rsidR="00B53FD3">
        <w:t xml:space="preserve"> </w:t>
      </w:r>
      <w:r>
        <w:t>- Determinati</w:t>
      </w:r>
      <w:r w:rsidR="00B53FD3">
        <w:t>on of flow time of less than 30</w:t>
      </w:r>
      <w:r w:rsidR="00545059">
        <w:t> </w:t>
      </w:r>
      <w:r>
        <w:t>s in a 3</w:t>
      </w:r>
      <w:r w:rsidR="00545059">
        <w:t> </w:t>
      </w:r>
      <w:r>
        <w:t xml:space="preserve">mm ISO flow cup.  </w:t>
      </w:r>
    </w:p>
    <w:p w14:paraId="6D975B0A" w14:textId="647A00DA" w:rsidR="00B252FF" w:rsidRDefault="00B252FF" w:rsidP="0034547F">
      <w:pPr>
        <w:pStyle w:val="SingleTxtG"/>
        <w:tabs>
          <w:tab w:val="left" w:pos="2127"/>
        </w:tabs>
        <w:ind w:left="1701"/>
      </w:pPr>
      <w:r>
        <w:t>-</w:t>
      </w:r>
      <w:r>
        <w:tab/>
        <w:t>Petroleum products</w:t>
      </w:r>
      <w:r w:rsidR="00B53FD3">
        <w:t xml:space="preserve"> </w:t>
      </w:r>
      <w:r>
        <w:t>- transparent and opaque liquids: ISO 3104</w:t>
      </w:r>
      <w:r w:rsidR="00B53FD3">
        <w:t xml:space="preserve"> </w:t>
      </w:r>
      <w:r w:rsidR="00B53FD3" w:rsidRPr="00B53FD3">
        <w:t xml:space="preserve">Determination of kinematic viscosity </w:t>
      </w:r>
      <w:r w:rsidR="00B53FD3">
        <w:t>(at 40</w:t>
      </w:r>
      <w:r w:rsidR="00545059">
        <w:t> </w:t>
      </w:r>
      <w:r w:rsidR="00B53FD3">
        <w:t xml:space="preserve">°C) </w:t>
      </w:r>
      <w:r w:rsidR="00B53FD3" w:rsidRPr="00B53FD3">
        <w:t>and calculation of dynamic viscosity</w:t>
      </w:r>
      <w:r w:rsidR="00B53FD3">
        <w:t xml:space="preserve">; ISO </w:t>
      </w:r>
      <w:r>
        <w:t>3105</w:t>
      </w:r>
      <w:r w:rsidR="00B53FD3">
        <w:t xml:space="preserve"> </w:t>
      </w:r>
      <w:r>
        <w:t>Glass capillary</w:t>
      </w:r>
      <w:r w:rsidR="00B53FD3">
        <w:t xml:space="preserve"> kinematic</w:t>
      </w:r>
      <w:r>
        <w:t xml:space="preserve"> viscometer</w:t>
      </w:r>
      <w:r w:rsidR="00B53FD3">
        <w:t>s</w:t>
      </w:r>
    </w:p>
    <w:p w14:paraId="628C91AE" w14:textId="377FA076" w:rsidR="00B252FF" w:rsidRDefault="00B53FD3" w:rsidP="0034547F">
      <w:pPr>
        <w:pStyle w:val="SingleTxtG"/>
        <w:tabs>
          <w:tab w:val="left" w:pos="2127"/>
        </w:tabs>
        <w:ind w:left="1701"/>
      </w:pPr>
      <w:r>
        <w:t>-</w:t>
      </w:r>
      <w:r>
        <w:tab/>
        <w:t>Polymers/r</w:t>
      </w:r>
      <w:r w:rsidR="00B252FF">
        <w:t>esin: in the liquid state or as emulsions or dispersions</w:t>
      </w:r>
      <w:r>
        <w:t>:</w:t>
      </w:r>
      <w:r w:rsidR="00B252FF">
        <w:t xml:space="preserve"> ISO 3219 using a rotational</w:t>
      </w:r>
      <w:r>
        <w:t xml:space="preserve"> viscometer at 40</w:t>
      </w:r>
      <w:r w:rsidR="00545059">
        <w:t> </w:t>
      </w:r>
      <w:r>
        <w:t>°C.</w:t>
      </w:r>
    </w:p>
    <w:p w14:paraId="66608EF7" w14:textId="77777777" w:rsidR="00B53FD3" w:rsidRDefault="00B252FF" w:rsidP="00B252FF">
      <w:pPr>
        <w:pStyle w:val="SingleTxtG"/>
      </w:pPr>
      <w:r>
        <w:t>The same methods were also refer</w:t>
      </w:r>
      <w:r w:rsidR="00B53FD3">
        <w:t>enced in the former Australian c</w:t>
      </w:r>
      <w:r>
        <w:t>riteria.</w:t>
      </w:r>
    </w:p>
    <w:p w14:paraId="6EBAABBF" w14:textId="118F198E" w:rsidR="00B37029" w:rsidRDefault="00B53FD3" w:rsidP="00B252FF">
      <w:pPr>
        <w:pStyle w:val="SingleTxtG"/>
      </w:pPr>
      <w:r>
        <w:t>9</w:t>
      </w:r>
      <w:r w:rsidR="00B37029">
        <w:t>.</w:t>
      </w:r>
      <w:r w:rsidR="00B37029">
        <w:tab/>
      </w:r>
      <w:r w:rsidRPr="00B53FD3">
        <w:t xml:space="preserve">In contrast to other </w:t>
      </w:r>
      <w:r w:rsidR="003218EB">
        <w:t xml:space="preserve">physicochemical </w:t>
      </w:r>
      <w:r w:rsidRPr="00B53FD3">
        <w:t xml:space="preserve">data which are generally based on results from tests at </w:t>
      </w:r>
      <w:r>
        <w:t>a</w:t>
      </w:r>
      <w:r w:rsidRPr="00B53FD3">
        <w:t xml:space="preserve"> standard temperature of 20</w:t>
      </w:r>
      <w:r w:rsidR="00545059">
        <w:t> </w:t>
      </w:r>
      <w:r w:rsidRPr="00B53FD3">
        <w:t>°C or 25</w:t>
      </w:r>
      <w:r w:rsidR="00545059">
        <w:t> </w:t>
      </w:r>
      <w:r w:rsidRPr="00B53FD3">
        <w:t xml:space="preserve">°C, the criteria for </w:t>
      </w:r>
      <w:r w:rsidR="00544314">
        <w:t>aspiration hazard use</w:t>
      </w:r>
      <w:r w:rsidRPr="00B53FD3">
        <w:t xml:space="preserve"> viscosity data at 40</w:t>
      </w:r>
      <w:r w:rsidR="00545059">
        <w:t> </w:t>
      </w:r>
      <w:r w:rsidRPr="00B53FD3">
        <w:t xml:space="preserve">°C. The </w:t>
      </w:r>
      <w:proofErr w:type="gramStart"/>
      <w:r w:rsidR="00544314">
        <w:t>aforementioned</w:t>
      </w:r>
      <w:r w:rsidRPr="00B53FD3">
        <w:t xml:space="preserve"> </w:t>
      </w:r>
      <w:r w:rsidR="00544314">
        <w:t>f</w:t>
      </w:r>
      <w:r w:rsidRPr="00B53FD3">
        <w:t>low-time</w:t>
      </w:r>
      <w:proofErr w:type="gramEnd"/>
      <w:r w:rsidRPr="00B53FD3">
        <w:t xml:space="preserve"> test method ISO 2431 prescribes 23 ± 0.5 °C as standard temperature. Thus, for paints/varnishes generally test data at 23</w:t>
      </w:r>
      <w:r w:rsidR="00545059">
        <w:t> </w:t>
      </w:r>
      <w:r w:rsidRPr="00B53FD3">
        <w:t>°C are available. The method allows in principle also other temperatures</w:t>
      </w:r>
      <w:r w:rsidR="00544314">
        <w:t>,</w:t>
      </w:r>
      <w:r w:rsidRPr="00B53FD3">
        <w:t xml:space="preserve"> e.g. 40°C, but probl</w:t>
      </w:r>
      <w:r w:rsidR="00544314">
        <w:t xml:space="preserve">ems potentially undermining </w:t>
      </w:r>
      <w:r w:rsidRPr="00B53FD3">
        <w:t xml:space="preserve">correct performance </w:t>
      </w:r>
      <w:r w:rsidR="00544314">
        <w:t xml:space="preserve">of the test </w:t>
      </w:r>
      <w:r w:rsidRPr="00B53FD3">
        <w:t xml:space="preserve">and validity of the results </w:t>
      </w:r>
      <w:r w:rsidR="00544314">
        <w:t>include</w:t>
      </w:r>
      <w:r w:rsidRPr="00B53FD3">
        <w:t xml:space="preserve"> possible decomposition, separati</w:t>
      </w:r>
      <w:r w:rsidR="00544314">
        <w:t>o</w:t>
      </w:r>
      <w:r w:rsidRPr="00B53FD3">
        <w:t xml:space="preserve">n into different layers during testing, </w:t>
      </w:r>
      <w:r w:rsidR="00544314">
        <w:t>skinning of the paint</w:t>
      </w:r>
      <w:r w:rsidRPr="00B53FD3">
        <w:t xml:space="preserve"> and clogging of the cups. </w:t>
      </w:r>
      <w:proofErr w:type="gramStart"/>
      <w:r w:rsidRPr="00B53FD3">
        <w:t>Thus</w:t>
      </w:r>
      <w:proofErr w:type="gramEnd"/>
      <w:r w:rsidRPr="00B53FD3">
        <w:t xml:space="preserve"> it is often rath</w:t>
      </w:r>
      <w:r w:rsidR="00544314">
        <w:t>er difficult to measure solvent-</w:t>
      </w:r>
      <w:r w:rsidRPr="00B53FD3">
        <w:t>borne products at 40</w:t>
      </w:r>
      <w:r w:rsidR="00545059">
        <w:t> </w:t>
      </w:r>
      <w:r w:rsidRPr="00B53FD3">
        <w:t>°C or higher.</w:t>
      </w:r>
    </w:p>
    <w:p w14:paraId="61C4855C" w14:textId="51464F23" w:rsidR="00544314" w:rsidRDefault="00544314" w:rsidP="00E4195A">
      <w:pPr>
        <w:pStyle w:val="SingleTxtG"/>
      </w:pPr>
      <w:r>
        <w:t>10</w:t>
      </w:r>
      <w:r w:rsidR="00DB2B8B">
        <w:t>.</w:t>
      </w:r>
      <w:r w:rsidR="00DB2B8B">
        <w:tab/>
      </w:r>
      <w:r>
        <w:t xml:space="preserve">Paragraph 3.10.1.5.3 of GHS provides a formula for conversion between dynamic and kinematic viscosity (under equivalent conditions). </w:t>
      </w:r>
      <w:proofErr w:type="gramStart"/>
      <w:r>
        <w:t>However</w:t>
      </w:r>
      <w:proofErr w:type="gramEnd"/>
      <w:r w:rsidRPr="00544314">
        <w:t xml:space="preserve"> there is no simple equation permitting extrapolation of a kinematic viscosity criterion at 40</w:t>
      </w:r>
      <w:r w:rsidR="00545059">
        <w:t> </w:t>
      </w:r>
      <w:r w:rsidRPr="00544314">
        <w:t>°C to one measured at 23</w:t>
      </w:r>
      <w:r w:rsidR="00545059">
        <w:t> </w:t>
      </w:r>
      <w:r w:rsidRPr="00544314">
        <w:t xml:space="preserve">°C; </w:t>
      </w:r>
      <w:r w:rsidRPr="00544314">
        <w:lastRenderedPageBreak/>
        <w:t>or the other way around from test data at 23</w:t>
      </w:r>
      <w:r w:rsidR="00545059">
        <w:t> </w:t>
      </w:r>
      <w:r w:rsidRPr="00544314">
        <w:t>°C to values at 40</w:t>
      </w:r>
      <w:r w:rsidR="00545059">
        <w:t> </w:t>
      </w:r>
      <w:r w:rsidRPr="00544314">
        <w:t>°C. The viscosity-temperature relationship must normally be derived by tests and calculation of the flow activation energy.</w:t>
      </w:r>
    </w:p>
    <w:p w14:paraId="24D08716" w14:textId="236298E4" w:rsidR="001A5310" w:rsidRPr="001A5310" w:rsidRDefault="00544314" w:rsidP="001A5310">
      <w:pPr>
        <w:pStyle w:val="SingleTxtG"/>
      </w:pPr>
      <w:r>
        <w:t>11</w:t>
      </w:r>
      <w:r w:rsidR="00740E0F" w:rsidRPr="00740E0F">
        <w:t>.</w:t>
      </w:r>
      <w:r w:rsidR="00740E0F" w:rsidRPr="00740E0F">
        <w:tab/>
      </w:r>
      <w:r w:rsidR="001A5310" w:rsidRPr="001A5310">
        <w:t>Suitable and validated test methods for viscosity measurement according to ISO, ASTM</w:t>
      </w:r>
      <w:r w:rsidR="001A5310">
        <w:t xml:space="preserve"> or other internationally recognised standards</w:t>
      </w:r>
      <w:r w:rsidR="001A5310" w:rsidRPr="001A5310">
        <w:t xml:space="preserve"> shou</w:t>
      </w:r>
      <w:r w:rsidR="001A5310">
        <w:t xml:space="preserve">ld </w:t>
      </w:r>
      <w:r w:rsidR="00E4195A">
        <w:t xml:space="preserve">ideally </w:t>
      </w:r>
      <w:r w:rsidR="001A5310">
        <w:t>be included in C</w:t>
      </w:r>
      <w:r w:rsidR="001A5310" w:rsidRPr="001A5310">
        <w:t xml:space="preserve">hapter 3.10 as </w:t>
      </w:r>
      <w:r w:rsidR="001A5310">
        <w:t>for the</w:t>
      </w:r>
      <w:r w:rsidR="001A5310" w:rsidRPr="001A5310">
        <w:t xml:space="preserve"> physical hazards, </w:t>
      </w:r>
      <w:proofErr w:type="gramStart"/>
      <w:r w:rsidR="001A5310" w:rsidRPr="001A5310">
        <w:t>in order to</w:t>
      </w:r>
      <w:proofErr w:type="gramEnd"/>
      <w:r w:rsidR="001A5310" w:rsidRPr="001A5310">
        <w:t xml:space="preserve"> facilitate proper classification of substances and mixtures for aspiration hazard</w:t>
      </w:r>
      <w:bookmarkStart w:id="0" w:name="_Hlk499474118"/>
      <w:r w:rsidR="001A5310" w:rsidRPr="001A5310">
        <w:t xml:space="preserve">. </w:t>
      </w:r>
      <w:r w:rsidR="001A5310">
        <w:t xml:space="preserve"> </w:t>
      </w:r>
      <w:r w:rsidR="001A5310" w:rsidRPr="001A5310">
        <w:t xml:space="preserve">These methods and criteria should </w:t>
      </w:r>
      <w:bookmarkEnd w:id="0"/>
      <w:r w:rsidR="001A5310" w:rsidRPr="001A5310">
        <w:t>be compatible with practices in those industries where there is a need to classify.</w:t>
      </w:r>
    </w:p>
    <w:p w14:paraId="46E99F53" w14:textId="49A60AB5" w:rsidR="00E4195A" w:rsidRDefault="0034547F" w:rsidP="0034547F">
      <w:pPr>
        <w:pStyle w:val="HChG"/>
      </w:pPr>
      <w:r>
        <w:tab/>
      </w:r>
      <w:r>
        <w:tab/>
      </w:r>
      <w:r w:rsidR="00E4195A">
        <w:t>Basis of p</w:t>
      </w:r>
      <w:r w:rsidR="00E4195A" w:rsidRPr="00544314">
        <w:t>roposal</w:t>
      </w:r>
    </w:p>
    <w:p w14:paraId="6EDB0B24" w14:textId="1156DB97" w:rsidR="001A5310" w:rsidRPr="001A5310" w:rsidRDefault="001A5310" w:rsidP="001A5310">
      <w:pPr>
        <w:pStyle w:val="SingleTxtG"/>
      </w:pPr>
      <w:r w:rsidRPr="001A5310">
        <w:t>1</w:t>
      </w:r>
      <w:r>
        <w:t>2</w:t>
      </w:r>
      <w:r w:rsidRPr="001A5310">
        <w:t>.</w:t>
      </w:r>
      <w:r>
        <w:tab/>
      </w:r>
      <w:r w:rsidR="00E4195A">
        <w:t>Section</w:t>
      </w:r>
      <w:r w:rsidRPr="001A5310">
        <w:t xml:space="preserve"> 3.10.3.3 should be amended to include an appropriate aspiration classification criterion for viscosity determined according to ISO 2431:2011 at 23</w:t>
      </w:r>
      <w:r w:rsidR="00545059">
        <w:t> </w:t>
      </w:r>
      <w:r w:rsidRPr="001A5310">
        <w:t xml:space="preserve">°C, thus enabling paint and printing ink manufacturers to classify in this hazard class without the change to worldwide industry practice which would otherwise be required, with associated costs. </w:t>
      </w:r>
    </w:p>
    <w:p w14:paraId="64474E1A" w14:textId="4C32FC95" w:rsidR="001A5310" w:rsidRPr="001A5310" w:rsidRDefault="001A5310" w:rsidP="001A5310">
      <w:pPr>
        <w:pStyle w:val="SingleTxtG"/>
        <w:spacing w:after="0"/>
        <w:ind w:firstLine="6"/>
      </w:pPr>
      <w:r w:rsidRPr="001A5310">
        <w:t>1</w:t>
      </w:r>
      <w:r>
        <w:t>3.</w:t>
      </w:r>
      <w:r>
        <w:tab/>
      </w:r>
      <w:r w:rsidRPr="001A5310">
        <w:t xml:space="preserve">For products for which valid data are available, i.e. from </w:t>
      </w:r>
      <w:r>
        <w:t>tests</w:t>
      </w:r>
      <w:r w:rsidRPr="001A5310">
        <w:t xml:space="preserve"> performed according </w:t>
      </w:r>
      <w:r>
        <w:t xml:space="preserve">to </w:t>
      </w:r>
      <w:r w:rsidRPr="001A5310">
        <w:t>ISO 2341 at 40</w:t>
      </w:r>
      <w:r w:rsidR="00545059">
        <w:t> </w:t>
      </w:r>
      <w:r w:rsidRPr="001A5310">
        <w:t xml:space="preserve">°C where no decomposition, separation into layers or clogging </w:t>
      </w:r>
      <w:r>
        <w:t xml:space="preserve">of </w:t>
      </w:r>
      <w:r w:rsidRPr="001A5310">
        <w:t xml:space="preserve">the cup occurred during the test, </w:t>
      </w:r>
      <w:r>
        <w:t xml:space="preserve">these data may be used directly </w:t>
      </w:r>
      <w:r w:rsidRPr="001A5310">
        <w:t>for classification according to the criteria in Table 3.10.1 and sub-</w:t>
      </w:r>
      <w:r>
        <w:t>section</w:t>
      </w:r>
      <w:r w:rsidRPr="001A5310">
        <w:t xml:space="preserve"> 3.10.3.3 according to current practice.</w:t>
      </w:r>
    </w:p>
    <w:p w14:paraId="1E8C1630" w14:textId="2BBB30C4" w:rsidR="001A5310" w:rsidRPr="001A5310" w:rsidRDefault="001A5310" w:rsidP="001A5310">
      <w:pPr>
        <w:pStyle w:val="SingleTxtG"/>
        <w:spacing w:before="240" w:after="0"/>
      </w:pPr>
      <w:r>
        <w:t>14.</w:t>
      </w:r>
      <w:r>
        <w:tab/>
      </w:r>
      <w:r w:rsidRPr="001A5310">
        <w:t>If there are valid data from studies performed at the standard conditions</w:t>
      </w:r>
      <w:r w:rsidRPr="001A5310">
        <w:rPr>
          <w:b/>
        </w:rPr>
        <w:t xml:space="preserve"> </w:t>
      </w:r>
      <w:r w:rsidRPr="001A5310">
        <w:t>for test method</w:t>
      </w:r>
      <w:r w:rsidRPr="001A5310">
        <w:rPr>
          <w:b/>
        </w:rPr>
        <w:t xml:space="preserve"> </w:t>
      </w:r>
      <w:r w:rsidRPr="001A5310">
        <w:t>ISO 2431</w:t>
      </w:r>
      <w:r w:rsidRPr="001A5310">
        <w:rPr>
          <w:b/>
        </w:rPr>
        <w:t xml:space="preserve"> (</w:t>
      </w:r>
      <w:r w:rsidRPr="001A5310">
        <w:t>23</w:t>
      </w:r>
      <w:r w:rsidR="00545059">
        <w:t> </w:t>
      </w:r>
      <w:r w:rsidRPr="001A5310">
        <w:t>°C ± 0.5</w:t>
      </w:r>
      <w:r w:rsidR="00545059">
        <w:t> </w:t>
      </w:r>
      <w:r w:rsidRPr="001A5310">
        <w:t>°C and atmospheric pressure of 101</w:t>
      </w:r>
      <w:r>
        <w:t>.</w:t>
      </w:r>
      <w:r w:rsidRPr="001A5310">
        <w:t>3 kPa.), these</w:t>
      </w:r>
      <w:r w:rsidRPr="001A5310">
        <w:rPr>
          <w:b/>
        </w:rPr>
        <w:t xml:space="preserve"> </w:t>
      </w:r>
      <w:r w:rsidRPr="001A5310">
        <w:t xml:space="preserve">test results may be used by </w:t>
      </w:r>
      <w:r>
        <w:t>applying</w:t>
      </w:r>
      <w:r w:rsidRPr="001A5310">
        <w:t xml:space="preserve"> an uncertainty factor of 10% after calculating the kinematic viscosity from the resulting flow-times and the dynamic viscosity. </w:t>
      </w:r>
      <w:r>
        <w:t xml:space="preserve"> </w:t>
      </w:r>
      <w:r w:rsidRPr="001A5310">
        <w:t xml:space="preserve">A similar procedure for taking uncertainties into consideration is used when calculating flash points of mixtures in the hazard class </w:t>
      </w:r>
      <w:r>
        <w:t>f</w:t>
      </w:r>
      <w:r w:rsidRPr="001A5310">
        <w:t xml:space="preserve">lammable liquids: the flashpoint values </w:t>
      </w:r>
      <w:r w:rsidR="00CE76D8">
        <w:t>must</w:t>
      </w:r>
      <w:r w:rsidRPr="001A5310">
        <w:t xml:space="preserve"> be at leas</w:t>
      </w:r>
      <w:r>
        <w:t xml:space="preserve">t 5°C greater </w:t>
      </w:r>
      <w:r w:rsidRPr="001A5310">
        <w:t xml:space="preserve">than the relevant classification criterion and in addition certain conditions </w:t>
      </w:r>
      <w:proofErr w:type="gramStart"/>
      <w:r w:rsidRPr="001A5310">
        <w:t>have to</w:t>
      </w:r>
      <w:proofErr w:type="gramEnd"/>
      <w:r w:rsidRPr="001A5310">
        <w:t xml:space="preserve"> be met (see </w:t>
      </w:r>
      <w:r w:rsidR="00CE76D8">
        <w:t xml:space="preserve">GHS </w:t>
      </w:r>
      <w:r>
        <w:t>sub-section</w:t>
      </w:r>
      <w:r w:rsidRPr="001A5310">
        <w:t xml:space="preserve"> 2.6.4.2.2).</w:t>
      </w:r>
    </w:p>
    <w:p w14:paraId="7F3BE1A3" w14:textId="474AA898" w:rsidR="001A5310" w:rsidRPr="001A5310" w:rsidRDefault="00CE76D8" w:rsidP="001A5310">
      <w:pPr>
        <w:pStyle w:val="SingleTxtG"/>
        <w:spacing w:before="240" w:after="0"/>
      </w:pPr>
      <w:bookmarkStart w:id="1" w:name="_Hlk499463738"/>
      <w:r>
        <w:t>15.</w:t>
      </w:r>
      <w:r>
        <w:tab/>
      </w:r>
      <w:proofErr w:type="gramStart"/>
      <w:r w:rsidR="001A5310" w:rsidRPr="001A5310">
        <w:t>Thus</w:t>
      </w:r>
      <w:proofErr w:type="gramEnd"/>
      <w:r w:rsidR="001A5310" w:rsidRPr="001A5310">
        <w:t xml:space="preserve"> </w:t>
      </w:r>
      <w:r>
        <w:t>when</w:t>
      </w:r>
      <w:r w:rsidR="001A5310" w:rsidRPr="001A5310">
        <w:t xml:space="preserve"> applying a 10% uncertainty factor, the criterion for classification in Category 1 and Category 2 would be </w:t>
      </w:r>
      <w:bookmarkStart w:id="2" w:name="_Hlk499462485"/>
      <w:r w:rsidR="001A5310" w:rsidRPr="001A5310">
        <w:t xml:space="preserve">≤ </w:t>
      </w:r>
      <w:bookmarkEnd w:id="2"/>
      <w:r w:rsidR="001A5310" w:rsidRPr="001A5310">
        <w:t>22.5 mm</w:t>
      </w:r>
      <w:r w:rsidR="001A5310" w:rsidRPr="001A5310">
        <w:rPr>
          <w:vertAlign w:val="superscript"/>
        </w:rPr>
        <w:t>2</w:t>
      </w:r>
      <w:r w:rsidR="001A5310" w:rsidRPr="001A5310">
        <w:t xml:space="preserve">/s and ≤ 15.5 </w:t>
      </w:r>
      <w:bookmarkStart w:id="3" w:name="_Hlk499471083"/>
      <w:bookmarkStart w:id="4" w:name="_Hlk499462552"/>
      <w:r w:rsidR="001A5310" w:rsidRPr="001A5310">
        <w:t>mm</w:t>
      </w:r>
      <w:r w:rsidR="001A5310" w:rsidRPr="001A5310">
        <w:rPr>
          <w:vertAlign w:val="superscript"/>
        </w:rPr>
        <w:t>2</w:t>
      </w:r>
      <w:r w:rsidR="001A5310" w:rsidRPr="001A5310">
        <w:t>/</w:t>
      </w:r>
      <w:bookmarkEnd w:id="3"/>
      <w:r w:rsidR="001A5310" w:rsidRPr="001A5310">
        <w:t xml:space="preserve">s </w:t>
      </w:r>
      <w:bookmarkEnd w:id="4"/>
      <w:r>
        <w:t xml:space="preserve">respectively </w:t>
      </w:r>
      <w:r w:rsidR="001A5310" w:rsidRPr="001A5310">
        <w:t>for kinematic viscosity if the data result from</w:t>
      </w:r>
      <w:r>
        <w:t xml:space="preserve"> a valid test performed at 23</w:t>
      </w:r>
      <w:r w:rsidR="00545059">
        <w:t> </w:t>
      </w:r>
      <w:r>
        <w:t>°C.</w:t>
      </w:r>
    </w:p>
    <w:bookmarkEnd w:id="1"/>
    <w:p w14:paraId="7BFEBE6D" w14:textId="6AF9A885" w:rsidR="001A5310" w:rsidRPr="00CE76D8" w:rsidRDefault="001A5310" w:rsidP="00CE76D8">
      <w:pPr>
        <w:pStyle w:val="SingleTxtG"/>
        <w:spacing w:before="240" w:after="0"/>
      </w:pPr>
      <w:r w:rsidRPr="00CE76D8">
        <w:t>1</w:t>
      </w:r>
      <w:r w:rsidR="00CE76D8">
        <w:t>6</w:t>
      </w:r>
      <w:r w:rsidRPr="00CE76D8">
        <w:t>.</w:t>
      </w:r>
      <w:r w:rsidR="00CE76D8">
        <w:tab/>
      </w:r>
      <w:r w:rsidRPr="00CE76D8">
        <w:t>Expert judgement is necessary in choosing the appropriate test conditions and</w:t>
      </w:r>
      <w:r w:rsidR="00CE76D8">
        <w:t xml:space="preserve"> a</w:t>
      </w:r>
      <w:r w:rsidRPr="00CE76D8">
        <w:t xml:space="preserve">ssessment procedures. </w:t>
      </w:r>
    </w:p>
    <w:p w14:paraId="76DC65D6" w14:textId="47CBF777" w:rsidR="001A5310" w:rsidRPr="00CE76D8" w:rsidRDefault="0034547F" w:rsidP="0034547F">
      <w:pPr>
        <w:pStyle w:val="HChG"/>
      </w:pPr>
      <w:r>
        <w:tab/>
      </w:r>
      <w:r>
        <w:tab/>
      </w:r>
      <w:r w:rsidR="00CE76D8">
        <w:t>P</w:t>
      </w:r>
      <w:r w:rsidR="00CE76D8" w:rsidRPr="00544314">
        <w:t>roposal</w:t>
      </w:r>
    </w:p>
    <w:p w14:paraId="06C2D627" w14:textId="42E103D1" w:rsidR="00CE76D8" w:rsidRDefault="00CE76D8" w:rsidP="00CE76D8">
      <w:pPr>
        <w:pStyle w:val="SingleTxtG"/>
        <w:spacing w:before="240" w:after="0"/>
      </w:pPr>
      <w:r>
        <w:t>17.</w:t>
      </w:r>
      <w:r>
        <w:tab/>
        <w:t xml:space="preserve">Amend GHS sections 3.10.3.3.2.1, 3.10.3.3.2.2, </w:t>
      </w:r>
      <w:r w:rsidR="00E4195A">
        <w:t xml:space="preserve">3.10.3.3.3.1 and 3.10.3.3.3.3 as follows (additions shown </w:t>
      </w:r>
      <w:r w:rsidR="00E4195A" w:rsidRPr="00E4195A">
        <w:rPr>
          <w:u w:val="single"/>
        </w:rPr>
        <w:t>underlined</w:t>
      </w:r>
      <w:r w:rsidR="00E4195A">
        <w:t>):</w:t>
      </w:r>
    </w:p>
    <w:p w14:paraId="47F813C1" w14:textId="418F0FBC" w:rsidR="00E4195A" w:rsidRDefault="00E4195A" w:rsidP="0034547F">
      <w:pPr>
        <w:pStyle w:val="SingleTxtG"/>
        <w:tabs>
          <w:tab w:val="left" w:pos="2410"/>
        </w:tabs>
        <w:spacing w:before="240"/>
      </w:pPr>
      <w:r>
        <w:t>“3.10.3.3.</w:t>
      </w:r>
      <w:r w:rsidR="00AF05ED">
        <w:t>2</w:t>
      </w:r>
      <w:r w:rsidR="0034547F">
        <w:t>.1</w:t>
      </w:r>
      <w:r w:rsidR="0034547F">
        <w:tab/>
      </w:r>
      <w:r>
        <w:t xml:space="preserve">A mixture </w:t>
      </w:r>
      <w:r w:rsidR="00AF05ED">
        <w:t xml:space="preserve">is classified as Category 1 when the sum of the concentrations of Category 1 ingredients is </w:t>
      </w:r>
      <w:r>
        <w:t>≥ 10%</w:t>
      </w:r>
      <w:r w:rsidR="00AF05ED">
        <w:t>,</w:t>
      </w:r>
      <w:r>
        <w:t xml:space="preserve"> and </w:t>
      </w:r>
      <w:r w:rsidR="00AF05ED">
        <w:t xml:space="preserve">the mixture </w:t>
      </w:r>
      <w:r>
        <w:t>has a kinematic viscosity ≤ 20.5 mm</w:t>
      </w:r>
      <w:r w:rsidRPr="00E4195A">
        <w:rPr>
          <w:vertAlign w:val="superscript"/>
        </w:rPr>
        <w:t>2</w:t>
      </w:r>
      <w:r>
        <w:t xml:space="preserve">/s, measured at 40 °C </w:t>
      </w:r>
      <w:r w:rsidRPr="00E4195A">
        <w:rPr>
          <w:u w:val="single"/>
        </w:rPr>
        <w:t>(or ≤ 22.5 mm</w:t>
      </w:r>
      <w:r w:rsidRPr="00E4195A">
        <w:rPr>
          <w:u w:val="single"/>
          <w:vertAlign w:val="superscript"/>
        </w:rPr>
        <w:t>2</w:t>
      </w:r>
      <w:r w:rsidRPr="00E4195A">
        <w:rPr>
          <w:u w:val="single"/>
        </w:rPr>
        <w:t>/s using data from a valid test performed at 23 °C)</w:t>
      </w:r>
      <w:r>
        <w:t>.</w:t>
      </w:r>
    </w:p>
    <w:p w14:paraId="46170921" w14:textId="5A9BCA5B" w:rsidR="00E4195A" w:rsidRDefault="00AF05ED" w:rsidP="0034547F">
      <w:pPr>
        <w:pStyle w:val="SingleTxtG"/>
        <w:tabs>
          <w:tab w:val="left" w:pos="2410"/>
        </w:tabs>
        <w:spacing w:before="240"/>
      </w:pPr>
      <w:r>
        <w:t>3.10.3.3.2.</w:t>
      </w:r>
      <w:r w:rsidR="0034547F">
        <w:t>2</w:t>
      </w:r>
      <w:r w:rsidR="0034547F">
        <w:tab/>
      </w:r>
      <w:r w:rsidR="00E4195A">
        <w:t xml:space="preserve">In the case of a mixture which separates into two or more distinct layers, </w:t>
      </w:r>
      <w:r>
        <w:t xml:space="preserve">the entire mixture is classified as Category 1 if in any distinct layer the sum of the concentrations of Category 1 ingredients is </w:t>
      </w:r>
      <w:r w:rsidR="00E4195A">
        <w:t>≥ 10</w:t>
      </w:r>
      <w:r>
        <w:t>%, and it</w:t>
      </w:r>
      <w:r w:rsidR="00E4195A">
        <w:t xml:space="preserve"> has a kinematic viscosity ≤ 20.5 mm</w:t>
      </w:r>
      <w:r w:rsidR="00E4195A" w:rsidRPr="00E4195A">
        <w:rPr>
          <w:vertAlign w:val="superscript"/>
        </w:rPr>
        <w:t>2</w:t>
      </w:r>
      <w:r w:rsidR="00E4195A">
        <w:t xml:space="preserve">/s, measured at 40 °C </w:t>
      </w:r>
      <w:r w:rsidR="00E4195A" w:rsidRPr="00E4195A">
        <w:rPr>
          <w:u w:val="single"/>
        </w:rPr>
        <w:t>(or ≤ 22.5 mm</w:t>
      </w:r>
      <w:r w:rsidR="00E4195A" w:rsidRPr="00E4195A">
        <w:rPr>
          <w:u w:val="single"/>
          <w:vertAlign w:val="superscript"/>
        </w:rPr>
        <w:t>2</w:t>
      </w:r>
      <w:r w:rsidR="00E4195A" w:rsidRPr="00E4195A">
        <w:rPr>
          <w:u w:val="single"/>
        </w:rPr>
        <w:t>/s using data from a valid test performed at 23 °C)</w:t>
      </w:r>
      <w:r>
        <w:t>.”</w:t>
      </w:r>
    </w:p>
    <w:p w14:paraId="29EF94B2" w14:textId="4B668B65" w:rsidR="00AF05ED" w:rsidRDefault="0034547F" w:rsidP="0034547F">
      <w:pPr>
        <w:pStyle w:val="SingleTxtG"/>
        <w:tabs>
          <w:tab w:val="left" w:pos="2410"/>
        </w:tabs>
        <w:spacing w:before="240"/>
      </w:pPr>
      <w:r>
        <w:lastRenderedPageBreak/>
        <w:t>“3.10.3.3.3.1</w:t>
      </w:r>
      <w:r>
        <w:tab/>
      </w:r>
      <w:r w:rsidR="00AF05ED">
        <w:t>mixture is classified as Category 2 when the sum of the concentrations of Category 2 ingredients is ≥ 10% and the mixture has a kinematic viscosity ≤ 14 mm</w:t>
      </w:r>
      <w:r w:rsidR="00AF05ED" w:rsidRPr="00E4195A">
        <w:rPr>
          <w:vertAlign w:val="superscript"/>
        </w:rPr>
        <w:t>2</w:t>
      </w:r>
      <w:r w:rsidR="00AF05ED">
        <w:t xml:space="preserve">/s, measured at 40 °C </w:t>
      </w:r>
      <w:r w:rsidR="00AF05ED" w:rsidRPr="00E4195A">
        <w:rPr>
          <w:u w:val="single"/>
        </w:rPr>
        <w:t>(or ≤</w:t>
      </w:r>
      <w:r w:rsidR="00AF05ED">
        <w:rPr>
          <w:u w:val="single"/>
        </w:rPr>
        <w:t xml:space="preserve"> 15</w:t>
      </w:r>
      <w:r w:rsidR="00AF05ED" w:rsidRPr="00E4195A">
        <w:rPr>
          <w:u w:val="single"/>
        </w:rPr>
        <w:t>.5 mm</w:t>
      </w:r>
      <w:r w:rsidR="00AF05ED" w:rsidRPr="00E4195A">
        <w:rPr>
          <w:u w:val="single"/>
          <w:vertAlign w:val="superscript"/>
        </w:rPr>
        <w:t>2</w:t>
      </w:r>
      <w:r w:rsidR="00AF05ED" w:rsidRPr="00E4195A">
        <w:rPr>
          <w:u w:val="single"/>
        </w:rPr>
        <w:t>/s using data from a valid test performed at 23 °C)</w:t>
      </w:r>
      <w:r w:rsidR="00AF05ED">
        <w:t>.”</w:t>
      </w:r>
    </w:p>
    <w:p w14:paraId="169765C5" w14:textId="3726B57A" w:rsidR="00AF05ED" w:rsidRDefault="0034547F" w:rsidP="00CE76D8">
      <w:pPr>
        <w:pStyle w:val="SingleTxtG"/>
        <w:spacing w:before="240" w:after="0"/>
      </w:pPr>
      <w:r>
        <w:t>“3.10.3.3.3.3</w:t>
      </w:r>
      <w:r>
        <w:tab/>
      </w:r>
      <w:r w:rsidR="00AF05ED">
        <w:t>In the case of classifying a mixture which separates into two or more distinct layers, the entire mixture is classified as Category 2 if in any distinct layer the sum of the concentrations of Category 2 ingredients is ≥ 10%, and it has a kinematic viscosity ≤ 14 mm</w:t>
      </w:r>
      <w:r w:rsidR="00AF05ED" w:rsidRPr="00E4195A">
        <w:rPr>
          <w:vertAlign w:val="superscript"/>
        </w:rPr>
        <w:t>2</w:t>
      </w:r>
      <w:r w:rsidR="00AF05ED">
        <w:t xml:space="preserve">/s, measured at 40 °C </w:t>
      </w:r>
      <w:r w:rsidR="00AF05ED" w:rsidRPr="00E4195A">
        <w:rPr>
          <w:u w:val="single"/>
        </w:rPr>
        <w:t>(or ≤</w:t>
      </w:r>
      <w:r w:rsidR="00AF05ED">
        <w:rPr>
          <w:u w:val="single"/>
        </w:rPr>
        <w:t xml:space="preserve"> 15</w:t>
      </w:r>
      <w:r w:rsidR="00AF05ED" w:rsidRPr="00E4195A">
        <w:rPr>
          <w:u w:val="single"/>
        </w:rPr>
        <w:t>.5 mm</w:t>
      </w:r>
      <w:r w:rsidR="00AF05ED" w:rsidRPr="00E4195A">
        <w:rPr>
          <w:u w:val="single"/>
          <w:vertAlign w:val="superscript"/>
        </w:rPr>
        <w:t>2</w:t>
      </w:r>
      <w:r w:rsidR="00AF05ED" w:rsidRPr="00E4195A">
        <w:rPr>
          <w:u w:val="single"/>
        </w:rPr>
        <w:t>/s using data from a valid test performed at 23 °C)</w:t>
      </w:r>
      <w:r w:rsidR="00AF05ED">
        <w:t>.”</w:t>
      </w:r>
    </w:p>
    <w:p w14:paraId="003BC7E5" w14:textId="5F9C33BE" w:rsidR="001A5310" w:rsidRPr="00CE76D8" w:rsidRDefault="001A5310" w:rsidP="00CE76D8">
      <w:pPr>
        <w:pStyle w:val="SingleTxtG"/>
        <w:spacing w:before="240" w:after="0"/>
      </w:pPr>
      <w:r w:rsidRPr="00CE76D8">
        <w:t>1</w:t>
      </w:r>
      <w:r w:rsidR="00E4195A">
        <w:t>8.</w:t>
      </w:r>
      <w:r w:rsidR="00E4195A">
        <w:tab/>
      </w:r>
      <w:r w:rsidRPr="00CE76D8">
        <w:t xml:space="preserve">A consequential change to </w:t>
      </w:r>
      <w:r w:rsidR="003218EB">
        <w:t xml:space="preserve">Part III, sub-section 32.4.3 of </w:t>
      </w:r>
      <w:r w:rsidRPr="00CE76D8">
        <w:t>the UN Manual of Tests and Criteria may be required, depending upon the solution identified.</w:t>
      </w:r>
    </w:p>
    <w:p w14:paraId="012E96B2" w14:textId="634AAC4E" w:rsidR="005D5C97" w:rsidRDefault="001A5310" w:rsidP="00CE76D8">
      <w:pPr>
        <w:pStyle w:val="SingleTxtG"/>
        <w:spacing w:before="240" w:after="0"/>
      </w:pPr>
      <w:r w:rsidRPr="00CE76D8">
        <w:t>1</w:t>
      </w:r>
      <w:r w:rsidR="00AF05ED">
        <w:t>9</w:t>
      </w:r>
      <w:r w:rsidRPr="00CE76D8">
        <w:t>.</w:t>
      </w:r>
      <w:r w:rsidR="00AF05ED">
        <w:tab/>
        <w:t>T</w:t>
      </w:r>
      <w:r w:rsidRPr="00CE76D8">
        <w:t xml:space="preserve">est data </w:t>
      </w:r>
      <w:r w:rsidR="006C4438">
        <w:t xml:space="preserve">to </w:t>
      </w:r>
      <w:r w:rsidRPr="00CE76D8">
        <w:t>substantiat</w:t>
      </w:r>
      <w:r w:rsidR="006C4438">
        <w:t>e</w:t>
      </w:r>
      <w:r w:rsidRPr="00CE76D8">
        <w:t xml:space="preserve"> th</w:t>
      </w:r>
      <w:r w:rsidR="00AF05ED">
        <w:t>is</w:t>
      </w:r>
      <w:r w:rsidRPr="00CE76D8">
        <w:t xml:space="preserve"> proposal</w:t>
      </w:r>
      <w:r w:rsidR="006C4438">
        <w:t>,</w:t>
      </w:r>
      <w:r w:rsidRPr="00CE76D8">
        <w:t xml:space="preserve"> </w:t>
      </w:r>
      <w:r w:rsidR="006C4438">
        <w:t>along with</w:t>
      </w:r>
      <w:r w:rsidR="003218EB">
        <w:t xml:space="preserve"> proposals for consequential amendments</w:t>
      </w:r>
      <w:r w:rsidR="006C4438">
        <w:t>,</w:t>
      </w:r>
      <w:r w:rsidR="003218EB">
        <w:t xml:space="preserve"> </w:t>
      </w:r>
      <w:r w:rsidR="00AF05ED">
        <w:t>will be presented in a subsequent informal document</w:t>
      </w:r>
      <w:r w:rsidRPr="00CE76D8">
        <w:t xml:space="preserve">. </w:t>
      </w:r>
      <w:r w:rsidR="00CD7A04">
        <w:t xml:space="preserve"> </w:t>
      </w:r>
    </w:p>
    <w:p w14:paraId="4A753A48" w14:textId="2C5B93DF" w:rsidR="00C12542" w:rsidRPr="0034547F" w:rsidRDefault="0034547F" w:rsidP="0034547F">
      <w:pPr>
        <w:pStyle w:val="SingleTxtG"/>
        <w:spacing w:before="240" w:after="0"/>
        <w:jc w:val="center"/>
        <w:rPr>
          <w:u w:val="single"/>
        </w:rPr>
      </w:pPr>
      <w:r>
        <w:rPr>
          <w:u w:val="single"/>
        </w:rPr>
        <w:tab/>
      </w:r>
      <w:r>
        <w:rPr>
          <w:u w:val="single"/>
        </w:rPr>
        <w:tab/>
      </w:r>
      <w:r>
        <w:rPr>
          <w:u w:val="single"/>
        </w:rPr>
        <w:tab/>
      </w:r>
      <w:r>
        <w:rPr>
          <w:u w:val="single"/>
        </w:rPr>
        <w:tab/>
      </w:r>
    </w:p>
    <w:p w14:paraId="2C3FD47C" w14:textId="1707F6F7" w:rsidR="00FE755F" w:rsidRDefault="00FE755F">
      <w:pPr>
        <w:suppressAutoHyphens w:val="0"/>
        <w:spacing w:line="240" w:lineRule="auto"/>
        <w:rPr>
          <w:b/>
          <w:bCs/>
          <w:i/>
          <w:iCs/>
        </w:rPr>
      </w:pPr>
    </w:p>
    <w:sectPr w:rsidR="00FE755F" w:rsidSect="00BF0E8B">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6992E" w14:textId="77777777" w:rsidR="00576ECC" w:rsidRDefault="00576ECC"/>
  </w:endnote>
  <w:endnote w:type="continuationSeparator" w:id="0">
    <w:p w14:paraId="5A4E6165" w14:textId="77777777" w:rsidR="00576ECC" w:rsidRDefault="00576ECC"/>
  </w:endnote>
  <w:endnote w:type="continuationNotice" w:id="1">
    <w:p w14:paraId="411CD998" w14:textId="77777777" w:rsidR="00576ECC" w:rsidRDefault="00576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74D89B51" w:rsidR="00811FF1" w:rsidRPr="0095385C" w:rsidRDefault="00811FF1"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4F2303">
      <w:rPr>
        <w:b/>
        <w:noProof/>
        <w:sz w:val="18"/>
      </w:rPr>
      <w:t>4</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1488AEBF" w:rsidR="00811FF1" w:rsidRPr="0095385C" w:rsidRDefault="00811FF1"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4F2303">
      <w:rPr>
        <w:b/>
        <w:noProof/>
        <w:sz w:val="18"/>
      </w:rPr>
      <w:t>3</w:t>
    </w:r>
    <w:r w:rsidRPr="009538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F964" w14:textId="77777777" w:rsidR="00F96565" w:rsidRDefault="00F96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F7D5" w14:textId="77777777" w:rsidR="00576ECC" w:rsidRPr="000B175B" w:rsidRDefault="00576ECC" w:rsidP="000B175B">
      <w:pPr>
        <w:tabs>
          <w:tab w:val="right" w:pos="2155"/>
        </w:tabs>
        <w:spacing w:after="80"/>
        <w:ind w:left="680"/>
        <w:rPr>
          <w:u w:val="single"/>
        </w:rPr>
      </w:pPr>
      <w:r>
        <w:rPr>
          <w:u w:val="single"/>
        </w:rPr>
        <w:tab/>
      </w:r>
    </w:p>
  </w:footnote>
  <w:footnote w:type="continuationSeparator" w:id="0">
    <w:p w14:paraId="25B27F2F" w14:textId="77777777" w:rsidR="00576ECC" w:rsidRPr="00FC68B7" w:rsidRDefault="00576ECC" w:rsidP="00FC68B7">
      <w:pPr>
        <w:tabs>
          <w:tab w:val="left" w:pos="2155"/>
        </w:tabs>
        <w:spacing w:after="80"/>
        <w:ind w:left="680"/>
        <w:rPr>
          <w:u w:val="single"/>
        </w:rPr>
      </w:pPr>
      <w:r>
        <w:rPr>
          <w:u w:val="single"/>
        </w:rPr>
        <w:tab/>
      </w:r>
    </w:p>
  </w:footnote>
  <w:footnote w:type="continuationNotice" w:id="1">
    <w:p w14:paraId="03F452AC" w14:textId="77777777" w:rsidR="00576ECC" w:rsidRDefault="00576ECC"/>
  </w:footnote>
  <w:footnote w:id="2">
    <w:p w14:paraId="49BE0E1A" w14:textId="0A34459A" w:rsidR="001F685B" w:rsidRPr="001F685B" w:rsidRDefault="0034547F" w:rsidP="0034547F">
      <w:pPr>
        <w:pStyle w:val="FootnoteText"/>
        <w:rPr>
          <w:lang w:val="fr-CH"/>
        </w:rPr>
      </w:pPr>
      <w:r>
        <w:tab/>
      </w:r>
      <w:r w:rsidR="001F685B">
        <w:rPr>
          <w:rStyle w:val="FootnoteReference"/>
        </w:rPr>
        <w:t>*</w:t>
      </w:r>
      <w:r w:rsidR="001F685B">
        <w:t xml:space="preserve"> </w:t>
      </w:r>
      <w:r w:rsidR="001F685B">
        <w:tab/>
        <w:t>In accordance with the programme of work of the Sub-Committee for 2017–2018 approved by the Committee at its eighth session (see ST/SG/AC.10/C.3/100, para.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48417694" w:rsidR="00811FF1" w:rsidRPr="0095385C" w:rsidRDefault="00811FF1">
    <w:pPr>
      <w:pStyle w:val="Header"/>
    </w:pPr>
    <w:r>
      <w:t>ST/SG/AC.10/C.4/2018/</w:t>
    </w:r>
    <w:r w:rsidR="0034547F">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435C62C5" w:rsidR="00811FF1" w:rsidRPr="0095385C" w:rsidRDefault="0034547F" w:rsidP="0095385C">
    <w:pPr>
      <w:pStyle w:val="Header"/>
      <w:jc w:val="right"/>
    </w:pPr>
    <w:bookmarkStart w:id="5" w:name="_GoBack"/>
    <w:bookmarkEnd w:id="5"/>
    <w:r>
      <w:t>ST/SG/AC.10/C.4/2018/34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263E" w14:textId="40C46EE6" w:rsidR="00130577" w:rsidRDefault="00130577" w:rsidP="0034547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4"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20"/>
  </w:num>
  <w:num w:numId="16">
    <w:abstractNumId w:val="11"/>
  </w:num>
  <w:num w:numId="17">
    <w:abstractNumId w:val="19"/>
  </w:num>
  <w:num w:numId="18">
    <w:abstractNumId w:val="16"/>
  </w:num>
  <w:num w:numId="19">
    <w:abstractNumId w:val="15"/>
  </w:num>
  <w:num w:numId="20">
    <w:abstractNumId w:val="14"/>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C"/>
    <w:rsid w:val="00002487"/>
    <w:rsid w:val="00005982"/>
    <w:rsid w:val="00006490"/>
    <w:rsid w:val="00007F78"/>
    <w:rsid w:val="000222F9"/>
    <w:rsid w:val="00023DBC"/>
    <w:rsid w:val="000418DE"/>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A5369"/>
    <w:rsid w:val="000B158D"/>
    <w:rsid w:val="000B175B"/>
    <w:rsid w:val="000B1B3B"/>
    <w:rsid w:val="000B28A5"/>
    <w:rsid w:val="000B2FC0"/>
    <w:rsid w:val="000B374C"/>
    <w:rsid w:val="000B3A0F"/>
    <w:rsid w:val="000B602C"/>
    <w:rsid w:val="000C5E7A"/>
    <w:rsid w:val="000D0A97"/>
    <w:rsid w:val="000D3E84"/>
    <w:rsid w:val="000D5982"/>
    <w:rsid w:val="000D6B4A"/>
    <w:rsid w:val="000D6C67"/>
    <w:rsid w:val="000E0415"/>
    <w:rsid w:val="000F0347"/>
    <w:rsid w:val="001033CA"/>
    <w:rsid w:val="00103BFC"/>
    <w:rsid w:val="001102E5"/>
    <w:rsid w:val="00111978"/>
    <w:rsid w:val="00115E7C"/>
    <w:rsid w:val="001168D4"/>
    <w:rsid w:val="00117787"/>
    <w:rsid w:val="00120C46"/>
    <w:rsid w:val="00122EBB"/>
    <w:rsid w:val="0012499A"/>
    <w:rsid w:val="00130577"/>
    <w:rsid w:val="001315F3"/>
    <w:rsid w:val="00131D42"/>
    <w:rsid w:val="001339B8"/>
    <w:rsid w:val="001344B8"/>
    <w:rsid w:val="001348A5"/>
    <w:rsid w:val="00141242"/>
    <w:rsid w:val="00151F5B"/>
    <w:rsid w:val="00156502"/>
    <w:rsid w:val="00161772"/>
    <w:rsid w:val="00162164"/>
    <w:rsid w:val="00162F4A"/>
    <w:rsid w:val="001633FB"/>
    <w:rsid w:val="00167293"/>
    <w:rsid w:val="00167786"/>
    <w:rsid w:val="001757C5"/>
    <w:rsid w:val="00175C80"/>
    <w:rsid w:val="001777FD"/>
    <w:rsid w:val="00184821"/>
    <w:rsid w:val="00184FCD"/>
    <w:rsid w:val="00187190"/>
    <w:rsid w:val="00191DE4"/>
    <w:rsid w:val="00193CE3"/>
    <w:rsid w:val="00195244"/>
    <w:rsid w:val="00196E35"/>
    <w:rsid w:val="0019773C"/>
    <w:rsid w:val="001A1EAB"/>
    <w:rsid w:val="001A3561"/>
    <w:rsid w:val="001A5310"/>
    <w:rsid w:val="001A5D90"/>
    <w:rsid w:val="001A7069"/>
    <w:rsid w:val="001B2D89"/>
    <w:rsid w:val="001B372A"/>
    <w:rsid w:val="001B4B04"/>
    <w:rsid w:val="001C106A"/>
    <w:rsid w:val="001C3170"/>
    <w:rsid w:val="001C6663"/>
    <w:rsid w:val="001C6C85"/>
    <w:rsid w:val="001C7895"/>
    <w:rsid w:val="001D1A40"/>
    <w:rsid w:val="001D23B4"/>
    <w:rsid w:val="001D26DF"/>
    <w:rsid w:val="001D2FDC"/>
    <w:rsid w:val="001D50B0"/>
    <w:rsid w:val="001E0F45"/>
    <w:rsid w:val="001E4475"/>
    <w:rsid w:val="001F0FE4"/>
    <w:rsid w:val="001F2D76"/>
    <w:rsid w:val="001F6726"/>
    <w:rsid w:val="001F685B"/>
    <w:rsid w:val="001F7CF4"/>
    <w:rsid w:val="00202134"/>
    <w:rsid w:val="00211DE3"/>
    <w:rsid w:val="00211E0B"/>
    <w:rsid w:val="00212394"/>
    <w:rsid w:val="0021321D"/>
    <w:rsid w:val="00213641"/>
    <w:rsid w:val="0021553B"/>
    <w:rsid w:val="00216609"/>
    <w:rsid w:val="00220264"/>
    <w:rsid w:val="00221C03"/>
    <w:rsid w:val="002228EB"/>
    <w:rsid w:val="00227EEF"/>
    <w:rsid w:val="002309A7"/>
    <w:rsid w:val="00230C9D"/>
    <w:rsid w:val="00237406"/>
    <w:rsid w:val="00237785"/>
    <w:rsid w:val="00241466"/>
    <w:rsid w:val="00252AF4"/>
    <w:rsid w:val="0025304C"/>
    <w:rsid w:val="0025405A"/>
    <w:rsid w:val="00255D32"/>
    <w:rsid w:val="00256E52"/>
    <w:rsid w:val="00257360"/>
    <w:rsid w:val="002600C2"/>
    <w:rsid w:val="00262447"/>
    <w:rsid w:val="00264A94"/>
    <w:rsid w:val="00265E8D"/>
    <w:rsid w:val="00267017"/>
    <w:rsid w:val="00267C9C"/>
    <w:rsid w:val="00270B8F"/>
    <w:rsid w:val="00271FCB"/>
    <w:rsid w:val="002725CA"/>
    <w:rsid w:val="00273203"/>
    <w:rsid w:val="00275C6E"/>
    <w:rsid w:val="00280EB7"/>
    <w:rsid w:val="002819DE"/>
    <w:rsid w:val="00284946"/>
    <w:rsid w:val="002857FE"/>
    <w:rsid w:val="00291986"/>
    <w:rsid w:val="00291A8F"/>
    <w:rsid w:val="00294148"/>
    <w:rsid w:val="00295BA7"/>
    <w:rsid w:val="00297A67"/>
    <w:rsid w:val="002A1B21"/>
    <w:rsid w:val="002A3CA8"/>
    <w:rsid w:val="002A3EEC"/>
    <w:rsid w:val="002A46AC"/>
    <w:rsid w:val="002A591C"/>
    <w:rsid w:val="002B0A21"/>
    <w:rsid w:val="002B10FC"/>
    <w:rsid w:val="002B1CDA"/>
    <w:rsid w:val="002B3EC6"/>
    <w:rsid w:val="002B4976"/>
    <w:rsid w:val="002B66A3"/>
    <w:rsid w:val="002C4E58"/>
    <w:rsid w:val="002C54FE"/>
    <w:rsid w:val="002C5B87"/>
    <w:rsid w:val="002C65AC"/>
    <w:rsid w:val="002C67F8"/>
    <w:rsid w:val="002D21BA"/>
    <w:rsid w:val="002E47A8"/>
    <w:rsid w:val="002E5A53"/>
    <w:rsid w:val="002E743A"/>
    <w:rsid w:val="002E7D51"/>
    <w:rsid w:val="002F16E1"/>
    <w:rsid w:val="002F3E67"/>
    <w:rsid w:val="0030371D"/>
    <w:rsid w:val="00305238"/>
    <w:rsid w:val="003107FA"/>
    <w:rsid w:val="00314FCD"/>
    <w:rsid w:val="003176F1"/>
    <w:rsid w:val="003218EB"/>
    <w:rsid w:val="003229D8"/>
    <w:rsid w:val="00324304"/>
    <w:rsid w:val="0033029B"/>
    <w:rsid w:val="00337674"/>
    <w:rsid w:val="00337FD0"/>
    <w:rsid w:val="0034547F"/>
    <w:rsid w:val="00345F2F"/>
    <w:rsid w:val="00367D01"/>
    <w:rsid w:val="0037333E"/>
    <w:rsid w:val="00374FAA"/>
    <w:rsid w:val="00375F43"/>
    <w:rsid w:val="00385D07"/>
    <w:rsid w:val="00387914"/>
    <w:rsid w:val="00391E40"/>
    <w:rsid w:val="0039277A"/>
    <w:rsid w:val="003972E0"/>
    <w:rsid w:val="003A0282"/>
    <w:rsid w:val="003A0940"/>
    <w:rsid w:val="003A5D8F"/>
    <w:rsid w:val="003A63DE"/>
    <w:rsid w:val="003A6FE2"/>
    <w:rsid w:val="003B0E3E"/>
    <w:rsid w:val="003B1924"/>
    <w:rsid w:val="003B3B04"/>
    <w:rsid w:val="003B5BC9"/>
    <w:rsid w:val="003C12E9"/>
    <w:rsid w:val="003C2CC4"/>
    <w:rsid w:val="003D4B23"/>
    <w:rsid w:val="003D5FF8"/>
    <w:rsid w:val="003D60F7"/>
    <w:rsid w:val="003E2E5D"/>
    <w:rsid w:val="003E6CCC"/>
    <w:rsid w:val="003E7127"/>
    <w:rsid w:val="003F167F"/>
    <w:rsid w:val="003F4FED"/>
    <w:rsid w:val="004041D0"/>
    <w:rsid w:val="004057FC"/>
    <w:rsid w:val="00417C54"/>
    <w:rsid w:val="00421A95"/>
    <w:rsid w:val="00432447"/>
    <w:rsid w:val="004325CB"/>
    <w:rsid w:val="00437846"/>
    <w:rsid w:val="00437F3F"/>
    <w:rsid w:val="00444EA3"/>
    <w:rsid w:val="00446DE4"/>
    <w:rsid w:val="004513F0"/>
    <w:rsid w:val="0045304D"/>
    <w:rsid w:val="004534EC"/>
    <w:rsid w:val="00454036"/>
    <w:rsid w:val="00454F71"/>
    <w:rsid w:val="00455F63"/>
    <w:rsid w:val="004570D1"/>
    <w:rsid w:val="0046672F"/>
    <w:rsid w:val="004706F9"/>
    <w:rsid w:val="004729D1"/>
    <w:rsid w:val="0047323A"/>
    <w:rsid w:val="004820A6"/>
    <w:rsid w:val="00484509"/>
    <w:rsid w:val="00486443"/>
    <w:rsid w:val="00490A7A"/>
    <w:rsid w:val="00492614"/>
    <w:rsid w:val="00493F79"/>
    <w:rsid w:val="004960E6"/>
    <w:rsid w:val="004A077A"/>
    <w:rsid w:val="004A641A"/>
    <w:rsid w:val="004A7228"/>
    <w:rsid w:val="004B05A7"/>
    <w:rsid w:val="004B2C9D"/>
    <w:rsid w:val="004B7395"/>
    <w:rsid w:val="004C05DA"/>
    <w:rsid w:val="004C0B4B"/>
    <w:rsid w:val="004C1ADF"/>
    <w:rsid w:val="004C6109"/>
    <w:rsid w:val="004C6B89"/>
    <w:rsid w:val="004C71D5"/>
    <w:rsid w:val="004D15D3"/>
    <w:rsid w:val="004D1FA6"/>
    <w:rsid w:val="004D22F3"/>
    <w:rsid w:val="004D244B"/>
    <w:rsid w:val="004D6346"/>
    <w:rsid w:val="004D676A"/>
    <w:rsid w:val="004E394C"/>
    <w:rsid w:val="004F2303"/>
    <w:rsid w:val="004F3FCB"/>
    <w:rsid w:val="005044B6"/>
    <w:rsid w:val="0051448B"/>
    <w:rsid w:val="005160F8"/>
    <w:rsid w:val="00522A8A"/>
    <w:rsid w:val="005233B8"/>
    <w:rsid w:val="0052386A"/>
    <w:rsid w:val="00527910"/>
    <w:rsid w:val="00530BBD"/>
    <w:rsid w:val="00532163"/>
    <w:rsid w:val="005401B2"/>
    <w:rsid w:val="005420F2"/>
    <w:rsid w:val="0054320C"/>
    <w:rsid w:val="00544314"/>
    <w:rsid w:val="00544B88"/>
    <w:rsid w:val="00545059"/>
    <w:rsid w:val="00545A68"/>
    <w:rsid w:val="00546C67"/>
    <w:rsid w:val="00555059"/>
    <w:rsid w:val="005576A2"/>
    <w:rsid w:val="005618E1"/>
    <w:rsid w:val="00563EB6"/>
    <w:rsid w:val="00565275"/>
    <w:rsid w:val="005664A9"/>
    <w:rsid w:val="00567B2D"/>
    <w:rsid w:val="00571352"/>
    <w:rsid w:val="00576ECC"/>
    <w:rsid w:val="0058023E"/>
    <w:rsid w:val="00581B32"/>
    <w:rsid w:val="005827FC"/>
    <w:rsid w:val="00582E93"/>
    <w:rsid w:val="00584654"/>
    <w:rsid w:val="0058471D"/>
    <w:rsid w:val="00586F32"/>
    <w:rsid w:val="00590144"/>
    <w:rsid w:val="005A770B"/>
    <w:rsid w:val="005B3DB3"/>
    <w:rsid w:val="005B621F"/>
    <w:rsid w:val="005C149F"/>
    <w:rsid w:val="005C2F3E"/>
    <w:rsid w:val="005D0641"/>
    <w:rsid w:val="005D5C97"/>
    <w:rsid w:val="005F1E8A"/>
    <w:rsid w:val="005F5804"/>
    <w:rsid w:val="0060091E"/>
    <w:rsid w:val="006017C9"/>
    <w:rsid w:val="00606441"/>
    <w:rsid w:val="0060700C"/>
    <w:rsid w:val="00611FC4"/>
    <w:rsid w:val="00612524"/>
    <w:rsid w:val="00615113"/>
    <w:rsid w:val="006176FB"/>
    <w:rsid w:val="00624A0E"/>
    <w:rsid w:val="00625C64"/>
    <w:rsid w:val="00626968"/>
    <w:rsid w:val="006324AC"/>
    <w:rsid w:val="00633405"/>
    <w:rsid w:val="0063419C"/>
    <w:rsid w:val="00634C2F"/>
    <w:rsid w:val="00635CF4"/>
    <w:rsid w:val="00640B26"/>
    <w:rsid w:val="006418B9"/>
    <w:rsid w:val="0064265A"/>
    <w:rsid w:val="00644CC0"/>
    <w:rsid w:val="006500BA"/>
    <w:rsid w:val="00650C47"/>
    <w:rsid w:val="00657F62"/>
    <w:rsid w:val="0066279A"/>
    <w:rsid w:val="00663EFB"/>
    <w:rsid w:val="00664979"/>
    <w:rsid w:val="00670E29"/>
    <w:rsid w:val="00672767"/>
    <w:rsid w:val="006737C7"/>
    <w:rsid w:val="006744B2"/>
    <w:rsid w:val="006758DA"/>
    <w:rsid w:val="006764D1"/>
    <w:rsid w:val="00684879"/>
    <w:rsid w:val="00685D57"/>
    <w:rsid w:val="00694C02"/>
    <w:rsid w:val="006A025B"/>
    <w:rsid w:val="006A389C"/>
    <w:rsid w:val="006A7392"/>
    <w:rsid w:val="006A7B01"/>
    <w:rsid w:val="006B04F7"/>
    <w:rsid w:val="006B1156"/>
    <w:rsid w:val="006B157F"/>
    <w:rsid w:val="006B38D1"/>
    <w:rsid w:val="006B46FE"/>
    <w:rsid w:val="006C0D34"/>
    <w:rsid w:val="006C329D"/>
    <w:rsid w:val="006C4438"/>
    <w:rsid w:val="006C6056"/>
    <w:rsid w:val="006C6884"/>
    <w:rsid w:val="006D12D5"/>
    <w:rsid w:val="006D3366"/>
    <w:rsid w:val="006D5225"/>
    <w:rsid w:val="006E42A8"/>
    <w:rsid w:val="006E4493"/>
    <w:rsid w:val="006E4DD9"/>
    <w:rsid w:val="006E564B"/>
    <w:rsid w:val="006E5C33"/>
    <w:rsid w:val="006F2724"/>
    <w:rsid w:val="006F71FB"/>
    <w:rsid w:val="00702B60"/>
    <w:rsid w:val="00702E8C"/>
    <w:rsid w:val="00704DBF"/>
    <w:rsid w:val="007078C6"/>
    <w:rsid w:val="00712144"/>
    <w:rsid w:val="0071739D"/>
    <w:rsid w:val="00725476"/>
    <w:rsid w:val="0072593B"/>
    <w:rsid w:val="0072632A"/>
    <w:rsid w:val="00734256"/>
    <w:rsid w:val="00735B34"/>
    <w:rsid w:val="007367D6"/>
    <w:rsid w:val="00740935"/>
    <w:rsid w:val="00740E0F"/>
    <w:rsid w:val="00741191"/>
    <w:rsid w:val="00741499"/>
    <w:rsid w:val="00745209"/>
    <w:rsid w:val="00753114"/>
    <w:rsid w:val="007575F5"/>
    <w:rsid w:val="00762F2A"/>
    <w:rsid w:val="00763522"/>
    <w:rsid w:val="00763C09"/>
    <w:rsid w:val="0076405E"/>
    <w:rsid w:val="00764E9E"/>
    <w:rsid w:val="00765DDF"/>
    <w:rsid w:val="00766298"/>
    <w:rsid w:val="00770E6F"/>
    <w:rsid w:val="00771C45"/>
    <w:rsid w:val="007759E8"/>
    <w:rsid w:val="00776BB6"/>
    <w:rsid w:val="007778B4"/>
    <w:rsid w:val="00783387"/>
    <w:rsid w:val="00790791"/>
    <w:rsid w:val="007A07AC"/>
    <w:rsid w:val="007A6FFA"/>
    <w:rsid w:val="007B1A7E"/>
    <w:rsid w:val="007B342D"/>
    <w:rsid w:val="007B52DB"/>
    <w:rsid w:val="007B5849"/>
    <w:rsid w:val="007B6BA5"/>
    <w:rsid w:val="007C3390"/>
    <w:rsid w:val="007C38EB"/>
    <w:rsid w:val="007C4F4B"/>
    <w:rsid w:val="007C6176"/>
    <w:rsid w:val="007C745B"/>
    <w:rsid w:val="007C77F8"/>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11FF1"/>
    <w:rsid w:val="00812C0A"/>
    <w:rsid w:val="00815A2F"/>
    <w:rsid w:val="00815FD5"/>
    <w:rsid w:val="008175E9"/>
    <w:rsid w:val="00821459"/>
    <w:rsid w:val="00821672"/>
    <w:rsid w:val="00821A3E"/>
    <w:rsid w:val="008242D7"/>
    <w:rsid w:val="0082677B"/>
    <w:rsid w:val="00830015"/>
    <w:rsid w:val="008315FD"/>
    <w:rsid w:val="00833414"/>
    <w:rsid w:val="00834AC8"/>
    <w:rsid w:val="0083561E"/>
    <w:rsid w:val="00837F38"/>
    <w:rsid w:val="008406E4"/>
    <w:rsid w:val="00842149"/>
    <w:rsid w:val="008424A8"/>
    <w:rsid w:val="008454BF"/>
    <w:rsid w:val="008467E4"/>
    <w:rsid w:val="008474D0"/>
    <w:rsid w:val="00847E99"/>
    <w:rsid w:val="008540B7"/>
    <w:rsid w:val="0085670E"/>
    <w:rsid w:val="0086261F"/>
    <w:rsid w:val="00863C98"/>
    <w:rsid w:val="00864218"/>
    <w:rsid w:val="00865234"/>
    <w:rsid w:val="00866C98"/>
    <w:rsid w:val="00871FD5"/>
    <w:rsid w:val="00872970"/>
    <w:rsid w:val="00872DD0"/>
    <w:rsid w:val="00881FA0"/>
    <w:rsid w:val="00881FE3"/>
    <w:rsid w:val="0088217A"/>
    <w:rsid w:val="00883E5C"/>
    <w:rsid w:val="008904B8"/>
    <w:rsid w:val="00892AB6"/>
    <w:rsid w:val="00893711"/>
    <w:rsid w:val="008979B1"/>
    <w:rsid w:val="008A482C"/>
    <w:rsid w:val="008A4A53"/>
    <w:rsid w:val="008A6B25"/>
    <w:rsid w:val="008A6C4F"/>
    <w:rsid w:val="008B2404"/>
    <w:rsid w:val="008B6E2D"/>
    <w:rsid w:val="008C761D"/>
    <w:rsid w:val="008D27AF"/>
    <w:rsid w:val="008D37D5"/>
    <w:rsid w:val="008E0E46"/>
    <w:rsid w:val="008E2354"/>
    <w:rsid w:val="008E3B43"/>
    <w:rsid w:val="008E58AF"/>
    <w:rsid w:val="008E7948"/>
    <w:rsid w:val="008F1AE5"/>
    <w:rsid w:val="008F446D"/>
    <w:rsid w:val="00900C75"/>
    <w:rsid w:val="00901E50"/>
    <w:rsid w:val="00903E44"/>
    <w:rsid w:val="0090743F"/>
    <w:rsid w:val="00913EAD"/>
    <w:rsid w:val="0091681F"/>
    <w:rsid w:val="00925F6E"/>
    <w:rsid w:val="00932E07"/>
    <w:rsid w:val="00935FA4"/>
    <w:rsid w:val="00936DD8"/>
    <w:rsid w:val="009376F4"/>
    <w:rsid w:val="00945A5D"/>
    <w:rsid w:val="00945A7F"/>
    <w:rsid w:val="0095385C"/>
    <w:rsid w:val="009606CB"/>
    <w:rsid w:val="00960887"/>
    <w:rsid w:val="00963CBA"/>
    <w:rsid w:val="00964A08"/>
    <w:rsid w:val="00966D12"/>
    <w:rsid w:val="00967793"/>
    <w:rsid w:val="009737F8"/>
    <w:rsid w:val="00974F0E"/>
    <w:rsid w:val="009771BA"/>
    <w:rsid w:val="00980CA7"/>
    <w:rsid w:val="009867FC"/>
    <w:rsid w:val="0099124E"/>
    <w:rsid w:val="00991261"/>
    <w:rsid w:val="009934A8"/>
    <w:rsid w:val="0099569F"/>
    <w:rsid w:val="009A51DA"/>
    <w:rsid w:val="009B2A64"/>
    <w:rsid w:val="009B4FAB"/>
    <w:rsid w:val="009B5C48"/>
    <w:rsid w:val="009B6244"/>
    <w:rsid w:val="009D1290"/>
    <w:rsid w:val="009D1AAE"/>
    <w:rsid w:val="009D3F94"/>
    <w:rsid w:val="009D53C7"/>
    <w:rsid w:val="009D60F6"/>
    <w:rsid w:val="009D7B47"/>
    <w:rsid w:val="009E671E"/>
    <w:rsid w:val="009F058B"/>
    <w:rsid w:val="009F0F06"/>
    <w:rsid w:val="009F4303"/>
    <w:rsid w:val="009F58CC"/>
    <w:rsid w:val="009F7667"/>
    <w:rsid w:val="00A01DFE"/>
    <w:rsid w:val="00A02CF2"/>
    <w:rsid w:val="00A1427D"/>
    <w:rsid w:val="00A14DBD"/>
    <w:rsid w:val="00A23F64"/>
    <w:rsid w:val="00A248E3"/>
    <w:rsid w:val="00A2716D"/>
    <w:rsid w:val="00A30E3C"/>
    <w:rsid w:val="00A32E35"/>
    <w:rsid w:val="00A3666C"/>
    <w:rsid w:val="00A417BB"/>
    <w:rsid w:val="00A42EA2"/>
    <w:rsid w:val="00A43587"/>
    <w:rsid w:val="00A47B0C"/>
    <w:rsid w:val="00A56184"/>
    <w:rsid w:val="00A57EF0"/>
    <w:rsid w:val="00A62318"/>
    <w:rsid w:val="00A63A87"/>
    <w:rsid w:val="00A64D61"/>
    <w:rsid w:val="00A72F22"/>
    <w:rsid w:val="00A748A6"/>
    <w:rsid w:val="00A75EC9"/>
    <w:rsid w:val="00A763B6"/>
    <w:rsid w:val="00A8523D"/>
    <w:rsid w:val="00A879A4"/>
    <w:rsid w:val="00AA5227"/>
    <w:rsid w:val="00AA6228"/>
    <w:rsid w:val="00AB057B"/>
    <w:rsid w:val="00AB315A"/>
    <w:rsid w:val="00AB33D9"/>
    <w:rsid w:val="00AB385E"/>
    <w:rsid w:val="00AB3E44"/>
    <w:rsid w:val="00AB571F"/>
    <w:rsid w:val="00AB5AA7"/>
    <w:rsid w:val="00AC5701"/>
    <w:rsid w:val="00AE47DB"/>
    <w:rsid w:val="00AE4A6A"/>
    <w:rsid w:val="00AE4C73"/>
    <w:rsid w:val="00AE4D5C"/>
    <w:rsid w:val="00AE764E"/>
    <w:rsid w:val="00AF05ED"/>
    <w:rsid w:val="00AF73CE"/>
    <w:rsid w:val="00B102ED"/>
    <w:rsid w:val="00B112D9"/>
    <w:rsid w:val="00B14140"/>
    <w:rsid w:val="00B153C3"/>
    <w:rsid w:val="00B173CE"/>
    <w:rsid w:val="00B20035"/>
    <w:rsid w:val="00B201C5"/>
    <w:rsid w:val="00B20ECC"/>
    <w:rsid w:val="00B2154A"/>
    <w:rsid w:val="00B21C6C"/>
    <w:rsid w:val="00B252FF"/>
    <w:rsid w:val="00B30179"/>
    <w:rsid w:val="00B30250"/>
    <w:rsid w:val="00B3101E"/>
    <w:rsid w:val="00B3317B"/>
    <w:rsid w:val="00B33F1E"/>
    <w:rsid w:val="00B37029"/>
    <w:rsid w:val="00B410AD"/>
    <w:rsid w:val="00B43846"/>
    <w:rsid w:val="00B44820"/>
    <w:rsid w:val="00B4485D"/>
    <w:rsid w:val="00B45EC3"/>
    <w:rsid w:val="00B51A01"/>
    <w:rsid w:val="00B53F26"/>
    <w:rsid w:val="00B53FD3"/>
    <w:rsid w:val="00B556BF"/>
    <w:rsid w:val="00B56ACE"/>
    <w:rsid w:val="00B56B78"/>
    <w:rsid w:val="00B60932"/>
    <w:rsid w:val="00B65715"/>
    <w:rsid w:val="00B706C0"/>
    <w:rsid w:val="00B72283"/>
    <w:rsid w:val="00B81E12"/>
    <w:rsid w:val="00B84094"/>
    <w:rsid w:val="00B84232"/>
    <w:rsid w:val="00B84A6A"/>
    <w:rsid w:val="00B93068"/>
    <w:rsid w:val="00B9787B"/>
    <w:rsid w:val="00BA5991"/>
    <w:rsid w:val="00BB176D"/>
    <w:rsid w:val="00BC03B3"/>
    <w:rsid w:val="00BC17B5"/>
    <w:rsid w:val="00BC5492"/>
    <w:rsid w:val="00BC74E9"/>
    <w:rsid w:val="00BD1B81"/>
    <w:rsid w:val="00BD2BF0"/>
    <w:rsid w:val="00BD52ED"/>
    <w:rsid w:val="00BD5B57"/>
    <w:rsid w:val="00BE2710"/>
    <w:rsid w:val="00BE3932"/>
    <w:rsid w:val="00BE5222"/>
    <w:rsid w:val="00BE618E"/>
    <w:rsid w:val="00BE674E"/>
    <w:rsid w:val="00BE6EEE"/>
    <w:rsid w:val="00BE716B"/>
    <w:rsid w:val="00BF0E8B"/>
    <w:rsid w:val="00BF1367"/>
    <w:rsid w:val="00C00F60"/>
    <w:rsid w:val="00C01EC5"/>
    <w:rsid w:val="00C0342D"/>
    <w:rsid w:val="00C05F7D"/>
    <w:rsid w:val="00C1021B"/>
    <w:rsid w:val="00C12542"/>
    <w:rsid w:val="00C1402C"/>
    <w:rsid w:val="00C14B84"/>
    <w:rsid w:val="00C20131"/>
    <w:rsid w:val="00C22CE1"/>
    <w:rsid w:val="00C24DDC"/>
    <w:rsid w:val="00C2656B"/>
    <w:rsid w:val="00C269BC"/>
    <w:rsid w:val="00C34242"/>
    <w:rsid w:val="00C34784"/>
    <w:rsid w:val="00C37780"/>
    <w:rsid w:val="00C463DD"/>
    <w:rsid w:val="00C50AAB"/>
    <w:rsid w:val="00C62F76"/>
    <w:rsid w:val="00C662C6"/>
    <w:rsid w:val="00C66BC5"/>
    <w:rsid w:val="00C70DA8"/>
    <w:rsid w:val="00C718B4"/>
    <w:rsid w:val="00C745C3"/>
    <w:rsid w:val="00C80FCC"/>
    <w:rsid w:val="00C91469"/>
    <w:rsid w:val="00C924F2"/>
    <w:rsid w:val="00C92EC4"/>
    <w:rsid w:val="00CA66C1"/>
    <w:rsid w:val="00CC4E48"/>
    <w:rsid w:val="00CD3225"/>
    <w:rsid w:val="00CD4AA2"/>
    <w:rsid w:val="00CD7A04"/>
    <w:rsid w:val="00CE2CC5"/>
    <w:rsid w:val="00CE46BA"/>
    <w:rsid w:val="00CE4A8F"/>
    <w:rsid w:val="00CE60CD"/>
    <w:rsid w:val="00CE76D8"/>
    <w:rsid w:val="00CF73A5"/>
    <w:rsid w:val="00CF7514"/>
    <w:rsid w:val="00D021F1"/>
    <w:rsid w:val="00D02D0D"/>
    <w:rsid w:val="00D16A38"/>
    <w:rsid w:val="00D17B7B"/>
    <w:rsid w:val="00D2031B"/>
    <w:rsid w:val="00D234E4"/>
    <w:rsid w:val="00D2531E"/>
    <w:rsid w:val="00D25FE2"/>
    <w:rsid w:val="00D302B3"/>
    <w:rsid w:val="00D30A99"/>
    <w:rsid w:val="00D374BD"/>
    <w:rsid w:val="00D43252"/>
    <w:rsid w:val="00D4529D"/>
    <w:rsid w:val="00D46231"/>
    <w:rsid w:val="00D511CA"/>
    <w:rsid w:val="00D53910"/>
    <w:rsid w:val="00D6615E"/>
    <w:rsid w:val="00D66780"/>
    <w:rsid w:val="00D73366"/>
    <w:rsid w:val="00D74984"/>
    <w:rsid w:val="00D753D8"/>
    <w:rsid w:val="00D85F26"/>
    <w:rsid w:val="00D96CC5"/>
    <w:rsid w:val="00D96F6B"/>
    <w:rsid w:val="00D978C6"/>
    <w:rsid w:val="00DA051C"/>
    <w:rsid w:val="00DA15E0"/>
    <w:rsid w:val="00DA42D4"/>
    <w:rsid w:val="00DA57CC"/>
    <w:rsid w:val="00DA66FB"/>
    <w:rsid w:val="00DA67AD"/>
    <w:rsid w:val="00DB063B"/>
    <w:rsid w:val="00DB2B8B"/>
    <w:rsid w:val="00DB6BA1"/>
    <w:rsid w:val="00DC0A7B"/>
    <w:rsid w:val="00DD4FE9"/>
    <w:rsid w:val="00DE02F7"/>
    <w:rsid w:val="00DE5AE2"/>
    <w:rsid w:val="00DE6FB3"/>
    <w:rsid w:val="00DE7071"/>
    <w:rsid w:val="00DF1C6D"/>
    <w:rsid w:val="00DF5BAE"/>
    <w:rsid w:val="00DF6C0A"/>
    <w:rsid w:val="00E116BE"/>
    <w:rsid w:val="00E130AB"/>
    <w:rsid w:val="00E145C4"/>
    <w:rsid w:val="00E1679E"/>
    <w:rsid w:val="00E21C2A"/>
    <w:rsid w:val="00E21F98"/>
    <w:rsid w:val="00E23775"/>
    <w:rsid w:val="00E26C1D"/>
    <w:rsid w:val="00E312B0"/>
    <w:rsid w:val="00E326FF"/>
    <w:rsid w:val="00E34355"/>
    <w:rsid w:val="00E357F5"/>
    <w:rsid w:val="00E37BD1"/>
    <w:rsid w:val="00E409C8"/>
    <w:rsid w:val="00E4195A"/>
    <w:rsid w:val="00E429CD"/>
    <w:rsid w:val="00E479C9"/>
    <w:rsid w:val="00E52830"/>
    <w:rsid w:val="00E55C1E"/>
    <w:rsid w:val="00E5644E"/>
    <w:rsid w:val="00E608E2"/>
    <w:rsid w:val="00E60928"/>
    <w:rsid w:val="00E62AEE"/>
    <w:rsid w:val="00E66779"/>
    <w:rsid w:val="00E66E35"/>
    <w:rsid w:val="00E7260F"/>
    <w:rsid w:val="00E761B7"/>
    <w:rsid w:val="00E81230"/>
    <w:rsid w:val="00E827CB"/>
    <w:rsid w:val="00E8535A"/>
    <w:rsid w:val="00E91ACF"/>
    <w:rsid w:val="00E947C8"/>
    <w:rsid w:val="00E96630"/>
    <w:rsid w:val="00E96FCD"/>
    <w:rsid w:val="00EA0882"/>
    <w:rsid w:val="00EA33BC"/>
    <w:rsid w:val="00EA4C3D"/>
    <w:rsid w:val="00EA715E"/>
    <w:rsid w:val="00EA772F"/>
    <w:rsid w:val="00EB14AA"/>
    <w:rsid w:val="00EB1776"/>
    <w:rsid w:val="00EB6832"/>
    <w:rsid w:val="00EB6F20"/>
    <w:rsid w:val="00EC271A"/>
    <w:rsid w:val="00EC60D9"/>
    <w:rsid w:val="00ED2466"/>
    <w:rsid w:val="00ED7A2A"/>
    <w:rsid w:val="00EE07A6"/>
    <w:rsid w:val="00EE16B4"/>
    <w:rsid w:val="00EE56AB"/>
    <w:rsid w:val="00EF1D7F"/>
    <w:rsid w:val="00EF28C5"/>
    <w:rsid w:val="00EF301A"/>
    <w:rsid w:val="00EF7197"/>
    <w:rsid w:val="00F000EB"/>
    <w:rsid w:val="00F045FC"/>
    <w:rsid w:val="00F1363D"/>
    <w:rsid w:val="00F1592A"/>
    <w:rsid w:val="00F169CD"/>
    <w:rsid w:val="00F2344F"/>
    <w:rsid w:val="00F23EFD"/>
    <w:rsid w:val="00F261C2"/>
    <w:rsid w:val="00F32CA8"/>
    <w:rsid w:val="00F341CB"/>
    <w:rsid w:val="00F343F1"/>
    <w:rsid w:val="00F400AF"/>
    <w:rsid w:val="00F40B63"/>
    <w:rsid w:val="00F40E75"/>
    <w:rsid w:val="00F444D8"/>
    <w:rsid w:val="00F47D45"/>
    <w:rsid w:val="00F53328"/>
    <w:rsid w:val="00F54674"/>
    <w:rsid w:val="00F54ED1"/>
    <w:rsid w:val="00F55A88"/>
    <w:rsid w:val="00F64FA8"/>
    <w:rsid w:val="00F668F3"/>
    <w:rsid w:val="00F76BC9"/>
    <w:rsid w:val="00F80DA9"/>
    <w:rsid w:val="00F96565"/>
    <w:rsid w:val="00F97B46"/>
    <w:rsid w:val="00F97C88"/>
    <w:rsid w:val="00FB04FB"/>
    <w:rsid w:val="00FB360B"/>
    <w:rsid w:val="00FB3781"/>
    <w:rsid w:val="00FB5D33"/>
    <w:rsid w:val="00FC68B7"/>
    <w:rsid w:val="00FD3014"/>
    <w:rsid w:val="00FD446B"/>
    <w:rsid w:val="00FD6B2B"/>
    <w:rsid w:val="00FD7756"/>
    <w:rsid w:val="00FE1B35"/>
    <w:rsid w:val="00FE4DFC"/>
    <w:rsid w:val="00FE70F9"/>
    <w:rsid w:val="00FE7507"/>
    <w:rsid w:val="00FE755F"/>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AD85C"/>
  <w15:docId w15:val="{8155D567-FB6E-4DE8-942C-05FF57B7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M1">
    <w:name w:val="CM1"/>
    <w:basedOn w:val="Default"/>
    <w:next w:val="Default"/>
    <w:uiPriority w:val="99"/>
    <w:rsid w:val="00E66E35"/>
    <w:rPr>
      <w:color w:val="auto"/>
      <w:lang w:val="en-GB" w:eastAsia="en-GB"/>
    </w:rPr>
  </w:style>
  <w:style w:type="paragraph" w:customStyle="1" w:styleId="CM3">
    <w:name w:val="CM3"/>
    <w:basedOn w:val="Default"/>
    <w:next w:val="Default"/>
    <w:uiPriority w:val="99"/>
    <w:rsid w:val="00E66E35"/>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831F-EFAE-4E5B-A163-38D295DA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19</TotalTime>
  <Pages>4</Pages>
  <Words>1425</Words>
  <Characters>7655</Characters>
  <Application>Microsoft Office Word</Application>
  <DocSecurity>0</DocSecurity>
  <Lines>131</Lines>
  <Paragraphs>55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2018-09-26T09:40:00Z</cp:lastPrinted>
  <dcterms:created xsi:type="dcterms:W3CDTF">2018-09-26T08:40:00Z</dcterms:created>
  <dcterms:modified xsi:type="dcterms:W3CDTF">2018-09-26T09:42:00Z</dcterms:modified>
</cp:coreProperties>
</file>