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AE22" w14:textId="77777777" w:rsidR="00AF5B84" w:rsidRPr="009979EA" w:rsidRDefault="00AF5B84"/>
    <w:tbl>
      <w:tblPr>
        <w:tblpPr w:leftFromText="142" w:rightFromText="142" w:vertAnchor="page" w:horzAnchor="page" w:tblpX="1135" w:tblpY="568"/>
        <w:tblOverlap w:val="never"/>
        <w:tblW w:w="19278" w:type="dxa"/>
        <w:tblLayout w:type="fixed"/>
        <w:tblCellMar>
          <w:left w:w="0" w:type="dxa"/>
          <w:right w:w="0" w:type="dxa"/>
        </w:tblCellMar>
        <w:tblLook w:val="01E0" w:firstRow="1" w:lastRow="1" w:firstColumn="1" w:lastColumn="1" w:noHBand="0" w:noVBand="0"/>
      </w:tblPr>
      <w:tblGrid>
        <w:gridCol w:w="9639"/>
        <w:gridCol w:w="9639"/>
      </w:tblGrid>
      <w:tr w:rsidR="00E16005" w:rsidRPr="009979EA" w14:paraId="0019FB91" w14:textId="77777777" w:rsidTr="00FE138B">
        <w:trPr>
          <w:cantSplit/>
          <w:trHeight w:hRule="exact" w:val="851"/>
        </w:trPr>
        <w:tc>
          <w:tcPr>
            <w:tcW w:w="9639" w:type="dxa"/>
            <w:tcBorders>
              <w:bottom w:val="single" w:sz="4" w:space="0" w:color="auto"/>
            </w:tcBorders>
            <w:vAlign w:val="bottom"/>
          </w:tcPr>
          <w:p w14:paraId="6182233E" w14:textId="269AAF02" w:rsidR="00E16005" w:rsidRPr="009979EA" w:rsidRDefault="00E16005" w:rsidP="00E16005">
            <w:pPr>
              <w:spacing w:after="240" w:line="240" w:lineRule="auto"/>
              <w:jc w:val="right"/>
              <w:rPr>
                <w:b/>
                <w:sz w:val="40"/>
                <w:szCs w:val="40"/>
              </w:rPr>
            </w:pPr>
            <w:r w:rsidRPr="009979EA">
              <w:rPr>
                <w:b/>
                <w:sz w:val="40"/>
                <w:szCs w:val="40"/>
              </w:rPr>
              <w:t>UN/SCETDG/53/INF.</w:t>
            </w:r>
            <w:r w:rsidR="00D90CA3">
              <w:rPr>
                <w:b/>
                <w:sz w:val="40"/>
                <w:szCs w:val="40"/>
              </w:rPr>
              <w:t>67</w:t>
            </w:r>
          </w:p>
        </w:tc>
        <w:tc>
          <w:tcPr>
            <w:tcW w:w="9639" w:type="dxa"/>
            <w:tcBorders>
              <w:bottom w:val="single" w:sz="4" w:space="0" w:color="auto"/>
            </w:tcBorders>
            <w:vAlign w:val="bottom"/>
          </w:tcPr>
          <w:p w14:paraId="588EFA02" w14:textId="77777777" w:rsidR="00E16005" w:rsidRPr="009979EA" w:rsidRDefault="00E16005" w:rsidP="00E16005">
            <w:pPr>
              <w:jc w:val="right"/>
              <w:rPr>
                <w:b/>
                <w:sz w:val="40"/>
                <w:szCs w:val="40"/>
              </w:rPr>
            </w:pPr>
          </w:p>
        </w:tc>
      </w:tr>
      <w:tr w:rsidR="00E16005" w:rsidRPr="009979EA" w14:paraId="208B1AC3" w14:textId="77777777" w:rsidTr="00E16005">
        <w:trPr>
          <w:cantSplit/>
          <w:trHeight w:val="2456"/>
          <w:hidden/>
        </w:trPr>
        <w:tc>
          <w:tcPr>
            <w:tcW w:w="9639" w:type="dxa"/>
            <w:tcBorders>
              <w:top w:val="single" w:sz="4" w:space="0" w:color="auto"/>
            </w:tcBorders>
          </w:tcPr>
          <w:p w14:paraId="7FD49F2C" w14:textId="77777777" w:rsidR="00E16005" w:rsidRPr="009979EA" w:rsidRDefault="00E16005" w:rsidP="00E16005">
            <w:pPr>
              <w:spacing w:before="240" w:line="240" w:lineRule="auto"/>
              <w:rPr>
                <w:vanish/>
              </w:rPr>
            </w:pPr>
          </w:p>
          <w:p w14:paraId="1AEB4F5A" w14:textId="77777777" w:rsidR="00E16005" w:rsidRPr="009979EA" w:rsidRDefault="00E16005" w:rsidP="00E16005">
            <w:pPr>
              <w:spacing w:before="120" w:line="240" w:lineRule="auto"/>
              <w:rPr>
                <w:b/>
                <w:sz w:val="24"/>
                <w:szCs w:val="24"/>
              </w:rPr>
            </w:pPr>
            <w:r w:rsidRPr="009979EA">
              <w:rPr>
                <w:b/>
                <w:sz w:val="24"/>
                <w:szCs w:val="24"/>
              </w:rPr>
              <w:t>Committee of Experts on the Transport of Dangerous Goods</w:t>
            </w:r>
            <w:r w:rsidRPr="009979EA">
              <w:rPr>
                <w:b/>
                <w:sz w:val="24"/>
                <w:szCs w:val="24"/>
              </w:rPr>
              <w:br/>
              <w:t>and on the Globally Harmonized System of Classification</w:t>
            </w:r>
            <w:r w:rsidRPr="009979EA">
              <w:rPr>
                <w:b/>
                <w:sz w:val="24"/>
                <w:szCs w:val="24"/>
              </w:rPr>
              <w:br/>
              <w:t>and Labelling of Chemicals</w:t>
            </w:r>
          </w:p>
          <w:p w14:paraId="504FF441" w14:textId="77777777" w:rsidR="00E16005" w:rsidRPr="009979EA" w:rsidRDefault="00E16005" w:rsidP="00E16005">
            <w:pPr>
              <w:tabs>
                <w:tab w:val="left" w:pos="8000"/>
              </w:tabs>
              <w:spacing w:before="120" w:line="240" w:lineRule="auto"/>
              <w:rPr>
                <w:b/>
              </w:rPr>
            </w:pPr>
            <w:r w:rsidRPr="009979EA">
              <w:rPr>
                <w:b/>
              </w:rPr>
              <w:t>Sub-Committee of Experts on the Transport of Dangerous Goods</w:t>
            </w:r>
            <w:r w:rsidRPr="009979EA">
              <w:rPr>
                <w:b/>
              </w:rPr>
              <w:tab/>
              <w:t>29 June 2018</w:t>
            </w:r>
          </w:p>
          <w:p w14:paraId="265A432C" w14:textId="77777777" w:rsidR="00E16005" w:rsidRPr="009979EA" w:rsidRDefault="00E16005" w:rsidP="00E16005">
            <w:pPr>
              <w:spacing w:before="120"/>
              <w:rPr>
                <w:b/>
              </w:rPr>
            </w:pPr>
            <w:r w:rsidRPr="009979EA">
              <w:rPr>
                <w:b/>
              </w:rPr>
              <w:t>Fifty-third session</w:t>
            </w:r>
          </w:p>
          <w:p w14:paraId="6FCFB57D" w14:textId="77777777" w:rsidR="00E16005" w:rsidRPr="009979EA" w:rsidRDefault="00E16005" w:rsidP="00E16005">
            <w:r w:rsidRPr="009979EA">
              <w:t xml:space="preserve">Geneva, </w:t>
            </w:r>
            <w:r w:rsidR="000A2AD3" w:rsidRPr="009979EA">
              <w:t>25 June – 4 July 2018</w:t>
            </w:r>
          </w:p>
          <w:p w14:paraId="0E7279B2" w14:textId="25D680E2" w:rsidR="00E16005" w:rsidRPr="009979EA" w:rsidRDefault="00E16005" w:rsidP="00E16005">
            <w:pPr>
              <w:spacing w:line="240" w:lineRule="auto"/>
            </w:pPr>
            <w:r w:rsidRPr="009979EA">
              <w:t>Item 2</w:t>
            </w:r>
            <w:r w:rsidR="00037C4D">
              <w:t>, 10(d)</w:t>
            </w:r>
            <w:r w:rsidRPr="009979EA">
              <w:t xml:space="preserve"> and 10(</w:t>
            </w:r>
            <w:r w:rsidR="00037C4D">
              <w:t>e</w:t>
            </w:r>
            <w:r w:rsidRPr="009979EA">
              <w:t>) of the provisional agenda</w:t>
            </w:r>
          </w:p>
          <w:p w14:paraId="58B349C0" w14:textId="3E2A2FF3" w:rsidR="00E16005" w:rsidRPr="009979EA" w:rsidRDefault="00E16005" w:rsidP="00E16005">
            <w:pPr>
              <w:spacing w:after="240" w:line="240" w:lineRule="auto"/>
              <w:rPr>
                <w:b/>
              </w:rPr>
            </w:pPr>
            <w:r w:rsidRPr="009979EA">
              <w:rPr>
                <w:b/>
              </w:rPr>
              <w:t>Explosives and related matters,</w:t>
            </w:r>
            <w:r w:rsidRPr="009979EA">
              <w:t xml:space="preserve"> </w:t>
            </w:r>
            <w:r w:rsidRPr="009979EA">
              <w:rPr>
                <w:b/>
              </w:rPr>
              <w:t xml:space="preserve">Use of the Manual of Tests and </w:t>
            </w:r>
            <w:r w:rsidR="00D8738D">
              <w:rPr>
                <w:b/>
              </w:rPr>
              <w:br/>
            </w:r>
            <w:r w:rsidRPr="009979EA">
              <w:rPr>
                <w:b/>
              </w:rPr>
              <w:t>Criteria in the context of the GHS</w:t>
            </w:r>
            <w:r w:rsidR="00D8738D">
              <w:rPr>
                <w:b/>
              </w:rPr>
              <w:t>:</w:t>
            </w:r>
            <w:r w:rsidR="00D8738D">
              <w:rPr>
                <w:b/>
              </w:rPr>
              <w:br/>
              <w:t>j</w:t>
            </w:r>
            <w:r w:rsidR="00C55C44" w:rsidRPr="00C55C44">
              <w:rPr>
                <w:b/>
              </w:rPr>
              <w:t>oint work with the GHS Sub-Committee</w:t>
            </w:r>
          </w:p>
        </w:tc>
        <w:tc>
          <w:tcPr>
            <w:tcW w:w="9639" w:type="dxa"/>
            <w:tcBorders>
              <w:top w:val="single" w:sz="4" w:space="0" w:color="auto"/>
            </w:tcBorders>
          </w:tcPr>
          <w:p w14:paraId="71212B68" w14:textId="77777777" w:rsidR="00E16005" w:rsidRPr="009979EA" w:rsidRDefault="00E16005" w:rsidP="00E16005">
            <w:pPr>
              <w:spacing w:after="240"/>
              <w:rPr>
                <w:b/>
              </w:rPr>
            </w:pPr>
          </w:p>
        </w:tc>
      </w:tr>
    </w:tbl>
    <w:p w14:paraId="138E6690" w14:textId="77777777" w:rsidR="00950D47" w:rsidRPr="009979EA" w:rsidRDefault="00624A20" w:rsidP="00624A20">
      <w:pPr>
        <w:pStyle w:val="HChG"/>
      </w:pPr>
      <w:r w:rsidRPr="009979EA">
        <w:tab/>
      </w:r>
      <w:r w:rsidRPr="009979EA">
        <w:tab/>
      </w:r>
      <w:r w:rsidR="00A50AA8" w:rsidRPr="009979EA">
        <w:t>Report of the Working Group on Explosives</w:t>
      </w:r>
    </w:p>
    <w:p w14:paraId="59014CDF" w14:textId="5ED471E8" w:rsidR="00950D47" w:rsidRPr="009979EA" w:rsidRDefault="00624A20" w:rsidP="00624A20">
      <w:pPr>
        <w:pStyle w:val="H1G"/>
      </w:pPr>
      <w:r w:rsidRPr="009979EA">
        <w:tab/>
      </w:r>
      <w:r w:rsidRPr="009979EA">
        <w:tab/>
      </w:r>
      <w:r w:rsidR="00A50AA8" w:rsidRPr="009979EA">
        <w:t xml:space="preserve">Transmitted by the </w:t>
      </w:r>
      <w:r w:rsidR="00FF2859" w:rsidRPr="009979EA">
        <w:t>C</w:t>
      </w:r>
      <w:r w:rsidR="00A50AA8" w:rsidRPr="009979EA">
        <w:t>hairman of the Working Group</w:t>
      </w:r>
    </w:p>
    <w:p w14:paraId="21EEE772" w14:textId="77777777" w:rsidR="00950D47" w:rsidRPr="009979EA" w:rsidRDefault="00624A20" w:rsidP="00624A20">
      <w:pPr>
        <w:pStyle w:val="HChG"/>
      </w:pPr>
      <w:r w:rsidRPr="009979EA">
        <w:tab/>
      </w:r>
      <w:r w:rsidRPr="009979EA">
        <w:tab/>
      </w:r>
      <w:r w:rsidR="00A50AA8" w:rsidRPr="009979EA">
        <w:t>Introduction</w:t>
      </w:r>
    </w:p>
    <w:p w14:paraId="6531D17C" w14:textId="6BCAF234" w:rsidR="00E16005" w:rsidRPr="009979EA" w:rsidRDefault="00E16005" w:rsidP="00695957">
      <w:pPr>
        <w:pStyle w:val="SingleTxtG"/>
        <w:numPr>
          <w:ilvl w:val="0"/>
          <w:numId w:val="4"/>
        </w:numPr>
        <w:spacing w:line="240" w:lineRule="auto"/>
        <w:ind w:right="39"/>
      </w:pPr>
      <w:r w:rsidRPr="009979EA">
        <w:t xml:space="preserve">The working group met from </w:t>
      </w:r>
      <w:r w:rsidR="000A2AD3" w:rsidRPr="009979EA">
        <w:t>25 – 29 June 2018</w:t>
      </w:r>
      <w:r w:rsidRPr="009979EA">
        <w:t xml:space="preserve"> in a parallel session to the plenary meeting of the Sub-Committee of Experts on the Transport of Dangerous Goods. This meeting of the working group was well attended with </w:t>
      </w:r>
      <w:r w:rsidR="00861561">
        <w:t>34</w:t>
      </w:r>
      <w:r w:rsidRPr="009979EA">
        <w:t xml:space="preserve"> experts in attendance from </w:t>
      </w:r>
      <w:r w:rsidR="008D2440" w:rsidRPr="008D2440">
        <w:t>Belgium, Canada, Finland, France, Germany, Japan, Netherlands, Spain, Sweden, United Kingdom, United States of America</w:t>
      </w:r>
      <w:r w:rsidRPr="009979EA">
        <w:t xml:space="preserve">, </w:t>
      </w:r>
      <w:bookmarkStart w:id="0" w:name="_Hlk517895333"/>
      <w:r w:rsidRPr="009979EA">
        <w:t xml:space="preserve">Australian Explosives Industry and Safety Group (AEISG), Council on Safe Transportation of Hazardous Articles (COSTHA), </w:t>
      </w:r>
      <w:r w:rsidR="00695957" w:rsidRPr="00695957">
        <w:t>European Association of Automotive Suppliers (CLEPA)</w:t>
      </w:r>
      <w:r w:rsidR="00695957">
        <w:t xml:space="preserve">, </w:t>
      </w:r>
      <w:r w:rsidRPr="009979EA">
        <w:t>European Chemical Industry Council (CEFIC), Institute of Makers of Explosives (IME),</w:t>
      </w:r>
      <w:r w:rsidR="00C55C44">
        <w:t xml:space="preserve"> and</w:t>
      </w:r>
      <w:r w:rsidRPr="009979EA">
        <w:t xml:space="preserve"> Sporting Arms and Ammunition Manufacturers' Institute (SAAMI)</w:t>
      </w:r>
      <w:bookmarkEnd w:id="0"/>
      <w:r w:rsidRPr="009979EA">
        <w:t>. Annex 1 of this report provides a list of participants.  The group was tasked to discuss technical matters related to official papers and to discuss informal papers as time allowed.  Mr. Ed de Jong (Netherlands) served as chair of the working group and Mr. David Boston (IME)</w:t>
      </w:r>
      <w:r w:rsidR="00695957">
        <w:t>,</w:t>
      </w:r>
      <w:r w:rsidRPr="009979EA">
        <w:t xml:space="preserve"> as secretary.</w:t>
      </w:r>
    </w:p>
    <w:p w14:paraId="433E706B" w14:textId="6145259E" w:rsidR="00E16005" w:rsidRDefault="00E16005" w:rsidP="00FE138B">
      <w:pPr>
        <w:pStyle w:val="SingleTxtG"/>
        <w:numPr>
          <w:ilvl w:val="0"/>
          <w:numId w:val="4"/>
        </w:numPr>
        <w:spacing w:line="240" w:lineRule="auto"/>
        <w:ind w:right="1"/>
      </w:pPr>
      <w:r w:rsidRPr="009979EA">
        <w:t xml:space="preserve">The working group met </w:t>
      </w:r>
      <w:r w:rsidR="00695957">
        <w:t>from Monday through Thursday</w:t>
      </w:r>
      <w:r w:rsidRPr="009979EA">
        <w:t xml:space="preserve"> to consider the papers assigned to it by the Sub-Committee </w:t>
      </w:r>
      <w:r w:rsidR="00695957">
        <w:t xml:space="preserve">and on Friday morning to review and approve this report.  The latter half of Thursday was spent informally </w:t>
      </w:r>
      <w:r w:rsidRPr="009979EA">
        <w:t>discuss</w:t>
      </w:r>
      <w:r w:rsidR="00695957">
        <w:t>ing</w:t>
      </w:r>
      <w:r w:rsidRPr="009979EA">
        <w:t xml:space="preserve"> other matters of interest</w:t>
      </w:r>
      <w:r w:rsidR="00695957">
        <w:t xml:space="preserve"> while the secretary prepared this report</w:t>
      </w:r>
      <w:r w:rsidRPr="009979EA">
        <w:t>.  Those informal discussions are not reported herein.</w:t>
      </w:r>
      <w:r w:rsidR="00E15F76">
        <w:t xml:space="preserve">  Throughout this report, the following abbreviations may be used:</w:t>
      </w:r>
    </w:p>
    <w:p w14:paraId="4B667C4E" w14:textId="77777777" w:rsidR="00E15F76" w:rsidRPr="009979EA" w:rsidRDefault="00E15F76" w:rsidP="005C593C">
      <w:pPr>
        <w:pStyle w:val="SingleTxtG"/>
        <w:numPr>
          <w:ilvl w:val="0"/>
          <w:numId w:val="19"/>
        </w:numPr>
        <w:spacing w:line="240" w:lineRule="auto"/>
        <w:ind w:right="1"/>
        <w:contextualSpacing/>
      </w:pPr>
      <w:r>
        <w:t>EWG – Working Group on Explosives</w:t>
      </w:r>
    </w:p>
    <w:p w14:paraId="35BB93DA" w14:textId="3B972260" w:rsidR="00E15F76" w:rsidRDefault="00E15F76" w:rsidP="005C593C">
      <w:pPr>
        <w:pStyle w:val="SingleTxtG"/>
        <w:numPr>
          <w:ilvl w:val="0"/>
          <w:numId w:val="19"/>
        </w:numPr>
        <w:spacing w:line="240" w:lineRule="auto"/>
        <w:ind w:right="1"/>
        <w:contextualSpacing/>
      </w:pPr>
      <w:r>
        <w:t>GHS – Globally Harmonized System</w:t>
      </w:r>
    </w:p>
    <w:p w14:paraId="7823F207" w14:textId="77777777" w:rsidR="00E15F76" w:rsidRDefault="00E15F76" w:rsidP="005C593C">
      <w:pPr>
        <w:pStyle w:val="SingleTxtG"/>
        <w:numPr>
          <w:ilvl w:val="0"/>
          <w:numId w:val="19"/>
        </w:numPr>
        <w:spacing w:line="240" w:lineRule="auto"/>
        <w:ind w:right="1"/>
        <w:contextualSpacing/>
      </w:pPr>
      <w:r>
        <w:t>MTC – Manual of Tests and Criteria</w:t>
      </w:r>
    </w:p>
    <w:p w14:paraId="1608DC99" w14:textId="77777777" w:rsidR="00E15F76" w:rsidRDefault="00E15F76" w:rsidP="005C593C">
      <w:pPr>
        <w:pStyle w:val="SingleTxtG"/>
        <w:numPr>
          <w:ilvl w:val="0"/>
          <w:numId w:val="19"/>
        </w:numPr>
        <w:spacing w:line="240" w:lineRule="auto"/>
        <w:ind w:right="0"/>
        <w:contextualSpacing/>
      </w:pPr>
      <w:r>
        <w:t>TDG – Transportation of Dangerous Goods</w:t>
      </w:r>
    </w:p>
    <w:p w14:paraId="4D6B81B3" w14:textId="77777777" w:rsidR="00E16005" w:rsidRPr="009979EA" w:rsidRDefault="00E16005" w:rsidP="00E15F76">
      <w:pPr>
        <w:pStyle w:val="SingleTxtG"/>
        <w:numPr>
          <w:ilvl w:val="0"/>
          <w:numId w:val="4"/>
        </w:numPr>
        <w:spacing w:before="240" w:line="240" w:lineRule="auto"/>
        <w:ind w:right="1138"/>
      </w:pPr>
      <w:r w:rsidRPr="009979EA">
        <w:t>The working group was tasked by the Sub-Committee to review the following documents:</w:t>
      </w:r>
    </w:p>
    <w:tbl>
      <w:tblPr>
        <w:tblW w:w="8531" w:type="dxa"/>
        <w:tblInd w:w="1108" w:type="dxa"/>
        <w:tblCellMar>
          <w:top w:w="29" w:type="dxa"/>
          <w:left w:w="115" w:type="dxa"/>
          <w:bottom w:w="29" w:type="dxa"/>
          <w:right w:w="115" w:type="dxa"/>
        </w:tblCellMar>
        <w:tblLook w:val="0000" w:firstRow="0" w:lastRow="0" w:firstColumn="0" w:lastColumn="0" w:noHBand="0" w:noVBand="0"/>
      </w:tblPr>
      <w:tblGrid>
        <w:gridCol w:w="3084"/>
        <w:gridCol w:w="4268"/>
        <w:gridCol w:w="1179"/>
      </w:tblGrid>
      <w:tr w:rsidR="009D3BD0" w:rsidRPr="009979EA" w14:paraId="3B354862" w14:textId="613EA379" w:rsidTr="009D3BD0">
        <w:trPr>
          <w:cantSplit/>
          <w:trHeight w:val="255"/>
          <w:tblHeader/>
        </w:trPr>
        <w:tc>
          <w:tcPr>
            <w:tcW w:w="3084" w:type="dxa"/>
            <w:tcBorders>
              <w:top w:val="nil"/>
              <w:left w:val="nil"/>
              <w:right w:val="nil"/>
            </w:tcBorders>
            <w:shd w:val="clear" w:color="auto" w:fill="auto"/>
          </w:tcPr>
          <w:p w14:paraId="198F25E1" w14:textId="77777777" w:rsidR="009D3BD0" w:rsidRPr="006B5B95" w:rsidRDefault="009D3BD0" w:rsidP="00FE138B">
            <w:pPr>
              <w:suppressAutoHyphens w:val="0"/>
              <w:spacing w:line="240" w:lineRule="auto"/>
              <w:ind w:left="213" w:hanging="213"/>
              <w:rPr>
                <w:b/>
                <w:bCs/>
              </w:rPr>
            </w:pPr>
            <w:r w:rsidRPr="006B5B95">
              <w:rPr>
                <w:b/>
                <w:bCs/>
              </w:rPr>
              <w:t>Document</w:t>
            </w:r>
          </w:p>
        </w:tc>
        <w:tc>
          <w:tcPr>
            <w:tcW w:w="4268" w:type="dxa"/>
            <w:tcBorders>
              <w:top w:val="nil"/>
              <w:left w:val="nil"/>
              <w:right w:val="nil"/>
            </w:tcBorders>
            <w:shd w:val="clear" w:color="auto" w:fill="auto"/>
          </w:tcPr>
          <w:p w14:paraId="23ACE761" w14:textId="77777777" w:rsidR="009D3BD0" w:rsidRPr="006B5B95" w:rsidRDefault="009D3BD0" w:rsidP="00FE138B">
            <w:pPr>
              <w:suppressAutoHyphens w:val="0"/>
              <w:spacing w:line="240" w:lineRule="auto"/>
              <w:ind w:left="264" w:hanging="264"/>
              <w:rPr>
                <w:b/>
                <w:bCs/>
              </w:rPr>
            </w:pPr>
            <w:r w:rsidRPr="006B5B95">
              <w:rPr>
                <w:b/>
                <w:bCs/>
              </w:rPr>
              <w:t>Title</w:t>
            </w:r>
          </w:p>
        </w:tc>
        <w:tc>
          <w:tcPr>
            <w:tcW w:w="1179" w:type="dxa"/>
            <w:tcBorders>
              <w:top w:val="nil"/>
              <w:left w:val="nil"/>
              <w:right w:val="nil"/>
            </w:tcBorders>
          </w:tcPr>
          <w:p w14:paraId="3B124083" w14:textId="34ADDB90" w:rsidR="009D3BD0" w:rsidRPr="009979EA" w:rsidRDefault="009D3BD0" w:rsidP="009D3BD0">
            <w:pPr>
              <w:suppressAutoHyphens w:val="0"/>
              <w:spacing w:line="240" w:lineRule="auto"/>
              <w:ind w:left="264" w:hanging="264"/>
              <w:jc w:val="center"/>
              <w:rPr>
                <w:b/>
                <w:bCs/>
              </w:rPr>
            </w:pPr>
            <w:r>
              <w:rPr>
                <w:b/>
                <w:bCs/>
              </w:rPr>
              <w:t>Paragraph</w:t>
            </w:r>
          </w:p>
        </w:tc>
      </w:tr>
      <w:tr w:rsidR="009D3BD0" w:rsidRPr="009979EA" w14:paraId="44114C74" w14:textId="7126E606" w:rsidTr="009D3BD0">
        <w:trPr>
          <w:cantSplit/>
          <w:trHeight w:val="20"/>
        </w:trPr>
        <w:tc>
          <w:tcPr>
            <w:tcW w:w="3084" w:type="dxa"/>
            <w:tcBorders>
              <w:top w:val="nil"/>
              <w:left w:val="nil"/>
              <w:bottom w:val="nil"/>
              <w:right w:val="nil"/>
            </w:tcBorders>
            <w:shd w:val="clear" w:color="auto" w:fill="E6E6E6"/>
          </w:tcPr>
          <w:p w14:paraId="123DC3F7" w14:textId="77777777" w:rsidR="009D3BD0" w:rsidRPr="006B5B95" w:rsidRDefault="009D3BD0" w:rsidP="00FE138B">
            <w:pPr>
              <w:suppressAutoHyphens w:val="0"/>
              <w:spacing w:line="240" w:lineRule="auto"/>
              <w:ind w:left="213" w:hanging="213"/>
              <w:rPr>
                <w:iCs/>
                <w:sz w:val="18"/>
                <w:u w:val="single"/>
              </w:rPr>
            </w:pPr>
            <w:r w:rsidRPr="006B5B95">
              <w:rPr>
                <w:iCs/>
                <w:sz w:val="18"/>
                <w:u w:val="single"/>
              </w:rPr>
              <w:t>Agenda Item 2(b)</w:t>
            </w:r>
            <w:bookmarkStart w:id="1" w:name="_GoBack"/>
            <w:bookmarkEnd w:id="1"/>
          </w:p>
        </w:tc>
        <w:tc>
          <w:tcPr>
            <w:tcW w:w="4268" w:type="dxa"/>
            <w:tcBorders>
              <w:top w:val="nil"/>
              <w:left w:val="nil"/>
              <w:bottom w:val="nil"/>
              <w:right w:val="nil"/>
            </w:tcBorders>
            <w:shd w:val="clear" w:color="auto" w:fill="E6E6E6"/>
          </w:tcPr>
          <w:p w14:paraId="669382E4" w14:textId="77777777" w:rsidR="009D3BD0" w:rsidRPr="006B5B95" w:rsidRDefault="009D3BD0" w:rsidP="00FE138B">
            <w:pPr>
              <w:suppressAutoHyphens w:val="0"/>
              <w:spacing w:line="240" w:lineRule="auto"/>
              <w:rPr>
                <w:iCs/>
                <w:sz w:val="18"/>
                <w:u w:val="single"/>
              </w:rPr>
            </w:pPr>
            <w:r w:rsidRPr="006B5B95">
              <w:rPr>
                <w:iCs/>
                <w:sz w:val="18"/>
                <w:u w:val="single"/>
              </w:rPr>
              <w:t>Review of tests in parts I, II and III of the Manual of Tests and Criteria</w:t>
            </w:r>
          </w:p>
        </w:tc>
        <w:tc>
          <w:tcPr>
            <w:tcW w:w="1179" w:type="dxa"/>
            <w:tcBorders>
              <w:top w:val="nil"/>
              <w:left w:val="nil"/>
              <w:bottom w:val="nil"/>
              <w:right w:val="nil"/>
            </w:tcBorders>
            <w:shd w:val="clear" w:color="auto" w:fill="E6E6E6"/>
          </w:tcPr>
          <w:p w14:paraId="7C5356B5" w14:textId="1FE73AC8" w:rsidR="009D3BD0" w:rsidRPr="009D3BD0" w:rsidRDefault="009D3BD0" w:rsidP="009D3BD0">
            <w:pPr>
              <w:suppressAutoHyphens w:val="0"/>
              <w:spacing w:line="240" w:lineRule="auto"/>
              <w:jc w:val="center"/>
              <w:rPr>
                <w:iCs/>
                <w:sz w:val="18"/>
              </w:rPr>
            </w:pPr>
          </w:p>
        </w:tc>
      </w:tr>
      <w:tr w:rsidR="00657299" w:rsidRPr="001637A8" w14:paraId="0BDFB8B8" w14:textId="77777777" w:rsidTr="0098592F">
        <w:trPr>
          <w:cantSplit/>
          <w:trHeight w:val="20"/>
        </w:trPr>
        <w:tc>
          <w:tcPr>
            <w:tcW w:w="3084" w:type="dxa"/>
            <w:tcBorders>
              <w:top w:val="nil"/>
              <w:left w:val="nil"/>
              <w:right w:val="nil"/>
            </w:tcBorders>
            <w:shd w:val="clear" w:color="auto" w:fill="auto"/>
          </w:tcPr>
          <w:p w14:paraId="277E3D0F" w14:textId="3DC83650" w:rsidR="00657299" w:rsidRPr="001637A8" w:rsidRDefault="00657299" w:rsidP="0098592F">
            <w:pPr>
              <w:suppressAutoHyphens w:val="0"/>
              <w:spacing w:line="240" w:lineRule="auto"/>
              <w:ind w:left="216" w:hanging="216"/>
              <w:rPr>
                <w:i/>
                <w:iCs/>
                <w:sz w:val="18"/>
              </w:rPr>
            </w:pPr>
            <w:r>
              <w:rPr>
                <w:i/>
                <w:iCs/>
                <w:sz w:val="18"/>
              </w:rPr>
              <w:t xml:space="preserve">UN/SCETDG/53/INF.22 </w:t>
            </w:r>
            <w:r w:rsidRPr="007B30EB">
              <w:rPr>
                <w:i/>
                <w:iCs/>
                <w:sz w:val="18"/>
              </w:rPr>
              <w:t>(</w:t>
            </w:r>
            <w:r>
              <w:rPr>
                <w:i/>
                <w:iCs/>
                <w:sz w:val="18"/>
              </w:rPr>
              <w:t>IME</w:t>
            </w:r>
            <w:r w:rsidRPr="007B30EB">
              <w:rPr>
                <w:i/>
                <w:iCs/>
                <w:sz w:val="18"/>
              </w:rPr>
              <w:t>)</w:t>
            </w:r>
          </w:p>
        </w:tc>
        <w:tc>
          <w:tcPr>
            <w:tcW w:w="4268" w:type="dxa"/>
            <w:tcBorders>
              <w:top w:val="nil"/>
              <w:left w:val="nil"/>
              <w:right w:val="nil"/>
            </w:tcBorders>
            <w:shd w:val="clear" w:color="auto" w:fill="auto"/>
          </w:tcPr>
          <w:p w14:paraId="30F92DE9" w14:textId="729517E5" w:rsidR="00657299" w:rsidRPr="001637A8" w:rsidRDefault="00657299" w:rsidP="0098592F">
            <w:pPr>
              <w:suppressAutoHyphens w:val="0"/>
              <w:spacing w:line="240" w:lineRule="auto"/>
              <w:rPr>
                <w:i/>
                <w:iCs/>
                <w:sz w:val="18"/>
              </w:rPr>
            </w:pPr>
            <w:r w:rsidRPr="00657299">
              <w:rPr>
                <w:i/>
                <w:iCs/>
                <w:sz w:val="18"/>
              </w:rPr>
              <w:t>Recommendations for Test Series 8</w:t>
            </w:r>
          </w:p>
        </w:tc>
        <w:tc>
          <w:tcPr>
            <w:tcW w:w="1179" w:type="dxa"/>
            <w:tcBorders>
              <w:top w:val="nil"/>
              <w:left w:val="nil"/>
              <w:right w:val="nil"/>
            </w:tcBorders>
          </w:tcPr>
          <w:p w14:paraId="626305BB" w14:textId="02F5ACE4" w:rsidR="00657299" w:rsidRPr="001637A8" w:rsidRDefault="00D143B0" w:rsidP="0098592F">
            <w:pPr>
              <w:suppressAutoHyphens w:val="0"/>
              <w:spacing w:line="240" w:lineRule="auto"/>
              <w:jc w:val="center"/>
              <w:rPr>
                <w:i/>
                <w:iCs/>
                <w:sz w:val="18"/>
              </w:rPr>
            </w:pPr>
            <w:r>
              <w:rPr>
                <w:i/>
                <w:iCs/>
                <w:sz w:val="18"/>
              </w:rPr>
              <w:t>4</w:t>
            </w:r>
          </w:p>
        </w:tc>
      </w:tr>
      <w:tr w:rsidR="0098592F" w:rsidRPr="001637A8" w14:paraId="5051F02C" w14:textId="77777777" w:rsidTr="0098592F">
        <w:trPr>
          <w:cantSplit/>
          <w:trHeight w:val="20"/>
        </w:trPr>
        <w:tc>
          <w:tcPr>
            <w:tcW w:w="3084" w:type="dxa"/>
            <w:tcBorders>
              <w:top w:val="nil"/>
              <w:left w:val="nil"/>
              <w:right w:val="nil"/>
            </w:tcBorders>
            <w:shd w:val="clear" w:color="auto" w:fill="auto"/>
          </w:tcPr>
          <w:p w14:paraId="0B890688" w14:textId="2C1FB601" w:rsidR="0098592F" w:rsidRPr="001637A8" w:rsidRDefault="0098592F" w:rsidP="0098592F">
            <w:pPr>
              <w:keepNext/>
              <w:suppressAutoHyphens w:val="0"/>
              <w:spacing w:line="240" w:lineRule="auto"/>
              <w:ind w:left="213" w:hanging="213"/>
              <w:rPr>
                <w:i/>
                <w:iCs/>
                <w:sz w:val="18"/>
              </w:rPr>
            </w:pPr>
            <w:r>
              <w:rPr>
                <w:i/>
                <w:iCs/>
                <w:sz w:val="18"/>
              </w:rPr>
              <w:lastRenderedPageBreak/>
              <w:t xml:space="preserve">UN/SCETDG/53/INF.39 </w:t>
            </w:r>
            <w:r w:rsidRPr="007B30EB">
              <w:rPr>
                <w:i/>
                <w:iCs/>
                <w:sz w:val="18"/>
              </w:rPr>
              <w:t>(</w:t>
            </w:r>
            <w:r>
              <w:rPr>
                <w:i/>
                <w:iCs/>
                <w:sz w:val="18"/>
              </w:rPr>
              <w:t>Sweden</w:t>
            </w:r>
            <w:r w:rsidRPr="007B30EB">
              <w:rPr>
                <w:i/>
                <w:iCs/>
                <w:sz w:val="18"/>
              </w:rPr>
              <w:t>)</w:t>
            </w:r>
          </w:p>
        </w:tc>
        <w:tc>
          <w:tcPr>
            <w:tcW w:w="4268" w:type="dxa"/>
            <w:tcBorders>
              <w:top w:val="nil"/>
              <w:left w:val="nil"/>
              <w:right w:val="nil"/>
            </w:tcBorders>
            <w:shd w:val="clear" w:color="auto" w:fill="auto"/>
          </w:tcPr>
          <w:p w14:paraId="22CC3805" w14:textId="44D7056B" w:rsidR="0098592F" w:rsidRPr="001637A8" w:rsidRDefault="0098592F" w:rsidP="0098592F">
            <w:pPr>
              <w:suppressAutoHyphens w:val="0"/>
              <w:spacing w:line="240" w:lineRule="auto"/>
              <w:rPr>
                <w:i/>
                <w:iCs/>
                <w:sz w:val="18"/>
              </w:rPr>
            </w:pPr>
            <w:r w:rsidRPr="0098592F">
              <w:rPr>
                <w:i/>
                <w:iCs/>
                <w:sz w:val="18"/>
              </w:rPr>
              <w:t>Inconsequent use of term “a practical explosive or pyrotechnic effect” in the Model Regulations and the Manual of Tests and Criteria</w:t>
            </w:r>
          </w:p>
        </w:tc>
        <w:tc>
          <w:tcPr>
            <w:tcW w:w="1179" w:type="dxa"/>
            <w:tcBorders>
              <w:top w:val="nil"/>
              <w:left w:val="nil"/>
              <w:right w:val="nil"/>
            </w:tcBorders>
          </w:tcPr>
          <w:p w14:paraId="0F8DDC87" w14:textId="769A1804" w:rsidR="0098592F" w:rsidRPr="001637A8" w:rsidRDefault="00D143B0" w:rsidP="0098592F">
            <w:pPr>
              <w:suppressAutoHyphens w:val="0"/>
              <w:spacing w:line="240" w:lineRule="auto"/>
              <w:jc w:val="center"/>
              <w:rPr>
                <w:i/>
                <w:iCs/>
                <w:sz w:val="18"/>
              </w:rPr>
            </w:pPr>
            <w:r>
              <w:rPr>
                <w:i/>
                <w:iCs/>
                <w:sz w:val="18"/>
              </w:rPr>
              <w:t>5</w:t>
            </w:r>
          </w:p>
        </w:tc>
      </w:tr>
      <w:tr w:rsidR="009D3BD0" w:rsidRPr="009979EA" w14:paraId="32536DB9" w14:textId="4FBE4AFB" w:rsidTr="009D3BD0">
        <w:trPr>
          <w:cantSplit/>
          <w:trHeight w:val="20"/>
        </w:trPr>
        <w:tc>
          <w:tcPr>
            <w:tcW w:w="3084" w:type="dxa"/>
            <w:tcBorders>
              <w:top w:val="nil"/>
              <w:left w:val="nil"/>
              <w:bottom w:val="nil"/>
              <w:right w:val="nil"/>
            </w:tcBorders>
            <w:shd w:val="clear" w:color="auto" w:fill="E6E6E6"/>
          </w:tcPr>
          <w:p w14:paraId="6D756048" w14:textId="77777777" w:rsidR="009D3BD0" w:rsidRPr="006B5B95" w:rsidRDefault="009D3BD0" w:rsidP="00FE138B">
            <w:pPr>
              <w:suppressAutoHyphens w:val="0"/>
              <w:spacing w:line="240" w:lineRule="auto"/>
              <w:ind w:left="213" w:hanging="213"/>
              <w:rPr>
                <w:iCs/>
                <w:sz w:val="18"/>
                <w:u w:val="single"/>
              </w:rPr>
            </w:pPr>
            <w:r w:rsidRPr="006B5B95">
              <w:rPr>
                <w:iCs/>
                <w:sz w:val="18"/>
                <w:u w:val="single"/>
              </w:rPr>
              <w:t>Agenda Item 2(c)</w:t>
            </w:r>
          </w:p>
        </w:tc>
        <w:tc>
          <w:tcPr>
            <w:tcW w:w="4268" w:type="dxa"/>
            <w:tcBorders>
              <w:top w:val="nil"/>
              <w:left w:val="nil"/>
              <w:bottom w:val="nil"/>
              <w:right w:val="nil"/>
            </w:tcBorders>
            <w:shd w:val="clear" w:color="auto" w:fill="E6E6E6"/>
          </w:tcPr>
          <w:p w14:paraId="4AFBA0C4" w14:textId="77777777" w:rsidR="009D3BD0" w:rsidRPr="006B5B95" w:rsidRDefault="009D3BD0" w:rsidP="00FE138B">
            <w:pPr>
              <w:suppressAutoHyphens w:val="0"/>
              <w:spacing w:line="240" w:lineRule="auto"/>
              <w:ind w:left="264" w:hanging="264"/>
              <w:rPr>
                <w:iCs/>
                <w:sz w:val="18"/>
                <w:u w:val="single"/>
              </w:rPr>
            </w:pPr>
            <w:r w:rsidRPr="006B5B95">
              <w:rPr>
                <w:iCs/>
                <w:sz w:val="18"/>
                <w:u w:val="single"/>
              </w:rPr>
              <w:t>Electronic detonators</w:t>
            </w:r>
          </w:p>
        </w:tc>
        <w:tc>
          <w:tcPr>
            <w:tcW w:w="1179" w:type="dxa"/>
            <w:tcBorders>
              <w:top w:val="nil"/>
              <w:left w:val="nil"/>
              <w:bottom w:val="nil"/>
              <w:right w:val="nil"/>
            </w:tcBorders>
            <w:shd w:val="clear" w:color="auto" w:fill="E6E6E6"/>
          </w:tcPr>
          <w:p w14:paraId="524F54AD" w14:textId="0B003CAF" w:rsidR="009D3BD0" w:rsidRPr="009979EA" w:rsidRDefault="009D3BD0" w:rsidP="009D3BD0">
            <w:pPr>
              <w:suppressAutoHyphens w:val="0"/>
              <w:spacing w:line="240" w:lineRule="auto"/>
              <w:ind w:left="264" w:hanging="264"/>
              <w:jc w:val="center"/>
              <w:rPr>
                <w:iCs/>
                <w:sz w:val="18"/>
                <w:u w:val="single"/>
              </w:rPr>
            </w:pPr>
          </w:p>
        </w:tc>
      </w:tr>
      <w:tr w:rsidR="009D3BD0" w:rsidRPr="009979EA" w14:paraId="4A24C4C4" w14:textId="4870545A" w:rsidTr="009D3BD0">
        <w:trPr>
          <w:cantSplit/>
          <w:trHeight w:val="20"/>
        </w:trPr>
        <w:tc>
          <w:tcPr>
            <w:tcW w:w="3084" w:type="dxa"/>
            <w:tcBorders>
              <w:top w:val="nil"/>
              <w:left w:val="nil"/>
              <w:bottom w:val="nil"/>
              <w:right w:val="nil"/>
            </w:tcBorders>
            <w:shd w:val="clear" w:color="auto" w:fill="auto"/>
          </w:tcPr>
          <w:p w14:paraId="017C13B3" w14:textId="582013D5" w:rsidR="009D3BD0" w:rsidRPr="006B5B95" w:rsidRDefault="009D3BD0" w:rsidP="00FE138B">
            <w:pPr>
              <w:suppressAutoHyphens w:val="0"/>
              <w:spacing w:line="240" w:lineRule="auto"/>
              <w:ind w:left="213" w:hanging="213"/>
              <w:rPr>
                <w:i/>
                <w:iCs/>
                <w:sz w:val="18"/>
              </w:rPr>
            </w:pPr>
            <w:r w:rsidRPr="006B5B95">
              <w:rPr>
                <w:i/>
                <w:iCs/>
                <w:sz w:val="18"/>
              </w:rPr>
              <w:t>ST/SG/AC.10/C.3/2018/58 (AEISG)</w:t>
            </w:r>
          </w:p>
        </w:tc>
        <w:tc>
          <w:tcPr>
            <w:tcW w:w="4268" w:type="dxa"/>
            <w:tcBorders>
              <w:top w:val="nil"/>
              <w:left w:val="nil"/>
              <w:bottom w:val="nil"/>
              <w:right w:val="nil"/>
            </w:tcBorders>
            <w:shd w:val="clear" w:color="auto" w:fill="auto"/>
          </w:tcPr>
          <w:p w14:paraId="100C7D04" w14:textId="41D3D0A2" w:rsidR="009D3BD0" w:rsidRPr="006B5B95" w:rsidRDefault="009D3BD0" w:rsidP="00FE138B">
            <w:pPr>
              <w:suppressAutoHyphens w:val="0"/>
              <w:spacing w:line="240" w:lineRule="auto"/>
              <w:ind w:left="264" w:hanging="264"/>
              <w:rPr>
                <w:i/>
                <w:iCs/>
                <w:sz w:val="18"/>
              </w:rPr>
            </w:pPr>
            <w:r w:rsidRPr="006B5B95">
              <w:rPr>
                <w:i/>
                <w:iCs/>
                <w:sz w:val="18"/>
              </w:rPr>
              <w:t>New UN entries for electronic detonators</w:t>
            </w:r>
          </w:p>
        </w:tc>
        <w:tc>
          <w:tcPr>
            <w:tcW w:w="1179" w:type="dxa"/>
            <w:tcBorders>
              <w:top w:val="nil"/>
              <w:left w:val="nil"/>
              <w:bottom w:val="nil"/>
              <w:right w:val="nil"/>
            </w:tcBorders>
          </w:tcPr>
          <w:p w14:paraId="1860E2EE" w14:textId="3E08B136" w:rsidR="009D3BD0" w:rsidRPr="009979EA" w:rsidRDefault="00D143B0" w:rsidP="009D3BD0">
            <w:pPr>
              <w:suppressAutoHyphens w:val="0"/>
              <w:spacing w:line="240" w:lineRule="auto"/>
              <w:ind w:left="264" w:hanging="264"/>
              <w:jc w:val="center"/>
              <w:rPr>
                <w:i/>
                <w:iCs/>
                <w:sz w:val="18"/>
              </w:rPr>
            </w:pPr>
            <w:r>
              <w:rPr>
                <w:i/>
                <w:iCs/>
                <w:sz w:val="18"/>
              </w:rPr>
              <w:t>6</w:t>
            </w:r>
          </w:p>
        </w:tc>
      </w:tr>
      <w:tr w:rsidR="009D3BD0" w:rsidRPr="009979EA" w14:paraId="66A3DCB6" w14:textId="0E5E2770" w:rsidTr="009D3BD0">
        <w:trPr>
          <w:cantSplit/>
          <w:trHeight w:val="304"/>
        </w:trPr>
        <w:tc>
          <w:tcPr>
            <w:tcW w:w="3084" w:type="dxa"/>
            <w:tcBorders>
              <w:top w:val="nil"/>
              <w:left w:val="nil"/>
              <w:bottom w:val="nil"/>
              <w:right w:val="nil"/>
            </w:tcBorders>
            <w:shd w:val="clear" w:color="auto" w:fill="E6E6E6"/>
          </w:tcPr>
          <w:p w14:paraId="3DD166C1" w14:textId="77777777" w:rsidR="009D3BD0" w:rsidRPr="006B5B95" w:rsidRDefault="009D3BD0" w:rsidP="00FE138B">
            <w:pPr>
              <w:keepNext/>
              <w:suppressAutoHyphens w:val="0"/>
              <w:spacing w:line="240" w:lineRule="auto"/>
              <w:ind w:left="213" w:hanging="213"/>
              <w:rPr>
                <w:iCs/>
                <w:sz w:val="18"/>
                <w:u w:val="single"/>
              </w:rPr>
            </w:pPr>
            <w:r w:rsidRPr="006B5B95">
              <w:rPr>
                <w:iCs/>
                <w:sz w:val="18"/>
                <w:u w:val="single"/>
              </w:rPr>
              <w:t>Agenda Item 2(e)</w:t>
            </w:r>
          </w:p>
        </w:tc>
        <w:tc>
          <w:tcPr>
            <w:tcW w:w="4268" w:type="dxa"/>
            <w:tcBorders>
              <w:top w:val="nil"/>
              <w:left w:val="nil"/>
              <w:bottom w:val="nil"/>
              <w:right w:val="nil"/>
            </w:tcBorders>
            <w:shd w:val="clear" w:color="auto" w:fill="E6E6E6"/>
          </w:tcPr>
          <w:p w14:paraId="255FC8B7" w14:textId="77777777" w:rsidR="009D3BD0" w:rsidRPr="006B5B95" w:rsidRDefault="009D3BD0" w:rsidP="00FE138B">
            <w:pPr>
              <w:keepNext/>
              <w:suppressAutoHyphens w:val="0"/>
              <w:spacing w:line="240" w:lineRule="auto"/>
              <w:ind w:left="264" w:hanging="264"/>
              <w:rPr>
                <w:iCs/>
                <w:sz w:val="18"/>
                <w:u w:val="single"/>
              </w:rPr>
            </w:pPr>
            <w:r w:rsidRPr="006B5B95">
              <w:rPr>
                <w:iCs/>
                <w:sz w:val="18"/>
                <w:u w:val="single"/>
              </w:rPr>
              <w:t>Stability tests for industrial nitrocellulose</w:t>
            </w:r>
          </w:p>
        </w:tc>
        <w:tc>
          <w:tcPr>
            <w:tcW w:w="1179" w:type="dxa"/>
            <w:tcBorders>
              <w:top w:val="nil"/>
              <w:left w:val="nil"/>
              <w:bottom w:val="nil"/>
              <w:right w:val="nil"/>
            </w:tcBorders>
            <w:shd w:val="clear" w:color="auto" w:fill="E6E6E6"/>
          </w:tcPr>
          <w:p w14:paraId="4D1BA0CB" w14:textId="531B368C" w:rsidR="009D3BD0" w:rsidRPr="009979EA" w:rsidRDefault="009D3BD0" w:rsidP="009D3BD0">
            <w:pPr>
              <w:keepNext/>
              <w:suppressAutoHyphens w:val="0"/>
              <w:spacing w:line="240" w:lineRule="auto"/>
              <w:ind w:left="264" w:hanging="264"/>
              <w:jc w:val="center"/>
              <w:rPr>
                <w:iCs/>
                <w:sz w:val="18"/>
                <w:u w:val="single"/>
              </w:rPr>
            </w:pPr>
          </w:p>
        </w:tc>
      </w:tr>
      <w:tr w:rsidR="009D3BD0" w:rsidRPr="000C3D2C" w14:paraId="2819538E" w14:textId="37F472EC" w:rsidTr="009D3BD0">
        <w:trPr>
          <w:cantSplit/>
          <w:trHeight w:val="20"/>
        </w:trPr>
        <w:tc>
          <w:tcPr>
            <w:tcW w:w="3084" w:type="dxa"/>
            <w:tcBorders>
              <w:top w:val="nil"/>
              <w:left w:val="nil"/>
              <w:bottom w:val="nil"/>
              <w:right w:val="nil"/>
            </w:tcBorders>
            <w:shd w:val="clear" w:color="auto" w:fill="auto"/>
          </w:tcPr>
          <w:p w14:paraId="37570FDA" w14:textId="051C51BB" w:rsidR="009D3BD0" w:rsidRPr="000C3D2C" w:rsidRDefault="009D3BD0" w:rsidP="00B91E17">
            <w:pPr>
              <w:suppressAutoHyphens w:val="0"/>
              <w:spacing w:line="240" w:lineRule="auto"/>
              <w:ind w:left="213" w:hanging="213"/>
              <w:rPr>
                <w:i/>
                <w:iCs/>
                <w:sz w:val="18"/>
              </w:rPr>
            </w:pPr>
            <w:r w:rsidRPr="000C3D2C">
              <w:rPr>
                <w:i/>
                <w:iCs/>
                <w:sz w:val="18"/>
              </w:rPr>
              <w:t>ST/SG/AC.10/C.3/2018/9 (CEFIC/WONIPA)</w:t>
            </w:r>
          </w:p>
        </w:tc>
        <w:tc>
          <w:tcPr>
            <w:tcW w:w="4268" w:type="dxa"/>
            <w:tcBorders>
              <w:top w:val="nil"/>
              <w:left w:val="nil"/>
              <w:bottom w:val="nil"/>
              <w:right w:val="nil"/>
            </w:tcBorders>
            <w:shd w:val="clear" w:color="auto" w:fill="auto"/>
          </w:tcPr>
          <w:p w14:paraId="220800F4" w14:textId="77777777" w:rsidR="009D3BD0" w:rsidRPr="000C3D2C" w:rsidRDefault="009D3BD0" w:rsidP="00FE138B">
            <w:pPr>
              <w:suppressAutoHyphens w:val="0"/>
              <w:spacing w:line="240" w:lineRule="auto"/>
              <w:ind w:left="264" w:hanging="264"/>
              <w:rPr>
                <w:i/>
                <w:iCs/>
                <w:sz w:val="18"/>
              </w:rPr>
            </w:pPr>
            <w:r w:rsidRPr="000C3D2C">
              <w:rPr>
                <w:i/>
                <w:iCs/>
                <w:sz w:val="18"/>
              </w:rPr>
              <w:t>Stability tests for nitrocellulose mixtures</w:t>
            </w:r>
          </w:p>
        </w:tc>
        <w:tc>
          <w:tcPr>
            <w:tcW w:w="1179" w:type="dxa"/>
            <w:tcBorders>
              <w:top w:val="nil"/>
              <w:left w:val="nil"/>
              <w:bottom w:val="nil"/>
              <w:right w:val="nil"/>
            </w:tcBorders>
          </w:tcPr>
          <w:p w14:paraId="37E9A625" w14:textId="3A2B5542" w:rsidR="009D3BD0" w:rsidRPr="000C3D2C" w:rsidRDefault="00D143B0" w:rsidP="009D3BD0">
            <w:pPr>
              <w:suppressAutoHyphens w:val="0"/>
              <w:spacing w:line="240" w:lineRule="auto"/>
              <w:ind w:left="264" w:hanging="264"/>
              <w:jc w:val="center"/>
              <w:rPr>
                <w:i/>
                <w:iCs/>
                <w:sz w:val="18"/>
              </w:rPr>
            </w:pPr>
            <w:r>
              <w:rPr>
                <w:i/>
                <w:iCs/>
                <w:sz w:val="18"/>
              </w:rPr>
              <w:t>7</w:t>
            </w:r>
          </w:p>
        </w:tc>
      </w:tr>
      <w:tr w:rsidR="009D3BD0" w:rsidRPr="00492799" w14:paraId="7456355F" w14:textId="1997AE30" w:rsidTr="009D3BD0">
        <w:trPr>
          <w:cantSplit/>
          <w:trHeight w:val="20"/>
        </w:trPr>
        <w:tc>
          <w:tcPr>
            <w:tcW w:w="3084" w:type="dxa"/>
            <w:tcBorders>
              <w:top w:val="nil"/>
              <w:left w:val="nil"/>
              <w:bottom w:val="nil"/>
              <w:right w:val="nil"/>
            </w:tcBorders>
            <w:shd w:val="clear" w:color="auto" w:fill="auto"/>
          </w:tcPr>
          <w:p w14:paraId="56F4A732" w14:textId="04B1C740" w:rsidR="009D3BD0" w:rsidRPr="006B5B95" w:rsidRDefault="000C3D2C" w:rsidP="000C3D2C">
            <w:pPr>
              <w:suppressAutoHyphens w:val="0"/>
              <w:spacing w:line="240" w:lineRule="auto"/>
              <w:rPr>
                <w:i/>
                <w:iCs/>
                <w:sz w:val="18"/>
              </w:rPr>
            </w:pPr>
            <w:r w:rsidRPr="000C3D2C">
              <w:rPr>
                <w:i/>
                <w:iCs/>
                <w:sz w:val="18"/>
              </w:rPr>
              <w:t xml:space="preserve">UN/SCETDG/53/INF.7 </w:t>
            </w:r>
            <w:r w:rsidRPr="001637A8">
              <w:rPr>
                <w:i/>
                <w:iCs/>
                <w:sz w:val="18"/>
              </w:rPr>
              <w:t>–</w:t>
            </w:r>
            <w:r w:rsidRPr="000C3D2C">
              <w:rPr>
                <w:i/>
                <w:iCs/>
                <w:sz w:val="18"/>
              </w:rPr>
              <w:t xml:space="preserve"> UN/SCEGHS/35/INF.6</w:t>
            </w:r>
            <w:r>
              <w:rPr>
                <w:i/>
                <w:iCs/>
                <w:sz w:val="18"/>
              </w:rPr>
              <w:t xml:space="preserve"> (CEFIC)</w:t>
            </w:r>
          </w:p>
        </w:tc>
        <w:tc>
          <w:tcPr>
            <w:tcW w:w="4268" w:type="dxa"/>
            <w:tcBorders>
              <w:top w:val="nil"/>
              <w:left w:val="nil"/>
              <w:bottom w:val="nil"/>
              <w:right w:val="nil"/>
            </w:tcBorders>
            <w:shd w:val="clear" w:color="auto" w:fill="auto"/>
          </w:tcPr>
          <w:p w14:paraId="02BEFF56" w14:textId="22DDFFC4" w:rsidR="009D3BD0" w:rsidRPr="006B5B95" w:rsidRDefault="000C3D2C" w:rsidP="00136F56">
            <w:pPr>
              <w:suppressAutoHyphens w:val="0"/>
              <w:spacing w:line="240" w:lineRule="auto"/>
              <w:rPr>
                <w:i/>
                <w:iCs/>
                <w:sz w:val="18"/>
              </w:rPr>
            </w:pPr>
            <w:r w:rsidRPr="000C3D2C">
              <w:rPr>
                <w:i/>
                <w:iCs/>
                <w:sz w:val="18"/>
              </w:rPr>
              <w:t>Classification of desensitized explosives for the purposes of supply and use according to GHS chapter 2.17: Test results on industrial nitrocellulose</w:t>
            </w:r>
          </w:p>
        </w:tc>
        <w:tc>
          <w:tcPr>
            <w:tcW w:w="1179" w:type="dxa"/>
            <w:tcBorders>
              <w:top w:val="nil"/>
              <w:left w:val="nil"/>
              <w:bottom w:val="nil"/>
              <w:right w:val="nil"/>
            </w:tcBorders>
          </w:tcPr>
          <w:p w14:paraId="6B022B9F" w14:textId="520C7E21" w:rsidR="009D3BD0" w:rsidRPr="000C3D2C" w:rsidRDefault="00695957" w:rsidP="00695957">
            <w:pPr>
              <w:tabs>
                <w:tab w:val="left" w:pos="420"/>
                <w:tab w:val="center" w:pos="474"/>
              </w:tabs>
              <w:suppressAutoHyphens w:val="0"/>
              <w:spacing w:line="240" w:lineRule="auto"/>
              <w:rPr>
                <w:i/>
                <w:iCs/>
                <w:sz w:val="18"/>
              </w:rPr>
            </w:pPr>
            <w:r>
              <w:rPr>
                <w:i/>
                <w:iCs/>
                <w:sz w:val="18"/>
              </w:rPr>
              <w:tab/>
              <w:t>8</w:t>
            </w:r>
          </w:p>
        </w:tc>
      </w:tr>
      <w:tr w:rsidR="009D3BD0" w:rsidRPr="009979EA" w14:paraId="5CB06AD5" w14:textId="6790E01C" w:rsidTr="009D3BD0">
        <w:trPr>
          <w:cantSplit/>
          <w:trHeight w:val="20"/>
        </w:trPr>
        <w:tc>
          <w:tcPr>
            <w:tcW w:w="3084" w:type="dxa"/>
            <w:tcBorders>
              <w:top w:val="nil"/>
              <w:left w:val="nil"/>
              <w:bottom w:val="nil"/>
              <w:right w:val="nil"/>
            </w:tcBorders>
            <w:shd w:val="clear" w:color="auto" w:fill="E6E6E6"/>
          </w:tcPr>
          <w:p w14:paraId="6B07B400" w14:textId="77777777" w:rsidR="009D3BD0" w:rsidRPr="006B5B95" w:rsidRDefault="009D3BD0" w:rsidP="00FE138B">
            <w:pPr>
              <w:suppressAutoHyphens w:val="0"/>
              <w:spacing w:line="240" w:lineRule="auto"/>
              <w:ind w:left="213" w:hanging="213"/>
              <w:rPr>
                <w:iCs/>
                <w:sz w:val="18"/>
                <w:u w:val="single"/>
              </w:rPr>
            </w:pPr>
            <w:r w:rsidRPr="006B5B95">
              <w:rPr>
                <w:iCs/>
                <w:sz w:val="18"/>
                <w:u w:val="single"/>
              </w:rPr>
              <w:t>Agenda Item 2(i)</w:t>
            </w:r>
          </w:p>
        </w:tc>
        <w:tc>
          <w:tcPr>
            <w:tcW w:w="4268" w:type="dxa"/>
            <w:tcBorders>
              <w:top w:val="nil"/>
              <w:left w:val="nil"/>
              <w:bottom w:val="nil"/>
              <w:right w:val="nil"/>
            </w:tcBorders>
            <w:shd w:val="clear" w:color="auto" w:fill="E6E6E6"/>
          </w:tcPr>
          <w:p w14:paraId="2191427D" w14:textId="77777777" w:rsidR="009D3BD0" w:rsidRPr="006B5B95" w:rsidRDefault="009D3BD0" w:rsidP="00FE138B">
            <w:pPr>
              <w:suppressAutoHyphens w:val="0"/>
              <w:spacing w:line="240" w:lineRule="auto"/>
              <w:ind w:left="264" w:hanging="264"/>
              <w:rPr>
                <w:iCs/>
                <w:sz w:val="18"/>
                <w:u w:val="single"/>
              </w:rPr>
            </w:pPr>
            <w:r w:rsidRPr="006B5B95">
              <w:rPr>
                <w:iCs/>
                <w:sz w:val="18"/>
                <w:u w:val="single"/>
              </w:rPr>
              <w:t>Review of Chapter 2.1 of the GHS</w:t>
            </w:r>
          </w:p>
        </w:tc>
        <w:tc>
          <w:tcPr>
            <w:tcW w:w="1179" w:type="dxa"/>
            <w:tcBorders>
              <w:top w:val="nil"/>
              <w:left w:val="nil"/>
              <w:bottom w:val="nil"/>
              <w:right w:val="nil"/>
            </w:tcBorders>
            <w:shd w:val="clear" w:color="auto" w:fill="E6E6E6"/>
          </w:tcPr>
          <w:p w14:paraId="3BF28F9A" w14:textId="77777777" w:rsidR="009D3BD0" w:rsidRPr="009979EA" w:rsidRDefault="009D3BD0" w:rsidP="009D3BD0">
            <w:pPr>
              <w:suppressAutoHyphens w:val="0"/>
              <w:spacing w:line="240" w:lineRule="auto"/>
              <w:ind w:left="264" w:hanging="264"/>
              <w:jc w:val="center"/>
              <w:rPr>
                <w:iCs/>
                <w:sz w:val="18"/>
                <w:u w:val="single"/>
              </w:rPr>
            </w:pPr>
          </w:p>
        </w:tc>
      </w:tr>
      <w:tr w:rsidR="009D3BD0" w:rsidRPr="009979EA" w14:paraId="6469C561" w14:textId="637BE354" w:rsidTr="009D3BD0">
        <w:trPr>
          <w:cantSplit/>
          <w:trHeight w:val="20"/>
        </w:trPr>
        <w:tc>
          <w:tcPr>
            <w:tcW w:w="3084" w:type="dxa"/>
            <w:tcBorders>
              <w:top w:val="nil"/>
              <w:left w:val="nil"/>
              <w:bottom w:val="nil"/>
              <w:right w:val="nil"/>
            </w:tcBorders>
            <w:shd w:val="clear" w:color="auto" w:fill="auto"/>
          </w:tcPr>
          <w:p w14:paraId="76FF5AC5" w14:textId="53ACF717" w:rsidR="009D3BD0" w:rsidRPr="006B5B95" w:rsidRDefault="009D3BD0" w:rsidP="00FE138B">
            <w:pPr>
              <w:suppressAutoHyphens w:val="0"/>
              <w:spacing w:line="240" w:lineRule="auto"/>
              <w:ind w:left="213" w:hanging="213"/>
              <w:rPr>
                <w:i/>
                <w:iCs/>
                <w:sz w:val="18"/>
              </w:rPr>
            </w:pPr>
            <w:r w:rsidRPr="006B5B95">
              <w:rPr>
                <w:i/>
                <w:iCs/>
                <w:sz w:val="18"/>
              </w:rPr>
              <w:t>No documents submitted</w:t>
            </w:r>
          </w:p>
        </w:tc>
        <w:tc>
          <w:tcPr>
            <w:tcW w:w="4268" w:type="dxa"/>
            <w:tcBorders>
              <w:top w:val="nil"/>
              <w:left w:val="nil"/>
              <w:bottom w:val="nil"/>
              <w:right w:val="nil"/>
            </w:tcBorders>
            <w:shd w:val="clear" w:color="auto" w:fill="auto"/>
          </w:tcPr>
          <w:p w14:paraId="3D4A3F43" w14:textId="02662A38" w:rsidR="009D3BD0" w:rsidRPr="006B5B95" w:rsidRDefault="00CA3DA0" w:rsidP="00FE138B">
            <w:pPr>
              <w:suppressAutoHyphens w:val="0"/>
              <w:spacing w:line="240" w:lineRule="auto"/>
              <w:ind w:left="264" w:hanging="264"/>
              <w:rPr>
                <w:i/>
                <w:iCs/>
                <w:sz w:val="18"/>
              </w:rPr>
            </w:pPr>
            <w:r w:rsidRPr="00CA3DA0">
              <w:rPr>
                <w:i/>
                <w:iCs/>
                <w:sz w:val="18"/>
              </w:rPr>
              <w:t>See document ST/SG/AC.10/C.3/2018/33 under agenda item 10 (e)</w:t>
            </w:r>
          </w:p>
        </w:tc>
        <w:tc>
          <w:tcPr>
            <w:tcW w:w="1179" w:type="dxa"/>
            <w:tcBorders>
              <w:top w:val="nil"/>
              <w:left w:val="nil"/>
              <w:bottom w:val="nil"/>
              <w:right w:val="nil"/>
            </w:tcBorders>
          </w:tcPr>
          <w:p w14:paraId="22CD0C4C" w14:textId="04979049" w:rsidR="009D3BD0" w:rsidRPr="009979EA" w:rsidRDefault="00E83C88" w:rsidP="000C3D2C">
            <w:pPr>
              <w:suppressAutoHyphens w:val="0"/>
              <w:spacing w:line="240" w:lineRule="auto"/>
              <w:ind w:left="264" w:hanging="264"/>
              <w:jc w:val="center"/>
              <w:rPr>
                <w:i/>
                <w:iCs/>
                <w:sz w:val="18"/>
              </w:rPr>
            </w:pPr>
            <w:r>
              <w:rPr>
                <w:i/>
                <w:iCs/>
                <w:sz w:val="18"/>
              </w:rPr>
              <w:t>18</w:t>
            </w:r>
          </w:p>
        </w:tc>
      </w:tr>
      <w:tr w:rsidR="009D3BD0" w:rsidRPr="009979EA" w14:paraId="04F3B7E8" w14:textId="2F5D7FF9" w:rsidTr="009D3BD0">
        <w:trPr>
          <w:cantSplit/>
          <w:trHeight w:val="20"/>
        </w:trPr>
        <w:tc>
          <w:tcPr>
            <w:tcW w:w="3084" w:type="dxa"/>
            <w:tcBorders>
              <w:top w:val="nil"/>
              <w:left w:val="nil"/>
              <w:bottom w:val="nil"/>
              <w:right w:val="nil"/>
            </w:tcBorders>
            <w:shd w:val="clear" w:color="auto" w:fill="E6E6E6"/>
          </w:tcPr>
          <w:p w14:paraId="577F3C65" w14:textId="77777777" w:rsidR="009D3BD0" w:rsidRPr="006B5B95" w:rsidRDefault="009D3BD0" w:rsidP="00FE138B">
            <w:pPr>
              <w:suppressAutoHyphens w:val="0"/>
              <w:spacing w:line="240" w:lineRule="auto"/>
              <w:ind w:left="213" w:hanging="213"/>
              <w:rPr>
                <w:iCs/>
                <w:sz w:val="18"/>
                <w:u w:val="single"/>
              </w:rPr>
            </w:pPr>
            <w:r w:rsidRPr="006B5B95">
              <w:rPr>
                <w:iCs/>
                <w:sz w:val="18"/>
                <w:u w:val="single"/>
              </w:rPr>
              <w:t>Agenda Item 2(j)</w:t>
            </w:r>
          </w:p>
        </w:tc>
        <w:tc>
          <w:tcPr>
            <w:tcW w:w="4268" w:type="dxa"/>
            <w:tcBorders>
              <w:top w:val="nil"/>
              <w:left w:val="nil"/>
              <w:bottom w:val="nil"/>
              <w:right w:val="nil"/>
            </w:tcBorders>
            <w:shd w:val="clear" w:color="auto" w:fill="E6E6E6"/>
          </w:tcPr>
          <w:p w14:paraId="473CDCE9" w14:textId="77777777" w:rsidR="009D3BD0" w:rsidRPr="006B5B95" w:rsidRDefault="009D3BD0" w:rsidP="00FE138B">
            <w:pPr>
              <w:suppressAutoHyphens w:val="0"/>
              <w:spacing w:line="240" w:lineRule="auto"/>
              <w:ind w:left="264" w:hanging="264"/>
              <w:rPr>
                <w:iCs/>
                <w:sz w:val="18"/>
                <w:u w:val="single"/>
              </w:rPr>
            </w:pPr>
            <w:r w:rsidRPr="006B5B95">
              <w:rPr>
                <w:iCs/>
                <w:sz w:val="18"/>
                <w:u w:val="single"/>
              </w:rPr>
              <w:t>Miscellaneous</w:t>
            </w:r>
          </w:p>
        </w:tc>
        <w:tc>
          <w:tcPr>
            <w:tcW w:w="1179" w:type="dxa"/>
            <w:tcBorders>
              <w:top w:val="nil"/>
              <w:left w:val="nil"/>
              <w:bottom w:val="nil"/>
              <w:right w:val="nil"/>
            </w:tcBorders>
            <w:shd w:val="clear" w:color="auto" w:fill="E6E6E6"/>
          </w:tcPr>
          <w:p w14:paraId="31034E6C" w14:textId="77777777" w:rsidR="009D3BD0" w:rsidRPr="009979EA" w:rsidRDefault="009D3BD0" w:rsidP="009D3BD0">
            <w:pPr>
              <w:suppressAutoHyphens w:val="0"/>
              <w:spacing w:line="240" w:lineRule="auto"/>
              <w:ind w:left="264" w:hanging="264"/>
              <w:jc w:val="center"/>
              <w:rPr>
                <w:iCs/>
                <w:sz w:val="18"/>
                <w:u w:val="single"/>
              </w:rPr>
            </w:pPr>
          </w:p>
        </w:tc>
      </w:tr>
      <w:tr w:rsidR="009D3BD0" w:rsidRPr="001637A8" w14:paraId="5D879218" w14:textId="66E44C57" w:rsidTr="009D3BD0">
        <w:trPr>
          <w:cantSplit/>
          <w:trHeight w:val="20"/>
        </w:trPr>
        <w:tc>
          <w:tcPr>
            <w:tcW w:w="3084" w:type="dxa"/>
            <w:tcBorders>
              <w:top w:val="nil"/>
              <w:left w:val="nil"/>
              <w:bottom w:val="nil"/>
              <w:right w:val="nil"/>
            </w:tcBorders>
            <w:shd w:val="clear" w:color="auto" w:fill="auto"/>
          </w:tcPr>
          <w:p w14:paraId="14E2E9EB" w14:textId="77777777" w:rsidR="009D3BD0" w:rsidRPr="001637A8" w:rsidRDefault="009D3BD0" w:rsidP="00FE138B">
            <w:pPr>
              <w:suppressAutoHyphens w:val="0"/>
              <w:spacing w:line="240" w:lineRule="auto"/>
              <w:ind w:left="213" w:hanging="213"/>
              <w:rPr>
                <w:i/>
                <w:iCs/>
                <w:sz w:val="18"/>
              </w:rPr>
            </w:pPr>
            <w:r w:rsidRPr="001637A8">
              <w:rPr>
                <w:i/>
                <w:iCs/>
                <w:sz w:val="18"/>
              </w:rPr>
              <w:t>ST/SG/AC.10/C.3/2018/6 (Germany)</w:t>
            </w:r>
          </w:p>
        </w:tc>
        <w:tc>
          <w:tcPr>
            <w:tcW w:w="4268" w:type="dxa"/>
            <w:tcBorders>
              <w:top w:val="nil"/>
              <w:left w:val="nil"/>
              <w:bottom w:val="nil"/>
              <w:right w:val="nil"/>
            </w:tcBorders>
            <w:shd w:val="clear" w:color="auto" w:fill="auto"/>
          </w:tcPr>
          <w:p w14:paraId="60349D68" w14:textId="77777777" w:rsidR="009D3BD0" w:rsidRPr="001637A8" w:rsidRDefault="009D3BD0" w:rsidP="00FE138B">
            <w:pPr>
              <w:suppressAutoHyphens w:val="0"/>
              <w:spacing w:line="240" w:lineRule="auto"/>
              <w:rPr>
                <w:i/>
                <w:iCs/>
                <w:sz w:val="18"/>
              </w:rPr>
            </w:pPr>
            <w:r w:rsidRPr="001637A8">
              <w:rPr>
                <w:i/>
                <w:iCs/>
                <w:sz w:val="18"/>
              </w:rPr>
              <w:t>Update of the reference to ISO 12097 in section 2.1.3.6.4 of the Model Regulations</w:t>
            </w:r>
          </w:p>
        </w:tc>
        <w:tc>
          <w:tcPr>
            <w:tcW w:w="1179" w:type="dxa"/>
            <w:tcBorders>
              <w:top w:val="nil"/>
              <w:left w:val="nil"/>
              <w:bottom w:val="nil"/>
              <w:right w:val="nil"/>
            </w:tcBorders>
          </w:tcPr>
          <w:p w14:paraId="5F518DE7" w14:textId="3C831936" w:rsidR="009D3BD0" w:rsidRPr="001637A8" w:rsidRDefault="00695957" w:rsidP="000C3D2C">
            <w:pPr>
              <w:suppressAutoHyphens w:val="0"/>
              <w:spacing w:line="240" w:lineRule="auto"/>
              <w:jc w:val="center"/>
              <w:rPr>
                <w:i/>
                <w:iCs/>
                <w:sz w:val="18"/>
              </w:rPr>
            </w:pPr>
            <w:r>
              <w:rPr>
                <w:i/>
                <w:iCs/>
                <w:sz w:val="18"/>
              </w:rPr>
              <w:t>9</w:t>
            </w:r>
          </w:p>
        </w:tc>
      </w:tr>
      <w:tr w:rsidR="009D3BD0" w:rsidRPr="001637A8" w14:paraId="407653A6" w14:textId="56BDD120" w:rsidTr="009D3BD0">
        <w:trPr>
          <w:cantSplit/>
          <w:trHeight w:val="20"/>
        </w:trPr>
        <w:tc>
          <w:tcPr>
            <w:tcW w:w="3084" w:type="dxa"/>
            <w:tcBorders>
              <w:top w:val="nil"/>
              <w:left w:val="nil"/>
              <w:right w:val="nil"/>
            </w:tcBorders>
            <w:shd w:val="clear" w:color="auto" w:fill="auto"/>
          </w:tcPr>
          <w:p w14:paraId="34FC9177" w14:textId="61895EAE" w:rsidR="009D3BD0" w:rsidRPr="001637A8" w:rsidRDefault="009D3BD0" w:rsidP="00D851D6">
            <w:pPr>
              <w:keepNext/>
              <w:suppressAutoHyphens w:val="0"/>
              <w:spacing w:line="240" w:lineRule="auto"/>
              <w:ind w:left="213" w:hanging="213"/>
              <w:rPr>
                <w:i/>
                <w:iCs/>
                <w:sz w:val="18"/>
              </w:rPr>
            </w:pPr>
            <w:r w:rsidRPr="001637A8">
              <w:rPr>
                <w:i/>
                <w:iCs/>
                <w:sz w:val="18"/>
              </w:rPr>
              <w:t>ST/SG/AC.10/C.3/2018/48(USA)</w:t>
            </w:r>
          </w:p>
        </w:tc>
        <w:tc>
          <w:tcPr>
            <w:tcW w:w="4268" w:type="dxa"/>
            <w:tcBorders>
              <w:top w:val="nil"/>
              <w:left w:val="nil"/>
              <w:right w:val="nil"/>
            </w:tcBorders>
            <w:shd w:val="clear" w:color="auto" w:fill="auto"/>
          </w:tcPr>
          <w:p w14:paraId="5865478A" w14:textId="33BC4EA3" w:rsidR="009D3BD0" w:rsidRPr="001637A8" w:rsidRDefault="009D3BD0" w:rsidP="00D851D6">
            <w:pPr>
              <w:suppressAutoHyphens w:val="0"/>
              <w:spacing w:line="240" w:lineRule="auto"/>
              <w:rPr>
                <w:i/>
                <w:iCs/>
                <w:sz w:val="18"/>
              </w:rPr>
            </w:pPr>
            <w:r w:rsidRPr="001637A8">
              <w:rPr>
                <w:i/>
                <w:iCs/>
                <w:sz w:val="18"/>
              </w:rPr>
              <w:t>Extension of the default fireworks classification table for classification of Articles, pyrotechnic UN0431</w:t>
            </w:r>
          </w:p>
        </w:tc>
        <w:tc>
          <w:tcPr>
            <w:tcW w:w="1179" w:type="dxa"/>
            <w:tcBorders>
              <w:top w:val="nil"/>
              <w:left w:val="nil"/>
              <w:right w:val="nil"/>
            </w:tcBorders>
          </w:tcPr>
          <w:p w14:paraId="4B0C9C47" w14:textId="028A152B" w:rsidR="009D3BD0" w:rsidRPr="001637A8" w:rsidRDefault="009D3BD0" w:rsidP="000C3D2C">
            <w:pPr>
              <w:suppressAutoHyphens w:val="0"/>
              <w:spacing w:line="240" w:lineRule="auto"/>
              <w:jc w:val="center"/>
              <w:rPr>
                <w:i/>
                <w:iCs/>
                <w:sz w:val="18"/>
              </w:rPr>
            </w:pPr>
            <w:r w:rsidRPr="001637A8">
              <w:rPr>
                <w:i/>
                <w:iCs/>
                <w:sz w:val="18"/>
              </w:rPr>
              <w:t>1</w:t>
            </w:r>
            <w:r w:rsidR="00695957">
              <w:rPr>
                <w:i/>
                <w:iCs/>
                <w:sz w:val="18"/>
              </w:rPr>
              <w:t>0</w:t>
            </w:r>
          </w:p>
        </w:tc>
      </w:tr>
      <w:tr w:rsidR="00695957" w:rsidRPr="000C3D2C" w14:paraId="2A86811A" w14:textId="77777777" w:rsidTr="001E6F05">
        <w:trPr>
          <w:cantSplit/>
          <w:trHeight w:val="20"/>
        </w:trPr>
        <w:tc>
          <w:tcPr>
            <w:tcW w:w="3084" w:type="dxa"/>
            <w:tcBorders>
              <w:top w:val="nil"/>
              <w:left w:val="nil"/>
              <w:bottom w:val="nil"/>
              <w:right w:val="nil"/>
            </w:tcBorders>
            <w:shd w:val="clear" w:color="auto" w:fill="auto"/>
          </w:tcPr>
          <w:p w14:paraId="220D0162" w14:textId="77777777" w:rsidR="00695957" w:rsidRPr="000C3D2C" w:rsidRDefault="00695957" w:rsidP="001E6F05">
            <w:pPr>
              <w:suppressAutoHyphens w:val="0"/>
              <w:spacing w:line="240" w:lineRule="auto"/>
              <w:ind w:left="213" w:hanging="213"/>
              <w:rPr>
                <w:i/>
                <w:iCs/>
                <w:sz w:val="18"/>
              </w:rPr>
            </w:pPr>
            <w:r w:rsidRPr="000C3D2C">
              <w:rPr>
                <w:i/>
                <w:iCs/>
                <w:sz w:val="18"/>
              </w:rPr>
              <w:t>ST/SG/AC.10/C.3/2018/52 (SAAMI)</w:t>
            </w:r>
          </w:p>
        </w:tc>
        <w:tc>
          <w:tcPr>
            <w:tcW w:w="4268" w:type="dxa"/>
            <w:tcBorders>
              <w:top w:val="nil"/>
              <w:left w:val="nil"/>
              <w:bottom w:val="nil"/>
              <w:right w:val="nil"/>
            </w:tcBorders>
            <w:shd w:val="clear" w:color="auto" w:fill="auto"/>
          </w:tcPr>
          <w:p w14:paraId="67FAD189" w14:textId="77777777" w:rsidR="00695957" w:rsidRPr="000C3D2C" w:rsidRDefault="00695957" w:rsidP="001E6F05">
            <w:pPr>
              <w:suppressAutoHyphens w:val="0"/>
              <w:spacing w:line="240" w:lineRule="auto"/>
              <w:rPr>
                <w:i/>
                <w:iCs/>
                <w:sz w:val="18"/>
              </w:rPr>
            </w:pPr>
            <w:r w:rsidRPr="000C3D2C">
              <w:rPr>
                <w:i/>
                <w:iCs/>
                <w:sz w:val="18"/>
              </w:rPr>
              <w:t>Determination of electrostatic sensitiveness discharge (ESD) using the Allegany Ballistics Laboratory (ABL) ESD machine</w:t>
            </w:r>
          </w:p>
        </w:tc>
        <w:tc>
          <w:tcPr>
            <w:tcW w:w="1179" w:type="dxa"/>
            <w:tcBorders>
              <w:top w:val="nil"/>
              <w:left w:val="nil"/>
              <w:bottom w:val="nil"/>
              <w:right w:val="nil"/>
            </w:tcBorders>
          </w:tcPr>
          <w:p w14:paraId="1C4552CF" w14:textId="22C96975" w:rsidR="00695957" w:rsidRPr="000C3D2C" w:rsidRDefault="00695957" w:rsidP="001E6F05">
            <w:pPr>
              <w:suppressAutoHyphens w:val="0"/>
              <w:spacing w:line="240" w:lineRule="auto"/>
              <w:jc w:val="center"/>
              <w:rPr>
                <w:i/>
                <w:iCs/>
                <w:sz w:val="18"/>
              </w:rPr>
            </w:pPr>
            <w:r>
              <w:rPr>
                <w:i/>
                <w:iCs/>
                <w:sz w:val="18"/>
              </w:rPr>
              <w:t>11</w:t>
            </w:r>
          </w:p>
        </w:tc>
      </w:tr>
      <w:tr w:rsidR="009D3BD0" w:rsidRPr="001637A8" w14:paraId="518A2E09" w14:textId="3DD43FF6" w:rsidTr="009D3BD0">
        <w:trPr>
          <w:cantSplit/>
          <w:trHeight w:val="20"/>
        </w:trPr>
        <w:tc>
          <w:tcPr>
            <w:tcW w:w="3084" w:type="dxa"/>
            <w:tcBorders>
              <w:top w:val="nil"/>
              <w:left w:val="nil"/>
              <w:right w:val="nil"/>
            </w:tcBorders>
            <w:shd w:val="clear" w:color="auto" w:fill="auto"/>
          </w:tcPr>
          <w:p w14:paraId="48857336" w14:textId="0413D717" w:rsidR="009D3BD0" w:rsidRPr="001637A8" w:rsidRDefault="009D3BD0" w:rsidP="00F43E63">
            <w:pPr>
              <w:keepNext/>
              <w:suppressAutoHyphens w:val="0"/>
              <w:spacing w:line="240" w:lineRule="auto"/>
              <w:ind w:left="213" w:hanging="213"/>
              <w:rPr>
                <w:i/>
                <w:iCs/>
                <w:sz w:val="18"/>
              </w:rPr>
            </w:pPr>
            <w:r w:rsidRPr="001637A8">
              <w:rPr>
                <w:i/>
                <w:iCs/>
                <w:sz w:val="18"/>
              </w:rPr>
              <w:t>ST/SG/AC.10/C.3/2018/53(SAAMI)</w:t>
            </w:r>
          </w:p>
        </w:tc>
        <w:tc>
          <w:tcPr>
            <w:tcW w:w="4268" w:type="dxa"/>
            <w:tcBorders>
              <w:top w:val="nil"/>
              <w:left w:val="nil"/>
              <w:right w:val="nil"/>
            </w:tcBorders>
            <w:shd w:val="clear" w:color="auto" w:fill="auto"/>
          </w:tcPr>
          <w:p w14:paraId="42A1BADB" w14:textId="67BF2103" w:rsidR="009D3BD0" w:rsidRPr="001637A8" w:rsidRDefault="009D3BD0" w:rsidP="00FE138B">
            <w:pPr>
              <w:suppressAutoHyphens w:val="0"/>
              <w:spacing w:line="240" w:lineRule="auto"/>
              <w:rPr>
                <w:i/>
                <w:iCs/>
                <w:sz w:val="18"/>
              </w:rPr>
            </w:pPr>
            <w:r w:rsidRPr="001637A8">
              <w:rPr>
                <w:i/>
                <w:iCs/>
                <w:sz w:val="18"/>
              </w:rPr>
              <w:t>A method for transporting controlled shipments of explosives that are not yet classified (</w:t>
            </w:r>
            <w:r w:rsidRPr="001637A8">
              <w:rPr>
                <w:i/>
                <w:iCs/>
                <w:sz w:val="18"/>
              </w:rPr>
              <w:sym w:font="Symbol" w:char="F0A3"/>
            </w:r>
            <w:r w:rsidRPr="001637A8">
              <w:rPr>
                <w:i/>
                <w:iCs/>
                <w:sz w:val="18"/>
              </w:rPr>
              <w:t xml:space="preserve"> 25 grams)</w:t>
            </w:r>
          </w:p>
        </w:tc>
        <w:tc>
          <w:tcPr>
            <w:tcW w:w="1179" w:type="dxa"/>
            <w:tcBorders>
              <w:top w:val="nil"/>
              <w:left w:val="nil"/>
              <w:right w:val="nil"/>
            </w:tcBorders>
          </w:tcPr>
          <w:p w14:paraId="12A696FD" w14:textId="16E91F6E" w:rsidR="009D3BD0" w:rsidRPr="001637A8" w:rsidRDefault="009D3BD0" w:rsidP="000C3D2C">
            <w:pPr>
              <w:suppressAutoHyphens w:val="0"/>
              <w:spacing w:line="240" w:lineRule="auto"/>
              <w:jc w:val="center"/>
              <w:rPr>
                <w:i/>
                <w:iCs/>
                <w:sz w:val="18"/>
              </w:rPr>
            </w:pPr>
            <w:r w:rsidRPr="001637A8">
              <w:rPr>
                <w:i/>
                <w:iCs/>
                <w:sz w:val="18"/>
              </w:rPr>
              <w:t>1</w:t>
            </w:r>
            <w:r w:rsidR="00D143B0">
              <w:rPr>
                <w:i/>
                <w:iCs/>
                <w:sz w:val="18"/>
              </w:rPr>
              <w:t>2</w:t>
            </w:r>
          </w:p>
        </w:tc>
      </w:tr>
      <w:tr w:rsidR="004B512B" w:rsidRPr="0091240B" w14:paraId="433EA521" w14:textId="77777777" w:rsidTr="00CA3DA0">
        <w:trPr>
          <w:cantSplit/>
          <w:trHeight w:val="20"/>
        </w:trPr>
        <w:tc>
          <w:tcPr>
            <w:tcW w:w="3084" w:type="dxa"/>
            <w:tcBorders>
              <w:top w:val="nil"/>
              <w:left w:val="nil"/>
              <w:bottom w:val="nil"/>
              <w:right w:val="nil"/>
            </w:tcBorders>
            <w:shd w:val="clear" w:color="auto" w:fill="auto"/>
          </w:tcPr>
          <w:p w14:paraId="018CCDDF" w14:textId="55675BD3" w:rsidR="004B512B" w:rsidRPr="006B5B95" w:rsidRDefault="004B512B" w:rsidP="00CA3DA0">
            <w:pPr>
              <w:keepNext/>
              <w:suppressAutoHyphens w:val="0"/>
              <w:spacing w:line="240" w:lineRule="auto"/>
              <w:ind w:left="213" w:hanging="213"/>
              <w:rPr>
                <w:i/>
                <w:iCs/>
                <w:sz w:val="18"/>
              </w:rPr>
            </w:pPr>
            <w:r>
              <w:rPr>
                <w:i/>
                <w:iCs/>
                <w:sz w:val="18"/>
              </w:rPr>
              <w:tab/>
              <w:t xml:space="preserve">UN/SCETDG/53/INF.43 </w:t>
            </w:r>
            <w:r w:rsidRPr="007B30EB">
              <w:rPr>
                <w:i/>
                <w:iCs/>
                <w:sz w:val="18"/>
              </w:rPr>
              <w:t>(</w:t>
            </w:r>
            <w:r>
              <w:rPr>
                <w:i/>
                <w:iCs/>
                <w:sz w:val="18"/>
              </w:rPr>
              <w:t>SAAMI</w:t>
            </w:r>
            <w:r w:rsidRPr="006B5B95">
              <w:rPr>
                <w:i/>
                <w:iCs/>
                <w:sz w:val="18"/>
              </w:rPr>
              <w:t>)</w:t>
            </w:r>
          </w:p>
        </w:tc>
        <w:tc>
          <w:tcPr>
            <w:tcW w:w="4268" w:type="dxa"/>
            <w:tcBorders>
              <w:top w:val="nil"/>
              <w:left w:val="nil"/>
              <w:bottom w:val="nil"/>
              <w:right w:val="nil"/>
            </w:tcBorders>
            <w:shd w:val="clear" w:color="auto" w:fill="auto"/>
          </w:tcPr>
          <w:p w14:paraId="11C299D0" w14:textId="723BC996" w:rsidR="004B512B" w:rsidRPr="006B5B95" w:rsidRDefault="004B512B" w:rsidP="00CA3DA0">
            <w:pPr>
              <w:keepNext/>
              <w:suppressAutoHyphens w:val="0"/>
              <w:spacing w:line="240" w:lineRule="auto"/>
              <w:ind w:left="213" w:hanging="213"/>
              <w:rPr>
                <w:i/>
                <w:iCs/>
                <w:sz w:val="18"/>
              </w:rPr>
            </w:pPr>
            <w:r>
              <w:rPr>
                <w:i/>
                <w:iCs/>
                <w:sz w:val="18"/>
              </w:rPr>
              <w:tab/>
            </w:r>
            <w:r w:rsidRPr="001637A8">
              <w:rPr>
                <w:i/>
                <w:iCs/>
                <w:sz w:val="18"/>
              </w:rPr>
              <w:t>A method for transporting controlled shipments of explosives that are not yet classified (</w:t>
            </w:r>
            <w:r w:rsidRPr="001637A8">
              <w:rPr>
                <w:i/>
                <w:iCs/>
                <w:sz w:val="18"/>
              </w:rPr>
              <w:sym w:font="Symbol" w:char="F0A3"/>
            </w:r>
            <w:r w:rsidRPr="001637A8">
              <w:rPr>
                <w:i/>
                <w:iCs/>
                <w:sz w:val="18"/>
              </w:rPr>
              <w:t xml:space="preserve"> 25 grams)</w:t>
            </w:r>
          </w:p>
        </w:tc>
        <w:tc>
          <w:tcPr>
            <w:tcW w:w="1179" w:type="dxa"/>
            <w:tcBorders>
              <w:top w:val="nil"/>
              <w:left w:val="nil"/>
              <w:bottom w:val="nil"/>
              <w:right w:val="nil"/>
            </w:tcBorders>
          </w:tcPr>
          <w:p w14:paraId="71938412" w14:textId="792B0393" w:rsidR="004B512B" w:rsidRPr="009979EA" w:rsidRDefault="00B91128" w:rsidP="00CA3DA0">
            <w:pPr>
              <w:suppressAutoHyphens w:val="0"/>
              <w:spacing w:line="240" w:lineRule="auto"/>
              <w:ind w:left="264" w:hanging="264"/>
              <w:jc w:val="center"/>
              <w:rPr>
                <w:i/>
                <w:iCs/>
                <w:sz w:val="18"/>
              </w:rPr>
            </w:pPr>
            <w:r>
              <w:rPr>
                <w:i/>
                <w:iCs/>
                <w:sz w:val="18"/>
              </w:rPr>
              <w:t>12</w:t>
            </w:r>
          </w:p>
        </w:tc>
      </w:tr>
      <w:tr w:rsidR="00F30C48" w:rsidRPr="001637A8" w14:paraId="5977D20E" w14:textId="77777777" w:rsidTr="0098592F">
        <w:trPr>
          <w:cantSplit/>
          <w:trHeight w:val="20"/>
        </w:trPr>
        <w:tc>
          <w:tcPr>
            <w:tcW w:w="3084" w:type="dxa"/>
            <w:tcBorders>
              <w:top w:val="nil"/>
              <w:left w:val="nil"/>
              <w:right w:val="nil"/>
            </w:tcBorders>
            <w:shd w:val="clear" w:color="auto" w:fill="auto"/>
          </w:tcPr>
          <w:p w14:paraId="32AFFE42" w14:textId="77777777" w:rsidR="00F30C48" w:rsidRPr="001637A8" w:rsidRDefault="00F30C48" w:rsidP="0098592F">
            <w:pPr>
              <w:keepNext/>
              <w:suppressAutoHyphens w:val="0"/>
              <w:spacing w:line="240" w:lineRule="auto"/>
              <w:ind w:left="213" w:hanging="213"/>
              <w:rPr>
                <w:i/>
                <w:iCs/>
                <w:sz w:val="18"/>
              </w:rPr>
            </w:pPr>
            <w:r>
              <w:rPr>
                <w:i/>
                <w:iCs/>
                <w:sz w:val="18"/>
              </w:rPr>
              <w:t xml:space="preserve">UN/SCETDG/53/INF.17 </w:t>
            </w:r>
            <w:r w:rsidRPr="007B30EB">
              <w:rPr>
                <w:i/>
                <w:iCs/>
                <w:sz w:val="18"/>
              </w:rPr>
              <w:t>(CEFIC)</w:t>
            </w:r>
          </w:p>
        </w:tc>
        <w:tc>
          <w:tcPr>
            <w:tcW w:w="4268" w:type="dxa"/>
            <w:tcBorders>
              <w:top w:val="nil"/>
              <w:left w:val="nil"/>
              <w:right w:val="nil"/>
            </w:tcBorders>
            <w:shd w:val="clear" w:color="auto" w:fill="auto"/>
          </w:tcPr>
          <w:p w14:paraId="24B9EFE3" w14:textId="77777777" w:rsidR="00F30C48" w:rsidRPr="001637A8" w:rsidRDefault="00F30C48" w:rsidP="0098592F">
            <w:pPr>
              <w:suppressAutoHyphens w:val="0"/>
              <w:spacing w:line="240" w:lineRule="auto"/>
              <w:rPr>
                <w:i/>
                <w:iCs/>
                <w:sz w:val="18"/>
              </w:rPr>
            </w:pPr>
            <w:r w:rsidRPr="007B30EB">
              <w:rPr>
                <w:i/>
                <w:iCs/>
                <w:sz w:val="18"/>
              </w:rPr>
              <w:t>Transport of energetic samples for further testing</w:t>
            </w:r>
          </w:p>
        </w:tc>
        <w:tc>
          <w:tcPr>
            <w:tcW w:w="1179" w:type="dxa"/>
            <w:tcBorders>
              <w:top w:val="nil"/>
              <w:left w:val="nil"/>
              <w:right w:val="nil"/>
            </w:tcBorders>
          </w:tcPr>
          <w:p w14:paraId="0C349D00" w14:textId="494BC46B" w:rsidR="00F30C48" w:rsidRPr="001637A8" w:rsidRDefault="00F30C48" w:rsidP="0098592F">
            <w:pPr>
              <w:suppressAutoHyphens w:val="0"/>
              <w:spacing w:line="240" w:lineRule="auto"/>
              <w:jc w:val="center"/>
              <w:rPr>
                <w:i/>
                <w:iCs/>
                <w:sz w:val="18"/>
              </w:rPr>
            </w:pPr>
            <w:r w:rsidRPr="001637A8">
              <w:rPr>
                <w:i/>
                <w:iCs/>
                <w:sz w:val="18"/>
              </w:rPr>
              <w:t>1</w:t>
            </w:r>
            <w:r w:rsidR="00B91128">
              <w:rPr>
                <w:i/>
                <w:iCs/>
                <w:sz w:val="18"/>
              </w:rPr>
              <w:t>3</w:t>
            </w:r>
          </w:p>
        </w:tc>
      </w:tr>
      <w:tr w:rsidR="007B30EB" w:rsidRPr="001637A8" w14:paraId="056413E5" w14:textId="77777777" w:rsidTr="0098592F">
        <w:trPr>
          <w:cantSplit/>
          <w:trHeight w:val="20"/>
        </w:trPr>
        <w:tc>
          <w:tcPr>
            <w:tcW w:w="3084" w:type="dxa"/>
            <w:tcBorders>
              <w:top w:val="nil"/>
              <w:left w:val="nil"/>
              <w:right w:val="nil"/>
            </w:tcBorders>
            <w:shd w:val="clear" w:color="auto" w:fill="auto"/>
          </w:tcPr>
          <w:p w14:paraId="347F2EDC" w14:textId="2F26AF5F" w:rsidR="007B30EB" w:rsidRPr="001637A8" w:rsidRDefault="007B30EB" w:rsidP="00F30C48">
            <w:pPr>
              <w:keepNext/>
              <w:suppressAutoHyphens w:val="0"/>
              <w:spacing w:line="240" w:lineRule="auto"/>
              <w:ind w:left="213" w:hanging="213"/>
              <w:rPr>
                <w:i/>
                <w:iCs/>
                <w:sz w:val="18"/>
              </w:rPr>
            </w:pPr>
            <w:r>
              <w:rPr>
                <w:i/>
                <w:iCs/>
                <w:sz w:val="18"/>
              </w:rPr>
              <w:t>UN/SCETDG/53/INF.</w:t>
            </w:r>
            <w:r w:rsidR="00F30C48">
              <w:rPr>
                <w:i/>
                <w:iCs/>
                <w:sz w:val="18"/>
              </w:rPr>
              <w:t>21</w:t>
            </w:r>
            <w:r>
              <w:rPr>
                <w:i/>
                <w:iCs/>
                <w:sz w:val="18"/>
              </w:rPr>
              <w:t xml:space="preserve"> </w:t>
            </w:r>
            <w:r w:rsidRPr="007B30EB">
              <w:rPr>
                <w:i/>
                <w:iCs/>
                <w:sz w:val="18"/>
              </w:rPr>
              <w:t>(</w:t>
            </w:r>
            <w:r w:rsidR="00F30C48">
              <w:rPr>
                <w:i/>
                <w:iCs/>
                <w:sz w:val="18"/>
              </w:rPr>
              <w:t>IME</w:t>
            </w:r>
            <w:r w:rsidRPr="007B30EB">
              <w:rPr>
                <w:i/>
                <w:iCs/>
                <w:sz w:val="18"/>
              </w:rPr>
              <w:t>)</w:t>
            </w:r>
          </w:p>
        </w:tc>
        <w:tc>
          <w:tcPr>
            <w:tcW w:w="4268" w:type="dxa"/>
            <w:tcBorders>
              <w:top w:val="nil"/>
              <w:left w:val="nil"/>
              <w:right w:val="nil"/>
            </w:tcBorders>
            <w:shd w:val="clear" w:color="auto" w:fill="auto"/>
          </w:tcPr>
          <w:p w14:paraId="0E357602" w14:textId="5F6DC290" w:rsidR="007B30EB" w:rsidRPr="001637A8" w:rsidRDefault="00F30C48" w:rsidP="0098592F">
            <w:pPr>
              <w:suppressAutoHyphens w:val="0"/>
              <w:spacing w:line="240" w:lineRule="auto"/>
              <w:rPr>
                <w:i/>
                <w:iCs/>
                <w:sz w:val="18"/>
              </w:rPr>
            </w:pPr>
            <w:r w:rsidRPr="00F30C48">
              <w:rPr>
                <w:i/>
                <w:iCs/>
                <w:sz w:val="18"/>
              </w:rPr>
              <w:t>Comments on UN0222 Ammonium Nitrate</w:t>
            </w:r>
          </w:p>
        </w:tc>
        <w:tc>
          <w:tcPr>
            <w:tcW w:w="1179" w:type="dxa"/>
            <w:tcBorders>
              <w:top w:val="nil"/>
              <w:left w:val="nil"/>
              <w:right w:val="nil"/>
            </w:tcBorders>
          </w:tcPr>
          <w:p w14:paraId="33FCD42A" w14:textId="78D2F0BA" w:rsidR="007B30EB" w:rsidRPr="001637A8" w:rsidRDefault="00D143B0" w:rsidP="00F30C48">
            <w:pPr>
              <w:suppressAutoHyphens w:val="0"/>
              <w:spacing w:line="240" w:lineRule="auto"/>
              <w:jc w:val="center"/>
              <w:rPr>
                <w:i/>
                <w:iCs/>
                <w:sz w:val="18"/>
              </w:rPr>
            </w:pPr>
            <w:r>
              <w:rPr>
                <w:i/>
                <w:iCs/>
                <w:sz w:val="18"/>
              </w:rPr>
              <w:t>1</w:t>
            </w:r>
            <w:r w:rsidR="00B91128">
              <w:rPr>
                <w:i/>
                <w:iCs/>
                <w:sz w:val="18"/>
              </w:rPr>
              <w:t>4</w:t>
            </w:r>
          </w:p>
        </w:tc>
      </w:tr>
      <w:tr w:rsidR="00CA3DA0" w:rsidRPr="001637A8" w14:paraId="58C4251B" w14:textId="77777777" w:rsidTr="00CA3DA0">
        <w:trPr>
          <w:cantSplit/>
          <w:trHeight w:val="20"/>
        </w:trPr>
        <w:tc>
          <w:tcPr>
            <w:tcW w:w="3084" w:type="dxa"/>
            <w:tcBorders>
              <w:top w:val="nil"/>
              <w:left w:val="nil"/>
              <w:right w:val="nil"/>
            </w:tcBorders>
            <w:shd w:val="clear" w:color="auto" w:fill="auto"/>
          </w:tcPr>
          <w:p w14:paraId="5BA8CB74" w14:textId="028DAF3B" w:rsidR="00CA3DA0" w:rsidRPr="001637A8" w:rsidRDefault="00CA3DA0" w:rsidP="00CA3DA0">
            <w:pPr>
              <w:keepNext/>
              <w:suppressAutoHyphens w:val="0"/>
              <w:spacing w:line="240" w:lineRule="auto"/>
              <w:ind w:left="213" w:hanging="213"/>
              <w:rPr>
                <w:i/>
                <w:iCs/>
                <w:sz w:val="18"/>
              </w:rPr>
            </w:pPr>
            <w:r>
              <w:rPr>
                <w:i/>
                <w:iCs/>
                <w:sz w:val="18"/>
              </w:rPr>
              <w:t xml:space="preserve">UN/SCETDG/53/INF.24 </w:t>
            </w:r>
            <w:r w:rsidRPr="007B30EB">
              <w:rPr>
                <w:i/>
                <w:iCs/>
                <w:sz w:val="18"/>
              </w:rPr>
              <w:t>(</w:t>
            </w:r>
            <w:r>
              <w:rPr>
                <w:i/>
                <w:iCs/>
                <w:sz w:val="18"/>
              </w:rPr>
              <w:t>UK</w:t>
            </w:r>
            <w:r w:rsidRPr="007B30EB">
              <w:rPr>
                <w:i/>
                <w:iCs/>
                <w:sz w:val="18"/>
              </w:rPr>
              <w:t>)</w:t>
            </w:r>
          </w:p>
        </w:tc>
        <w:tc>
          <w:tcPr>
            <w:tcW w:w="4268" w:type="dxa"/>
            <w:tcBorders>
              <w:top w:val="nil"/>
              <w:left w:val="nil"/>
              <w:right w:val="nil"/>
            </w:tcBorders>
            <w:shd w:val="clear" w:color="auto" w:fill="auto"/>
          </w:tcPr>
          <w:p w14:paraId="759201B8" w14:textId="6E600FEB" w:rsidR="00CA3DA0" w:rsidRPr="001637A8" w:rsidRDefault="00CA3DA0" w:rsidP="00CA3DA0">
            <w:pPr>
              <w:suppressAutoHyphens w:val="0"/>
              <w:spacing w:line="240" w:lineRule="auto"/>
              <w:rPr>
                <w:i/>
                <w:iCs/>
                <w:sz w:val="18"/>
              </w:rPr>
            </w:pPr>
            <w:r w:rsidRPr="00CA3DA0">
              <w:rPr>
                <w:i/>
                <w:iCs/>
                <w:sz w:val="18"/>
              </w:rPr>
              <w:t>Additional LP101 entries into the Dangerous Goods List</w:t>
            </w:r>
          </w:p>
        </w:tc>
        <w:tc>
          <w:tcPr>
            <w:tcW w:w="1179" w:type="dxa"/>
            <w:tcBorders>
              <w:top w:val="nil"/>
              <w:left w:val="nil"/>
              <w:right w:val="nil"/>
            </w:tcBorders>
          </w:tcPr>
          <w:p w14:paraId="7D58F536" w14:textId="2FBB9568" w:rsidR="00CA3DA0" w:rsidRPr="001637A8" w:rsidRDefault="00D143B0" w:rsidP="00CA3DA0">
            <w:pPr>
              <w:suppressAutoHyphens w:val="0"/>
              <w:spacing w:line="240" w:lineRule="auto"/>
              <w:jc w:val="center"/>
              <w:rPr>
                <w:i/>
                <w:iCs/>
                <w:sz w:val="18"/>
              </w:rPr>
            </w:pPr>
            <w:r>
              <w:rPr>
                <w:i/>
                <w:iCs/>
                <w:sz w:val="18"/>
              </w:rPr>
              <w:t>1</w:t>
            </w:r>
            <w:r w:rsidR="00B91128">
              <w:rPr>
                <w:i/>
                <w:iCs/>
                <w:sz w:val="18"/>
              </w:rPr>
              <w:t>5</w:t>
            </w:r>
          </w:p>
        </w:tc>
      </w:tr>
      <w:tr w:rsidR="00FA48EA" w:rsidRPr="00FA48EA" w14:paraId="5AA5B54D" w14:textId="77777777" w:rsidTr="00CA3B4C">
        <w:trPr>
          <w:cantSplit/>
          <w:trHeight w:val="20"/>
        </w:trPr>
        <w:tc>
          <w:tcPr>
            <w:tcW w:w="3084" w:type="dxa"/>
            <w:tcBorders>
              <w:top w:val="nil"/>
              <w:left w:val="nil"/>
              <w:right w:val="nil"/>
            </w:tcBorders>
            <w:shd w:val="clear" w:color="auto" w:fill="auto"/>
          </w:tcPr>
          <w:p w14:paraId="1C57CC8C" w14:textId="3A2A68EC" w:rsidR="00FA48EA" w:rsidRPr="001637A8" w:rsidRDefault="00FA48EA" w:rsidP="00CA3B4C">
            <w:pPr>
              <w:keepNext/>
              <w:suppressAutoHyphens w:val="0"/>
              <w:spacing w:line="240" w:lineRule="auto"/>
              <w:ind w:left="213" w:hanging="213"/>
              <w:rPr>
                <w:i/>
                <w:iCs/>
                <w:sz w:val="18"/>
              </w:rPr>
            </w:pPr>
            <w:r w:rsidRPr="001637A8">
              <w:rPr>
                <w:i/>
                <w:iCs/>
                <w:sz w:val="18"/>
              </w:rPr>
              <w:t>UN/SCETDG/53/INF.</w:t>
            </w:r>
            <w:r>
              <w:rPr>
                <w:i/>
                <w:iCs/>
                <w:sz w:val="18"/>
              </w:rPr>
              <w:t>29</w:t>
            </w:r>
            <w:r w:rsidRPr="001637A8">
              <w:rPr>
                <w:i/>
                <w:iCs/>
                <w:sz w:val="18"/>
              </w:rPr>
              <w:t xml:space="preserve"> (</w:t>
            </w:r>
            <w:r>
              <w:rPr>
                <w:i/>
                <w:iCs/>
                <w:sz w:val="18"/>
              </w:rPr>
              <w:t>Spain</w:t>
            </w:r>
            <w:r w:rsidRPr="001637A8">
              <w:rPr>
                <w:i/>
                <w:iCs/>
                <w:sz w:val="18"/>
              </w:rPr>
              <w:t>)</w:t>
            </w:r>
          </w:p>
        </w:tc>
        <w:tc>
          <w:tcPr>
            <w:tcW w:w="4268" w:type="dxa"/>
            <w:tcBorders>
              <w:top w:val="nil"/>
              <w:left w:val="nil"/>
              <w:right w:val="nil"/>
            </w:tcBorders>
            <w:shd w:val="clear" w:color="auto" w:fill="auto"/>
          </w:tcPr>
          <w:p w14:paraId="6F4ED785" w14:textId="0807F935" w:rsidR="00FA48EA" w:rsidRPr="001637A8" w:rsidRDefault="00FA48EA" w:rsidP="00FA48EA">
            <w:pPr>
              <w:suppressAutoHyphens w:val="0"/>
              <w:spacing w:line="240" w:lineRule="auto"/>
              <w:rPr>
                <w:i/>
                <w:iCs/>
                <w:sz w:val="18"/>
              </w:rPr>
            </w:pPr>
            <w:r w:rsidRPr="008B7BE9">
              <w:rPr>
                <w:i/>
                <w:iCs/>
                <w:sz w:val="18"/>
              </w:rPr>
              <w:t>Proper shipping names for explosives (UN 0237 and UN 0288)</w:t>
            </w:r>
          </w:p>
        </w:tc>
        <w:tc>
          <w:tcPr>
            <w:tcW w:w="1179" w:type="dxa"/>
            <w:tcBorders>
              <w:top w:val="nil"/>
              <w:left w:val="nil"/>
              <w:right w:val="nil"/>
            </w:tcBorders>
          </w:tcPr>
          <w:p w14:paraId="3EAF0027" w14:textId="4D61AAC6" w:rsidR="00FA48EA" w:rsidRPr="001637A8" w:rsidRDefault="00D143B0" w:rsidP="00FA48EA">
            <w:pPr>
              <w:suppressAutoHyphens w:val="0"/>
              <w:spacing w:line="240" w:lineRule="auto"/>
              <w:jc w:val="center"/>
              <w:rPr>
                <w:i/>
                <w:iCs/>
                <w:sz w:val="18"/>
              </w:rPr>
            </w:pPr>
            <w:r>
              <w:rPr>
                <w:i/>
                <w:iCs/>
                <w:sz w:val="18"/>
              </w:rPr>
              <w:t>1</w:t>
            </w:r>
            <w:r w:rsidR="00B91128">
              <w:rPr>
                <w:i/>
                <w:iCs/>
                <w:sz w:val="18"/>
              </w:rPr>
              <w:t>6</w:t>
            </w:r>
          </w:p>
        </w:tc>
      </w:tr>
      <w:tr w:rsidR="009D3BD0" w:rsidRPr="001637A8" w14:paraId="404E3247" w14:textId="4422C01D" w:rsidTr="009D3BD0">
        <w:trPr>
          <w:cantSplit/>
          <w:trHeight w:val="20"/>
        </w:trPr>
        <w:tc>
          <w:tcPr>
            <w:tcW w:w="3084" w:type="dxa"/>
            <w:tcBorders>
              <w:top w:val="nil"/>
              <w:left w:val="nil"/>
              <w:bottom w:val="nil"/>
              <w:right w:val="nil"/>
            </w:tcBorders>
            <w:shd w:val="clear" w:color="auto" w:fill="E6E6E6"/>
          </w:tcPr>
          <w:p w14:paraId="2B37138C" w14:textId="77777777" w:rsidR="009D3BD0" w:rsidRPr="001637A8" w:rsidRDefault="009D3BD0" w:rsidP="00FE138B">
            <w:pPr>
              <w:suppressAutoHyphens w:val="0"/>
              <w:spacing w:line="240" w:lineRule="auto"/>
              <w:ind w:left="213" w:hanging="213"/>
              <w:rPr>
                <w:iCs/>
                <w:sz w:val="18"/>
                <w:u w:val="single"/>
              </w:rPr>
            </w:pPr>
            <w:r w:rsidRPr="001637A8">
              <w:rPr>
                <w:iCs/>
                <w:sz w:val="18"/>
                <w:u w:val="single"/>
              </w:rPr>
              <w:t>Agenda Item 10(d)</w:t>
            </w:r>
          </w:p>
        </w:tc>
        <w:tc>
          <w:tcPr>
            <w:tcW w:w="4268" w:type="dxa"/>
            <w:tcBorders>
              <w:top w:val="nil"/>
              <w:left w:val="nil"/>
              <w:bottom w:val="nil"/>
              <w:right w:val="nil"/>
            </w:tcBorders>
            <w:shd w:val="clear" w:color="auto" w:fill="E6E6E6"/>
          </w:tcPr>
          <w:p w14:paraId="7AF5BC85" w14:textId="77777777" w:rsidR="009D3BD0" w:rsidRPr="001637A8" w:rsidRDefault="009D3BD0" w:rsidP="00FE138B">
            <w:pPr>
              <w:suppressAutoHyphens w:val="0"/>
              <w:spacing w:line="240" w:lineRule="auto"/>
              <w:ind w:left="264" w:hanging="264"/>
              <w:rPr>
                <w:iCs/>
                <w:sz w:val="18"/>
                <w:u w:val="single"/>
              </w:rPr>
            </w:pPr>
            <w:r w:rsidRPr="001637A8">
              <w:rPr>
                <w:iCs/>
                <w:sz w:val="18"/>
                <w:u w:val="single"/>
              </w:rPr>
              <w:t>Use of the Manual of Tests and Criteria in the context of the GHS</w:t>
            </w:r>
          </w:p>
        </w:tc>
        <w:tc>
          <w:tcPr>
            <w:tcW w:w="1179" w:type="dxa"/>
            <w:tcBorders>
              <w:top w:val="nil"/>
              <w:left w:val="nil"/>
              <w:bottom w:val="nil"/>
              <w:right w:val="nil"/>
            </w:tcBorders>
            <w:shd w:val="clear" w:color="auto" w:fill="E6E6E6"/>
          </w:tcPr>
          <w:p w14:paraId="0430E651" w14:textId="77777777" w:rsidR="009D3BD0" w:rsidRPr="001637A8" w:rsidRDefault="009D3BD0" w:rsidP="009D3BD0">
            <w:pPr>
              <w:suppressAutoHyphens w:val="0"/>
              <w:spacing w:line="240" w:lineRule="auto"/>
              <w:ind w:left="264" w:hanging="264"/>
              <w:jc w:val="center"/>
              <w:rPr>
                <w:iCs/>
                <w:sz w:val="18"/>
                <w:u w:val="single"/>
              </w:rPr>
            </w:pPr>
          </w:p>
        </w:tc>
      </w:tr>
      <w:tr w:rsidR="009D3BD0" w:rsidRPr="001637A8" w14:paraId="30873BC9" w14:textId="6300535E" w:rsidTr="009D3BD0">
        <w:trPr>
          <w:cantSplit/>
          <w:trHeight w:val="20"/>
        </w:trPr>
        <w:tc>
          <w:tcPr>
            <w:tcW w:w="3084" w:type="dxa"/>
            <w:tcBorders>
              <w:top w:val="nil"/>
              <w:left w:val="nil"/>
              <w:bottom w:val="nil"/>
              <w:right w:val="nil"/>
            </w:tcBorders>
            <w:shd w:val="clear" w:color="auto" w:fill="auto"/>
          </w:tcPr>
          <w:p w14:paraId="12EBA04B" w14:textId="77777777" w:rsidR="009D3BD0" w:rsidRPr="001637A8" w:rsidRDefault="009D3BD0" w:rsidP="00FE138B">
            <w:pPr>
              <w:suppressAutoHyphens w:val="0"/>
              <w:spacing w:line="240" w:lineRule="auto"/>
              <w:rPr>
                <w:i/>
                <w:iCs/>
                <w:sz w:val="18"/>
              </w:rPr>
            </w:pPr>
            <w:r w:rsidRPr="001637A8">
              <w:rPr>
                <w:i/>
                <w:iCs/>
                <w:sz w:val="18"/>
              </w:rPr>
              <w:t>ST/SG/AC.10/C.3/2018/1 – ST/SG/AC.10/C.4/2018/1 (EWG Chair)</w:t>
            </w:r>
          </w:p>
        </w:tc>
        <w:tc>
          <w:tcPr>
            <w:tcW w:w="4268" w:type="dxa"/>
            <w:tcBorders>
              <w:top w:val="nil"/>
              <w:left w:val="nil"/>
              <w:bottom w:val="nil"/>
              <w:right w:val="nil"/>
            </w:tcBorders>
            <w:shd w:val="clear" w:color="auto" w:fill="auto"/>
          </w:tcPr>
          <w:p w14:paraId="74711032" w14:textId="77777777" w:rsidR="009D3BD0" w:rsidRPr="001637A8" w:rsidRDefault="009D3BD0" w:rsidP="00BA4EDA">
            <w:pPr>
              <w:suppressAutoHyphens w:val="0"/>
              <w:spacing w:line="240" w:lineRule="auto"/>
              <w:rPr>
                <w:i/>
                <w:iCs/>
                <w:sz w:val="18"/>
              </w:rPr>
            </w:pPr>
            <w:r w:rsidRPr="001637A8">
              <w:rPr>
                <w:i/>
                <w:iCs/>
                <w:sz w:val="18"/>
              </w:rPr>
              <w:t>Use of the Manual of Tests and Criteria in the context of GHS</w:t>
            </w:r>
          </w:p>
        </w:tc>
        <w:tc>
          <w:tcPr>
            <w:tcW w:w="1179" w:type="dxa"/>
            <w:tcBorders>
              <w:top w:val="nil"/>
              <w:left w:val="nil"/>
              <w:bottom w:val="nil"/>
              <w:right w:val="nil"/>
            </w:tcBorders>
          </w:tcPr>
          <w:p w14:paraId="1E8B21DB" w14:textId="741E8F5C" w:rsidR="009D3BD0" w:rsidRPr="001637A8" w:rsidRDefault="00E83C88" w:rsidP="00F30C48">
            <w:pPr>
              <w:suppressAutoHyphens w:val="0"/>
              <w:spacing w:line="240" w:lineRule="auto"/>
              <w:ind w:left="264" w:hanging="264"/>
              <w:jc w:val="center"/>
              <w:rPr>
                <w:i/>
                <w:iCs/>
                <w:sz w:val="18"/>
              </w:rPr>
            </w:pPr>
            <w:r>
              <w:rPr>
                <w:i/>
                <w:iCs/>
                <w:sz w:val="18"/>
              </w:rPr>
              <w:t>17</w:t>
            </w:r>
          </w:p>
        </w:tc>
      </w:tr>
      <w:tr w:rsidR="009D3BD0" w:rsidRPr="001637A8" w14:paraId="39DDEB0B" w14:textId="5A9E86D4" w:rsidTr="009D3BD0">
        <w:trPr>
          <w:cantSplit/>
          <w:trHeight w:val="20"/>
        </w:trPr>
        <w:tc>
          <w:tcPr>
            <w:tcW w:w="3084" w:type="dxa"/>
            <w:tcBorders>
              <w:top w:val="nil"/>
              <w:left w:val="nil"/>
              <w:bottom w:val="nil"/>
              <w:right w:val="nil"/>
            </w:tcBorders>
            <w:shd w:val="clear" w:color="auto" w:fill="auto"/>
          </w:tcPr>
          <w:p w14:paraId="4F0D5DF8" w14:textId="77777777" w:rsidR="009D3BD0" w:rsidRPr="001637A8" w:rsidRDefault="009D3BD0" w:rsidP="00FE138B">
            <w:pPr>
              <w:keepNext/>
              <w:suppressAutoHyphens w:val="0"/>
              <w:spacing w:line="240" w:lineRule="auto"/>
              <w:ind w:left="213" w:hanging="213"/>
              <w:rPr>
                <w:i/>
                <w:iCs/>
                <w:sz w:val="18"/>
              </w:rPr>
            </w:pPr>
            <w:r w:rsidRPr="001637A8">
              <w:rPr>
                <w:i/>
                <w:iCs/>
                <w:sz w:val="18"/>
              </w:rPr>
              <w:tab/>
              <w:t>UN/SCETDG/53/INF.3 – UN/SCEGHS/35/INF.3 (EWG Chair)</w:t>
            </w:r>
          </w:p>
        </w:tc>
        <w:tc>
          <w:tcPr>
            <w:tcW w:w="4268" w:type="dxa"/>
            <w:tcBorders>
              <w:top w:val="nil"/>
              <w:left w:val="nil"/>
              <w:bottom w:val="nil"/>
              <w:right w:val="nil"/>
            </w:tcBorders>
            <w:shd w:val="clear" w:color="auto" w:fill="auto"/>
          </w:tcPr>
          <w:p w14:paraId="4EDAC5AA" w14:textId="77777777" w:rsidR="009D3BD0" w:rsidRPr="001637A8" w:rsidRDefault="009D3BD0" w:rsidP="00FE138B">
            <w:pPr>
              <w:keepNext/>
              <w:suppressAutoHyphens w:val="0"/>
              <w:spacing w:line="240" w:lineRule="auto"/>
              <w:ind w:left="213" w:hanging="213"/>
              <w:rPr>
                <w:i/>
                <w:iCs/>
                <w:sz w:val="18"/>
              </w:rPr>
            </w:pPr>
            <w:r w:rsidRPr="001637A8">
              <w:rPr>
                <w:i/>
                <w:iCs/>
                <w:sz w:val="18"/>
              </w:rPr>
              <w:tab/>
              <w:t>Use of the Manual of Tests and Criteria in the context of GHS (Part I, Sections 1 and 10)</w:t>
            </w:r>
          </w:p>
        </w:tc>
        <w:tc>
          <w:tcPr>
            <w:tcW w:w="1179" w:type="dxa"/>
            <w:tcBorders>
              <w:top w:val="nil"/>
              <w:left w:val="nil"/>
              <w:bottom w:val="nil"/>
              <w:right w:val="nil"/>
            </w:tcBorders>
          </w:tcPr>
          <w:p w14:paraId="0EA75CAB" w14:textId="2424D698" w:rsidR="009D3BD0" w:rsidRPr="001637A8" w:rsidRDefault="00E83C88" w:rsidP="00F30C48">
            <w:pPr>
              <w:keepNext/>
              <w:suppressAutoHyphens w:val="0"/>
              <w:spacing w:line="240" w:lineRule="auto"/>
              <w:ind w:left="213" w:hanging="213"/>
              <w:jc w:val="center"/>
              <w:rPr>
                <w:i/>
                <w:iCs/>
                <w:sz w:val="18"/>
              </w:rPr>
            </w:pPr>
            <w:r>
              <w:rPr>
                <w:i/>
                <w:iCs/>
                <w:sz w:val="18"/>
              </w:rPr>
              <w:t>17</w:t>
            </w:r>
          </w:p>
        </w:tc>
      </w:tr>
      <w:tr w:rsidR="009D3BD0" w:rsidRPr="001637A8" w14:paraId="03D82C08" w14:textId="459AC3F1" w:rsidTr="009D3BD0">
        <w:trPr>
          <w:cantSplit/>
          <w:trHeight w:val="20"/>
        </w:trPr>
        <w:tc>
          <w:tcPr>
            <w:tcW w:w="3084" w:type="dxa"/>
            <w:tcBorders>
              <w:top w:val="nil"/>
              <w:left w:val="nil"/>
              <w:bottom w:val="nil"/>
              <w:right w:val="nil"/>
            </w:tcBorders>
            <w:shd w:val="clear" w:color="auto" w:fill="auto"/>
          </w:tcPr>
          <w:p w14:paraId="118EC823" w14:textId="77777777" w:rsidR="009D3BD0" w:rsidRPr="001637A8" w:rsidRDefault="009D3BD0" w:rsidP="00FE138B">
            <w:pPr>
              <w:keepNext/>
              <w:suppressAutoHyphens w:val="0"/>
              <w:spacing w:line="240" w:lineRule="auto"/>
              <w:ind w:left="213" w:hanging="213"/>
              <w:rPr>
                <w:i/>
                <w:iCs/>
                <w:sz w:val="18"/>
              </w:rPr>
            </w:pPr>
            <w:r w:rsidRPr="001637A8">
              <w:rPr>
                <w:i/>
                <w:iCs/>
                <w:sz w:val="18"/>
              </w:rPr>
              <w:tab/>
              <w:t>UN/SCETDG/53/INF.4 – UN/SCEGHS/35/INF.4 (EWG Chair)</w:t>
            </w:r>
          </w:p>
        </w:tc>
        <w:tc>
          <w:tcPr>
            <w:tcW w:w="4268" w:type="dxa"/>
            <w:tcBorders>
              <w:top w:val="nil"/>
              <w:left w:val="nil"/>
              <w:bottom w:val="nil"/>
              <w:right w:val="nil"/>
            </w:tcBorders>
            <w:shd w:val="clear" w:color="auto" w:fill="auto"/>
          </w:tcPr>
          <w:p w14:paraId="2DA0909A" w14:textId="77777777" w:rsidR="009D3BD0" w:rsidRPr="001637A8" w:rsidRDefault="009D3BD0" w:rsidP="00FE138B">
            <w:pPr>
              <w:keepNext/>
              <w:suppressAutoHyphens w:val="0"/>
              <w:spacing w:line="240" w:lineRule="auto"/>
              <w:ind w:left="213" w:hanging="213"/>
              <w:rPr>
                <w:i/>
                <w:iCs/>
                <w:sz w:val="18"/>
              </w:rPr>
            </w:pPr>
            <w:r w:rsidRPr="001637A8">
              <w:rPr>
                <w:i/>
                <w:iCs/>
                <w:sz w:val="18"/>
              </w:rPr>
              <w:tab/>
              <w:t>Use of the Manual of Tests and Criteria in the context of GHS (Part II, Sections 20 - 28)</w:t>
            </w:r>
          </w:p>
        </w:tc>
        <w:tc>
          <w:tcPr>
            <w:tcW w:w="1179" w:type="dxa"/>
            <w:tcBorders>
              <w:top w:val="nil"/>
              <w:left w:val="nil"/>
              <w:bottom w:val="nil"/>
              <w:right w:val="nil"/>
            </w:tcBorders>
          </w:tcPr>
          <w:p w14:paraId="5D5BDAC0" w14:textId="2722C76B" w:rsidR="009D3BD0" w:rsidRPr="001637A8" w:rsidRDefault="00E83C88" w:rsidP="00F30C48">
            <w:pPr>
              <w:keepNext/>
              <w:suppressAutoHyphens w:val="0"/>
              <w:spacing w:line="240" w:lineRule="auto"/>
              <w:ind w:left="213" w:hanging="213"/>
              <w:jc w:val="center"/>
              <w:rPr>
                <w:i/>
                <w:iCs/>
                <w:sz w:val="18"/>
              </w:rPr>
            </w:pPr>
            <w:r>
              <w:rPr>
                <w:i/>
                <w:iCs/>
                <w:sz w:val="18"/>
              </w:rPr>
              <w:t>17</w:t>
            </w:r>
          </w:p>
        </w:tc>
      </w:tr>
      <w:tr w:rsidR="009D3BD0" w:rsidRPr="001637A8" w14:paraId="24B03879" w14:textId="27E3EEAA" w:rsidTr="009D3BD0">
        <w:trPr>
          <w:cantSplit/>
          <w:trHeight w:val="20"/>
        </w:trPr>
        <w:tc>
          <w:tcPr>
            <w:tcW w:w="3084" w:type="dxa"/>
            <w:tcBorders>
              <w:top w:val="nil"/>
              <w:left w:val="nil"/>
              <w:bottom w:val="nil"/>
              <w:right w:val="nil"/>
            </w:tcBorders>
            <w:shd w:val="clear" w:color="auto" w:fill="auto"/>
          </w:tcPr>
          <w:p w14:paraId="171DD858" w14:textId="77777777" w:rsidR="009D3BD0" w:rsidRPr="001637A8" w:rsidRDefault="009D3BD0" w:rsidP="00FE138B">
            <w:pPr>
              <w:keepNext/>
              <w:suppressAutoHyphens w:val="0"/>
              <w:spacing w:line="240" w:lineRule="auto"/>
              <w:ind w:left="213" w:hanging="213"/>
              <w:rPr>
                <w:i/>
                <w:iCs/>
                <w:sz w:val="18"/>
              </w:rPr>
            </w:pPr>
            <w:r w:rsidRPr="001637A8">
              <w:rPr>
                <w:i/>
                <w:iCs/>
                <w:sz w:val="18"/>
              </w:rPr>
              <w:tab/>
              <w:t>UN/SCETDG/53/INF.5 – UN/SCEGHS/35/INF.5 (EWG Chair)</w:t>
            </w:r>
          </w:p>
        </w:tc>
        <w:tc>
          <w:tcPr>
            <w:tcW w:w="4268" w:type="dxa"/>
            <w:tcBorders>
              <w:top w:val="nil"/>
              <w:left w:val="nil"/>
              <w:bottom w:val="nil"/>
              <w:right w:val="nil"/>
            </w:tcBorders>
            <w:shd w:val="clear" w:color="auto" w:fill="auto"/>
          </w:tcPr>
          <w:p w14:paraId="6F016C9A" w14:textId="77777777" w:rsidR="009D3BD0" w:rsidRPr="001637A8" w:rsidRDefault="009D3BD0" w:rsidP="00FE138B">
            <w:pPr>
              <w:keepNext/>
              <w:suppressAutoHyphens w:val="0"/>
              <w:spacing w:line="240" w:lineRule="auto"/>
              <w:ind w:left="213" w:hanging="213"/>
              <w:rPr>
                <w:i/>
                <w:iCs/>
                <w:sz w:val="18"/>
              </w:rPr>
            </w:pPr>
            <w:r w:rsidRPr="001637A8">
              <w:rPr>
                <w:i/>
                <w:iCs/>
                <w:sz w:val="18"/>
              </w:rPr>
              <w:tab/>
              <w:t>Use of the Manual of Tests and Criteria in the context of GHS (Part III, Sections 30 - 38)</w:t>
            </w:r>
          </w:p>
        </w:tc>
        <w:tc>
          <w:tcPr>
            <w:tcW w:w="1179" w:type="dxa"/>
            <w:tcBorders>
              <w:top w:val="nil"/>
              <w:left w:val="nil"/>
              <w:bottom w:val="nil"/>
              <w:right w:val="nil"/>
            </w:tcBorders>
          </w:tcPr>
          <w:p w14:paraId="6E47AD59" w14:textId="5E67D3A8" w:rsidR="009D3BD0" w:rsidRPr="001637A8" w:rsidRDefault="00E83C88" w:rsidP="00F30C48">
            <w:pPr>
              <w:keepNext/>
              <w:suppressAutoHyphens w:val="0"/>
              <w:spacing w:line="240" w:lineRule="auto"/>
              <w:ind w:left="213" w:hanging="213"/>
              <w:jc w:val="center"/>
              <w:rPr>
                <w:i/>
                <w:iCs/>
                <w:sz w:val="18"/>
              </w:rPr>
            </w:pPr>
            <w:r>
              <w:rPr>
                <w:i/>
                <w:iCs/>
                <w:sz w:val="18"/>
              </w:rPr>
              <w:t>17</w:t>
            </w:r>
          </w:p>
        </w:tc>
      </w:tr>
      <w:tr w:rsidR="009D3BD0" w:rsidRPr="009979EA" w14:paraId="45BB1BFF" w14:textId="4ED21502" w:rsidTr="009D3BD0">
        <w:trPr>
          <w:cantSplit/>
          <w:trHeight w:val="20"/>
        </w:trPr>
        <w:tc>
          <w:tcPr>
            <w:tcW w:w="3084" w:type="dxa"/>
            <w:tcBorders>
              <w:top w:val="nil"/>
              <w:left w:val="nil"/>
              <w:bottom w:val="nil"/>
              <w:right w:val="nil"/>
            </w:tcBorders>
            <w:shd w:val="clear" w:color="auto" w:fill="E6E6E6"/>
          </w:tcPr>
          <w:p w14:paraId="631DC46A" w14:textId="01077F53" w:rsidR="009D3BD0" w:rsidRPr="006B5B95" w:rsidRDefault="009D3BD0" w:rsidP="00292772">
            <w:pPr>
              <w:suppressAutoHyphens w:val="0"/>
              <w:spacing w:line="240" w:lineRule="auto"/>
              <w:ind w:left="213" w:hanging="213"/>
              <w:rPr>
                <w:iCs/>
                <w:sz w:val="18"/>
                <w:u w:val="single"/>
              </w:rPr>
            </w:pPr>
            <w:r w:rsidRPr="006B5B95">
              <w:rPr>
                <w:iCs/>
                <w:sz w:val="18"/>
                <w:u w:val="single"/>
              </w:rPr>
              <w:t>Agenda Item 10(e)</w:t>
            </w:r>
          </w:p>
        </w:tc>
        <w:tc>
          <w:tcPr>
            <w:tcW w:w="4268" w:type="dxa"/>
            <w:tcBorders>
              <w:top w:val="nil"/>
              <w:left w:val="nil"/>
              <w:bottom w:val="nil"/>
              <w:right w:val="nil"/>
            </w:tcBorders>
            <w:shd w:val="clear" w:color="auto" w:fill="E6E6E6"/>
          </w:tcPr>
          <w:p w14:paraId="0805131E" w14:textId="2075CA2B" w:rsidR="009D3BD0" w:rsidRPr="006B5B95" w:rsidRDefault="009D3BD0" w:rsidP="00292772">
            <w:pPr>
              <w:suppressAutoHyphens w:val="0"/>
              <w:spacing w:line="240" w:lineRule="auto"/>
              <w:ind w:left="264" w:hanging="264"/>
              <w:rPr>
                <w:iCs/>
                <w:sz w:val="18"/>
                <w:u w:val="single"/>
              </w:rPr>
            </w:pPr>
            <w:r w:rsidRPr="006B5B95">
              <w:rPr>
                <w:iCs/>
                <w:sz w:val="18"/>
                <w:u w:val="single"/>
              </w:rPr>
              <w:t>Joint work with the GHS Sub-Committee</w:t>
            </w:r>
          </w:p>
        </w:tc>
        <w:tc>
          <w:tcPr>
            <w:tcW w:w="1179" w:type="dxa"/>
            <w:tcBorders>
              <w:top w:val="nil"/>
              <w:left w:val="nil"/>
              <w:bottom w:val="nil"/>
              <w:right w:val="nil"/>
            </w:tcBorders>
            <w:shd w:val="clear" w:color="auto" w:fill="E6E6E6"/>
          </w:tcPr>
          <w:p w14:paraId="6C7CDA4C" w14:textId="77777777" w:rsidR="009D3BD0" w:rsidRPr="009979EA" w:rsidRDefault="009D3BD0" w:rsidP="009D3BD0">
            <w:pPr>
              <w:suppressAutoHyphens w:val="0"/>
              <w:spacing w:line="240" w:lineRule="auto"/>
              <w:ind w:left="264" w:hanging="264"/>
              <w:jc w:val="center"/>
              <w:rPr>
                <w:iCs/>
                <w:sz w:val="18"/>
                <w:u w:val="single"/>
              </w:rPr>
            </w:pPr>
          </w:p>
        </w:tc>
      </w:tr>
      <w:tr w:rsidR="00CA74F0" w:rsidRPr="009979EA" w14:paraId="57612AB4" w14:textId="77777777" w:rsidTr="00CA74F0">
        <w:trPr>
          <w:cantSplit/>
          <w:trHeight w:val="20"/>
        </w:trPr>
        <w:tc>
          <w:tcPr>
            <w:tcW w:w="3084" w:type="dxa"/>
            <w:tcBorders>
              <w:top w:val="nil"/>
              <w:left w:val="nil"/>
              <w:bottom w:val="nil"/>
              <w:right w:val="nil"/>
            </w:tcBorders>
            <w:shd w:val="clear" w:color="auto" w:fill="auto"/>
          </w:tcPr>
          <w:p w14:paraId="62EA6EC3" w14:textId="77777777" w:rsidR="00CA74F0" w:rsidRPr="006B5B95" w:rsidRDefault="00CA74F0" w:rsidP="00CA74F0">
            <w:pPr>
              <w:suppressAutoHyphens w:val="0"/>
              <w:spacing w:line="240" w:lineRule="auto"/>
              <w:rPr>
                <w:i/>
                <w:iCs/>
                <w:sz w:val="18"/>
              </w:rPr>
            </w:pPr>
            <w:r w:rsidRPr="006B5B95">
              <w:rPr>
                <w:i/>
                <w:iCs/>
                <w:sz w:val="18"/>
              </w:rPr>
              <w:t>ST/SG/AC.10/C.3/2018/33 – ST/SG/AC.10/C.4/2018/7 (Sweden)</w:t>
            </w:r>
          </w:p>
        </w:tc>
        <w:tc>
          <w:tcPr>
            <w:tcW w:w="4268" w:type="dxa"/>
            <w:tcBorders>
              <w:top w:val="nil"/>
              <w:left w:val="nil"/>
              <w:bottom w:val="nil"/>
              <w:right w:val="nil"/>
            </w:tcBorders>
            <w:shd w:val="clear" w:color="auto" w:fill="auto"/>
          </w:tcPr>
          <w:p w14:paraId="56A81B09" w14:textId="77777777" w:rsidR="00CA74F0" w:rsidRPr="006B5B95" w:rsidRDefault="00CA74F0" w:rsidP="004A072E">
            <w:pPr>
              <w:suppressAutoHyphens w:val="0"/>
              <w:spacing w:line="240" w:lineRule="auto"/>
              <w:rPr>
                <w:i/>
                <w:iCs/>
                <w:sz w:val="18"/>
              </w:rPr>
            </w:pPr>
            <w:r w:rsidRPr="006B5B95">
              <w:rPr>
                <w:i/>
                <w:iCs/>
                <w:sz w:val="18"/>
              </w:rPr>
              <w:t>Outline for a potential amended classification system for explosives in the GHS</w:t>
            </w:r>
          </w:p>
        </w:tc>
        <w:tc>
          <w:tcPr>
            <w:tcW w:w="1179" w:type="dxa"/>
            <w:tcBorders>
              <w:top w:val="nil"/>
              <w:left w:val="nil"/>
              <w:bottom w:val="nil"/>
              <w:right w:val="nil"/>
            </w:tcBorders>
          </w:tcPr>
          <w:p w14:paraId="0A220D34" w14:textId="0A391A8C" w:rsidR="00CA74F0" w:rsidRPr="009979EA" w:rsidRDefault="00E83C88" w:rsidP="00F30C48">
            <w:pPr>
              <w:suppressAutoHyphens w:val="0"/>
              <w:spacing w:line="240" w:lineRule="auto"/>
              <w:ind w:left="264" w:hanging="264"/>
              <w:jc w:val="center"/>
              <w:rPr>
                <w:i/>
                <w:iCs/>
                <w:sz w:val="18"/>
              </w:rPr>
            </w:pPr>
            <w:r>
              <w:rPr>
                <w:i/>
                <w:iCs/>
                <w:sz w:val="18"/>
              </w:rPr>
              <w:t>18</w:t>
            </w:r>
          </w:p>
        </w:tc>
      </w:tr>
      <w:tr w:rsidR="0091240B" w:rsidRPr="0091240B" w14:paraId="3771F99B" w14:textId="77777777" w:rsidTr="0098592F">
        <w:trPr>
          <w:cantSplit/>
          <w:trHeight w:val="20"/>
        </w:trPr>
        <w:tc>
          <w:tcPr>
            <w:tcW w:w="3084" w:type="dxa"/>
            <w:tcBorders>
              <w:top w:val="nil"/>
              <w:left w:val="nil"/>
              <w:bottom w:val="nil"/>
              <w:right w:val="nil"/>
            </w:tcBorders>
            <w:shd w:val="clear" w:color="auto" w:fill="auto"/>
          </w:tcPr>
          <w:p w14:paraId="549A784D" w14:textId="77777777" w:rsidR="0091240B" w:rsidRPr="006B5B95" w:rsidRDefault="0091240B" w:rsidP="0098592F">
            <w:pPr>
              <w:keepNext/>
              <w:suppressAutoHyphens w:val="0"/>
              <w:spacing w:line="240" w:lineRule="auto"/>
              <w:ind w:left="213" w:hanging="213"/>
              <w:rPr>
                <w:i/>
                <w:iCs/>
                <w:sz w:val="18"/>
              </w:rPr>
            </w:pPr>
            <w:r>
              <w:rPr>
                <w:i/>
                <w:iCs/>
                <w:sz w:val="18"/>
              </w:rPr>
              <w:lastRenderedPageBreak/>
              <w:tab/>
            </w:r>
            <w:r w:rsidRPr="006B5B95">
              <w:rPr>
                <w:i/>
                <w:iCs/>
                <w:sz w:val="18"/>
              </w:rPr>
              <w:t>UN/SCEGHS/53/INF.9 – UN/SCETDG/35/INF.10 (Sweden)</w:t>
            </w:r>
          </w:p>
        </w:tc>
        <w:tc>
          <w:tcPr>
            <w:tcW w:w="4268" w:type="dxa"/>
            <w:tcBorders>
              <w:top w:val="nil"/>
              <w:left w:val="nil"/>
              <w:bottom w:val="nil"/>
              <w:right w:val="nil"/>
            </w:tcBorders>
            <w:shd w:val="clear" w:color="auto" w:fill="auto"/>
          </w:tcPr>
          <w:p w14:paraId="4505F60B" w14:textId="77777777" w:rsidR="0091240B" w:rsidRPr="006B5B95" w:rsidRDefault="0091240B" w:rsidP="0098592F">
            <w:pPr>
              <w:keepNext/>
              <w:suppressAutoHyphens w:val="0"/>
              <w:spacing w:line="240" w:lineRule="auto"/>
              <w:ind w:left="213" w:hanging="213"/>
              <w:rPr>
                <w:i/>
                <w:iCs/>
                <w:sz w:val="18"/>
              </w:rPr>
            </w:pPr>
            <w:r>
              <w:rPr>
                <w:i/>
                <w:iCs/>
                <w:sz w:val="18"/>
              </w:rPr>
              <w:tab/>
            </w:r>
            <w:r w:rsidRPr="006B5B95">
              <w:rPr>
                <w:i/>
                <w:iCs/>
                <w:sz w:val="18"/>
              </w:rPr>
              <w:t>A sketch of a revised Chapter 2.1 for the GHS (Explosives)</w:t>
            </w:r>
          </w:p>
        </w:tc>
        <w:tc>
          <w:tcPr>
            <w:tcW w:w="1179" w:type="dxa"/>
            <w:tcBorders>
              <w:top w:val="nil"/>
              <w:left w:val="nil"/>
              <w:bottom w:val="nil"/>
              <w:right w:val="nil"/>
            </w:tcBorders>
          </w:tcPr>
          <w:p w14:paraId="10BCD632" w14:textId="44CBC441" w:rsidR="0091240B" w:rsidRPr="009979EA" w:rsidRDefault="00E83C88" w:rsidP="0098592F">
            <w:pPr>
              <w:suppressAutoHyphens w:val="0"/>
              <w:spacing w:line="240" w:lineRule="auto"/>
              <w:ind w:left="264" w:hanging="264"/>
              <w:jc w:val="center"/>
              <w:rPr>
                <w:i/>
                <w:iCs/>
                <w:sz w:val="18"/>
              </w:rPr>
            </w:pPr>
            <w:r>
              <w:rPr>
                <w:i/>
                <w:iCs/>
                <w:sz w:val="18"/>
              </w:rPr>
              <w:t>18</w:t>
            </w:r>
          </w:p>
        </w:tc>
      </w:tr>
      <w:tr w:rsidR="00B91128" w:rsidRPr="0091240B" w14:paraId="7510E42F" w14:textId="77777777" w:rsidTr="001E6F05">
        <w:trPr>
          <w:cantSplit/>
          <w:trHeight w:val="20"/>
        </w:trPr>
        <w:tc>
          <w:tcPr>
            <w:tcW w:w="3084" w:type="dxa"/>
            <w:tcBorders>
              <w:top w:val="nil"/>
              <w:left w:val="nil"/>
              <w:bottom w:val="nil"/>
              <w:right w:val="nil"/>
            </w:tcBorders>
            <w:shd w:val="clear" w:color="auto" w:fill="auto"/>
          </w:tcPr>
          <w:p w14:paraId="206AC562" w14:textId="77777777" w:rsidR="00B91128" w:rsidRPr="006B5B95" w:rsidRDefault="00B91128" w:rsidP="001E6F05">
            <w:pPr>
              <w:keepNext/>
              <w:suppressAutoHyphens w:val="0"/>
              <w:spacing w:line="240" w:lineRule="auto"/>
              <w:ind w:left="213" w:hanging="213"/>
              <w:rPr>
                <w:i/>
                <w:iCs/>
                <w:sz w:val="18"/>
              </w:rPr>
            </w:pPr>
            <w:r>
              <w:rPr>
                <w:i/>
                <w:iCs/>
                <w:sz w:val="18"/>
              </w:rPr>
              <w:tab/>
            </w:r>
            <w:r w:rsidRPr="006B5B95">
              <w:rPr>
                <w:i/>
                <w:iCs/>
                <w:sz w:val="18"/>
              </w:rPr>
              <w:t>UN/SCEGHS/53/INF.</w:t>
            </w:r>
            <w:r>
              <w:rPr>
                <w:i/>
                <w:iCs/>
                <w:sz w:val="18"/>
              </w:rPr>
              <w:t>33</w:t>
            </w:r>
            <w:r w:rsidRPr="006B5B95">
              <w:rPr>
                <w:i/>
                <w:iCs/>
                <w:sz w:val="18"/>
              </w:rPr>
              <w:t xml:space="preserve"> – UN/SCETDG/35/INF.</w:t>
            </w:r>
            <w:r>
              <w:rPr>
                <w:i/>
                <w:iCs/>
                <w:sz w:val="18"/>
              </w:rPr>
              <w:t>15</w:t>
            </w:r>
            <w:r w:rsidRPr="006B5B95">
              <w:rPr>
                <w:i/>
                <w:iCs/>
                <w:sz w:val="18"/>
              </w:rPr>
              <w:t xml:space="preserve"> (</w:t>
            </w:r>
            <w:r>
              <w:rPr>
                <w:i/>
                <w:iCs/>
                <w:sz w:val="18"/>
              </w:rPr>
              <w:t>USA, IME, SAAMI</w:t>
            </w:r>
            <w:r w:rsidRPr="006B5B95">
              <w:rPr>
                <w:i/>
                <w:iCs/>
                <w:sz w:val="18"/>
              </w:rPr>
              <w:t>)</w:t>
            </w:r>
          </w:p>
        </w:tc>
        <w:tc>
          <w:tcPr>
            <w:tcW w:w="4268" w:type="dxa"/>
            <w:tcBorders>
              <w:top w:val="nil"/>
              <w:left w:val="nil"/>
              <w:bottom w:val="nil"/>
              <w:right w:val="nil"/>
            </w:tcBorders>
            <w:shd w:val="clear" w:color="auto" w:fill="auto"/>
          </w:tcPr>
          <w:p w14:paraId="3B231280" w14:textId="77777777" w:rsidR="00B91128" w:rsidRPr="006B5B95" w:rsidRDefault="00B91128" w:rsidP="001E6F05">
            <w:pPr>
              <w:keepNext/>
              <w:suppressAutoHyphens w:val="0"/>
              <w:spacing w:line="240" w:lineRule="auto"/>
              <w:ind w:left="213" w:hanging="213"/>
              <w:rPr>
                <w:i/>
                <w:iCs/>
                <w:sz w:val="18"/>
              </w:rPr>
            </w:pPr>
            <w:r>
              <w:rPr>
                <w:i/>
                <w:iCs/>
                <w:sz w:val="18"/>
              </w:rPr>
              <w:tab/>
            </w:r>
            <w:r w:rsidRPr="0091240B">
              <w:rPr>
                <w:i/>
                <w:iCs/>
                <w:sz w:val="18"/>
              </w:rPr>
              <w:t>Technical explosives classification and criteria support for an amended classification system for explosives in the GHS</w:t>
            </w:r>
          </w:p>
        </w:tc>
        <w:tc>
          <w:tcPr>
            <w:tcW w:w="1179" w:type="dxa"/>
            <w:tcBorders>
              <w:top w:val="nil"/>
              <w:left w:val="nil"/>
              <w:bottom w:val="nil"/>
              <w:right w:val="nil"/>
            </w:tcBorders>
          </w:tcPr>
          <w:p w14:paraId="4B89806E" w14:textId="07D2E5B3" w:rsidR="00B91128" w:rsidRPr="009979EA" w:rsidRDefault="00E83C88" w:rsidP="001E6F05">
            <w:pPr>
              <w:suppressAutoHyphens w:val="0"/>
              <w:spacing w:line="240" w:lineRule="auto"/>
              <w:ind w:left="264" w:hanging="264"/>
              <w:jc w:val="center"/>
              <w:rPr>
                <w:i/>
                <w:iCs/>
                <w:sz w:val="18"/>
              </w:rPr>
            </w:pPr>
            <w:r>
              <w:rPr>
                <w:i/>
                <w:iCs/>
                <w:sz w:val="18"/>
              </w:rPr>
              <w:t>18</w:t>
            </w:r>
          </w:p>
        </w:tc>
      </w:tr>
      <w:tr w:rsidR="00B91128" w:rsidRPr="0091240B" w14:paraId="2666B0B1" w14:textId="77777777" w:rsidTr="001E6F05">
        <w:trPr>
          <w:cantSplit/>
          <w:trHeight w:val="20"/>
        </w:trPr>
        <w:tc>
          <w:tcPr>
            <w:tcW w:w="3084" w:type="dxa"/>
            <w:tcBorders>
              <w:top w:val="nil"/>
              <w:left w:val="nil"/>
              <w:bottom w:val="nil"/>
              <w:right w:val="nil"/>
            </w:tcBorders>
            <w:shd w:val="clear" w:color="auto" w:fill="auto"/>
          </w:tcPr>
          <w:p w14:paraId="240ED251" w14:textId="77777777" w:rsidR="00B91128" w:rsidRPr="006B5B95" w:rsidRDefault="00B91128" w:rsidP="001E6F05">
            <w:pPr>
              <w:keepNext/>
              <w:suppressAutoHyphens w:val="0"/>
              <w:spacing w:line="240" w:lineRule="auto"/>
              <w:ind w:left="213" w:hanging="213"/>
              <w:rPr>
                <w:i/>
                <w:iCs/>
                <w:sz w:val="18"/>
              </w:rPr>
            </w:pPr>
            <w:r>
              <w:rPr>
                <w:i/>
                <w:iCs/>
                <w:sz w:val="18"/>
              </w:rPr>
              <w:tab/>
            </w:r>
            <w:r w:rsidRPr="006B5B95">
              <w:rPr>
                <w:i/>
                <w:iCs/>
                <w:sz w:val="18"/>
              </w:rPr>
              <w:t>UN/SCEGHS/53/INF.</w:t>
            </w:r>
            <w:r>
              <w:rPr>
                <w:i/>
                <w:iCs/>
                <w:sz w:val="18"/>
              </w:rPr>
              <w:t>46</w:t>
            </w:r>
            <w:r w:rsidRPr="006B5B95">
              <w:rPr>
                <w:i/>
                <w:iCs/>
                <w:sz w:val="18"/>
              </w:rPr>
              <w:t xml:space="preserve"> – UN/SCETDG/35/INF.</w:t>
            </w:r>
            <w:r>
              <w:rPr>
                <w:i/>
                <w:iCs/>
                <w:sz w:val="18"/>
              </w:rPr>
              <w:t>16</w:t>
            </w:r>
            <w:r w:rsidRPr="006B5B95">
              <w:rPr>
                <w:i/>
                <w:iCs/>
                <w:sz w:val="18"/>
              </w:rPr>
              <w:t xml:space="preserve"> (</w:t>
            </w:r>
            <w:r>
              <w:rPr>
                <w:i/>
                <w:iCs/>
                <w:sz w:val="18"/>
              </w:rPr>
              <w:t>Sweden</w:t>
            </w:r>
            <w:r w:rsidRPr="006B5B95">
              <w:rPr>
                <w:i/>
                <w:iCs/>
                <w:sz w:val="18"/>
              </w:rPr>
              <w:t>)</w:t>
            </w:r>
          </w:p>
        </w:tc>
        <w:tc>
          <w:tcPr>
            <w:tcW w:w="4268" w:type="dxa"/>
            <w:tcBorders>
              <w:top w:val="nil"/>
              <w:left w:val="nil"/>
              <w:bottom w:val="nil"/>
              <w:right w:val="nil"/>
            </w:tcBorders>
            <w:shd w:val="clear" w:color="auto" w:fill="auto"/>
          </w:tcPr>
          <w:p w14:paraId="67A72EFC" w14:textId="77777777" w:rsidR="00B91128" w:rsidRPr="006B5B95" w:rsidRDefault="00B91128" w:rsidP="001E6F05">
            <w:pPr>
              <w:keepNext/>
              <w:suppressAutoHyphens w:val="0"/>
              <w:spacing w:line="240" w:lineRule="auto"/>
              <w:ind w:left="213" w:hanging="213"/>
              <w:rPr>
                <w:i/>
                <w:iCs/>
                <w:sz w:val="18"/>
              </w:rPr>
            </w:pPr>
            <w:r>
              <w:rPr>
                <w:i/>
                <w:iCs/>
                <w:sz w:val="18"/>
              </w:rPr>
              <w:tab/>
            </w:r>
            <w:r w:rsidRPr="00697D32">
              <w:rPr>
                <w:i/>
                <w:iCs/>
                <w:sz w:val="18"/>
              </w:rPr>
              <w:t>Status report on the work of the informal correspondence group on the revision of GHS Chapter 2.1 (Explosives)</w:t>
            </w:r>
          </w:p>
        </w:tc>
        <w:tc>
          <w:tcPr>
            <w:tcW w:w="1179" w:type="dxa"/>
            <w:tcBorders>
              <w:top w:val="nil"/>
              <w:left w:val="nil"/>
              <w:bottom w:val="nil"/>
              <w:right w:val="nil"/>
            </w:tcBorders>
          </w:tcPr>
          <w:p w14:paraId="13C27748" w14:textId="23AD8CC0" w:rsidR="00B91128" w:rsidRPr="009979EA" w:rsidRDefault="00E83C88" w:rsidP="001E6F05">
            <w:pPr>
              <w:suppressAutoHyphens w:val="0"/>
              <w:spacing w:line="240" w:lineRule="auto"/>
              <w:ind w:left="264" w:hanging="264"/>
              <w:jc w:val="center"/>
              <w:rPr>
                <w:i/>
                <w:iCs/>
                <w:sz w:val="18"/>
              </w:rPr>
            </w:pPr>
            <w:r>
              <w:rPr>
                <w:i/>
                <w:iCs/>
                <w:sz w:val="18"/>
              </w:rPr>
              <w:t>18</w:t>
            </w:r>
          </w:p>
        </w:tc>
      </w:tr>
    </w:tbl>
    <w:p w14:paraId="7532F227" w14:textId="77777777" w:rsidR="007D712E" w:rsidRPr="009979EA" w:rsidRDefault="007D712E" w:rsidP="00764793">
      <w:pPr>
        <w:pStyle w:val="HChG"/>
        <w:ind w:left="1138" w:right="39" w:firstLine="0"/>
      </w:pPr>
      <w:r w:rsidRPr="009979EA">
        <w:t>Agenda Item 2(</w:t>
      </w:r>
      <w:r w:rsidR="00C416E5" w:rsidRPr="009979EA">
        <w:t>b</w:t>
      </w:r>
      <w:r w:rsidRPr="009979EA">
        <w:t xml:space="preserve">) – </w:t>
      </w:r>
      <w:r w:rsidR="009A57B9" w:rsidRPr="009979EA">
        <w:t>Review of tests in parts I, II and III of the Manual of Tests and Criteria</w:t>
      </w:r>
      <w:r w:rsidRPr="009979EA">
        <w:t xml:space="preserve"> </w:t>
      </w:r>
    </w:p>
    <w:p w14:paraId="2E9D6382" w14:textId="77777777" w:rsidR="00037066" w:rsidRPr="003B0037" w:rsidRDefault="00037066" w:rsidP="00037066">
      <w:pPr>
        <w:pStyle w:val="SingleTxtG"/>
        <w:numPr>
          <w:ilvl w:val="0"/>
          <w:numId w:val="4"/>
        </w:numPr>
        <w:spacing w:after="240"/>
        <w:ind w:right="39"/>
      </w:pPr>
      <w:bookmarkStart w:id="2" w:name="para5"/>
      <w:bookmarkEnd w:id="2"/>
      <w:r w:rsidRPr="003B0037">
        <w:rPr>
          <w:b/>
          <w:u w:val="single"/>
        </w:rPr>
        <w:t>Subject.</w:t>
      </w:r>
      <w:r w:rsidRPr="003B0037">
        <w:t xml:space="preserve">  </w:t>
      </w:r>
      <w:r>
        <w:t>Improvement of the 8(c) test for UN3375 ANE candidates</w:t>
      </w:r>
    </w:p>
    <w:p w14:paraId="66FF35A9" w14:textId="77777777" w:rsidR="00037066" w:rsidRPr="003B0037" w:rsidRDefault="00037066" w:rsidP="00037066">
      <w:pPr>
        <w:pStyle w:val="SingleTxtG"/>
        <w:spacing w:after="240"/>
        <w:ind w:left="3700" w:right="39" w:hanging="2001"/>
        <w:jc w:val="left"/>
        <w:rPr>
          <w:i/>
        </w:rPr>
      </w:pPr>
      <w:r w:rsidRPr="003B0037">
        <w:rPr>
          <w:i/>
        </w:rPr>
        <w:t>Documents:</w:t>
      </w:r>
      <w:r w:rsidRPr="003B0037">
        <w:rPr>
          <w:i/>
        </w:rPr>
        <w:tab/>
      </w:r>
      <w:r w:rsidRPr="003B0037">
        <w:rPr>
          <w:i/>
          <w:iCs/>
        </w:rPr>
        <w:t>No documents submitted</w:t>
      </w:r>
    </w:p>
    <w:p w14:paraId="67BA8084" w14:textId="77777777" w:rsidR="00037066" w:rsidRPr="003B0037" w:rsidRDefault="00037066" w:rsidP="00037066">
      <w:pPr>
        <w:pStyle w:val="SingleTxtG"/>
        <w:spacing w:after="240"/>
        <w:ind w:left="3700" w:right="39" w:hanging="2001"/>
        <w:rPr>
          <w:i/>
        </w:rPr>
      </w:pPr>
      <w:r w:rsidRPr="003B0037">
        <w:rPr>
          <w:i/>
        </w:rPr>
        <w:t xml:space="preserve">Informal documents: </w:t>
      </w:r>
      <w:r w:rsidRPr="003B0037">
        <w:rPr>
          <w:i/>
        </w:rPr>
        <w:tab/>
      </w:r>
      <w:r w:rsidRPr="00657299">
        <w:rPr>
          <w:i/>
          <w:iCs/>
        </w:rPr>
        <w:t>UN/SCETDG/53/INF.22 (IME)</w:t>
      </w:r>
    </w:p>
    <w:p w14:paraId="665715A5" w14:textId="2D2F7B12" w:rsidR="00A66AB0" w:rsidRDefault="00037066" w:rsidP="00037066">
      <w:pPr>
        <w:pStyle w:val="SingleTxtG"/>
        <w:spacing w:after="240"/>
        <w:ind w:left="1701" w:right="39"/>
      </w:pPr>
      <w:r w:rsidRPr="003B0037">
        <w:rPr>
          <w:b/>
          <w:u w:val="single"/>
        </w:rPr>
        <w:t>Discussion:</w:t>
      </w:r>
      <w:r w:rsidRPr="003B0037">
        <w:t xml:space="preserve">  </w:t>
      </w:r>
      <w:r w:rsidR="00A66AB0">
        <w:t xml:space="preserve">Some experts were not </w:t>
      </w:r>
      <w:r w:rsidR="00A66AB0" w:rsidRPr="00A66AB0">
        <w:t>supportive of IME’s proposal</w:t>
      </w:r>
      <w:r w:rsidR="00A66AB0">
        <w:t>;</w:t>
      </w:r>
      <w:r w:rsidR="00A66AB0" w:rsidRPr="00A66AB0">
        <w:t xml:space="preserve"> </w:t>
      </w:r>
      <w:r w:rsidR="00A66AB0">
        <w:t>however,</w:t>
      </w:r>
      <w:r w:rsidR="00A66AB0" w:rsidRPr="00A66AB0">
        <w:t xml:space="preserve"> there was support from USA, Canada, </w:t>
      </w:r>
      <w:r w:rsidR="00300967" w:rsidRPr="00A66AB0">
        <w:t>A</w:t>
      </w:r>
      <w:r w:rsidR="00300967">
        <w:t>EI</w:t>
      </w:r>
      <w:r w:rsidR="00300967" w:rsidRPr="00A66AB0">
        <w:t>SG</w:t>
      </w:r>
      <w:r w:rsidR="00A66AB0" w:rsidRPr="00A66AB0">
        <w:t>, Sweden</w:t>
      </w:r>
      <w:r w:rsidR="00804908">
        <w:t xml:space="preserve"> as a solution while waiting for an alternative test to 8(c)</w:t>
      </w:r>
      <w:r w:rsidR="00A66AB0" w:rsidRPr="00A66AB0">
        <w:t>.  The EWG chair noted</w:t>
      </w:r>
      <w:r w:rsidR="00A66AB0">
        <w:t xml:space="preserve">, and the </w:t>
      </w:r>
      <w:r w:rsidR="00664803">
        <w:t>working group</w:t>
      </w:r>
      <w:r w:rsidR="00A66AB0">
        <w:t xml:space="preserve"> concurred,</w:t>
      </w:r>
      <w:r w:rsidR="00A66AB0" w:rsidRPr="00A66AB0">
        <w:t xml:space="preserve"> that a consensus </w:t>
      </w:r>
      <w:r w:rsidR="00A66AB0">
        <w:t>is unlikely</w:t>
      </w:r>
      <w:r w:rsidR="00A66AB0" w:rsidRPr="00A66AB0">
        <w:t xml:space="preserve"> and </w:t>
      </w:r>
      <w:r w:rsidR="00A66AB0">
        <w:t>suggested that</w:t>
      </w:r>
      <w:r w:rsidR="00A66AB0" w:rsidRPr="00A66AB0">
        <w:t xml:space="preserve"> IME go ahead and prepare a formal proposal for the next session so that the issue can be put to a vote.  Canada offered to work with IME in preparing that formal proposal.  AEISG suggested that rather than emphasizing passing a test, the formal proposal should focus on the improved safety by including a test that would encourage</w:t>
      </w:r>
      <w:r w:rsidR="009119C9">
        <w:t xml:space="preserve"> development of</w:t>
      </w:r>
      <w:r w:rsidR="00A66AB0" w:rsidRPr="00A66AB0">
        <w:t xml:space="preserve"> emulsions with higher MBP.</w:t>
      </w:r>
    </w:p>
    <w:p w14:paraId="0035A2B3" w14:textId="2BBE428D" w:rsidR="00AC2252" w:rsidRDefault="00AC2252" w:rsidP="00AC2252">
      <w:pPr>
        <w:pStyle w:val="SingleTxtG"/>
        <w:spacing w:after="240"/>
        <w:ind w:left="1701" w:right="39"/>
      </w:pPr>
      <w:r w:rsidRPr="008E22F5">
        <w:t xml:space="preserve">IME asked the </w:t>
      </w:r>
      <w:r>
        <w:t>working group</w:t>
      </w:r>
      <w:r w:rsidRPr="008E22F5">
        <w:t xml:space="preserve"> if there would be support for modifying the </w:t>
      </w:r>
      <w:r>
        <w:t>Koenen Test</w:t>
      </w:r>
      <w:r w:rsidRPr="008E22F5">
        <w:t xml:space="preserve">. There was no indication </w:t>
      </w:r>
      <w:r>
        <w:t>modification</w:t>
      </w:r>
      <w:r w:rsidRPr="008E22F5">
        <w:t xml:space="preserve"> would be supported</w:t>
      </w:r>
      <w:r w:rsidR="00D774F9">
        <w:t xml:space="preserve"> at present</w:t>
      </w:r>
      <w:r w:rsidRPr="008E22F5">
        <w:t>.</w:t>
      </w:r>
    </w:p>
    <w:p w14:paraId="7078534D" w14:textId="0BD85A73" w:rsidR="00037066" w:rsidRPr="003B0037" w:rsidRDefault="00037066" w:rsidP="00037066">
      <w:pPr>
        <w:pStyle w:val="SingleTxtG"/>
        <w:spacing w:after="240"/>
        <w:ind w:left="1701" w:right="39"/>
      </w:pPr>
      <w:r w:rsidRPr="003B0037">
        <w:rPr>
          <w:b/>
          <w:u w:val="single"/>
        </w:rPr>
        <w:t>Conclusion:</w:t>
      </w:r>
      <w:r>
        <w:t xml:space="preserve">  Taking account of the comments</w:t>
      </w:r>
      <w:r w:rsidR="00A66AB0">
        <w:t xml:space="preserve"> and advice</w:t>
      </w:r>
      <w:r>
        <w:t xml:space="preserve"> from the working group, IME</w:t>
      </w:r>
      <w:r w:rsidR="00A66AB0">
        <w:t>, with assistance from Canada,</w:t>
      </w:r>
      <w:r>
        <w:t xml:space="preserve"> will submit a formal proposal for the 54</w:t>
      </w:r>
      <w:r w:rsidRPr="00657299">
        <w:rPr>
          <w:vertAlign w:val="superscript"/>
        </w:rPr>
        <w:t>th</w:t>
      </w:r>
      <w:r>
        <w:t xml:space="preserve"> TDG session.</w:t>
      </w:r>
    </w:p>
    <w:p w14:paraId="3E80C285" w14:textId="1E9CFD34" w:rsidR="00701402" w:rsidRPr="003B0037" w:rsidRDefault="00701402" w:rsidP="00037066">
      <w:pPr>
        <w:pStyle w:val="SingleTxtG"/>
        <w:numPr>
          <w:ilvl w:val="0"/>
          <w:numId w:val="4"/>
        </w:numPr>
        <w:spacing w:after="240"/>
        <w:ind w:right="39"/>
      </w:pPr>
      <w:r w:rsidRPr="003B0037">
        <w:rPr>
          <w:b/>
          <w:u w:val="single"/>
        </w:rPr>
        <w:t>Subject.</w:t>
      </w:r>
      <w:r w:rsidRPr="003B0037">
        <w:t xml:space="preserve">  </w:t>
      </w:r>
      <w:r w:rsidR="00037066">
        <w:t>U</w:t>
      </w:r>
      <w:r w:rsidR="00037066" w:rsidRPr="00037066">
        <w:t>se of term “a practical explosive or pyrotechnic effect”</w:t>
      </w:r>
    </w:p>
    <w:p w14:paraId="6CB347FF" w14:textId="47CFBAA7" w:rsidR="00701402" w:rsidRPr="003B0037" w:rsidRDefault="00701402" w:rsidP="00701402">
      <w:pPr>
        <w:pStyle w:val="SingleTxtG"/>
        <w:spacing w:after="240"/>
        <w:ind w:left="3700" w:right="39" w:hanging="2001"/>
        <w:jc w:val="left"/>
        <w:rPr>
          <w:i/>
        </w:rPr>
      </w:pPr>
      <w:r w:rsidRPr="003B0037">
        <w:rPr>
          <w:i/>
        </w:rPr>
        <w:t>Documents:</w:t>
      </w:r>
      <w:r w:rsidRPr="003B0037">
        <w:rPr>
          <w:i/>
        </w:rPr>
        <w:tab/>
      </w:r>
      <w:r w:rsidR="0052297F" w:rsidRPr="003B0037">
        <w:rPr>
          <w:i/>
          <w:iCs/>
        </w:rPr>
        <w:t>No documents submitted</w:t>
      </w:r>
    </w:p>
    <w:p w14:paraId="34DE001E" w14:textId="5286AD5C" w:rsidR="00701402" w:rsidRPr="003B0037" w:rsidRDefault="00701402" w:rsidP="00701402">
      <w:pPr>
        <w:pStyle w:val="SingleTxtG"/>
        <w:spacing w:after="240"/>
        <w:ind w:left="3700" w:right="39" w:hanging="2001"/>
        <w:rPr>
          <w:i/>
        </w:rPr>
      </w:pPr>
      <w:r w:rsidRPr="003B0037">
        <w:rPr>
          <w:i/>
        </w:rPr>
        <w:t xml:space="preserve">Informal documents: </w:t>
      </w:r>
      <w:r w:rsidRPr="003B0037">
        <w:rPr>
          <w:i/>
        </w:rPr>
        <w:tab/>
      </w:r>
      <w:r w:rsidR="00657299" w:rsidRPr="00657299">
        <w:rPr>
          <w:i/>
          <w:iCs/>
        </w:rPr>
        <w:t>UN/SCETDG/53/INF.</w:t>
      </w:r>
      <w:r w:rsidR="00037066">
        <w:rPr>
          <w:i/>
          <w:iCs/>
        </w:rPr>
        <w:t>39</w:t>
      </w:r>
      <w:r w:rsidR="00657299" w:rsidRPr="00657299">
        <w:rPr>
          <w:i/>
          <w:iCs/>
        </w:rPr>
        <w:t xml:space="preserve"> (</w:t>
      </w:r>
      <w:r w:rsidR="00037066">
        <w:rPr>
          <w:i/>
          <w:iCs/>
        </w:rPr>
        <w:t>Sweden</w:t>
      </w:r>
      <w:r w:rsidR="00657299" w:rsidRPr="00657299">
        <w:rPr>
          <w:i/>
          <w:iCs/>
        </w:rPr>
        <w:t>)</w:t>
      </w:r>
    </w:p>
    <w:p w14:paraId="43B749C0" w14:textId="131D3C5F" w:rsidR="00701402" w:rsidRDefault="00701402" w:rsidP="00701402">
      <w:pPr>
        <w:pStyle w:val="SingleTxtG"/>
        <w:spacing w:after="240"/>
        <w:ind w:left="1701" w:right="39"/>
      </w:pPr>
      <w:r w:rsidRPr="003B0037">
        <w:rPr>
          <w:b/>
          <w:u w:val="single"/>
        </w:rPr>
        <w:t>Discussion:</w:t>
      </w:r>
      <w:r w:rsidRPr="003B0037">
        <w:t xml:space="preserve">  </w:t>
      </w:r>
      <w:r w:rsidR="001D4437">
        <w:t xml:space="preserve">In INF.39, Sweden </w:t>
      </w:r>
      <w:r w:rsidR="001C41D9">
        <w:t>contended</w:t>
      </w:r>
      <w:r w:rsidR="001C41D9" w:rsidRPr="00373B27">
        <w:t xml:space="preserve"> </w:t>
      </w:r>
      <w:r w:rsidR="00373B27" w:rsidRPr="00373B27">
        <w:t xml:space="preserve">that the phrase “… a practical explosive or pyrotechnic effect …” is confusing and not helpful to industry or regulators.  Possible solutions discussed by the working group included deletion of “practical” from the phrase and/or defining “explosive effect” and “pyrotechnic effect”.  Regarding the former, time needs to be allowed to examine whether there would be unintended, harmful, consequential effects.  Regarding the latter, some in the working group believed that the definitions for “explosive substance” and “pyrotechnic substance” found in Appendix C of the </w:t>
      </w:r>
      <w:r w:rsidR="001D4437">
        <w:t>Model Regulations</w:t>
      </w:r>
      <w:r w:rsidR="00373B27" w:rsidRPr="00373B27">
        <w:t xml:space="preserve"> </w:t>
      </w:r>
      <w:r w:rsidR="001D4437">
        <w:t xml:space="preserve">are sufficient for that purpose.  The EWG also considered the suggestion that the third part of the definition of </w:t>
      </w:r>
      <w:r w:rsidR="00CF58FD">
        <w:t>“Class 1”</w:t>
      </w:r>
      <w:r w:rsidR="001D4437">
        <w:t xml:space="preserve"> found in para. 2.1.1.1(c) of the </w:t>
      </w:r>
      <w:r w:rsidR="00CF58FD">
        <w:t>Model Regulations should be deleted and</w:t>
      </w:r>
      <w:r w:rsidR="00F52488">
        <w:t>,</w:t>
      </w:r>
      <w:r w:rsidR="00CF58FD">
        <w:t xml:space="preserve"> although no one could identify a single example meeting that description, </w:t>
      </w:r>
      <w:r w:rsidR="00F52488">
        <w:t>opinions of the group were divided</w:t>
      </w:r>
      <w:r w:rsidR="00CF58FD">
        <w:t>.</w:t>
      </w:r>
    </w:p>
    <w:p w14:paraId="7F09E741" w14:textId="6C219253" w:rsidR="00C11A4C" w:rsidRPr="00D9389E" w:rsidRDefault="00C11A4C" w:rsidP="00C11A4C">
      <w:pPr>
        <w:pStyle w:val="SingleTxtG"/>
        <w:spacing w:after="240"/>
        <w:ind w:left="1701" w:right="39"/>
        <w:rPr>
          <w:lang w:val="en-GB"/>
        </w:rPr>
      </w:pPr>
      <w:r w:rsidRPr="00D9389E">
        <w:rPr>
          <w:lang w:val="en-GB"/>
        </w:rPr>
        <w:t>Sweden also contend</w:t>
      </w:r>
      <w:r w:rsidR="00B74E96" w:rsidRPr="00D9389E">
        <w:rPr>
          <w:lang w:val="en-GB"/>
        </w:rPr>
        <w:t>ed</w:t>
      </w:r>
      <w:r w:rsidRPr="00D9389E">
        <w:rPr>
          <w:lang w:val="en-GB"/>
        </w:rPr>
        <w:t xml:space="preserve"> that it is incorrect to relate the phrase “… a practical explosive or pyrotechnic effect …” to 2.1.1.1 (c) in the second sentence in 2.1.3.3.1 of the Model Regulation “If </w:t>
      </w:r>
      <w:r w:rsidRPr="00D9389E">
        <w:rPr>
          <w:lang w:val="en-GB"/>
        </w:rPr>
        <w:lastRenderedPageBreak/>
        <w:t>the substance is manufactured with a view to producing a practical explosive or pyrotechnic effect (2.1.1.1 (c)), it is unnecessary to conduct Test Series 1 and 2”. Therefore, Sweden suggest</w:t>
      </w:r>
      <w:r w:rsidR="00B74E96" w:rsidRPr="00D9389E">
        <w:rPr>
          <w:lang w:val="en-GB"/>
        </w:rPr>
        <w:t>ed</w:t>
      </w:r>
      <w:r w:rsidRPr="00D9389E">
        <w:rPr>
          <w:lang w:val="en-GB"/>
        </w:rPr>
        <w:t xml:space="preserve"> to remove that reference to 2.1.1.1 (c), which many experts support.</w:t>
      </w:r>
    </w:p>
    <w:p w14:paraId="69953632" w14:textId="50B63A8C" w:rsidR="00701402" w:rsidRPr="003B0037" w:rsidRDefault="00701402" w:rsidP="00701402">
      <w:pPr>
        <w:pStyle w:val="SingleTxtG"/>
        <w:spacing w:after="240"/>
        <w:ind w:left="1701" w:right="39"/>
      </w:pPr>
      <w:r w:rsidRPr="003B0037">
        <w:rPr>
          <w:b/>
          <w:u w:val="single"/>
        </w:rPr>
        <w:t>Conclusion:</w:t>
      </w:r>
      <w:r w:rsidR="00657299">
        <w:t xml:space="preserve">  </w:t>
      </w:r>
      <w:r w:rsidR="00F6469D" w:rsidRPr="00F6469D">
        <w:t xml:space="preserve">Sweden will consider the comments from the working group and decide what action </w:t>
      </w:r>
      <w:r w:rsidR="003B0518">
        <w:t>it</w:t>
      </w:r>
      <w:r w:rsidR="00F6469D" w:rsidRPr="00F6469D">
        <w:t xml:space="preserve"> may pursue in the future</w:t>
      </w:r>
      <w:r w:rsidR="00657299">
        <w:t>.</w:t>
      </w:r>
    </w:p>
    <w:p w14:paraId="1C4D0823" w14:textId="77777777" w:rsidR="00944445" w:rsidRPr="009979EA" w:rsidRDefault="00944445" w:rsidP="00764793">
      <w:pPr>
        <w:pStyle w:val="HChG"/>
        <w:ind w:left="1138" w:right="39" w:firstLine="0"/>
      </w:pPr>
      <w:r w:rsidRPr="009979EA">
        <w:t xml:space="preserve">Agenda Item 2(c) – </w:t>
      </w:r>
      <w:r w:rsidR="009A57B9" w:rsidRPr="009979EA">
        <w:t>Electronic detonators</w:t>
      </w:r>
      <w:r w:rsidRPr="009979EA">
        <w:t xml:space="preserve"> </w:t>
      </w:r>
    </w:p>
    <w:p w14:paraId="523DF6BD" w14:textId="2ADCC33D" w:rsidR="00701402" w:rsidRPr="003B0037" w:rsidRDefault="00701402" w:rsidP="00701402">
      <w:pPr>
        <w:pStyle w:val="SingleTxtG"/>
        <w:numPr>
          <w:ilvl w:val="0"/>
          <w:numId w:val="4"/>
        </w:numPr>
        <w:spacing w:after="240"/>
        <w:ind w:right="39"/>
      </w:pPr>
      <w:bookmarkStart w:id="3" w:name="para6"/>
      <w:bookmarkEnd w:id="3"/>
      <w:r w:rsidRPr="003B0037">
        <w:rPr>
          <w:b/>
          <w:u w:val="single"/>
        </w:rPr>
        <w:t>Subject.</w:t>
      </w:r>
      <w:r w:rsidRPr="003B0037">
        <w:t xml:space="preserve">  </w:t>
      </w:r>
      <w:r w:rsidR="00AE4E6F" w:rsidRPr="003B0037">
        <w:t>New entries for electronic detonators</w:t>
      </w:r>
      <w:r w:rsidRPr="003B0037">
        <w:t>.</w:t>
      </w:r>
    </w:p>
    <w:p w14:paraId="2E2F8A33" w14:textId="11D4F5FB" w:rsidR="00701402" w:rsidRPr="003B0037" w:rsidRDefault="00701402" w:rsidP="00701402">
      <w:pPr>
        <w:pStyle w:val="SingleTxtG"/>
        <w:spacing w:after="240"/>
        <w:ind w:left="3700" w:right="39" w:hanging="2001"/>
        <w:jc w:val="left"/>
        <w:rPr>
          <w:i/>
        </w:rPr>
      </w:pPr>
      <w:r w:rsidRPr="003B0037">
        <w:rPr>
          <w:i/>
        </w:rPr>
        <w:t>Documents:</w:t>
      </w:r>
      <w:r w:rsidRPr="003B0037">
        <w:rPr>
          <w:i/>
        </w:rPr>
        <w:tab/>
      </w:r>
      <w:r w:rsidR="00AE4E6F" w:rsidRPr="003B0037">
        <w:rPr>
          <w:i/>
          <w:iCs/>
        </w:rPr>
        <w:t>ST/SG/AC.10/C.3/2018/58 (AEISG)</w:t>
      </w:r>
    </w:p>
    <w:p w14:paraId="70D5A2B0" w14:textId="2A101226" w:rsidR="00701402" w:rsidRPr="003B0037" w:rsidRDefault="00701402" w:rsidP="00701402">
      <w:pPr>
        <w:pStyle w:val="SingleTxtG"/>
        <w:spacing w:after="240"/>
        <w:ind w:left="3700" w:right="39" w:hanging="2001"/>
        <w:rPr>
          <w:i/>
        </w:rPr>
      </w:pPr>
      <w:r w:rsidRPr="003B0037">
        <w:rPr>
          <w:i/>
        </w:rPr>
        <w:t xml:space="preserve">Informal documents: </w:t>
      </w:r>
      <w:r w:rsidRPr="003B0037">
        <w:rPr>
          <w:i/>
        </w:rPr>
        <w:tab/>
      </w:r>
      <w:r w:rsidR="0052297F" w:rsidRPr="003B0037">
        <w:rPr>
          <w:i/>
          <w:iCs/>
        </w:rPr>
        <w:t xml:space="preserve">No documents </w:t>
      </w:r>
      <w:r w:rsidR="00627BA3" w:rsidRPr="003B0037">
        <w:rPr>
          <w:i/>
          <w:iCs/>
        </w:rPr>
        <w:t>submitted</w:t>
      </w:r>
    </w:p>
    <w:p w14:paraId="36EE8AF1" w14:textId="59EF2619" w:rsidR="00443785" w:rsidRDefault="00701402" w:rsidP="00443785">
      <w:pPr>
        <w:pStyle w:val="SingleTxtG"/>
        <w:spacing w:after="240"/>
        <w:ind w:left="1701" w:right="39"/>
      </w:pPr>
      <w:r w:rsidRPr="003B0037">
        <w:rPr>
          <w:b/>
          <w:u w:val="single"/>
        </w:rPr>
        <w:t>Discussion:</w:t>
      </w:r>
      <w:r w:rsidRPr="003B0037">
        <w:t xml:space="preserve">  </w:t>
      </w:r>
      <w:r w:rsidR="00443785">
        <w:t xml:space="preserve">The </w:t>
      </w:r>
      <w:r w:rsidR="00664803">
        <w:t>working group</w:t>
      </w:r>
      <w:r w:rsidR="00443785">
        <w:t xml:space="preserve"> discussed at length the </w:t>
      </w:r>
      <w:r w:rsidR="00113810">
        <w:t xml:space="preserve">meaning </w:t>
      </w:r>
      <w:r w:rsidR="00443785">
        <w:t xml:space="preserve">of “programmable” in the proposed description.  </w:t>
      </w:r>
      <w:r w:rsidR="00113810">
        <w:t>S</w:t>
      </w:r>
      <w:r w:rsidR="00443785">
        <w:t xml:space="preserve">ome of the </w:t>
      </w:r>
      <w:r w:rsidR="00664803">
        <w:t>working group</w:t>
      </w:r>
      <w:r w:rsidR="00443785">
        <w:t xml:space="preserve"> favored shifting the focus away from the </w:t>
      </w:r>
      <w:r w:rsidR="00113810">
        <w:t xml:space="preserve">meaning </w:t>
      </w:r>
      <w:r w:rsidR="00443785">
        <w:t xml:space="preserve">of this term in favor of concentrating more on the fact that these detonators are unique because of their advanced initiation requirements and that conventional initiation methods cannot be used to initiate these types of detonators.  Considering input from USA, Germany, and AEISG, the </w:t>
      </w:r>
      <w:r w:rsidR="00664803">
        <w:t>working group</w:t>
      </w:r>
      <w:r w:rsidR="00443785">
        <w:t xml:space="preserve"> developed a more concise definition of the term </w:t>
      </w:r>
      <w:r w:rsidR="00591C6D">
        <w:rPr>
          <w:lang w:val="en-AU"/>
        </w:rPr>
        <w:t>“DETONATORS, ELECTRONIC programmable for blasting”</w:t>
      </w:r>
      <w:r w:rsidR="00965BDA">
        <w:rPr>
          <w:lang w:val="en-AU"/>
        </w:rPr>
        <w:t>.</w:t>
      </w:r>
      <w:r w:rsidR="00443785">
        <w:t xml:space="preserve"> </w:t>
      </w:r>
    </w:p>
    <w:p w14:paraId="78550A1A" w14:textId="05E99A31" w:rsidR="00443785" w:rsidRDefault="00443785" w:rsidP="00443785">
      <w:pPr>
        <w:pStyle w:val="SingleTxtG"/>
        <w:spacing w:after="240"/>
        <w:ind w:left="1701" w:right="39"/>
      </w:pPr>
      <w:r>
        <w:t>The working group also considered that the new entries should be added to the Indicative List of High Consequence Dangerous Goods and determined that the proposed 1.1B entry was already covered and that the proposed 1.4B and 1.4S entries should be added.</w:t>
      </w:r>
    </w:p>
    <w:p w14:paraId="7B9DAF5C" w14:textId="689E7E24" w:rsidR="00701402" w:rsidRPr="003B0037" w:rsidRDefault="00701402" w:rsidP="00701402">
      <w:pPr>
        <w:pStyle w:val="SingleTxtG"/>
        <w:spacing w:after="240"/>
        <w:ind w:left="1701" w:right="39"/>
      </w:pPr>
      <w:r w:rsidRPr="003B0037">
        <w:rPr>
          <w:b/>
          <w:u w:val="single"/>
        </w:rPr>
        <w:t>Conclusion:</w:t>
      </w:r>
      <w:r w:rsidRPr="003B0037">
        <w:t xml:space="preserve">  </w:t>
      </w:r>
      <w:r w:rsidR="00627BA3" w:rsidRPr="003B0037">
        <w:t xml:space="preserve">The working group </w:t>
      </w:r>
      <w:bookmarkStart w:id="4" w:name="_Hlk517809633"/>
      <w:r w:rsidR="005F3191">
        <w:t>unanimously</w:t>
      </w:r>
      <w:r w:rsidR="005F3191" w:rsidRPr="003B0037">
        <w:t xml:space="preserve"> supported</w:t>
      </w:r>
      <w:r w:rsidR="00627BA3" w:rsidRPr="003B0037">
        <w:t xml:space="preserve"> the proposal from AEISG</w:t>
      </w:r>
      <w:r w:rsidR="001D2BAF">
        <w:t>,</w:t>
      </w:r>
      <w:r w:rsidR="005C2D67">
        <w:t xml:space="preserve"> as amended by the working group</w:t>
      </w:r>
      <w:r w:rsidR="001D2BAF">
        <w:t>,</w:t>
      </w:r>
      <w:r w:rsidR="00627BA3" w:rsidRPr="003B0037">
        <w:t xml:space="preserve"> and recommends approval by the Sub-Committee.  See </w:t>
      </w:r>
      <w:r w:rsidR="003B0037" w:rsidRPr="003B0037">
        <w:t>Amendments</w:t>
      </w:r>
      <w:r w:rsidR="00627BA3" w:rsidRPr="003B0037">
        <w:t xml:space="preserve"> 1</w:t>
      </w:r>
      <w:r w:rsidR="003B0037" w:rsidRPr="003B0037">
        <w:t>, 2, 3</w:t>
      </w:r>
      <w:r w:rsidR="006A557F">
        <w:t>, and 4</w:t>
      </w:r>
      <w:r w:rsidR="003B0037" w:rsidRPr="003B0037">
        <w:t xml:space="preserve"> </w:t>
      </w:r>
      <w:r w:rsidR="00627BA3" w:rsidRPr="003B0037">
        <w:t>in Annex 2.</w:t>
      </w:r>
      <w:bookmarkEnd w:id="4"/>
    </w:p>
    <w:p w14:paraId="62CA09CE" w14:textId="77777777" w:rsidR="00AF33E9" w:rsidRPr="009979EA" w:rsidRDefault="00AF33E9" w:rsidP="00764793">
      <w:pPr>
        <w:pStyle w:val="HChG"/>
        <w:ind w:left="1138" w:right="39" w:firstLine="0"/>
      </w:pPr>
      <w:r w:rsidRPr="009979EA">
        <w:t xml:space="preserve">Agenda Item 2(e) – </w:t>
      </w:r>
      <w:r w:rsidR="009A57B9" w:rsidRPr="009979EA">
        <w:t>Stability tests for industrial nitrocellulose</w:t>
      </w:r>
    </w:p>
    <w:p w14:paraId="434B1EED" w14:textId="77777777" w:rsidR="00791D02" w:rsidRPr="003B0037" w:rsidRDefault="00791D02" w:rsidP="00791D02">
      <w:pPr>
        <w:pStyle w:val="SingleTxtG"/>
        <w:numPr>
          <w:ilvl w:val="0"/>
          <w:numId w:val="4"/>
        </w:numPr>
        <w:spacing w:after="240"/>
        <w:ind w:right="39"/>
      </w:pPr>
      <w:bookmarkStart w:id="5" w:name="para8"/>
      <w:bookmarkEnd w:id="5"/>
      <w:r w:rsidRPr="003B0037">
        <w:rPr>
          <w:b/>
          <w:u w:val="single"/>
        </w:rPr>
        <w:t>Subject.</w:t>
      </w:r>
      <w:r w:rsidRPr="003B0037">
        <w:t xml:space="preserve">  Stability Tests.</w:t>
      </w:r>
    </w:p>
    <w:p w14:paraId="33EE407E" w14:textId="77777777" w:rsidR="00791D02" w:rsidRPr="003B0037" w:rsidRDefault="00791D02" w:rsidP="00791D02">
      <w:pPr>
        <w:pStyle w:val="SingleTxtG"/>
        <w:spacing w:after="240"/>
        <w:ind w:left="3700" w:right="39" w:hanging="2001"/>
        <w:jc w:val="left"/>
        <w:rPr>
          <w:i/>
          <w:iCs/>
        </w:rPr>
      </w:pPr>
      <w:r w:rsidRPr="003B0037">
        <w:rPr>
          <w:i/>
        </w:rPr>
        <w:t>Documents:</w:t>
      </w:r>
      <w:r w:rsidRPr="003B0037">
        <w:rPr>
          <w:i/>
        </w:rPr>
        <w:tab/>
      </w:r>
      <w:r w:rsidRPr="003B0037">
        <w:rPr>
          <w:i/>
          <w:iCs/>
        </w:rPr>
        <w:t>ST/SG/AC.10/C.3/2018/9 (CEFIC, WONIPA)</w:t>
      </w:r>
    </w:p>
    <w:p w14:paraId="562CE5CF" w14:textId="77777777" w:rsidR="00791D02" w:rsidRPr="003B0037" w:rsidRDefault="00791D02" w:rsidP="00791D02">
      <w:pPr>
        <w:pStyle w:val="SingleTxtG"/>
        <w:spacing w:after="240"/>
        <w:ind w:left="3700" w:right="39" w:hanging="2001"/>
        <w:rPr>
          <w:i/>
        </w:rPr>
      </w:pPr>
      <w:r w:rsidRPr="003B0037">
        <w:rPr>
          <w:i/>
        </w:rPr>
        <w:t xml:space="preserve">Informal documents: </w:t>
      </w:r>
      <w:r w:rsidRPr="003B0037">
        <w:rPr>
          <w:i/>
        </w:rPr>
        <w:tab/>
      </w:r>
      <w:r w:rsidRPr="003B0037">
        <w:rPr>
          <w:i/>
          <w:iCs/>
        </w:rPr>
        <w:t>No documents submitted</w:t>
      </w:r>
    </w:p>
    <w:p w14:paraId="13790D58" w14:textId="21CB9E10" w:rsidR="00791D02" w:rsidRPr="003B0037" w:rsidRDefault="00791D02" w:rsidP="00791D02">
      <w:pPr>
        <w:pStyle w:val="SingleTxtG"/>
        <w:spacing w:after="240"/>
        <w:ind w:left="1701" w:right="39"/>
      </w:pPr>
      <w:r w:rsidRPr="003B0037">
        <w:rPr>
          <w:b/>
          <w:u w:val="single"/>
        </w:rPr>
        <w:t>Discussion:</w:t>
      </w:r>
      <w:r w:rsidRPr="003B0037">
        <w:t xml:space="preserve">  </w:t>
      </w:r>
      <w:r w:rsidR="002A6C31" w:rsidRPr="003B0037">
        <w:t>Recalling the decisions taken at the 51</w:t>
      </w:r>
      <w:r w:rsidR="002A6C31" w:rsidRPr="003B0037">
        <w:rPr>
          <w:vertAlign w:val="superscript"/>
        </w:rPr>
        <w:t>st</w:t>
      </w:r>
      <w:r w:rsidR="002A6C31" w:rsidRPr="003B0037">
        <w:t xml:space="preserve"> and 52</w:t>
      </w:r>
      <w:r w:rsidR="002A6C31" w:rsidRPr="003B0037">
        <w:rPr>
          <w:vertAlign w:val="superscript"/>
        </w:rPr>
        <w:t>nd</w:t>
      </w:r>
      <w:r w:rsidR="002A6C31" w:rsidRPr="003B0037">
        <w:t xml:space="preserve"> Sessions, the working group </w:t>
      </w:r>
      <w:r w:rsidR="00184A68">
        <w:t>reviewed</w:t>
      </w:r>
      <w:r w:rsidR="00184A68" w:rsidRPr="003B0037">
        <w:t xml:space="preserve"> </w:t>
      </w:r>
      <w:r w:rsidR="00184A68">
        <w:t>the</w:t>
      </w:r>
      <w:r w:rsidR="002A6C31" w:rsidRPr="003B0037">
        <w:t xml:space="preserve"> formal proposals </w:t>
      </w:r>
      <w:r w:rsidR="002E62FA">
        <w:t>for the addition of</w:t>
      </w:r>
      <w:r w:rsidR="003B0037" w:rsidRPr="003B0037">
        <w:t xml:space="preserve"> tests to evaluate the stability of nitrocellulose</w:t>
      </w:r>
      <w:r w:rsidR="000C573A">
        <w:t>s</w:t>
      </w:r>
      <w:r w:rsidR="003B0037" w:rsidRPr="003B0037">
        <w:t>.</w:t>
      </w:r>
      <w:r w:rsidR="001E6F05">
        <w:t xml:space="preserve">   </w:t>
      </w:r>
      <w:r w:rsidR="00294FD2">
        <w:t xml:space="preserve">To make some improvements and ensure completeness, some amendments were made </w:t>
      </w:r>
      <w:r w:rsidR="001E6F05" w:rsidRPr="001E6F05">
        <w:t>regarding sample drying, wording of proposed special provisions</w:t>
      </w:r>
      <w:r w:rsidR="00C24BDC">
        <w:t xml:space="preserve">, </w:t>
      </w:r>
      <w:r w:rsidR="00B55182">
        <w:t>formatting, and provision of example results</w:t>
      </w:r>
      <w:r w:rsidR="001E6F05" w:rsidRPr="001E6F05">
        <w:t xml:space="preserve">.  </w:t>
      </w:r>
    </w:p>
    <w:p w14:paraId="2601A5F6" w14:textId="469564D3" w:rsidR="00791D02" w:rsidRPr="003B0037" w:rsidRDefault="00791D02" w:rsidP="00791D02">
      <w:pPr>
        <w:pStyle w:val="SingleTxtG"/>
        <w:spacing w:after="240"/>
        <w:ind w:left="1701" w:right="39"/>
      </w:pPr>
      <w:r w:rsidRPr="003B0037">
        <w:rPr>
          <w:b/>
          <w:u w:val="single"/>
        </w:rPr>
        <w:t>Conclusion:</w:t>
      </w:r>
      <w:r w:rsidRPr="003B0037">
        <w:t xml:space="preserve">  </w:t>
      </w:r>
      <w:r w:rsidR="003B0037" w:rsidRPr="003B0037">
        <w:t xml:space="preserve">The </w:t>
      </w:r>
      <w:r w:rsidR="00664803">
        <w:t>working group</w:t>
      </w:r>
      <w:r w:rsidR="003B0037" w:rsidRPr="003B0037">
        <w:t xml:space="preserve"> </w:t>
      </w:r>
      <w:r w:rsidR="002E62FA">
        <w:t xml:space="preserve">unanimously </w:t>
      </w:r>
      <w:r w:rsidR="003B0037" w:rsidRPr="003B0037">
        <w:t xml:space="preserve">supported the proposal from </w:t>
      </w:r>
      <w:r w:rsidR="00366B19">
        <w:t>CEFIC</w:t>
      </w:r>
      <w:r w:rsidR="003B0037" w:rsidRPr="003B0037">
        <w:t xml:space="preserve"> </w:t>
      </w:r>
      <w:r w:rsidR="00294FD2">
        <w:t>as shown in para</w:t>
      </w:r>
      <w:r w:rsidR="00AC1EBC">
        <w:t>s</w:t>
      </w:r>
      <w:r w:rsidR="00294FD2">
        <w:t>.</w:t>
      </w:r>
      <w:r w:rsidR="00AC1EBC">
        <w:t xml:space="preserve"> 8</w:t>
      </w:r>
      <w:r w:rsidR="00FE3BFA">
        <w:t xml:space="preserve"> (as amended by the working group)</w:t>
      </w:r>
      <w:r w:rsidR="00AC1EBC">
        <w:t>, 9 and</w:t>
      </w:r>
      <w:r w:rsidR="00294FD2">
        <w:t xml:space="preserve"> 10</w:t>
      </w:r>
      <w:r w:rsidR="00FE3BFA">
        <w:t xml:space="preserve"> (as amended by the working group)</w:t>
      </w:r>
      <w:r w:rsidR="00294FD2">
        <w:t xml:space="preserve"> of 2018/9 </w:t>
      </w:r>
      <w:r w:rsidR="003B0037" w:rsidRPr="003B0037">
        <w:t>and recommends approval by the Sub-Committee.</w:t>
      </w:r>
      <w:r w:rsidR="00FE3BFA">
        <w:t xml:space="preserve">  See </w:t>
      </w:r>
      <w:r w:rsidR="00396450">
        <w:t xml:space="preserve">Amendment 5 in Annex 2 and </w:t>
      </w:r>
      <w:r w:rsidR="00FE3BFA">
        <w:t>Amendments 1, 2, 3</w:t>
      </w:r>
      <w:r w:rsidR="00D84CB3">
        <w:t>, and 4</w:t>
      </w:r>
      <w:r w:rsidR="00FE3BFA">
        <w:t xml:space="preserve"> in Annex 3.</w:t>
      </w:r>
    </w:p>
    <w:p w14:paraId="5B10A4B5" w14:textId="3F921521" w:rsidR="000C3D2C" w:rsidRPr="003B0037" w:rsidRDefault="000C3D2C" w:rsidP="000C3D2C">
      <w:pPr>
        <w:pStyle w:val="SingleTxtG"/>
        <w:numPr>
          <w:ilvl w:val="0"/>
          <w:numId w:val="4"/>
        </w:numPr>
        <w:spacing w:after="240"/>
        <w:ind w:right="39"/>
      </w:pPr>
      <w:bookmarkStart w:id="6" w:name="para9"/>
      <w:bookmarkEnd w:id="6"/>
      <w:r w:rsidRPr="003B0037">
        <w:rPr>
          <w:b/>
          <w:u w:val="single"/>
        </w:rPr>
        <w:t>Subject.</w:t>
      </w:r>
      <w:r w:rsidRPr="003B0037">
        <w:t xml:space="preserve">  </w:t>
      </w:r>
      <w:r>
        <w:t>Classification of desensitized explosives for supply and use under the GHS</w:t>
      </w:r>
      <w:r w:rsidRPr="003B0037">
        <w:t>.</w:t>
      </w:r>
    </w:p>
    <w:p w14:paraId="288BA366" w14:textId="75097A33" w:rsidR="000C3D2C" w:rsidRPr="003B0037" w:rsidRDefault="000C3D2C" w:rsidP="000C3D2C">
      <w:pPr>
        <w:pStyle w:val="SingleTxtG"/>
        <w:spacing w:after="240"/>
        <w:ind w:left="3700" w:right="39" w:hanging="2001"/>
        <w:jc w:val="left"/>
        <w:rPr>
          <w:i/>
          <w:iCs/>
        </w:rPr>
      </w:pPr>
      <w:r w:rsidRPr="003B0037">
        <w:rPr>
          <w:i/>
        </w:rPr>
        <w:t>Documents:</w:t>
      </w:r>
      <w:r w:rsidRPr="003B0037">
        <w:rPr>
          <w:i/>
        </w:rPr>
        <w:tab/>
      </w:r>
      <w:r w:rsidR="004A27A4" w:rsidRPr="003B0037">
        <w:rPr>
          <w:i/>
          <w:iCs/>
        </w:rPr>
        <w:t>No documents submitted</w:t>
      </w:r>
    </w:p>
    <w:p w14:paraId="10084C43" w14:textId="1CB0E020" w:rsidR="000C3D2C" w:rsidRPr="003B0037" w:rsidRDefault="000C3D2C" w:rsidP="000C3D2C">
      <w:pPr>
        <w:pStyle w:val="SingleTxtG"/>
        <w:spacing w:after="240"/>
        <w:ind w:left="3700" w:right="39" w:hanging="2001"/>
        <w:rPr>
          <w:i/>
        </w:rPr>
      </w:pPr>
      <w:r w:rsidRPr="003B0037">
        <w:rPr>
          <w:i/>
        </w:rPr>
        <w:lastRenderedPageBreak/>
        <w:t xml:space="preserve">Informal documents: </w:t>
      </w:r>
      <w:r w:rsidRPr="003B0037">
        <w:rPr>
          <w:i/>
        </w:rPr>
        <w:tab/>
      </w:r>
      <w:r w:rsidR="004A27A4" w:rsidRPr="000C3D2C">
        <w:rPr>
          <w:i/>
          <w:iCs/>
        </w:rPr>
        <w:t>UN/SCETDG/53/INF.7</w:t>
      </w:r>
      <w:r w:rsidR="004A27A4">
        <w:rPr>
          <w:i/>
          <w:iCs/>
        </w:rPr>
        <w:t xml:space="preserve"> – </w:t>
      </w:r>
      <w:r w:rsidR="004A27A4" w:rsidRPr="000C3D2C">
        <w:rPr>
          <w:i/>
          <w:iCs/>
        </w:rPr>
        <w:t>UN/SCEGHS/35/INF.6 (CEFIC)</w:t>
      </w:r>
    </w:p>
    <w:p w14:paraId="29624F67" w14:textId="6C49C106" w:rsidR="000C3D2C" w:rsidRPr="003B0037" w:rsidRDefault="000C3D2C" w:rsidP="000C3D2C">
      <w:pPr>
        <w:pStyle w:val="SingleTxtG"/>
        <w:spacing w:after="240"/>
        <w:ind w:left="1701" w:right="39"/>
      </w:pPr>
      <w:r w:rsidRPr="003B0037">
        <w:rPr>
          <w:b/>
          <w:u w:val="single"/>
        </w:rPr>
        <w:t>Discussion:</w:t>
      </w:r>
      <w:r w:rsidRPr="003B0037">
        <w:t xml:space="preserve">  </w:t>
      </w:r>
      <w:r w:rsidR="003C20EF">
        <w:t>The working group considered</w:t>
      </w:r>
      <w:r w:rsidR="003C20EF" w:rsidRPr="003C20EF">
        <w:t xml:space="preserve"> additional test data developed by WONIPA, </w:t>
      </w:r>
      <w:r w:rsidR="003C20EF">
        <w:t>and supported the proposal to add a new</w:t>
      </w:r>
      <w:r w:rsidR="003C20EF" w:rsidRPr="003C20EF">
        <w:t xml:space="preserve"> Appendix 11 to the </w:t>
      </w:r>
      <w:r w:rsidR="003C20EF">
        <w:t>MTC</w:t>
      </w:r>
      <w:r w:rsidR="003C20EF" w:rsidRPr="003C20EF">
        <w:t xml:space="preserve"> </w:t>
      </w:r>
      <w:r w:rsidR="00734CD1">
        <w:t>providing</w:t>
      </w:r>
      <w:r w:rsidR="003C20EF" w:rsidRPr="003C20EF">
        <w:t xml:space="preserve"> a compilation of classification results on industrial nitrocellulose for the purposes of supply and use according to GHS chapter 2.17, which can be used for the classification of Industrial NC products.</w:t>
      </w:r>
      <w:r w:rsidR="00453DC3">
        <w:t xml:space="preserve">  </w:t>
      </w:r>
      <w:r w:rsidR="00A86275">
        <w:t>During this review, the working group made</w:t>
      </w:r>
      <w:r w:rsidR="00453DC3">
        <w:t xml:space="preserve"> minor amendments </w:t>
      </w:r>
      <w:r w:rsidR="00A86275">
        <w:t xml:space="preserve">to the proposal. </w:t>
      </w:r>
    </w:p>
    <w:p w14:paraId="3B8CEA93" w14:textId="647F033B" w:rsidR="000C3D2C" w:rsidRPr="003B0037" w:rsidRDefault="000C3D2C" w:rsidP="000C3D2C">
      <w:pPr>
        <w:pStyle w:val="SingleTxtG"/>
        <w:spacing w:after="240"/>
        <w:ind w:left="1701" w:right="39"/>
      </w:pPr>
      <w:r w:rsidRPr="003B0037">
        <w:rPr>
          <w:b/>
          <w:u w:val="single"/>
        </w:rPr>
        <w:t>Conclusion:</w:t>
      </w:r>
      <w:r w:rsidR="003C20EF">
        <w:t xml:space="preserve">  </w:t>
      </w:r>
      <w:r w:rsidR="00A86275" w:rsidRPr="00A86275">
        <w:t xml:space="preserve">The </w:t>
      </w:r>
      <w:r w:rsidR="00664803">
        <w:t>working group</w:t>
      </w:r>
      <w:r w:rsidR="00A86275" w:rsidRPr="00A86275">
        <w:t xml:space="preserve"> unanimously supported the proposal from CEFIC as shown in </w:t>
      </w:r>
      <w:r w:rsidR="00A86275">
        <w:t>the Annex to 53/INF.7 (35/INF.6) as amended by the working group</w:t>
      </w:r>
      <w:r w:rsidR="00734CD1">
        <w:t xml:space="preserve"> and recommends approval by the Sub-Committee</w:t>
      </w:r>
      <w:r w:rsidR="00A86275">
        <w:t>.</w:t>
      </w:r>
      <w:r w:rsidR="00A86275" w:rsidRPr="00A86275">
        <w:t xml:space="preserve"> See Amendments </w:t>
      </w:r>
      <w:r w:rsidR="00931F74">
        <w:t>5</w:t>
      </w:r>
      <w:r w:rsidR="00A86275" w:rsidRPr="00A86275">
        <w:t xml:space="preserve"> and </w:t>
      </w:r>
      <w:r w:rsidR="00931F74">
        <w:t>6</w:t>
      </w:r>
      <w:r w:rsidR="00A86275" w:rsidRPr="00A86275">
        <w:t xml:space="preserve"> </w:t>
      </w:r>
      <w:r w:rsidR="00734CD1">
        <w:t xml:space="preserve">in </w:t>
      </w:r>
      <w:r w:rsidR="00A86275" w:rsidRPr="00A86275">
        <w:t>Annex 3.</w:t>
      </w:r>
    </w:p>
    <w:p w14:paraId="371914D7" w14:textId="77777777" w:rsidR="009A57B9" w:rsidRPr="009979EA" w:rsidRDefault="009A57B9" w:rsidP="009A57B9">
      <w:pPr>
        <w:pStyle w:val="HChG"/>
        <w:ind w:left="1138" w:right="39" w:firstLine="0"/>
      </w:pPr>
      <w:r w:rsidRPr="009979EA">
        <w:t>Agenda Item 2(</w:t>
      </w:r>
      <w:r w:rsidR="003758B0" w:rsidRPr="009979EA">
        <w:t>j</w:t>
      </w:r>
      <w:r w:rsidRPr="009979EA">
        <w:t xml:space="preserve">) – Miscellaneous </w:t>
      </w:r>
    </w:p>
    <w:p w14:paraId="5841551E" w14:textId="5F7AD9EC" w:rsidR="009A57B9" w:rsidRPr="003B0037" w:rsidRDefault="009A57B9" w:rsidP="00B91E17">
      <w:pPr>
        <w:pStyle w:val="SingleTxtG"/>
        <w:numPr>
          <w:ilvl w:val="0"/>
          <w:numId w:val="4"/>
        </w:numPr>
        <w:spacing w:after="240"/>
        <w:ind w:right="39"/>
      </w:pPr>
      <w:bookmarkStart w:id="7" w:name="para14"/>
      <w:bookmarkEnd w:id="7"/>
      <w:r w:rsidRPr="003B0037">
        <w:rPr>
          <w:b/>
          <w:u w:val="single"/>
        </w:rPr>
        <w:t>Subject.</w:t>
      </w:r>
      <w:r w:rsidRPr="003B0037">
        <w:t xml:space="preserve">  </w:t>
      </w:r>
      <w:r w:rsidR="00B91E17" w:rsidRPr="003B0037">
        <w:t>Update of the reference to ISO 12097 in section 2.1.3.6.4 of the Model Regulations.</w:t>
      </w:r>
    </w:p>
    <w:p w14:paraId="5D6B5802" w14:textId="3F6105F6" w:rsidR="009A57B9" w:rsidRPr="003B0037" w:rsidRDefault="009A57B9" w:rsidP="009A57B9">
      <w:pPr>
        <w:pStyle w:val="SingleTxtG"/>
        <w:spacing w:after="240"/>
        <w:ind w:left="3700" w:right="39" w:hanging="2001"/>
        <w:jc w:val="left"/>
        <w:rPr>
          <w:i/>
        </w:rPr>
      </w:pPr>
      <w:r w:rsidRPr="003B0037">
        <w:rPr>
          <w:i/>
        </w:rPr>
        <w:t>Documents:</w:t>
      </w:r>
      <w:r w:rsidRPr="003B0037">
        <w:rPr>
          <w:i/>
        </w:rPr>
        <w:tab/>
      </w:r>
      <w:r w:rsidR="00B91E17" w:rsidRPr="003B0037">
        <w:rPr>
          <w:i/>
          <w:iCs/>
        </w:rPr>
        <w:t>ST/SG/AC.10/C.3/2018/6 (Germany)</w:t>
      </w:r>
    </w:p>
    <w:p w14:paraId="7A1C2515" w14:textId="3024563E" w:rsidR="009A57B9" w:rsidRPr="003B0037" w:rsidRDefault="009A57B9" w:rsidP="009A57B9">
      <w:pPr>
        <w:pStyle w:val="SingleTxtG"/>
        <w:spacing w:after="240"/>
        <w:ind w:left="3700" w:right="39" w:hanging="2001"/>
        <w:rPr>
          <w:i/>
        </w:rPr>
      </w:pPr>
      <w:r w:rsidRPr="003B0037">
        <w:rPr>
          <w:i/>
        </w:rPr>
        <w:t xml:space="preserve">Informal documents: </w:t>
      </w:r>
      <w:r w:rsidRPr="003B0037">
        <w:rPr>
          <w:i/>
        </w:rPr>
        <w:tab/>
      </w:r>
      <w:r w:rsidR="0052297F" w:rsidRPr="003B0037">
        <w:rPr>
          <w:i/>
          <w:iCs/>
        </w:rPr>
        <w:t>No documents submitted</w:t>
      </w:r>
    </w:p>
    <w:p w14:paraId="24C78719" w14:textId="090D6501" w:rsidR="009A57B9" w:rsidRPr="003B0037" w:rsidRDefault="009A57B9" w:rsidP="009A57B9">
      <w:pPr>
        <w:pStyle w:val="SingleTxtG"/>
        <w:spacing w:after="240"/>
        <w:ind w:left="1701" w:right="39"/>
      </w:pPr>
      <w:r w:rsidRPr="003B0037">
        <w:rPr>
          <w:b/>
          <w:u w:val="single"/>
        </w:rPr>
        <w:t>Discussion:</w:t>
      </w:r>
      <w:r w:rsidRPr="003B0037">
        <w:t xml:space="preserve">  </w:t>
      </w:r>
      <w:r w:rsidR="004A3BB2">
        <w:t>This proposal was previously discussed and endorsed by the working group during the 52</w:t>
      </w:r>
      <w:r w:rsidR="004A3BB2" w:rsidRPr="004A3BB2">
        <w:rPr>
          <w:vertAlign w:val="superscript"/>
        </w:rPr>
        <w:t>nd</w:t>
      </w:r>
      <w:r w:rsidR="004A3BB2">
        <w:t xml:space="preserve"> Session</w:t>
      </w:r>
      <w:r w:rsidR="004A3BB2">
        <w:rPr>
          <w:rStyle w:val="FootnoteReference"/>
        </w:rPr>
        <w:footnoteReference w:id="2"/>
      </w:r>
      <w:r w:rsidR="004A3BB2">
        <w:t>.  As the proposal was originally introduced in an informal paper</w:t>
      </w:r>
      <w:r w:rsidR="004A3BB2">
        <w:rPr>
          <w:rStyle w:val="FootnoteReference"/>
        </w:rPr>
        <w:footnoteReference w:id="3"/>
      </w:r>
      <w:r w:rsidR="004A3BB2">
        <w:t>, Germany agreed to submit a formal proposal for consideration during the 53</w:t>
      </w:r>
      <w:r w:rsidR="004A3BB2" w:rsidRPr="004A3BB2">
        <w:rPr>
          <w:vertAlign w:val="superscript"/>
        </w:rPr>
        <w:t>rd</w:t>
      </w:r>
      <w:r w:rsidR="004A3BB2">
        <w:t xml:space="preserve"> Session</w:t>
      </w:r>
      <w:r w:rsidRPr="003B0037">
        <w:t>.</w:t>
      </w:r>
      <w:r w:rsidR="00BA5AE6">
        <w:t xml:space="preserve"> The USA </w:t>
      </w:r>
      <w:r w:rsidR="00BE3C7D">
        <w:t xml:space="preserve">suggested alternative </w:t>
      </w:r>
      <w:r w:rsidR="00BA5AE6">
        <w:t xml:space="preserve">wording of the proposed amendment to the note in section 2.1.3.6.4(b) because the </w:t>
      </w:r>
      <w:r w:rsidR="00BE3C7D">
        <w:t>heating rate applies to the ISO standard,</w:t>
      </w:r>
      <w:r w:rsidR="00BA5AE6">
        <w:t xml:space="preserve"> </w:t>
      </w:r>
      <w:r w:rsidR="00BE3C7D">
        <w:t xml:space="preserve">but this is </w:t>
      </w:r>
      <w:r w:rsidR="00BA5AE6">
        <w:t xml:space="preserve">not the only </w:t>
      </w:r>
      <w:r w:rsidR="00BE3C7D">
        <w:t xml:space="preserve">acceptable fire test </w:t>
      </w:r>
      <w:r w:rsidR="00BA5AE6">
        <w:t>method.  Germany and USA worked to prepare slight revisions to the proposed note.</w:t>
      </w:r>
    </w:p>
    <w:p w14:paraId="15969649" w14:textId="25CC1993" w:rsidR="009A57B9" w:rsidRPr="003B0037" w:rsidRDefault="009A57B9" w:rsidP="009A57B9">
      <w:pPr>
        <w:pStyle w:val="SingleTxtG"/>
        <w:spacing w:after="240"/>
        <w:ind w:left="1701" w:right="39"/>
      </w:pPr>
      <w:r w:rsidRPr="003B0037">
        <w:rPr>
          <w:b/>
          <w:u w:val="single"/>
        </w:rPr>
        <w:t>Conclusion:</w:t>
      </w:r>
      <w:r w:rsidRPr="003B0037">
        <w:t xml:space="preserve">  </w:t>
      </w:r>
      <w:r w:rsidR="004A3BB2" w:rsidRPr="003B0037">
        <w:t xml:space="preserve">The working group </w:t>
      </w:r>
      <w:r w:rsidR="00B85628">
        <w:t xml:space="preserve">unanimously </w:t>
      </w:r>
      <w:r w:rsidR="004A3BB2" w:rsidRPr="003B0037">
        <w:t xml:space="preserve">supported the proposal from </w:t>
      </w:r>
      <w:r w:rsidR="004A3BB2">
        <w:t>Germany</w:t>
      </w:r>
      <w:r w:rsidR="004A3BB2" w:rsidRPr="003B0037">
        <w:t xml:space="preserve"> </w:t>
      </w:r>
      <w:r w:rsidR="00B85628">
        <w:t xml:space="preserve">as amended by the working group </w:t>
      </w:r>
      <w:r w:rsidR="004A3BB2" w:rsidRPr="003B0037">
        <w:t>and recommends approval by the Sub-Committee.  See Amendment</w:t>
      </w:r>
      <w:r w:rsidR="004A3BB2">
        <w:t xml:space="preserve"> </w:t>
      </w:r>
      <w:r w:rsidR="00396450">
        <w:t>6</w:t>
      </w:r>
      <w:r w:rsidR="004A3BB2" w:rsidRPr="003B0037">
        <w:t xml:space="preserve"> in Annex 2.</w:t>
      </w:r>
    </w:p>
    <w:p w14:paraId="56A12D6B" w14:textId="6E71DC7F" w:rsidR="00292772" w:rsidRPr="003B0037" w:rsidRDefault="00292772" w:rsidP="00292772">
      <w:pPr>
        <w:pStyle w:val="SingleTxtG"/>
        <w:numPr>
          <w:ilvl w:val="0"/>
          <w:numId w:val="4"/>
        </w:numPr>
        <w:tabs>
          <w:tab w:val="left" w:pos="1710"/>
          <w:tab w:val="left" w:pos="2520"/>
        </w:tabs>
        <w:spacing w:after="240"/>
        <w:ind w:left="2520" w:right="39" w:hanging="1292"/>
      </w:pPr>
      <w:bookmarkStart w:id="8" w:name="para15"/>
      <w:bookmarkEnd w:id="8"/>
      <w:r w:rsidRPr="003B0037">
        <w:rPr>
          <w:b/>
          <w:u w:val="single"/>
        </w:rPr>
        <w:t>Subject.</w:t>
      </w:r>
      <w:r w:rsidRPr="003B0037">
        <w:t xml:space="preserve">  Classification of Articles, pyrotechnic UN0431 using the default fireworks classification table.</w:t>
      </w:r>
    </w:p>
    <w:p w14:paraId="005842E8" w14:textId="5EABE0BC" w:rsidR="00292772" w:rsidRPr="003B0037" w:rsidRDefault="00292772" w:rsidP="00292772">
      <w:pPr>
        <w:pStyle w:val="SingleTxtG"/>
        <w:spacing w:after="240"/>
        <w:ind w:left="3700" w:right="39" w:hanging="2001"/>
        <w:jc w:val="left"/>
        <w:rPr>
          <w:i/>
        </w:rPr>
      </w:pPr>
      <w:r w:rsidRPr="003B0037">
        <w:rPr>
          <w:i/>
        </w:rPr>
        <w:t>Documents:</w:t>
      </w:r>
      <w:r w:rsidRPr="003B0037">
        <w:rPr>
          <w:i/>
        </w:rPr>
        <w:tab/>
      </w:r>
      <w:r w:rsidRPr="003B0037">
        <w:rPr>
          <w:i/>
          <w:iCs/>
        </w:rPr>
        <w:t>ST/SG/AC.10/C.3/2018/48 (</w:t>
      </w:r>
      <w:r w:rsidR="00492799" w:rsidRPr="003B0037">
        <w:rPr>
          <w:i/>
          <w:iCs/>
        </w:rPr>
        <w:t>USA</w:t>
      </w:r>
      <w:r w:rsidRPr="003B0037">
        <w:rPr>
          <w:i/>
          <w:iCs/>
        </w:rPr>
        <w:t>)</w:t>
      </w:r>
    </w:p>
    <w:p w14:paraId="550B7A5F" w14:textId="02757EA3" w:rsidR="00292772" w:rsidRPr="003B0037" w:rsidRDefault="00292772" w:rsidP="00292772">
      <w:pPr>
        <w:pStyle w:val="SingleTxtG"/>
        <w:spacing w:after="240"/>
        <w:ind w:left="3700" w:right="39" w:hanging="2001"/>
        <w:rPr>
          <w:i/>
        </w:rPr>
      </w:pPr>
      <w:r w:rsidRPr="003B0037">
        <w:rPr>
          <w:i/>
        </w:rPr>
        <w:t xml:space="preserve">Informal documents: </w:t>
      </w:r>
      <w:r w:rsidRPr="003B0037">
        <w:rPr>
          <w:i/>
        </w:rPr>
        <w:tab/>
      </w:r>
      <w:r w:rsidR="0052297F" w:rsidRPr="003B0037">
        <w:rPr>
          <w:i/>
          <w:iCs/>
        </w:rPr>
        <w:t>No documents submitted</w:t>
      </w:r>
    </w:p>
    <w:p w14:paraId="34628247" w14:textId="31B00571" w:rsidR="00292772" w:rsidRPr="003B0037" w:rsidRDefault="00292772" w:rsidP="00292772">
      <w:pPr>
        <w:pStyle w:val="SingleTxtG"/>
        <w:spacing w:after="240"/>
        <w:ind w:left="1701" w:right="39"/>
      </w:pPr>
      <w:r w:rsidRPr="003B0037">
        <w:rPr>
          <w:b/>
          <w:u w:val="single"/>
        </w:rPr>
        <w:t>Discussion:</w:t>
      </w:r>
      <w:r w:rsidRPr="003B0037">
        <w:t xml:space="preserve">  </w:t>
      </w:r>
      <w:r w:rsidR="00D218AD">
        <w:t xml:space="preserve">Recognizing that a related proposal from the last session was generally supported by the working group, but considered too broad by some experts, USA proposes amending para. 2.1.3.5.2 and the definition of “Articles, pyrotechnic for technical purposes” in Appendix B to clarify that </w:t>
      </w:r>
      <w:r w:rsidR="00D218AD" w:rsidRPr="00D218AD">
        <w:t>fireworks meeting the 1.4G criteria in the default fireworks classification table in 2.1.3.5.5 may also be assigned to UN</w:t>
      </w:r>
      <w:r w:rsidR="00742472">
        <w:t xml:space="preserve"> </w:t>
      </w:r>
      <w:r w:rsidR="00D218AD" w:rsidRPr="00D218AD">
        <w:t>0431</w:t>
      </w:r>
      <w:r w:rsidR="00742472">
        <w:t xml:space="preserve"> if they are for theatrical effects</w:t>
      </w:r>
      <w:r w:rsidR="00D218AD">
        <w:t>.</w:t>
      </w:r>
      <w:r w:rsidR="007A614D">
        <w:t xml:space="preserve">  </w:t>
      </w:r>
      <w:r w:rsidR="007A614D" w:rsidRPr="007A614D">
        <w:t>Some of the experts supported the USA proposal but others didn’t agree that extension of the default fireworks table to UN</w:t>
      </w:r>
      <w:r w:rsidR="00742472">
        <w:t xml:space="preserve"> </w:t>
      </w:r>
      <w:r w:rsidR="007A614D" w:rsidRPr="007A614D">
        <w:t>0431 was the right way to go about it.</w:t>
      </w:r>
    </w:p>
    <w:p w14:paraId="422CB802" w14:textId="4E211FFA" w:rsidR="00292772" w:rsidRPr="003B0037" w:rsidRDefault="00292772" w:rsidP="00292772">
      <w:pPr>
        <w:pStyle w:val="SingleTxtG"/>
        <w:spacing w:after="240"/>
        <w:ind w:left="1701" w:right="39"/>
      </w:pPr>
      <w:r w:rsidRPr="003B0037">
        <w:rPr>
          <w:b/>
          <w:u w:val="single"/>
        </w:rPr>
        <w:t>Conclusion:</w:t>
      </w:r>
      <w:r w:rsidRPr="003B0037">
        <w:t xml:space="preserve">  </w:t>
      </w:r>
      <w:r w:rsidR="0058037A" w:rsidRPr="003B0037">
        <w:t>T</w:t>
      </w:r>
      <w:r w:rsidR="00374D9D">
        <w:t xml:space="preserve">aking account of the comments of the working group, the USA will conduct further review and determine whether to submit an amended proposal at a </w:t>
      </w:r>
      <w:r w:rsidR="00184A68">
        <w:t>future session</w:t>
      </w:r>
      <w:r w:rsidR="00374D9D">
        <w:t>.</w:t>
      </w:r>
    </w:p>
    <w:p w14:paraId="46F4A069" w14:textId="77777777" w:rsidR="00695957" w:rsidRPr="003B0037" w:rsidRDefault="00695957" w:rsidP="00695957">
      <w:pPr>
        <w:pStyle w:val="SingleTxtG"/>
        <w:numPr>
          <w:ilvl w:val="0"/>
          <w:numId w:val="4"/>
        </w:numPr>
        <w:spacing w:after="240"/>
        <w:ind w:right="39"/>
      </w:pPr>
      <w:bookmarkStart w:id="9" w:name="para16"/>
      <w:bookmarkEnd w:id="9"/>
      <w:r w:rsidRPr="003B0037">
        <w:rPr>
          <w:b/>
          <w:u w:val="single"/>
        </w:rPr>
        <w:lastRenderedPageBreak/>
        <w:t>Subject.</w:t>
      </w:r>
      <w:r w:rsidRPr="003B0037">
        <w:t xml:space="preserve">  Determination of electrostatic sensitiveness discharge (ESD).</w:t>
      </w:r>
    </w:p>
    <w:p w14:paraId="31BAA6A0" w14:textId="77777777" w:rsidR="00695957" w:rsidRPr="003B0037" w:rsidRDefault="00695957" w:rsidP="00695957">
      <w:pPr>
        <w:pStyle w:val="SingleTxtG"/>
        <w:spacing w:after="240"/>
        <w:ind w:left="3700" w:right="39" w:hanging="2001"/>
        <w:jc w:val="left"/>
        <w:rPr>
          <w:i/>
          <w:iCs/>
        </w:rPr>
      </w:pPr>
      <w:r w:rsidRPr="003B0037">
        <w:rPr>
          <w:i/>
        </w:rPr>
        <w:t>Documents:</w:t>
      </w:r>
      <w:r w:rsidRPr="003B0037">
        <w:rPr>
          <w:i/>
        </w:rPr>
        <w:tab/>
      </w:r>
      <w:r w:rsidRPr="003B0037">
        <w:rPr>
          <w:i/>
          <w:iCs/>
        </w:rPr>
        <w:t>ST/SG/AC.10/C.3/2018/52 (SAAMI)</w:t>
      </w:r>
    </w:p>
    <w:p w14:paraId="609710BB" w14:textId="77777777" w:rsidR="00695957" w:rsidRPr="003B0037" w:rsidRDefault="00695957" w:rsidP="00695957">
      <w:pPr>
        <w:pStyle w:val="SingleTxtG"/>
        <w:spacing w:after="240"/>
        <w:ind w:left="3700" w:right="39" w:hanging="2001"/>
        <w:rPr>
          <w:i/>
        </w:rPr>
      </w:pPr>
      <w:r w:rsidRPr="003B0037">
        <w:rPr>
          <w:i/>
        </w:rPr>
        <w:t xml:space="preserve">Informal documents: </w:t>
      </w:r>
      <w:r w:rsidRPr="003B0037">
        <w:rPr>
          <w:i/>
        </w:rPr>
        <w:tab/>
      </w:r>
      <w:r w:rsidRPr="003B0037">
        <w:rPr>
          <w:i/>
          <w:iCs/>
        </w:rPr>
        <w:t>No documents submitted</w:t>
      </w:r>
    </w:p>
    <w:p w14:paraId="1E69B026" w14:textId="031C6364" w:rsidR="00695957" w:rsidRPr="003B0037" w:rsidRDefault="00695957" w:rsidP="00695957">
      <w:pPr>
        <w:pStyle w:val="SingleTxtG"/>
        <w:spacing w:after="240"/>
        <w:ind w:left="1701" w:right="39"/>
      </w:pPr>
      <w:r w:rsidRPr="003B0037">
        <w:rPr>
          <w:b/>
          <w:u w:val="single"/>
        </w:rPr>
        <w:t>Discussion:</w:t>
      </w:r>
      <w:r w:rsidRPr="003B0037">
        <w:t xml:space="preserve">  </w:t>
      </w:r>
      <w:r w:rsidR="00691259" w:rsidRPr="00691259">
        <w:t xml:space="preserve">SAAMI gave a </w:t>
      </w:r>
      <w:r w:rsidR="00691259">
        <w:t xml:space="preserve">detailed </w:t>
      </w:r>
      <w:r w:rsidR="00691259" w:rsidRPr="00691259">
        <w:t xml:space="preserve">presentation on the </w:t>
      </w:r>
      <w:r w:rsidR="00691259">
        <w:t>need for electrostatic discharge (ESD) testing and the suitability of the ABL machine for that purpose</w:t>
      </w:r>
      <w:r w:rsidR="00BB0327">
        <w:t>, and how this might relate to section 4.1.5.14 of the Model Regulations</w:t>
      </w:r>
      <w:r w:rsidR="00691259" w:rsidRPr="00691259">
        <w:t>.  Concerns were expressed about starting a precedent of including tests in the MTC that are not required by the Model Regulations</w:t>
      </w:r>
      <w:r w:rsidR="00691259">
        <w:t>.  There was also little support for describing specific test methods for ESD testing with more support for providing an overview of the testing concept and providing some examples.</w:t>
      </w:r>
    </w:p>
    <w:p w14:paraId="57976FF4" w14:textId="110043BD" w:rsidR="00695957" w:rsidRPr="003B0037" w:rsidRDefault="00695957" w:rsidP="00695957">
      <w:pPr>
        <w:pStyle w:val="SingleTxtG"/>
        <w:spacing w:after="240"/>
        <w:ind w:left="1701" w:right="39"/>
      </w:pPr>
      <w:r w:rsidRPr="003B0037">
        <w:rPr>
          <w:b/>
          <w:u w:val="single"/>
        </w:rPr>
        <w:t>Conclusion:</w:t>
      </w:r>
      <w:r w:rsidRPr="003B0037">
        <w:t xml:space="preserve">  </w:t>
      </w:r>
      <w:r w:rsidR="00BB0327">
        <w:t>This paper was a thought starter.  SAAMI</w:t>
      </w:r>
      <w:r w:rsidR="00691259">
        <w:t xml:space="preserve"> took note of the comments offered by the working group and </w:t>
      </w:r>
      <w:r w:rsidR="00C03CAF">
        <w:t xml:space="preserve">will decide </w:t>
      </w:r>
      <w:r w:rsidR="00691259">
        <w:t>whether they wish to proceed with a</w:t>
      </w:r>
      <w:r w:rsidR="00F10D72">
        <w:t xml:space="preserve"> new proposal at a future session.</w:t>
      </w:r>
    </w:p>
    <w:p w14:paraId="5E1C2BBC" w14:textId="0B5B87B3" w:rsidR="00F43E63" w:rsidRPr="003B0037" w:rsidRDefault="00F43E63" w:rsidP="00F43E63">
      <w:pPr>
        <w:pStyle w:val="SingleTxtG"/>
        <w:numPr>
          <w:ilvl w:val="0"/>
          <w:numId w:val="4"/>
        </w:numPr>
        <w:tabs>
          <w:tab w:val="left" w:pos="1710"/>
          <w:tab w:val="left" w:pos="2520"/>
        </w:tabs>
        <w:spacing w:after="240"/>
        <w:ind w:left="2520" w:right="39" w:hanging="1292"/>
      </w:pPr>
      <w:r w:rsidRPr="003B0037">
        <w:rPr>
          <w:b/>
          <w:u w:val="single"/>
        </w:rPr>
        <w:t>Subject.</w:t>
      </w:r>
      <w:r w:rsidRPr="003B0037">
        <w:t xml:space="preserve">  A method for transporting unapproved explosives.</w:t>
      </w:r>
    </w:p>
    <w:p w14:paraId="79C6C6DA" w14:textId="348A592F" w:rsidR="00F43E63" w:rsidRPr="003B0037" w:rsidRDefault="00F43E63" w:rsidP="00F43E63">
      <w:pPr>
        <w:pStyle w:val="SingleTxtG"/>
        <w:spacing w:after="240"/>
        <w:ind w:left="3700" w:right="39" w:hanging="2001"/>
        <w:jc w:val="left"/>
        <w:rPr>
          <w:i/>
        </w:rPr>
      </w:pPr>
      <w:r w:rsidRPr="003B0037">
        <w:rPr>
          <w:i/>
        </w:rPr>
        <w:t>Documents:</w:t>
      </w:r>
      <w:r w:rsidRPr="003B0037">
        <w:rPr>
          <w:i/>
        </w:rPr>
        <w:tab/>
      </w:r>
      <w:r w:rsidRPr="003B0037">
        <w:rPr>
          <w:i/>
          <w:iCs/>
        </w:rPr>
        <w:t>ST/SG/AC.10/C.3/2018/53 (SAAMI)</w:t>
      </w:r>
    </w:p>
    <w:p w14:paraId="59C78730" w14:textId="4CE246CA" w:rsidR="00F43E63" w:rsidRPr="003B0037" w:rsidRDefault="00F43E63" w:rsidP="00F43E63">
      <w:pPr>
        <w:pStyle w:val="SingleTxtG"/>
        <w:spacing w:after="240"/>
        <w:ind w:left="3700" w:right="39" w:hanging="2001"/>
        <w:rPr>
          <w:i/>
        </w:rPr>
      </w:pPr>
      <w:r w:rsidRPr="003B0037">
        <w:rPr>
          <w:i/>
        </w:rPr>
        <w:t xml:space="preserve">Informal documents: </w:t>
      </w:r>
      <w:r w:rsidRPr="003B0037">
        <w:rPr>
          <w:i/>
        </w:rPr>
        <w:tab/>
      </w:r>
      <w:r w:rsidR="004B512B" w:rsidRPr="004B512B">
        <w:rPr>
          <w:i/>
          <w:iCs/>
        </w:rPr>
        <w:t>UN/SCETDG/53/INF.43 (SAAMI)</w:t>
      </w:r>
    </w:p>
    <w:p w14:paraId="569A2F27" w14:textId="31030ED0" w:rsidR="00F43E63" w:rsidRDefault="00F43E63" w:rsidP="00F43E63">
      <w:pPr>
        <w:pStyle w:val="SingleTxtG"/>
        <w:spacing w:after="240"/>
        <w:ind w:left="1701" w:right="39"/>
      </w:pPr>
      <w:r w:rsidRPr="003B0037">
        <w:rPr>
          <w:b/>
          <w:u w:val="single"/>
        </w:rPr>
        <w:t>Discussion:</w:t>
      </w:r>
      <w:r w:rsidRPr="003B0037">
        <w:t xml:space="preserve">  </w:t>
      </w:r>
      <w:r w:rsidR="004B512B">
        <w:t>2018/53</w:t>
      </w:r>
      <w:r w:rsidR="004B2AC9">
        <w:t xml:space="preserve"> </w:t>
      </w:r>
      <w:r w:rsidR="004B512B">
        <w:t xml:space="preserve">provides </w:t>
      </w:r>
      <w:r w:rsidR="004B2AC9">
        <w:t xml:space="preserve">test data from 1977, 1983, and 2014 to support its proposal that new entries be created in the Dangerous Goods List for </w:t>
      </w:r>
      <w:r w:rsidR="00311CC1">
        <w:t xml:space="preserve">specialized </w:t>
      </w:r>
      <w:r w:rsidR="004B2AC9">
        <w:t xml:space="preserve">containers to be used to transport </w:t>
      </w:r>
      <w:r w:rsidR="00C4443A">
        <w:t xml:space="preserve">small quantities </w:t>
      </w:r>
      <w:r w:rsidR="004B2AC9">
        <w:t>of unapproved explosives for evaluation, testing, a</w:t>
      </w:r>
      <w:r w:rsidR="004B512B">
        <w:t xml:space="preserve">nd </w:t>
      </w:r>
      <w:r w:rsidR="001C0BC7">
        <w:t>research and development</w:t>
      </w:r>
      <w:r w:rsidR="004B512B">
        <w:t>.  INF.43 provides proposed amendments to support the proposal in 2018/53.</w:t>
      </w:r>
    </w:p>
    <w:p w14:paraId="2FD15E94" w14:textId="2DF679BC" w:rsidR="000F1A03" w:rsidRDefault="000F1A03" w:rsidP="000F1A03">
      <w:pPr>
        <w:pStyle w:val="SingleTxtG"/>
        <w:spacing w:after="240"/>
        <w:ind w:left="1701" w:right="39"/>
      </w:pPr>
      <w:r>
        <w:t>The discussion in the working group focused on three areas: a) the principle, b) applicability to articles, and c) how to implement.  There was wide spread support in the working group for the principle of some method to ship explosives that have not yet been characterized.  Although SAAMI is anxious to get this done during the current biennium</w:t>
      </w:r>
      <w:r w:rsidR="004D6280">
        <w:t xml:space="preserve"> for round-robin testing between laboratories</w:t>
      </w:r>
      <w:r>
        <w:t xml:space="preserve">, and there was some support for this from the working group, it was agreed to leave timing open for the time being.  The working group noted that several countries have similar provisions for such shipments (some using the method described in DOT-SP 8451 and the SAAMI proposal); however, there were some in the working group that were concerned </w:t>
      </w:r>
      <w:r w:rsidR="00E81040">
        <w:t>the method proposed by SAAMI might be proprietary</w:t>
      </w:r>
      <w:r>
        <w:t xml:space="preserve">.  IME pointed out that the means described in the SAAMI proposal is public and that there is nothing proprietary about it.  Several in the working group agreed with IME.  </w:t>
      </w:r>
    </w:p>
    <w:p w14:paraId="0E261123" w14:textId="77777777" w:rsidR="000F1A03" w:rsidRDefault="000F1A03" w:rsidP="000F1A03">
      <w:pPr>
        <w:pStyle w:val="SingleTxtG"/>
        <w:spacing w:after="240"/>
        <w:ind w:left="1701" w:right="39"/>
      </w:pPr>
      <w:r>
        <w:t>The working group recommended that SAAMI consider a revised proposal that addresses:</w:t>
      </w:r>
    </w:p>
    <w:p w14:paraId="656C161F" w14:textId="1BEBAA53" w:rsidR="000F1A03" w:rsidRDefault="000F1A03" w:rsidP="005C593C">
      <w:pPr>
        <w:pStyle w:val="SingleTxtG"/>
        <w:numPr>
          <w:ilvl w:val="0"/>
          <w:numId w:val="29"/>
        </w:numPr>
        <w:spacing w:after="240"/>
        <w:ind w:left="2419" w:right="43"/>
        <w:contextualSpacing/>
      </w:pPr>
      <w:r>
        <w:t>Whether the entry (PSN) should be an n.o.s. entry or not</w:t>
      </w:r>
    </w:p>
    <w:p w14:paraId="7E999C1E" w14:textId="63A8EAF3" w:rsidR="000F1A03" w:rsidRDefault="007C566F" w:rsidP="005C593C">
      <w:pPr>
        <w:pStyle w:val="SingleTxtG"/>
        <w:numPr>
          <w:ilvl w:val="0"/>
          <w:numId w:val="29"/>
        </w:numPr>
        <w:spacing w:after="240"/>
        <w:ind w:left="2419" w:right="43"/>
        <w:contextualSpacing/>
      </w:pPr>
      <w:r>
        <w:t xml:space="preserve">Whether </w:t>
      </w:r>
      <w:r w:rsidR="000F1A03">
        <w:t xml:space="preserve">SP 274 and 347 </w:t>
      </w:r>
      <w:r>
        <w:t xml:space="preserve">should be added </w:t>
      </w:r>
      <w:r w:rsidR="000F1A03">
        <w:t>to the proposed entry</w:t>
      </w:r>
    </w:p>
    <w:p w14:paraId="66072A93" w14:textId="59F4FEE6" w:rsidR="000F1A03" w:rsidRDefault="000F1A03" w:rsidP="005C593C">
      <w:pPr>
        <w:pStyle w:val="SingleTxtG"/>
        <w:numPr>
          <w:ilvl w:val="0"/>
          <w:numId w:val="29"/>
        </w:numPr>
        <w:spacing w:after="240"/>
        <w:ind w:left="2419" w:right="43"/>
        <w:contextualSpacing/>
      </w:pPr>
      <w:r>
        <w:t>Whether CA approval should be required, and if so, whether it should be required for the device or the packaging method (most favor the latter if CA approval is to be required</w:t>
      </w:r>
      <w:r w:rsidR="00003F51">
        <w:t>)</w:t>
      </w:r>
    </w:p>
    <w:p w14:paraId="3BF93706" w14:textId="333487E7" w:rsidR="000F1A03" w:rsidRDefault="000F1A03" w:rsidP="005C593C">
      <w:pPr>
        <w:pStyle w:val="SingleTxtG"/>
        <w:numPr>
          <w:ilvl w:val="0"/>
          <w:numId w:val="29"/>
        </w:numPr>
        <w:spacing w:after="240"/>
        <w:ind w:left="2419" w:right="43"/>
        <w:contextualSpacing/>
      </w:pPr>
      <w:r>
        <w:t>Whether the entry should be 1.4S, 1.4E, or something else</w:t>
      </w:r>
    </w:p>
    <w:p w14:paraId="62C0B10D" w14:textId="2622CF7D" w:rsidR="000F1A03" w:rsidRDefault="00003F51" w:rsidP="005C593C">
      <w:pPr>
        <w:pStyle w:val="SingleTxtG"/>
        <w:numPr>
          <w:ilvl w:val="0"/>
          <w:numId w:val="29"/>
        </w:numPr>
        <w:spacing w:after="240"/>
        <w:ind w:left="2419" w:right="43"/>
        <w:contextualSpacing/>
      </w:pPr>
      <w:r>
        <w:t>A</w:t>
      </w:r>
      <w:r w:rsidR="000F1A03">
        <w:t xml:space="preserve">rticles should be </w:t>
      </w:r>
      <w:r>
        <w:t xml:space="preserve">excluded </w:t>
      </w:r>
      <w:r w:rsidR="000F1A03">
        <w:t>at this time and could be added after development of sufficient supporting data (most likely in the next biennium)</w:t>
      </w:r>
    </w:p>
    <w:p w14:paraId="327A0ED3" w14:textId="62FAD688" w:rsidR="000F1A03" w:rsidRDefault="000F1A03" w:rsidP="004D5C20">
      <w:pPr>
        <w:pStyle w:val="SingleTxtG"/>
        <w:numPr>
          <w:ilvl w:val="0"/>
          <w:numId w:val="29"/>
        </w:numPr>
        <w:spacing w:after="240"/>
        <w:ind w:left="2419" w:right="43"/>
        <w:contextualSpacing/>
      </w:pPr>
      <w:r>
        <w:t>Applicability to other (non-explosive) hazardous substances, self-reactives, peroxides type A or B</w:t>
      </w:r>
    </w:p>
    <w:p w14:paraId="4C05151E" w14:textId="5C175706" w:rsidR="00000055" w:rsidRDefault="00000055" w:rsidP="004D5C20">
      <w:pPr>
        <w:pStyle w:val="SingleTxtG"/>
        <w:numPr>
          <w:ilvl w:val="0"/>
          <w:numId w:val="29"/>
        </w:numPr>
        <w:spacing w:after="240"/>
        <w:ind w:left="2419" w:right="43"/>
        <w:contextualSpacing/>
      </w:pPr>
      <w:r>
        <w:t>Consider a more general approach rather than describing one method in detail</w:t>
      </w:r>
    </w:p>
    <w:p w14:paraId="20D2FA92" w14:textId="7CBFEB1A" w:rsidR="004D5C20" w:rsidRPr="003B0037" w:rsidRDefault="004D5C20" w:rsidP="005C593C">
      <w:pPr>
        <w:pStyle w:val="SingleTxtG"/>
        <w:numPr>
          <w:ilvl w:val="0"/>
          <w:numId w:val="29"/>
        </w:numPr>
        <w:spacing w:after="240"/>
        <w:ind w:right="39"/>
      </w:pPr>
      <w:r>
        <w:t>Whether UN 0190 can be used instead of new UN entries</w:t>
      </w:r>
    </w:p>
    <w:p w14:paraId="740FC887" w14:textId="7C41C9A0" w:rsidR="00F43E63" w:rsidRPr="003B0037" w:rsidRDefault="00F43E63" w:rsidP="00F43E63">
      <w:pPr>
        <w:pStyle w:val="SingleTxtG"/>
        <w:spacing w:after="240"/>
        <w:ind w:left="1701" w:right="39"/>
      </w:pPr>
      <w:r w:rsidRPr="003B0037">
        <w:rPr>
          <w:b/>
          <w:u w:val="single"/>
        </w:rPr>
        <w:lastRenderedPageBreak/>
        <w:t>Conclusion:</w:t>
      </w:r>
      <w:r w:rsidRPr="003B0037">
        <w:t xml:space="preserve">  </w:t>
      </w:r>
      <w:r w:rsidR="000F1A03">
        <w:t>Taking account of the comments and suggestions from the working group, SAAMI may return with a new proposal at a future session.</w:t>
      </w:r>
    </w:p>
    <w:p w14:paraId="1DCBCD48" w14:textId="77777777" w:rsidR="002E655C" w:rsidRPr="003B0037" w:rsidRDefault="002E655C" w:rsidP="002E655C">
      <w:pPr>
        <w:pStyle w:val="SingleTxtG"/>
        <w:numPr>
          <w:ilvl w:val="0"/>
          <w:numId w:val="4"/>
        </w:numPr>
        <w:tabs>
          <w:tab w:val="left" w:pos="1710"/>
          <w:tab w:val="left" w:pos="2520"/>
        </w:tabs>
        <w:spacing w:after="240"/>
        <w:ind w:left="2520" w:right="39" w:hanging="1292"/>
      </w:pPr>
      <w:r w:rsidRPr="003B0037">
        <w:rPr>
          <w:b/>
          <w:u w:val="single"/>
        </w:rPr>
        <w:t>Subject.</w:t>
      </w:r>
      <w:r w:rsidRPr="003B0037">
        <w:t xml:space="preserve">  </w:t>
      </w:r>
      <w:r>
        <w:t>Transport of energetic samples for testing</w:t>
      </w:r>
      <w:r w:rsidRPr="003B0037">
        <w:t>.</w:t>
      </w:r>
    </w:p>
    <w:p w14:paraId="2E8F0159" w14:textId="77777777" w:rsidR="002E655C" w:rsidRPr="003B0037" w:rsidRDefault="002E655C" w:rsidP="002E655C">
      <w:pPr>
        <w:pStyle w:val="SingleTxtG"/>
        <w:spacing w:after="240"/>
        <w:ind w:left="3700" w:right="39" w:hanging="2001"/>
        <w:jc w:val="left"/>
        <w:rPr>
          <w:i/>
        </w:rPr>
      </w:pPr>
      <w:r w:rsidRPr="003B0037">
        <w:rPr>
          <w:i/>
        </w:rPr>
        <w:t>Documents:</w:t>
      </w:r>
      <w:r w:rsidRPr="003B0037">
        <w:rPr>
          <w:i/>
        </w:rPr>
        <w:tab/>
      </w:r>
      <w:r w:rsidRPr="003B0037">
        <w:rPr>
          <w:i/>
          <w:iCs/>
        </w:rPr>
        <w:t>No documents submitted</w:t>
      </w:r>
    </w:p>
    <w:p w14:paraId="3F338408" w14:textId="77777777" w:rsidR="002E655C" w:rsidRPr="003B0037" w:rsidRDefault="002E655C" w:rsidP="002E655C">
      <w:pPr>
        <w:pStyle w:val="SingleTxtG"/>
        <w:spacing w:after="240"/>
        <w:ind w:left="3700" w:right="39" w:hanging="2001"/>
        <w:rPr>
          <w:i/>
        </w:rPr>
      </w:pPr>
      <w:r w:rsidRPr="003B0037">
        <w:rPr>
          <w:i/>
        </w:rPr>
        <w:t xml:space="preserve">Informal documents: </w:t>
      </w:r>
      <w:r w:rsidRPr="003B0037">
        <w:rPr>
          <w:i/>
        </w:rPr>
        <w:tab/>
      </w:r>
      <w:r>
        <w:rPr>
          <w:i/>
        </w:rPr>
        <w:t xml:space="preserve">UN/SCETDG/53/INF.17 </w:t>
      </w:r>
      <w:r w:rsidRPr="007B30EB">
        <w:rPr>
          <w:i/>
        </w:rPr>
        <w:t>(CEFIC)</w:t>
      </w:r>
    </w:p>
    <w:p w14:paraId="365CF26F" w14:textId="37BBB49E" w:rsidR="002E655C" w:rsidRPr="003B0037" w:rsidRDefault="002E655C" w:rsidP="002E655C">
      <w:pPr>
        <w:pStyle w:val="SingleTxtG"/>
        <w:spacing w:after="240"/>
        <w:ind w:left="1701" w:right="39"/>
      </w:pPr>
      <w:r w:rsidRPr="003B0037">
        <w:rPr>
          <w:b/>
          <w:u w:val="single"/>
        </w:rPr>
        <w:t>Discussion:</w:t>
      </w:r>
      <w:r w:rsidRPr="003B0037">
        <w:t xml:space="preserve">  </w:t>
      </w:r>
      <w:r>
        <w:t xml:space="preserve"> </w:t>
      </w:r>
      <w:r w:rsidR="00BF660E" w:rsidRPr="00BF660E">
        <w:t>Following a review of the highly complex proposal by CEFIC, most of the working group express</w:t>
      </w:r>
      <w:r w:rsidR="00BF660E">
        <w:t>ed</w:t>
      </w:r>
      <w:r w:rsidR="00BF660E" w:rsidRPr="00BF660E">
        <w:t xml:space="preserve"> the desire for additional time to confer with potentially affected </w:t>
      </w:r>
      <w:r w:rsidR="00BF660E">
        <w:t>stakeholders</w:t>
      </w:r>
      <w:r w:rsidR="00BF660E" w:rsidRPr="00BF660E">
        <w:t xml:space="preserve"> to determine what </w:t>
      </w:r>
      <w:r w:rsidR="00BF660E">
        <w:t>their present practices may be</w:t>
      </w:r>
      <w:r w:rsidR="00BF660E" w:rsidRPr="00BF660E">
        <w:t xml:space="preserve"> </w:t>
      </w:r>
      <w:r w:rsidR="000A6FAD">
        <w:t xml:space="preserve">in order to find a </w:t>
      </w:r>
      <w:r w:rsidR="00E1310A">
        <w:t xml:space="preserve">practical </w:t>
      </w:r>
      <w:r w:rsidR="000A6FAD">
        <w:t>solution to the issue described by CEFIC</w:t>
      </w:r>
      <w:r w:rsidR="00BF660E" w:rsidRPr="00BF660E">
        <w:t>.</w:t>
      </w:r>
    </w:p>
    <w:p w14:paraId="191BF6CD" w14:textId="1BCB1220" w:rsidR="00E97AD0" w:rsidRPr="003B0037" w:rsidRDefault="00E97AD0" w:rsidP="00E97AD0">
      <w:pPr>
        <w:pStyle w:val="SingleTxtG"/>
        <w:spacing w:after="240"/>
        <w:ind w:left="1701" w:right="39"/>
      </w:pPr>
      <w:r w:rsidRPr="003B0037">
        <w:rPr>
          <w:b/>
          <w:u w:val="single"/>
        </w:rPr>
        <w:t>Conclusion:</w:t>
      </w:r>
      <w:r>
        <w:t xml:space="preserve">  </w:t>
      </w:r>
      <w:r w:rsidR="00BF660E" w:rsidRPr="00BF660E">
        <w:t>CEFIC was encouraged to prepare a formal proposal to aid further review by the working group.</w:t>
      </w:r>
    </w:p>
    <w:p w14:paraId="4CA7BB67" w14:textId="77777777" w:rsidR="00CA3DA0" w:rsidRPr="003B0037" w:rsidRDefault="00CA3DA0" w:rsidP="00CA3DA0">
      <w:pPr>
        <w:pStyle w:val="SingleTxtG"/>
        <w:numPr>
          <w:ilvl w:val="0"/>
          <w:numId w:val="4"/>
        </w:numPr>
        <w:tabs>
          <w:tab w:val="left" w:pos="1710"/>
          <w:tab w:val="left" w:pos="2520"/>
        </w:tabs>
        <w:spacing w:after="240"/>
        <w:ind w:left="2520" w:right="39" w:hanging="1292"/>
      </w:pPr>
      <w:r w:rsidRPr="003B0037">
        <w:rPr>
          <w:b/>
          <w:u w:val="single"/>
        </w:rPr>
        <w:t>Subject.</w:t>
      </w:r>
      <w:r w:rsidRPr="003B0037">
        <w:t xml:space="preserve">  </w:t>
      </w:r>
      <w:r>
        <w:t>UN0222 Ammonium nitrate</w:t>
      </w:r>
    </w:p>
    <w:p w14:paraId="59CD413F" w14:textId="77777777" w:rsidR="00CA3DA0" w:rsidRPr="003B0037" w:rsidRDefault="00CA3DA0" w:rsidP="00CA3DA0">
      <w:pPr>
        <w:pStyle w:val="SingleTxtG"/>
        <w:spacing w:after="240"/>
        <w:ind w:left="3700" w:right="39" w:hanging="2001"/>
        <w:jc w:val="left"/>
        <w:rPr>
          <w:i/>
        </w:rPr>
      </w:pPr>
      <w:r w:rsidRPr="003B0037">
        <w:rPr>
          <w:i/>
        </w:rPr>
        <w:t>Documents:</w:t>
      </w:r>
      <w:r w:rsidRPr="003B0037">
        <w:rPr>
          <w:i/>
        </w:rPr>
        <w:tab/>
      </w:r>
      <w:r w:rsidRPr="003B0037">
        <w:rPr>
          <w:i/>
          <w:iCs/>
        </w:rPr>
        <w:t>No documents submitted</w:t>
      </w:r>
    </w:p>
    <w:p w14:paraId="324CFE21" w14:textId="77777777" w:rsidR="00CA3DA0" w:rsidRPr="003B0037" w:rsidRDefault="00CA3DA0" w:rsidP="00CA3DA0">
      <w:pPr>
        <w:pStyle w:val="SingleTxtG"/>
        <w:spacing w:after="240"/>
        <w:ind w:left="3700" w:right="39" w:hanging="2001"/>
        <w:rPr>
          <w:i/>
        </w:rPr>
      </w:pPr>
      <w:r w:rsidRPr="003B0037">
        <w:rPr>
          <w:i/>
        </w:rPr>
        <w:t xml:space="preserve">Informal documents: </w:t>
      </w:r>
      <w:r w:rsidRPr="003B0037">
        <w:rPr>
          <w:i/>
        </w:rPr>
        <w:tab/>
      </w:r>
      <w:r>
        <w:rPr>
          <w:i/>
        </w:rPr>
        <w:t xml:space="preserve">UN/SCETDG/53/INF.21 </w:t>
      </w:r>
      <w:r w:rsidRPr="007B30EB">
        <w:rPr>
          <w:i/>
        </w:rPr>
        <w:t>(</w:t>
      </w:r>
      <w:r>
        <w:rPr>
          <w:i/>
        </w:rPr>
        <w:t>IME</w:t>
      </w:r>
      <w:r w:rsidRPr="007B30EB">
        <w:rPr>
          <w:i/>
        </w:rPr>
        <w:t>)</w:t>
      </w:r>
    </w:p>
    <w:p w14:paraId="4EBE1593" w14:textId="6B5C378A" w:rsidR="00CA3DA0" w:rsidRPr="003B0037" w:rsidRDefault="00CA3DA0" w:rsidP="00CA3DA0">
      <w:pPr>
        <w:pStyle w:val="SingleTxtG"/>
        <w:spacing w:after="240"/>
        <w:ind w:left="1701" w:right="39"/>
      </w:pPr>
      <w:r w:rsidRPr="003B0037">
        <w:rPr>
          <w:b/>
          <w:u w:val="single"/>
        </w:rPr>
        <w:t>Discussion:</w:t>
      </w:r>
      <w:r w:rsidRPr="003B0037">
        <w:t xml:space="preserve">  </w:t>
      </w:r>
      <w:r w:rsidR="00484CD7" w:rsidRPr="00484CD7">
        <w:t xml:space="preserve">Germany, USA, COSTHA, </w:t>
      </w:r>
      <w:r w:rsidR="00C87F47" w:rsidRPr="00484CD7">
        <w:t xml:space="preserve">Sweden </w:t>
      </w:r>
      <w:r w:rsidR="00484CD7" w:rsidRPr="00484CD7">
        <w:t xml:space="preserve">and Belgium supported the proposal.  Others including Netherlands, </w:t>
      </w:r>
      <w:r w:rsidR="00F91AA8">
        <w:t>UK</w:t>
      </w:r>
      <w:r w:rsidR="00D9389E">
        <w:t xml:space="preserve"> </w:t>
      </w:r>
      <w:r w:rsidR="00484CD7" w:rsidRPr="00484CD7">
        <w:t>and AEISG stated that they didn’t understand the need for amending SP</w:t>
      </w:r>
      <w:r w:rsidR="00C87F47">
        <w:t xml:space="preserve"> </w:t>
      </w:r>
      <w:r w:rsidR="00484CD7" w:rsidRPr="00484CD7">
        <w:t>370, didn’t see how it would help, but also didn’t see how it would hurt and would</w:t>
      </w:r>
      <w:r w:rsidR="00C87F47">
        <w:t>,</w:t>
      </w:r>
      <w:r w:rsidR="00C87F47" w:rsidRPr="00484CD7">
        <w:t xml:space="preserve"> </w:t>
      </w:r>
      <w:r w:rsidR="00484CD7" w:rsidRPr="00484CD7">
        <w:t>therefore, likely not oppose the proposal.  Sweden suggested that SP 370 be amended to simply state what entries UN</w:t>
      </w:r>
      <w:r w:rsidR="00C87F47">
        <w:t xml:space="preserve"> </w:t>
      </w:r>
      <w:r w:rsidR="00484CD7" w:rsidRPr="00484CD7">
        <w:t>0222 does not apply to.</w:t>
      </w:r>
    </w:p>
    <w:p w14:paraId="6D4E7D38" w14:textId="77777777" w:rsidR="00CA3DA0" w:rsidRPr="003B0037" w:rsidRDefault="00CA3DA0" w:rsidP="00CA3DA0">
      <w:pPr>
        <w:pStyle w:val="SingleTxtG"/>
        <w:spacing w:after="240"/>
        <w:ind w:left="1701" w:right="39"/>
      </w:pPr>
      <w:r w:rsidRPr="003B0037">
        <w:rPr>
          <w:b/>
          <w:u w:val="single"/>
        </w:rPr>
        <w:t>Conclusion:</w:t>
      </w:r>
      <w:r>
        <w:t xml:space="preserve">  Taking account of the comments from the working group, IME will submit a formal proposal for the 54</w:t>
      </w:r>
      <w:r w:rsidRPr="00657299">
        <w:rPr>
          <w:vertAlign w:val="superscript"/>
        </w:rPr>
        <w:t>th</w:t>
      </w:r>
      <w:r>
        <w:t xml:space="preserve"> TDG session.</w:t>
      </w:r>
    </w:p>
    <w:p w14:paraId="7720C39B" w14:textId="35BBC20E" w:rsidR="007B30EB" w:rsidRPr="003B0037" w:rsidRDefault="007B30EB" w:rsidP="00417A8F">
      <w:pPr>
        <w:pStyle w:val="SingleTxtG"/>
        <w:numPr>
          <w:ilvl w:val="0"/>
          <w:numId w:val="4"/>
        </w:numPr>
        <w:tabs>
          <w:tab w:val="left" w:pos="1710"/>
          <w:tab w:val="left" w:pos="2520"/>
        </w:tabs>
        <w:spacing w:after="240"/>
        <w:ind w:right="39"/>
      </w:pPr>
      <w:r w:rsidRPr="003B0037">
        <w:rPr>
          <w:b/>
          <w:u w:val="single"/>
        </w:rPr>
        <w:t>Subject.</w:t>
      </w:r>
      <w:r w:rsidRPr="003B0037">
        <w:t xml:space="preserve">  </w:t>
      </w:r>
      <w:r w:rsidR="00417A8F" w:rsidRPr="00417A8F">
        <w:t>Additional LP101 entries into the Dangerous Goods List</w:t>
      </w:r>
    </w:p>
    <w:p w14:paraId="3EFD11D0" w14:textId="3740F642" w:rsidR="007B30EB" w:rsidRPr="003B0037" w:rsidRDefault="007B30EB" w:rsidP="007B30EB">
      <w:pPr>
        <w:pStyle w:val="SingleTxtG"/>
        <w:spacing w:after="240"/>
        <w:ind w:left="3700" w:right="39" w:hanging="2001"/>
        <w:jc w:val="left"/>
        <w:rPr>
          <w:i/>
        </w:rPr>
      </w:pPr>
      <w:r w:rsidRPr="003B0037">
        <w:rPr>
          <w:i/>
        </w:rPr>
        <w:t>Documents:</w:t>
      </w:r>
      <w:r w:rsidRPr="003B0037">
        <w:rPr>
          <w:i/>
        </w:rPr>
        <w:tab/>
      </w:r>
      <w:r w:rsidRPr="003B0037">
        <w:rPr>
          <w:i/>
          <w:iCs/>
        </w:rPr>
        <w:t>No documents submitted</w:t>
      </w:r>
    </w:p>
    <w:p w14:paraId="0DA11FD3" w14:textId="6E9E9365" w:rsidR="007B30EB" w:rsidRPr="003B0037" w:rsidRDefault="007B30EB" w:rsidP="007B30EB">
      <w:pPr>
        <w:pStyle w:val="SingleTxtG"/>
        <w:spacing w:after="240"/>
        <w:ind w:left="3700" w:right="39" w:hanging="2001"/>
        <w:rPr>
          <w:i/>
        </w:rPr>
      </w:pPr>
      <w:r w:rsidRPr="003B0037">
        <w:rPr>
          <w:i/>
        </w:rPr>
        <w:t xml:space="preserve">Informal documents: </w:t>
      </w:r>
      <w:r w:rsidRPr="003B0037">
        <w:rPr>
          <w:i/>
        </w:rPr>
        <w:tab/>
      </w:r>
      <w:r>
        <w:rPr>
          <w:i/>
        </w:rPr>
        <w:t>UN/SCETDG/53/INF.</w:t>
      </w:r>
      <w:r w:rsidR="002E655C">
        <w:rPr>
          <w:i/>
        </w:rPr>
        <w:t>2</w:t>
      </w:r>
      <w:r w:rsidR="00417A8F">
        <w:rPr>
          <w:i/>
        </w:rPr>
        <w:t>4</w:t>
      </w:r>
      <w:r>
        <w:rPr>
          <w:i/>
        </w:rPr>
        <w:t xml:space="preserve"> </w:t>
      </w:r>
      <w:r w:rsidRPr="007B30EB">
        <w:rPr>
          <w:i/>
        </w:rPr>
        <w:t>(</w:t>
      </w:r>
      <w:r w:rsidR="00417A8F">
        <w:rPr>
          <w:i/>
        </w:rPr>
        <w:t>UK</w:t>
      </w:r>
      <w:r w:rsidRPr="007B30EB">
        <w:rPr>
          <w:i/>
        </w:rPr>
        <w:t>)</w:t>
      </w:r>
    </w:p>
    <w:p w14:paraId="5350E4D4" w14:textId="5CB0D6A5" w:rsidR="002E655C" w:rsidRPr="003B0037" w:rsidRDefault="002E655C" w:rsidP="002E655C">
      <w:pPr>
        <w:pStyle w:val="SingleTxtG"/>
        <w:spacing w:after="240"/>
        <w:ind w:left="1701" w:right="39"/>
      </w:pPr>
      <w:r w:rsidRPr="003B0037">
        <w:rPr>
          <w:b/>
          <w:u w:val="single"/>
        </w:rPr>
        <w:t>Discussion:</w:t>
      </w:r>
      <w:r w:rsidRPr="003B0037">
        <w:t xml:space="preserve">  </w:t>
      </w:r>
      <w:r w:rsidR="00867114" w:rsidRPr="00867114">
        <w:t>The working group provided comments to the packaging expert from the UK</w:t>
      </w:r>
      <w:r w:rsidR="00417A8F">
        <w:t>.</w:t>
      </w:r>
      <w:r w:rsidR="00867114">
        <w:t xml:space="preserve">  One issue that puzzle</w:t>
      </w:r>
      <w:r w:rsidR="00DF5D84">
        <w:t>d</w:t>
      </w:r>
      <w:r w:rsidR="00867114">
        <w:t xml:space="preserve"> the working group was how UN</w:t>
      </w:r>
      <w:r w:rsidR="009C7372">
        <w:t xml:space="preserve"> </w:t>
      </w:r>
      <w:r w:rsidR="00867114">
        <w:t xml:space="preserve">0012, which </w:t>
      </w:r>
      <w:r w:rsidR="00C11D29">
        <w:t xml:space="preserve">describes </w:t>
      </w:r>
      <w:r w:rsidR="00867114">
        <w:t>small articles and is classified as 1.4S, could have LP101 applied to it.  The UK advised that, in some instances, devices that are not 1.4S in their normal packaging successfully pass testing to qualify for 1.4S and that UN</w:t>
      </w:r>
      <w:r w:rsidR="009C7372">
        <w:t xml:space="preserve"> </w:t>
      </w:r>
      <w:r w:rsidR="00867114">
        <w:t>0012 was the most likely entry under which they would be transported.</w:t>
      </w:r>
      <w:r w:rsidR="00C00AE9">
        <w:t xml:space="preserve">  France commented that all the entries in Compatibility Group F would be assigned to LP101</w:t>
      </w:r>
      <w:r w:rsidR="00DB7657">
        <w:t>,</w:t>
      </w:r>
      <w:r w:rsidR="00C00AE9">
        <w:t xml:space="preserve"> which is currently not the case.</w:t>
      </w:r>
    </w:p>
    <w:p w14:paraId="61677028" w14:textId="0727554E" w:rsidR="002E655C" w:rsidRPr="003B0037" w:rsidRDefault="002E655C" w:rsidP="002E655C">
      <w:pPr>
        <w:pStyle w:val="SingleTxtG"/>
        <w:spacing w:after="240"/>
        <w:ind w:left="1701" w:right="39"/>
      </w:pPr>
      <w:r w:rsidRPr="003B0037">
        <w:rPr>
          <w:b/>
          <w:u w:val="single"/>
        </w:rPr>
        <w:t>Conclusion:</w:t>
      </w:r>
      <w:r>
        <w:t xml:space="preserve">  </w:t>
      </w:r>
      <w:r w:rsidR="00867114">
        <w:t>The UK will consider the comments from the working group and plans to prepare a formal proposal for the next session.</w:t>
      </w:r>
    </w:p>
    <w:p w14:paraId="23254BE8" w14:textId="77777777" w:rsidR="00662CD4" w:rsidRPr="003B0037" w:rsidRDefault="00662CD4" w:rsidP="00662CD4">
      <w:pPr>
        <w:pStyle w:val="SingleTxtG"/>
        <w:numPr>
          <w:ilvl w:val="0"/>
          <w:numId w:val="4"/>
        </w:numPr>
        <w:spacing w:after="240"/>
        <w:ind w:right="39"/>
      </w:pPr>
      <w:r w:rsidRPr="003B0037">
        <w:rPr>
          <w:b/>
          <w:u w:val="single"/>
        </w:rPr>
        <w:t>Subject.</w:t>
      </w:r>
      <w:r w:rsidRPr="003B0037">
        <w:t xml:space="preserve">  Spanish names for explosives.</w:t>
      </w:r>
    </w:p>
    <w:p w14:paraId="68DDBE06" w14:textId="082FB23B" w:rsidR="00662CD4" w:rsidRPr="003B0037" w:rsidRDefault="00662CD4" w:rsidP="00662CD4">
      <w:pPr>
        <w:pStyle w:val="SingleTxtG"/>
        <w:spacing w:after="240"/>
        <w:ind w:left="3700" w:right="39" w:hanging="2001"/>
        <w:jc w:val="left"/>
        <w:rPr>
          <w:i/>
        </w:rPr>
      </w:pPr>
      <w:r w:rsidRPr="003B0037">
        <w:rPr>
          <w:i/>
        </w:rPr>
        <w:t>Documents:</w:t>
      </w:r>
      <w:r w:rsidRPr="003B0037">
        <w:rPr>
          <w:i/>
        </w:rPr>
        <w:tab/>
      </w:r>
      <w:r>
        <w:rPr>
          <w:i/>
          <w:iCs/>
        </w:rPr>
        <w:t>No documents submitted</w:t>
      </w:r>
    </w:p>
    <w:p w14:paraId="1DCFD59B" w14:textId="77777777" w:rsidR="00662CD4" w:rsidRPr="003B0037" w:rsidRDefault="00662CD4" w:rsidP="00662CD4">
      <w:pPr>
        <w:pStyle w:val="SingleTxtG"/>
        <w:spacing w:after="240"/>
        <w:ind w:left="3700" w:right="39" w:hanging="2001"/>
        <w:rPr>
          <w:i/>
        </w:rPr>
      </w:pPr>
      <w:r w:rsidRPr="003B0037">
        <w:rPr>
          <w:i/>
        </w:rPr>
        <w:t xml:space="preserve">Informal documents: </w:t>
      </w:r>
      <w:r w:rsidRPr="003B0037">
        <w:rPr>
          <w:i/>
        </w:rPr>
        <w:tab/>
      </w:r>
      <w:r w:rsidRPr="008B7BE9">
        <w:rPr>
          <w:i/>
          <w:iCs/>
        </w:rPr>
        <w:t>UN/SCETDG/53/INF.29 (Spain)</w:t>
      </w:r>
    </w:p>
    <w:p w14:paraId="49426497" w14:textId="2639DBC5" w:rsidR="00662CD4" w:rsidRPr="003B0037" w:rsidRDefault="00662CD4" w:rsidP="00662CD4">
      <w:pPr>
        <w:pStyle w:val="SingleTxtG"/>
        <w:spacing w:after="240"/>
        <w:ind w:left="1701" w:right="39"/>
      </w:pPr>
      <w:r w:rsidRPr="003B0037">
        <w:rPr>
          <w:b/>
          <w:u w:val="single"/>
        </w:rPr>
        <w:lastRenderedPageBreak/>
        <w:t>Discussion:</w:t>
      </w:r>
      <w:r w:rsidRPr="003B0037">
        <w:t xml:space="preserve">  </w:t>
      </w:r>
      <w:r w:rsidR="006176CB" w:rsidRPr="006176CB">
        <w:t>The working group supported the proposal from Spain to amend the Spanish description of “Charges, shaped, flexible, linear.”  The working group did not support the Spanish proposal to amend the French description for the same articles.</w:t>
      </w:r>
      <w:r w:rsidR="006176CB">
        <w:t xml:space="preserve">  Recognizing that there are different terms in French that could be applied to “Charges, shaped, flexible, linear” (especially in the </w:t>
      </w:r>
      <w:r w:rsidR="008D29DE">
        <w:t>translation</w:t>
      </w:r>
      <w:r w:rsidR="00DB7657">
        <w:t xml:space="preserve"> </w:t>
      </w:r>
      <w:r w:rsidR="006176CB">
        <w:t>of the word “</w:t>
      </w:r>
      <w:r w:rsidR="00DB7657">
        <w:t>shaped</w:t>
      </w:r>
      <w:r w:rsidR="006176CB">
        <w:t>”), it recommends that the French text be reviewed further.  One possible solution would be to expand the entry to include optional descriptions.</w:t>
      </w:r>
    </w:p>
    <w:p w14:paraId="1319C110" w14:textId="14B0CE0A" w:rsidR="00662CD4" w:rsidRPr="003B0037" w:rsidRDefault="00662CD4" w:rsidP="00662CD4">
      <w:pPr>
        <w:pStyle w:val="SingleTxtG"/>
        <w:spacing w:after="240"/>
        <w:ind w:left="1701" w:right="39"/>
      </w:pPr>
      <w:r w:rsidRPr="003B0037">
        <w:rPr>
          <w:b/>
          <w:u w:val="single"/>
        </w:rPr>
        <w:t>Conclusion:</w:t>
      </w:r>
      <w:r w:rsidRPr="003B0037">
        <w:t xml:space="preserve">  The working group supported the proposal from </w:t>
      </w:r>
      <w:r>
        <w:t>Spain</w:t>
      </w:r>
      <w:r w:rsidRPr="003B0037">
        <w:t xml:space="preserve"> </w:t>
      </w:r>
      <w:r w:rsidR="006176CB">
        <w:t>to amend the Spanish description for “Charges, shaped, flexible, linear”</w:t>
      </w:r>
      <w:r w:rsidR="006176CB" w:rsidRPr="003B0037">
        <w:t xml:space="preserve"> </w:t>
      </w:r>
      <w:r w:rsidRPr="003B0037">
        <w:t>and recommends approval by the Sub-Committee.  See Amendment</w:t>
      </w:r>
      <w:r>
        <w:t xml:space="preserve"> </w:t>
      </w:r>
      <w:r w:rsidR="00396450">
        <w:t>7</w:t>
      </w:r>
      <w:r w:rsidRPr="003B0037">
        <w:t xml:space="preserve"> in Annex 2.</w:t>
      </w:r>
      <w:r w:rsidR="006176CB">
        <w:t xml:space="preserve">  The </w:t>
      </w:r>
      <w:r w:rsidR="00382DF0">
        <w:t>working group did not support the proposal to amend the French wording of the same descriptor.</w:t>
      </w:r>
    </w:p>
    <w:p w14:paraId="5AD58E43" w14:textId="77777777" w:rsidR="003564A2" w:rsidRPr="009979EA" w:rsidRDefault="003564A2" w:rsidP="003564A2">
      <w:pPr>
        <w:pStyle w:val="HChG"/>
        <w:ind w:left="1138" w:right="39" w:firstLine="0"/>
      </w:pPr>
      <w:bookmarkStart w:id="10" w:name="_Hlk517977459"/>
      <w:r w:rsidRPr="009979EA">
        <w:t>Agenda Item 10(d) – Use of the Manual of Tests and Criteria in the context of the GHS</w:t>
      </w:r>
    </w:p>
    <w:p w14:paraId="4DBF7C47" w14:textId="77777777" w:rsidR="003564A2" w:rsidRPr="003B0037" w:rsidRDefault="003564A2" w:rsidP="003564A2">
      <w:pPr>
        <w:pStyle w:val="SingleTxtG"/>
        <w:numPr>
          <w:ilvl w:val="0"/>
          <w:numId w:val="4"/>
        </w:numPr>
        <w:spacing w:after="240"/>
        <w:ind w:right="39"/>
      </w:pPr>
      <w:bookmarkStart w:id="11" w:name="para20"/>
      <w:bookmarkEnd w:id="11"/>
      <w:r w:rsidRPr="003B0037">
        <w:rPr>
          <w:b/>
          <w:u w:val="single"/>
        </w:rPr>
        <w:t>Subject.</w:t>
      </w:r>
      <w:r w:rsidRPr="003B0037">
        <w:t xml:space="preserve">  Addition of GHS context into the MTC.</w:t>
      </w:r>
    </w:p>
    <w:p w14:paraId="460F84C3" w14:textId="77777777" w:rsidR="003564A2" w:rsidRPr="003B0037" w:rsidRDefault="003564A2" w:rsidP="003564A2">
      <w:pPr>
        <w:pStyle w:val="SingleTxtG"/>
        <w:spacing w:after="240"/>
        <w:ind w:left="3700" w:right="39" w:hanging="2001"/>
        <w:rPr>
          <w:i/>
        </w:rPr>
      </w:pPr>
      <w:r w:rsidRPr="003B0037">
        <w:rPr>
          <w:i/>
        </w:rPr>
        <w:t>Documents:</w:t>
      </w:r>
      <w:r w:rsidRPr="003B0037">
        <w:rPr>
          <w:i/>
        </w:rPr>
        <w:tab/>
      </w:r>
      <w:r w:rsidRPr="003B0037">
        <w:rPr>
          <w:i/>
          <w:iCs/>
        </w:rPr>
        <w:t>ST/SG/AC.10/C.3/2018/1 – ST//SG/AC.10/C.4/2018/1 (EWG Chair)</w:t>
      </w:r>
    </w:p>
    <w:p w14:paraId="5C6505EE" w14:textId="77777777" w:rsidR="003564A2" w:rsidRPr="003B0037" w:rsidRDefault="003564A2" w:rsidP="003564A2">
      <w:pPr>
        <w:pStyle w:val="SingleTxtG"/>
        <w:spacing w:after="240"/>
        <w:ind w:left="3700" w:right="39" w:hanging="2001"/>
        <w:jc w:val="left"/>
        <w:rPr>
          <w:i/>
        </w:rPr>
      </w:pPr>
      <w:r w:rsidRPr="003B0037">
        <w:rPr>
          <w:i/>
        </w:rPr>
        <w:t xml:space="preserve">Informal documents: </w:t>
      </w:r>
      <w:r w:rsidRPr="003B0037">
        <w:rPr>
          <w:i/>
        </w:rPr>
        <w:tab/>
      </w:r>
      <w:r w:rsidRPr="003B0037">
        <w:rPr>
          <w:i/>
          <w:iCs/>
        </w:rPr>
        <w:t>UN/SCETDG/53/INF.3 – UN/SCEGHS/35/INF.3 (EWG Chair)</w:t>
      </w:r>
      <w:r w:rsidRPr="003B0037">
        <w:rPr>
          <w:i/>
          <w:iCs/>
        </w:rPr>
        <w:br/>
        <w:t>UN/SCETDG/53/INF.4 – UN/SCEGHS/35/INF.4 (EWG Chair)</w:t>
      </w:r>
      <w:r w:rsidRPr="003B0037">
        <w:rPr>
          <w:i/>
          <w:iCs/>
        </w:rPr>
        <w:br/>
        <w:t>UN/SCETDG/53/INF.5 – UN/SCEGHS/35/INF.5 (EWG Chair)</w:t>
      </w:r>
    </w:p>
    <w:p w14:paraId="044F1523" w14:textId="5DDD1552" w:rsidR="009276D0" w:rsidRDefault="003564A2" w:rsidP="009276D0">
      <w:pPr>
        <w:pStyle w:val="SingleTxtG"/>
        <w:spacing w:after="240" w:line="240" w:lineRule="auto"/>
        <w:ind w:left="1701" w:right="39"/>
      </w:pPr>
      <w:r w:rsidRPr="003B0037">
        <w:rPr>
          <w:b/>
          <w:u w:val="single"/>
        </w:rPr>
        <w:t>Discussion:</w:t>
      </w:r>
      <w:r w:rsidRPr="003B0037">
        <w:t xml:space="preserve">  </w:t>
      </w:r>
      <w:r w:rsidR="009276D0">
        <w:t xml:space="preserve">In reference to 2018/1, the </w:t>
      </w:r>
      <w:r w:rsidR="00664803">
        <w:t>working group</w:t>
      </w:r>
      <w:r w:rsidR="009276D0">
        <w:t xml:space="preserve"> reviewed INF.3 in reference to 2018/1 and made some minor corrections which are shown in Annex 3 (see </w:t>
      </w:r>
      <w:r w:rsidR="009276D0">
        <w:rPr>
          <w:b/>
          <w:u w:val="single"/>
        </w:rPr>
        <w:t>Conclusion</w:t>
      </w:r>
      <w:r w:rsidR="009276D0">
        <w:t xml:space="preserve"> below).  A proposal from the USA was accepted to add a sentence to the end of Section 1.1.1 of the MTC that defines the term “classifier” as it will be used in the manual once the GHS context review is completed.  Except where inappropriate, references to “competent authority” are </w:t>
      </w:r>
      <w:r w:rsidR="003710CB">
        <w:t>to be</w:t>
      </w:r>
      <w:r w:rsidR="009276D0">
        <w:t xml:space="preserve"> replaced with the term “classifier” as part of the effort to make the test manual applicable to both transport and the GHS. </w:t>
      </w:r>
    </w:p>
    <w:p w14:paraId="0845938F" w14:textId="77777777" w:rsidR="009276D0" w:rsidRDefault="009276D0" w:rsidP="009276D0">
      <w:pPr>
        <w:pStyle w:val="SingleTxtG"/>
        <w:spacing w:after="240" w:line="240" w:lineRule="auto"/>
        <w:ind w:left="1701" w:right="39"/>
      </w:pPr>
      <w:r>
        <w:t xml:space="preserve">Additionally, the working group accepted revisions related to self-reactives, including a consequential amendment to the Model Regulations.  </w:t>
      </w:r>
    </w:p>
    <w:p w14:paraId="3AE884D5" w14:textId="2EC57830" w:rsidR="00E215BE" w:rsidRDefault="009276D0" w:rsidP="00E215BE">
      <w:pPr>
        <w:pStyle w:val="SingleTxtG"/>
        <w:spacing w:after="240" w:line="240" w:lineRule="auto"/>
        <w:ind w:left="1701" w:right="39"/>
      </w:pPr>
      <w:r>
        <w:t>The working group also completed its review of INF.4 (Sections 20 – 28) and INF.5 (Sections 30 – 38).  Minor revisions were made to both.</w:t>
      </w:r>
      <w:r w:rsidR="00E15F76">
        <w:t xml:space="preserve">  </w:t>
      </w:r>
      <w:r w:rsidR="00E215BE">
        <w:t xml:space="preserve">The </w:t>
      </w:r>
      <w:r w:rsidR="00664803">
        <w:t>working group</w:t>
      </w:r>
      <w:r w:rsidR="00E215BE">
        <w:t xml:space="preserve"> also noted that</w:t>
      </w:r>
      <w:r w:rsidR="006D48AA">
        <w:t xml:space="preserve"> the “… </w:t>
      </w:r>
      <w:r w:rsidR="006D48AA" w:rsidRPr="006D48AA">
        <w:t>cylindrical pellet of 50 g RDX/wax (95/5)</w:t>
      </w:r>
      <w:r w:rsidR="006D48AA">
        <w:t xml:space="preserve"> …” referred to in section</w:t>
      </w:r>
      <w:r w:rsidR="00E215BE">
        <w:t xml:space="preserve"> 21.4.1.2</w:t>
      </w:r>
      <w:r w:rsidR="006D48AA">
        <w:t xml:space="preserve"> is no longer available and that acceptable alternatives should be identified.</w:t>
      </w:r>
    </w:p>
    <w:p w14:paraId="0A271E97" w14:textId="7C12E1C6" w:rsidR="003564A2" w:rsidRDefault="003564A2" w:rsidP="003564A2">
      <w:pPr>
        <w:pStyle w:val="SingleTxtG"/>
        <w:spacing w:after="240"/>
        <w:ind w:left="1701" w:right="39"/>
      </w:pPr>
      <w:r w:rsidRPr="003B0037">
        <w:rPr>
          <w:b/>
          <w:u w:val="single"/>
        </w:rPr>
        <w:t>Conclusion:</w:t>
      </w:r>
      <w:r w:rsidRPr="003B0037">
        <w:t xml:space="preserve">  </w:t>
      </w:r>
      <w:r w:rsidR="001C01C2">
        <w:t xml:space="preserve">The working group </w:t>
      </w:r>
      <w:r w:rsidR="00ED66CD">
        <w:t xml:space="preserve">accepted the proposals </w:t>
      </w:r>
      <w:r w:rsidR="003710CB">
        <w:t xml:space="preserve">as presented </w:t>
      </w:r>
      <w:r w:rsidR="00ED66CD">
        <w:t xml:space="preserve">in 2018/1 and INF.3 </w:t>
      </w:r>
      <w:r w:rsidR="003710CB">
        <w:t xml:space="preserve">as amended </w:t>
      </w:r>
      <w:r w:rsidR="00ED66CD">
        <w:t xml:space="preserve">and recommends approval by the Sub-Committee.  </w:t>
      </w:r>
      <w:r w:rsidR="00044F8B">
        <w:t>See</w:t>
      </w:r>
      <w:r w:rsidR="003710CB">
        <w:t xml:space="preserve"> </w:t>
      </w:r>
      <w:r w:rsidR="00B26681">
        <w:t xml:space="preserve">Amendment </w:t>
      </w:r>
      <w:r w:rsidR="00396450">
        <w:t>8</w:t>
      </w:r>
      <w:r w:rsidR="00B26681">
        <w:t xml:space="preserve"> in Annex 2 and </w:t>
      </w:r>
      <w:r w:rsidR="003710CB" w:rsidRPr="003B0037">
        <w:t>Amendment</w:t>
      </w:r>
      <w:r w:rsidR="003710CB">
        <w:t xml:space="preserve">s </w:t>
      </w:r>
      <w:r w:rsidR="00931F74">
        <w:t>7</w:t>
      </w:r>
      <w:r w:rsidR="00044F8B">
        <w:t xml:space="preserve">, </w:t>
      </w:r>
      <w:r w:rsidR="00931F74">
        <w:t>8</w:t>
      </w:r>
      <w:r w:rsidR="00044F8B">
        <w:t xml:space="preserve">, </w:t>
      </w:r>
      <w:r w:rsidR="00931F74">
        <w:t>9</w:t>
      </w:r>
      <w:r w:rsidR="00044F8B">
        <w:t xml:space="preserve">, </w:t>
      </w:r>
      <w:r w:rsidR="000318FA">
        <w:t>1</w:t>
      </w:r>
      <w:r w:rsidR="00931F74">
        <w:t>0</w:t>
      </w:r>
      <w:r w:rsidR="00044F8B">
        <w:t xml:space="preserve">, </w:t>
      </w:r>
      <w:r w:rsidR="000318FA">
        <w:t>1</w:t>
      </w:r>
      <w:r w:rsidR="00931F74">
        <w:t>1</w:t>
      </w:r>
      <w:r w:rsidR="00044F8B">
        <w:t>,</w:t>
      </w:r>
      <w:r w:rsidR="003710CB">
        <w:t xml:space="preserve"> and </w:t>
      </w:r>
      <w:r w:rsidR="00044F8B">
        <w:t>1</w:t>
      </w:r>
      <w:r w:rsidR="00931F74">
        <w:t>2</w:t>
      </w:r>
      <w:r w:rsidR="003710CB" w:rsidRPr="003B0037">
        <w:t xml:space="preserve"> in Annex </w:t>
      </w:r>
      <w:r w:rsidR="003710CB">
        <w:t>3.</w:t>
      </w:r>
    </w:p>
    <w:p w14:paraId="10FBC447" w14:textId="4C58C98D" w:rsidR="007A7169" w:rsidRDefault="00B26681" w:rsidP="003564A2">
      <w:pPr>
        <w:pStyle w:val="SingleTxtG"/>
        <w:spacing w:after="240"/>
        <w:ind w:left="1701" w:right="39"/>
      </w:pPr>
      <w:r>
        <w:t>Regarding INF.4, for the next session, a formal document (</w:t>
      </w:r>
      <w:r w:rsidR="00184A68">
        <w:t>like</w:t>
      </w:r>
      <w:r>
        <w:t xml:space="preserve"> 2018/1) will be prepared listing all the recommended amendments.  A companion INF paper (</w:t>
      </w:r>
      <w:r w:rsidR="00184A68">
        <w:t>like</w:t>
      </w:r>
      <w:r>
        <w:t xml:space="preserve"> INF.3) will also be prepared reflecting all the changes agreed to through this session.</w:t>
      </w:r>
    </w:p>
    <w:p w14:paraId="2A1AA080" w14:textId="0649C63C" w:rsidR="00B26681" w:rsidRDefault="00B26681" w:rsidP="003564A2">
      <w:pPr>
        <w:pStyle w:val="SingleTxtG"/>
        <w:spacing w:after="240"/>
        <w:ind w:left="1701" w:right="39"/>
      </w:pPr>
      <w:r>
        <w:t xml:space="preserve">Regarding INF.5, the chair will </w:t>
      </w:r>
      <w:r w:rsidR="00822606">
        <w:t>circulate</w:t>
      </w:r>
      <w:r>
        <w:t xml:space="preserve"> a final review document prior to preparing documents for next session.  After that final review is completed, for next session, a formal document (</w:t>
      </w:r>
      <w:r w:rsidR="00184A68">
        <w:t>like</w:t>
      </w:r>
      <w:r>
        <w:t xml:space="preserve"> 2018/1) will be prepared listing all the recommended amendments.  A companion INF paper (</w:t>
      </w:r>
      <w:r w:rsidR="00184A68">
        <w:t>like</w:t>
      </w:r>
      <w:r>
        <w:t xml:space="preserve"> INF.3) will also be prepared reflecting all the changes agreed to through this session.</w:t>
      </w:r>
      <w:r w:rsidR="00601EA7">
        <w:t xml:space="preserve">  It is </w:t>
      </w:r>
      <w:r w:rsidR="00D9389E">
        <w:t>intended</w:t>
      </w:r>
      <w:r w:rsidR="00601EA7">
        <w:t xml:space="preserve"> that the determination of the SAPT is to be included in the text of Test Series H.  This will be proposed in a separate paper.</w:t>
      </w:r>
    </w:p>
    <w:bookmarkEnd w:id="10"/>
    <w:p w14:paraId="4D103DF1" w14:textId="6AD5F968" w:rsidR="00AF33E9" w:rsidRPr="009979EA" w:rsidRDefault="00AF33E9" w:rsidP="00764793">
      <w:pPr>
        <w:pStyle w:val="HChG"/>
        <w:ind w:left="1138" w:right="39" w:firstLine="0"/>
      </w:pPr>
      <w:r w:rsidRPr="009979EA">
        <w:lastRenderedPageBreak/>
        <w:t xml:space="preserve">Agenda Item </w:t>
      </w:r>
      <w:r w:rsidR="003758B0" w:rsidRPr="009979EA">
        <w:t>10</w:t>
      </w:r>
      <w:r w:rsidRPr="009979EA">
        <w:t>(</w:t>
      </w:r>
      <w:r w:rsidR="003564A2" w:rsidRPr="009979EA">
        <w:t>e</w:t>
      </w:r>
      <w:r w:rsidRPr="009979EA">
        <w:t xml:space="preserve">) – </w:t>
      </w:r>
      <w:r w:rsidR="003564A2" w:rsidRPr="009979EA">
        <w:t>Joint work with the GHS Sub-Committee</w:t>
      </w:r>
    </w:p>
    <w:p w14:paraId="2E546936" w14:textId="5746995A" w:rsidR="004A072E" w:rsidRPr="003B0037" w:rsidRDefault="004A072E" w:rsidP="004A072E">
      <w:pPr>
        <w:pStyle w:val="SingleTxtG"/>
        <w:numPr>
          <w:ilvl w:val="0"/>
          <w:numId w:val="4"/>
        </w:numPr>
        <w:spacing w:after="240"/>
        <w:ind w:right="39"/>
      </w:pPr>
      <w:r w:rsidRPr="003B0037">
        <w:rPr>
          <w:b/>
          <w:u w:val="single"/>
        </w:rPr>
        <w:t>Subject.</w:t>
      </w:r>
      <w:r w:rsidRPr="003B0037">
        <w:t xml:space="preserve">  </w:t>
      </w:r>
      <w:r w:rsidR="00FB1941">
        <w:t>Review of GHS Chapter 2.1</w:t>
      </w:r>
      <w:r w:rsidRPr="003B0037">
        <w:t>.</w:t>
      </w:r>
    </w:p>
    <w:p w14:paraId="77550CB6" w14:textId="77777777" w:rsidR="004A072E" w:rsidRPr="003B0037" w:rsidRDefault="004A072E" w:rsidP="004A072E">
      <w:pPr>
        <w:pStyle w:val="SingleTxtG"/>
        <w:spacing w:after="240"/>
        <w:ind w:left="3700" w:right="39" w:hanging="2001"/>
        <w:rPr>
          <w:i/>
        </w:rPr>
      </w:pPr>
      <w:r w:rsidRPr="003B0037">
        <w:rPr>
          <w:i/>
        </w:rPr>
        <w:t>Documents:</w:t>
      </w:r>
      <w:r w:rsidRPr="003B0037">
        <w:rPr>
          <w:i/>
        </w:rPr>
        <w:tab/>
      </w:r>
      <w:r w:rsidRPr="003B0037">
        <w:rPr>
          <w:i/>
          <w:iCs/>
        </w:rPr>
        <w:t>ST/SG/AC.10/C.3/2018/33 – ST//SG/AC.10/C.4/2018/7 (Sweden)</w:t>
      </w:r>
    </w:p>
    <w:p w14:paraId="64BFB874" w14:textId="2A141CAC" w:rsidR="00B91128" w:rsidRPr="003B0037" w:rsidRDefault="004A072E" w:rsidP="00B91128">
      <w:pPr>
        <w:pStyle w:val="SingleTxtG"/>
        <w:spacing w:after="240"/>
        <w:ind w:left="3700" w:right="39" w:hanging="2001"/>
        <w:jc w:val="left"/>
        <w:rPr>
          <w:i/>
        </w:rPr>
      </w:pPr>
      <w:r w:rsidRPr="003B0037">
        <w:rPr>
          <w:i/>
        </w:rPr>
        <w:t xml:space="preserve">Informal documents: </w:t>
      </w:r>
      <w:r w:rsidRPr="003B0037">
        <w:rPr>
          <w:i/>
        </w:rPr>
        <w:tab/>
      </w:r>
      <w:r w:rsidR="0091240B" w:rsidRPr="0091240B">
        <w:rPr>
          <w:i/>
        </w:rPr>
        <w:t>UN/SCEGHS/53/INF.9 – UN/SCETDG/35/INF.10 (Sweden)</w:t>
      </w:r>
      <w:r w:rsidR="0091240B">
        <w:rPr>
          <w:i/>
        </w:rPr>
        <w:br/>
      </w:r>
      <w:r w:rsidR="0091240B" w:rsidRPr="0091240B">
        <w:rPr>
          <w:i/>
        </w:rPr>
        <w:t>UN/SCEGHS/53/INF.33 – UN/SCETDG/35/INF.15 (USA, IME, SAAMI)</w:t>
      </w:r>
      <w:r w:rsidR="00B91128" w:rsidRPr="00B91128">
        <w:rPr>
          <w:i/>
        </w:rPr>
        <w:t xml:space="preserve"> </w:t>
      </w:r>
      <w:r w:rsidR="00B91128">
        <w:rPr>
          <w:i/>
        </w:rPr>
        <w:br/>
      </w:r>
      <w:r w:rsidR="00B91128" w:rsidRPr="00697D32">
        <w:rPr>
          <w:i/>
        </w:rPr>
        <w:t>UN/SCETDG/53/INF.46 - UN/SCEGHS/35/INF.16 - (Sweden)</w:t>
      </w:r>
    </w:p>
    <w:p w14:paraId="63C0C9F3" w14:textId="1DDB11EC" w:rsidR="004A072E" w:rsidRDefault="009744B1" w:rsidP="004A072E">
      <w:pPr>
        <w:pStyle w:val="SingleTxtG"/>
        <w:spacing w:after="240"/>
        <w:ind w:left="1701" w:right="39"/>
      </w:pPr>
      <w:r>
        <w:rPr>
          <w:b/>
          <w:u w:val="single"/>
        </w:rPr>
        <w:t>Introduction</w:t>
      </w:r>
      <w:r w:rsidR="004A072E" w:rsidRPr="003B0037">
        <w:rPr>
          <w:b/>
          <w:u w:val="single"/>
        </w:rPr>
        <w:t>:</w:t>
      </w:r>
      <w:r w:rsidR="004A072E" w:rsidRPr="003B0037">
        <w:t xml:space="preserve">  </w:t>
      </w:r>
      <w:r w:rsidR="004A146E">
        <w:t>This was a joint meeting of the EWG and the GHS Chapter 2.1 Informal Correspondence Group (ICG)</w:t>
      </w:r>
      <w:r w:rsidR="004A146E">
        <w:rPr>
          <w:rStyle w:val="FootnoteReference"/>
        </w:rPr>
        <w:footnoteReference w:id="4"/>
      </w:r>
      <w:r w:rsidR="004A072E" w:rsidRPr="003B0037">
        <w:t>.</w:t>
      </w:r>
      <w:r w:rsidR="004A146E">
        <w:t xml:space="preserve">  The meeting was chaired by Mr. de Jong (EWG chair) and the discussion was led by Mr. Van Dam (ICG chair).  The primary purpose of the meeting was to review and refine technical aspects of the Ch. 2.1 review, primarily criteria for proposed GHS categories.</w:t>
      </w:r>
    </w:p>
    <w:p w14:paraId="2C5249E8" w14:textId="605DD1E1" w:rsidR="004A146E" w:rsidRDefault="004A146E" w:rsidP="004A072E">
      <w:pPr>
        <w:pStyle w:val="SingleTxtG"/>
        <w:spacing w:after="240"/>
        <w:ind w:left="1701" w:right="39"/>
      </w:pPr>
      <w:r>
        <w:t>As an introduction of the papers from Sweden, the ICG chair provided a slide presentation that reviewed:</w:t>
      </w:r>
    </w:p>
    <w:p w14:paraId="0D9F6E19" w14:textId="484C990C" w:rsidR="004A146E" w:rsidRDefault="004A146E" w:rsidP="005C593C">
      <w:pPr>
        <w:pStyle w:val="SingleTxtG"/>
        <w:numPr>
          <w:ilvl w:val="0"/>
          <w:numId w:val="21"/>
        </w:numPr>
        <w:spacing w:after="240"/>
        <w:ind w:left="2419" w:right="43"/>
        <w:contextualSpacing/>
      </w:pPr>
      <w:r>
        <w:t>the purpose of the Ch. 2.1 review,</w:t>
      </w:r>
    </w:p>
    <w:p w14:paraId="3D984B0B" w14:textId="1EFA07BB" w:rsidR="004A146E" w:rsidRDefault="004A146E" w:rsidP="005C593C">
      <w:pPr>
        <w:pStyle w:val="SingleTxtG"/>
        <w:numPr>
          <w:ilvl w:val="0"/>
          <w:numId w:val="21"/>
        </w:numPr>
        <w:spacing w:after="240"/>
        <w:ind w:left="2419" w:right="43"/>
        <w:contextualSpacing/>
      </w:pPr>
      <w:r>
        <w:t>the status of the work,</w:t>
      </w:r>
    </w:p>
    <w:p w14:paraId="4B5F0731" w14:textId="32A70988" w:rsidR="004A146E" w:rsidRDefault="004A146E" w:rsidP="005C593C">
      <w:pPr>
        <w:pStyle w:val="SingleTxtG"/>
        <w:numPr>
          <w:ilvl w:val="0"/>
          <w:numId w:val="21"/>
        </w:numPr>
        <w:spacing w:after="240"/>
        <w:ind w:left="2419" w:right="43"/>
        <w:contextualSpacing/>
      </w:pPr>
      <w:r>
        <w:t>the need for refinement of classification criteria,</w:t>
      </w:r>
    </w:p>
    <w:p w14:paraId="4D256738" w14:textId="0FF7AFC4" w:rsidR="004A146E" w:rsidRDefault="004A146E" w:rsidP="005C593C">
      <w:pPr>
        <w:pStyle w:val="SingleTxtG"/>
        <w:numPr>
          <w:ilvl w:val="0"/>
          <w:numId w:val="21"/>
        </w:numPr>
        <w:spacing w:after="240"/>
        <w:ind w:left="2419" w:right="43"/>
        <w:contextualSpacing/>
      </w:pPr>
      <w:r>
        <w:t>outstanding issues, and</w:t>
      </w:r>
    </w:p>
    <w:p w14:paraId="2C1EBB8F" w14:textId="6556A6CE" w:rsidR="004A146E" w:rsidRDefault="004A146E" w:rsidP="005C593C">
      <w:pPr>
        <w:pStyle w:val="SingleTxtG"/>
        <w:numPr>
          <w:ilvl w:val="0"/>
          <w:numId w:val="21"/>
        </w:numPr>
        <w:spacing w:after="240"/>
        <w:ind w:right="39"/>
      </w:pPr>
      <w:r>
        <w:t>next steps</w:t>
      </w:r>
    </w:p>
    <w:p w14:paraId="20E416CA" w14:textId="751042EC" w:rsidR="00F41C61" w:rsidRDefault="004A146E" w:rsidP="004A146E">
      <w:pPr>
        <w:pStyle w:val="SingleTxtG"/>
        <w:spacing w:after="240"/>
        <w:ind w:left="1701" w:right="39"/>
      </w:pPr>
      <w:r>
        <w:t>The USA introduced 53/INF.33</w:t>
      </w:r>
      <w:r w:rsidR="007F6B9F" w:rsidRPr="007F6B9F">
        <w:t xml:space="preserve"> </w:t>
      </w:r>
      <w:r w:rsidR="007F6B9F">
        <w:t>(</w:t>
      </w:r>
      <w:r>
        <w:t>35/INF</w:t>
      </w:r>
      <w:r w:rsidR="00507399">
        <w:t>.</w:t>
      </w:r>
      <w:r>
        <w:t>15</w:t>
      </w:r>
      <w:r w:rsidR="007F6B9F">
        <w:t>)</w:t>
      </w:r>
      <w:r>
        <w:t xml:space="preserve"> and discussed that the proposals therein</w:t>
      </w:r>
      <w:r w:rsidR="00F41C61">
        <w:t>:</w:t>
      </w:r>
    </w:p>
    <w:p w14:paraId="3F4D12B1" w14:textId="4A75FC51" w:rsidR="00F41C61" w:rsidRDefault="00F41C61" w:rsidP="005C593C">
      <w:pPr>
        <w:pStyle w:val="SingleTxtG"/>
        <w:numPr>
          <w:ilvl w:val="0"/>
          <w:numId w:val="22"/>
        </w:numPr>
        <w:spacing w:after="240"/>
        <w:ind w:left="2477" w:right="43"/>
        <w:contextualSpacing/>
      </w:pPr>
      <w:r>
        <w:t xml:space="preserve">are the result of a collaborative effort of </w:t>
      </w:r>
      <w:r w:rsidR="007C5A66">
        <w:t xml:space="preserve">four </w:t>
      </w:r>
      <w:r>
        <w:t>U.S. Government agencies (OSHA, PHMSA, ATF, and DOD) and two industry associations (IME and SAAMI) representing a large number of US explosives manufacturers;</w:t>
      </w:r>
    </w:p>
    <w:p w14:paraId="39CBAD53" w14:textId="77777777" w:rsidR="00F41C61" w:rsidRDefault="00F41C61" w:rsidP="005C593C">
      <w:pPr>
        <w:pStyle w:val="SingleTxtG"/>
        <w:numPr>
          <w:ilvl w:val="0"/>
          <w:numId w:val="22"/>
        </w:numPr>
        <w:spacing w:after="240"/>
        <w:ind w:left="2477" w:right="43"/>
        <w:contextualSpacing/>
      </w:pPr>
      <w:r>
        <w:t>considers packaged hazards, immediate package hazards, and hazards from those explosives that have not yet been fully characterized; and</w:t>
      </w:r>
    </w:p>
    <w:p w14:paraId="484A1F40" w14:textId="56FF5C13" w:rsidR="004A146E" w:rsidRDefault="00F41C61" w:rsidP="005C593C">
      <w:pPr>
        <w:pStyle w:val="SingleTxtG"/>
        <w:numPr>
          <w:ilvl w:val="0"/>
          <w:numId w:val="22"/>
        </w:numPr>
        <w:spacing w:after="240"/>
        <w:ind w:right="39"/>
      </w:pPr>
      <w:r>
        <w:t>addresses c</w:t>
      </w:r>
      <w:r w:rsidRPr="00F41C61">
        <w:t>oncern</w:t>
      </w:r>
      <w:r>
        <w:t>s</w:t>
      </w:r>
      <w:r w:rsidRPr="00F41C61">
        <w:t xml:space="preserve"> about </w:t>
      </w:r>
      <w:r>
        <w:t>inappropriately applying</w:t>
      </w:r>
      <w:r w:rsidRPr="00F41C61">
        <w:t xml:space="preserve"> transport classification</w:t>
      </w:r>
      <w:r>
        <w:t>s</w:t>
      </w:r>
      <w:r w:rsidRPr="00F41C61">
        <w:t xml:space="preserve"> to products </w:t>
      </w:r>
      <w:r>
        <w:t xml:space="preserve">that have been </w:t>
      </w:r>
      <w:r w:rsidRPr="00F41C61">
        <w:t xml:space="preserve">removed from their transport packaging and the impact </w:t>
      </w:r>
      <w:r>
        <w:t xml:space="preserve">that may result from </w:t>
      </w:r>
      <w:r w:rsidRPr="00F41C61">
        <w:t>under</w:t>
      </w:r>
      <w:r>
        <w:t>-</w:t>
      </w:r>
      <w:r w:rsidRPr="00F41C61">
        <w:t>representing the actual hazard.</w:t>
      </w:r>
    </w:p>
    <w:p w14:paraId="1D7C39B8" w14:textId="2B5D9B79" w:rsidR="009744B1" w:rsidRDefault="009744B1" w:rsidP="005B1C88">
      <w:pPr>
        <w:pStyle w:val="SingleTxtG"/>
        <w:spacing w:after="240"/>
        <w:ind w:left="1701" w:right="39"/>
      </w:pPr>
      <w:r>
        <w:t>USA further reminded the joint session that t</w:t>
      </w:r>
      <w:r w:rsidRPr="009744B1">
        <w:t xml:space="preserve">he UN TDG </w:t>
      </w:r>
      <w:r w:rsidR="00924DF7">
        <w:t>Sub-Committee</w:t>
      </w:r>
      <w:r w:rsidRPr="009744B1">
        <w:t xml:space="preserve"> chair remitted this paper to the </w:t>
      </w:r>
      <w:r w:rsidR="00664803">
        <w:t>working group</w:t>
      </w:r>
      <w:r w:rsidRPr="009744B1">
        <w:t xml:space="preserve"> with instructions to focus on the classification and criteria portion of the GHS 2.1 revision mandate</w:t>
      </w:r>
      <w:r>
        <w:t xml:space="preserve"> and that those discussion be reflected in this report</w:t>
      </w:r>
      <w:r w:rsidRPr="009744B1">
        <w:t xml:space="preserve">.  Once the hazard criteria </w:t>
      </w:r>
      <w:r w:rsidR="00184A68" w:rsidRPr="009744B1">
        <w:t>are</w:t>
      </w:r>
      <w:r w:rsidRPr="009744B1">
        <w:t xml:space="preserve"> finalized, the GHS </w:t>
      </w:r>
      <w:r w:rsidR="00924DF7">
        <w:t>Sub-Committee</w:t>
      </w:r>
      <w:r w:rsidRPr="009744B1">
        <w:t xml:space="preserve"> and </w:t>
      </w:r>
      <w:r w:rsidR="00924DF7">
        <w:t xml:space="preserve">the </w:t>
      </w:r>
      <w:r w:rsidRPr="009744B1">
        <w:t xml:space="preserve">ICG </w:t>
      </w:r>
      <w:r w:rsidR="00FF68C8">
        <w:t>may</w:t>
      </w:r>
      <w:r w:rsidR="00FF68C8" w:rsidRPr="009744B1">
        <w:t xml:space="preserve"> </w:t>
      </w:r>
      <w:r w:rsidRPr="009744B1">
        <w:t xml:space="preserve">consider assignment of appropriate </w:t>
      </w:r>
      <w:r w:rsidR="00924DF7">
        <w:t>hazard communication</w:t>
      </w:r>
      <w:r w:rsidRPr="009744B1">
        <w:t xml:space="preserve"> label elements.</w:t>
      </w:r>
    </w:p>
    <w:p w14:paraId="0EECF6A0" w14:textId="5B2F0AB2" w:rsidR="005B1C88" w:rsidRDefault="002E0E4C" w:rsidP="005B1C88">
      <w:pPr>
        <w:pStyle w:val="SingleTxtG"/>
        <w:spacing w:after="240"/>
        <w:ind w:left="1701" w:right="39"/>
      </w:pPr>
      <w:r>
        <w:rPr>
          <w:b/>
          <w:u w:val="single"/>
        </w:rPr>
        <w:t>Philosophical differences</w:t>
      </w:r>
      <w:r w:rsidR="005B1C88">
        <w:rPr>
          <w:b/>
          <w:u w:val="single"/>
        </w:rPr>
        <w:t>:</w:t>
      </w:r>
      <w:r w:rsidR="007F6B9F">
        <w:t xml:space="preserve">  The joint session first considered the philosophical differences between the classification approaches contained in </w:t>
      </w:r>
      <w:r w:rsidR="007F6B9F" w:rsidRPr="007F6B9F">
        <w:t>C.3/2018/33</w:t>
      </w:r>
      <w:r w:rsidR="007F6B9F">
        <w:t xml:space="preserve"> (</w:t>
      </w:r>
      <w:r w:rsidR="007F6B9F" w:rsidRPr="007F6B9F">
        <w:t>C.4/2018/7</w:t>
      </w:r>
      <w:r w:rsidR="007F6B9F">
        <w:t>) and in 53/INF.33</w:t>
      </w:r>
      <w:r w:rsidR="007F6B9F" w:rsidRPr="007F6B9F">
        <w:t xml:space="preserve"> </w:t>
      </w:r>
      <w:r w:rsidR="007F6B9F">
        <w:t xml:space="preserve">(35/INF15).  The joint session discussed at length the </w:t>
      </w:r>
      <w:r w:rsidR="00D17D9D">
        <w:t xml:space="preserve">differences in the tables </w:t>
      </w:r>
      <w:r w:rsidR="007F6B9F">
        <w:t>coming from the Swedish paper and that of the USA/IME/SAAMI</w:t>
      </w:r>
      <w:r w:rsidR="00D17D9D">
        <w:t>, realizing that they are not that far apart</w:t>
      </w:r>
      <w:r w:rsidR="007F6B9F">
        <w:t>.  Issues considered by the joint session were:</w:t>
      </w:r>
    </w:p>
    <w:p w14:paraId="487E8E53" w14:textId="7D0B7B38" w:rsidR="007F6B9F" w:rsidRDefault="0095757D" w:rsidP="005C593C">
      <w:pPr>
        <w:pStyle w:val="SingleTxtG"/>
        <w:numPr>
          <w:ilvl w:val="0"/>
          <w:numId w:val="23"/>
        </w:numPr>
        <w:spacing w:after="240"/>
        <w:ind w:left="2419" w:right="43"/>
        <w:contextualSpacing/>
      </w:pPr>
      <w:r>
        <w:t xml:space="preserve">for </w:t>
      </w:r>
      <w:r w:rsidR="00102941">
        <w:t xml:space="preserve">which </w:t>
      </w:r>
      <w:r w:rsidR="007F6B9F">
        <w:t xml:space="preserve">sectors </w:t>
      </w:r>
      <w:r>
        <w:t>the sub-category level of classification is useful</w:t>
      </w:r>
      <w:r w:rsidR="006A11BE">
        <w:t>,</w:t>
      </w:r>
    </w:p>
    <w:p w14:paraId="7B5EE51E" w14:textId="0DF6D2E0" w:rsidR="007F6B9F" w:rsidRDefault="006A11BE" w:rsidP="005C593C">
      <w:pPr>
        <w:pStyle w:val="SingleTxtG"/>
        <w:numPr>
          <w:ilvl w:val="0"/>
          <w:numId w:val="23"/>
        </w:numPr>
        <w:spacing w:after="240"/>
        <w:ind w:left="2419" w:right="43"/>
        <w:contextualSpacing/>
      </w:pPr>
      <w:r>
        <w:t>should transport packaging be a criterion for classification within the proposed GHS sub-categories, and</w:t>
      </w:r>
    </w:p>
    <w:p w14:paraId="5396290D" w14:textId="13CB420A" w:rsidR="006A11BE" w:rsidRDefault="006A11BE" w:rsidP="005C593C">
      <w:pPr>
        <w:pStyle w:val="SingleTxtG"/>
        <w:numPr>
          <w:ilvl w:val="0"/>
          <w:numId w:val="23"/>
        </w:numPr>
        <w:spacing w:after="240"/>
        <w:ind w:right="39"/>
      </w:pPr>
      <w:r>
        <w:lastRenderedPageBreak/>
        <w:t>what is the appropriate relationship and hierarchy between transport divisions and proposed GHS sub-categories?</w:t>
      </w:r>
    </w:p>
    <w:p w14:paraId="732776E5" w14:textId="47DFFA89" w:rsidR="00A90EE5" w:rsidRDefault="00D1173F" w:rsidP="00EE195A">
      <w:pPr>
        <w:pStyle w:val="SingleTxtG"/>
        <w:spacing w:after="240"/>
        <w:ind w:left="1701" w:right="39"/>
      </w:pPr>
      <w:r w:rsidRPr="00D1173F">
        <w:t>For some time, the joint session had difficulties reconciling transport factors versus those of other sectors (such as storage, supply, use, manufacturing, and processing), in particular relating to Division 1.4. It was proposed by some to clarify this by separating the classification table into two separate tables, while others thought a single table would be better. A draft proposal for a split but still combined table from the USA was shown as a thought starter.  With joint efforts</w:t>
      </w:r>
      <w:r w:rsidR="005F01ED">
        <w:t>,</w:t>
      </w:r>
      <w:r w:rsidRPr="00D1173F">
        <w:t xml:space="preserve"> a common understanding was eventually reached </w:t>
      </w:r>
      <w:r w:rsidR="005F01ED" w:rsidRPr="00D1173F">
        <w:t>about</w:t>
      </w:r>
      <w:r w:rsidRPr="00D1173F">
        <w:t xml:space="preserve"> the relation between the Division and Sub-</w:t>
      </w:r>
      <w:r w:rsidR="005F01ED">
        <w:t>c</w:t>
      </w:r>
      <w:r w:rsidRPr="00D1173F">
        <w:t>ategory levels of classification. It was understood that the Divisions would be the relevant level of classification for Explosives in the transport packaging/configuration (including e.g. storage in that packaging/configuration), and the Sub</w:t>
      </w:r>
      <w:r w:rsidR="005F01ED">
        <w:t>-c</w:t>
      </w:r>
      <w:r w:rsidRPr="00D1173F">
        <w:t>ategory level would be the relevant level of classification for supply and use and similar situations.</w:t>
      </w:r>
      <w:r w:rsidR="00A90EE5" w:rsidRPr="002E0E4C">
        <w:rPr>
          <w:sz w:val="18"/>
        </w:rPr>
        <w:t xml:space="preserve"> </w:t>
      </w:r>
    </w:p>
    <w:p w14:paraId="544E6243" w14:textId="6DAA5DE3" w:rsidR="002C4B2F" w:rsidRPr="00D9389E" w:rsidRDefault="002C4B2F" w:rsidP="00A90EE5">
      <w:pPr>
        <w:pStyle w:val="SingleTxtG"/>
        <w:spacing w:after="240"/>
        <w:ind w:left="1701" w:right="39"/>
      </w:pPr>
      <w:r w:rsidRPr="00D9389E">
        <w:t>Furthermore</w:t>
      </w:r>
      <w:r w:rsidR="005F01ED">
        <w:t>,</w:t>
      </w:r>
      <w:r w:rsidRPr="00D9389E">
        <w:t xml:space="preserve"> it was clarified that Category 1 will comprise </w:t>
      </w:r>
      <w:r w:rsidR="005F01ED">
        <w:t>e</w:t>
      </w:r>
      <w:r w:rsidRPr="00D9389E">
        <w:t xml:space="preserve">xplosives ranging from a low to a very high hazard, and would be the category assigned to </w:t>
      </w:r>
      <w:r w:rsidR="005F01ED">
        <w:t>e</w:t>
      </w:r>
      <w:r w:rsidRPr="00D9389E">
        <w:t xml:space="preserve">xplosives to which a Division cannot be assigned, e.g. in manufacturing, processing and similar situations. </w:t>
      </w:r>
    </w:p>
    <w:p w14:paraId="317021CD" w14:textId="3BE0BCA9" w:rsidR="00A90EE5" w:rsidRPr="007F6B9F" w:rsidRDefault="002E0E4C" w:rsidP="00A90EE5">
      <w:pPr>
        <w:pStyle w:val="SingleTxtG"/>
        <w:spacing w:after="240"/>
        <w:ind w:left="1701" w:right="39"/>
      </w:pPr>
      <w:r>
        <w:t>With the review and acceptance of this concept</w:t>
      </w:r>
      <w:r w:rsidR="00F35876">
        <w:t>, the observation was made that</w:t>
      </w:r>
      <w:r>
        <w:t xml:space="preserve"> all philosophical differences</w:t>
      </w:r>
      <w:r w:rsidR="001B6DE7">
        <w:t xml:space="preserve"> related to this review</w:t>
      </w:r>
      <w:r>
        <w:t xml:space="preserve"> have been resolved.</w:t>
      </w:r>
    </w:p>
    <w:p w14:paraId="5728D343" w14:textId="3F90B80C" w:rsidR="00AD3965" w:rsidRDefault="00AD3965" w:rsidP="004A072E">
      <w:pPr>
        <w:pStyle w:val="SingleTxtG"/>
        <w:spacing w:after="240"/>
        <w:ind w:left="1701" w:right="39"/>
      </w:pPr>
      <w:r>
        <w:rPr>
          <w:b/>
          <w:u w:val="single"/>
        </w:rPr>
        <w:t>Criteria for Sub-categories:</w:t>
      </w:r>
      <w:r>
        <w:t xml:space="preserve">  The joint session next reviewed a summary of criteria for acceptance into proposed sub-categor</w:t>
      </w:r>
      <w:r w:rsidR="00EE195A">
        <w:t>ies</w:t>
      </w:r>
      <w:r>
        <w:t xml:space="preserve"> </w:t>
      </w:r>
      <w:r w:rsidR="00AD1619">
        <w:t xml:space="preserve">2A, </w:t>
      </w:r>
      <w:r>
        <w:t>2B</w:t>
      </w:r>
      <w:r w:rsidR="00AD1619">
        <w:t>,</w:t>
      </w:r>
      <w:r>
        <w:t xml:space="preserve"> and 2C and unanimously agreed to the following.</w:t>
      </w:r>
    </w:p>
    <w:p w14:paraId="67F4622E" w14:textId="0A7C967B" w:rsidR="00AD1619" w:rsidRDefault="00AD1619" w:rsidP="004A072E">
      <w:pPr>
        <w:pStyle w:val="SingleTxtG"/>
        <w:spacing w:after="240"/>
        <w:ind w:left="1701" w:right="39"/>
      </w:pPr>
      <w:r>
        <w:t>For category 2A (high hazard):  Not Category 2B or 2C</w:t>
      </w:r>
    </w:p>
    <w:p w14:paraId="7CA573C8" w14:textId="77E6AFD4" w:rsidR="00AD3965" w:rsidRDefault="00AD3965" w:rsidP="004A072E">
      <w:pPr>
        <w:pStyle w:val="SingleTxtG"/>
        <w:spacing w:after="240"/>
        <w:ind w:left="1701" w:right="39"/>
      </w:pPr>
      <w:r>
        <w:t>For category 2B (</w:t>
      </w:r>
      <w:r w:rsidR="00EE195A">
        <w:t>m</w:t>
      </w:r>
      <w:r>
        <w:t>edium hazard)</w:t>
      </w:r>
      <w:r w:rsidR="008423EE">
        <w:rPr>
          <w:rStyle w:val="FootnoteReference"/>
        </w:rPr>
        <w:footnoteReference w:id="5"/>
      </w:r>
      <w:r>
        <w:t>:</w:t>
      </w:r>
    </w:p>
    <w:p w14:paraId="5A0CA72A" w14:textId="77777777" w:rsidR="008423EE" w:rsidRDefault="008423EE" w:rsidP="005C593C">
      <w:pPr>
        <w:pStyle w:val="SingleTxtG"/>
        <w:numPr>
          <w:ilvl w:val="0"/>
          <w:numId w:val="24"/>
        </w:numPr>
        <w:spacing w:after="240"/>
        <w:ind w:left="2419" w:right="43"/>
        <w:contextualSpacing/>
      </w:pPr>
      <w:r>
        <w:t>Applies to only Division 1.4 other than S.</w:t>
      </w:r>
    </w:p>
    <w:p w14:paraId="6AD293BD" w14:textId="221FB4EF" w:rsidR="008423EE" w:rsidRDefault="008423EE" w:rsidP="005C593C">
      <w:pPr>
        <w:pStyle w:val="SingleTxtG"/>
        <w:numPr>
          <w:ilvl w:val="0"/>
          <w:numId w:val="24"/>
        </w:numPr>
        <w:spacing w:after="240"/>
        <w:ind w:left="2419" w:right="43"/>
        <w:contextualSpacing/>
      </w:pPr>
      <w:r>
        <w:t>Packaging</w:t>
      </w:r>
      <w:r w:rsidR="004B6000">
        <w:t>,</w:t>
      </w:r>
      <w:r>
        <w:t xml:space="preserve"> </w:t>
      </w:r>
      <w:r w:rsidR="004B6000">
        <w:t xml:space="preserve">other than the immediate container, </w:t>
      </w:r>
      <w:r>
        <w:t xml:space="preserve">doesn’t </w:t>
      </w:r>
      <w:r w:rsidR="004B6000">
        <w:t xml:space="preserve">substantially </w:t>
      </w:r>
      <w:r>
        <w:t xml:space="preserve">mitigate </w:t>
      </w:r>
      <w:r w:rsidR="00C845BE">
        <w:t xml:space="preserve">the </w:t>
      </w:r>
      <w:r>
        <w:t>hazard.  The exact wording of this is yet to be worked out.</w:t>
      </w:r>
    </w:p>
    <w:p w14:paraId="7EA2D22B" w14:textId="3D84B9EA" w:rsidR="008423EE" w:rsidRDefault="008423EE" w:rsidP="005C593C">
      <w:pPr>
        <w:pStyle w:val="SingleTxtG"/>
        <w:numPr>
          <w:ilvl w:val="0"/>
          <w:numId w:val="24"/>
        </w:numPr>
        <w:spacing w:after="240"/>
        <w:ind w:left="2419" w:right="43"/>
        <w:contextualSpacing/>
      </w:pPr>
      <w:r>
        <w:t xml:space="preserve">No violent reaction in 6(a) (or 6(d) if performed) and 6(b) test (if performed).  It should be noted that in some cases the 6(d) test is performed in lieu of the 6(a) test </w:t>
      </w:r>
      <w:r w:rsidR="00184A68">
        <w:t>and</w:t>
      </w:r>
      <w:r>
        <w:t xml:space="preserve"> that, in some cases, the 6(b) test is waived depending on the 6(a) test results.  The exact meaning of “no violent reaction” is still being worked out by the </w:t>
      </w:r>
      <w:r w:rsidR="00664803">
        <w:t>working group</w:t>
      </w:r>
      <w:r>
        <w:t xml:space="preserve">; however, it is anticipated that they will </w:t>
      </w:r>
      <w:r w:rsidR="00FA5C04">
        <w:t xml:space="preserve">make use of </w:t>
      </w:r>
      <w:r>
        <w:t xml:space="preserve">the criteria </w:t>
      </w:r>
      <w:r w:rsidR="00FA5C04">
        <w:t xml:space="preserve">as present in </w:t>
      </w:r>
      <w:r>
        <w:t>the cited tests.</w:t>
      </w:r>
    </w:p>
    <w:p w14:paraId="25066AE2" w14:textId="6F58DAB9" w:rsidR="00A17D48" w:rsidRDefault="00A17D48" w:rsidP="005C593C">
      <w:pPr>
        <w:pStyle w:val="SingleTxtG"/>
        <w:numPr>
          <w:ilvl w:val="0"/>
          <w:numId w:val="24"/>
        </w:numPr>
        <w:spacing w:after="240"/>
        <w:ind w:right="39"/>
      </w:pPr>
      <w:r>
        <w:t>Some consideration may also be required to categorize very small amounts of materials that have not yet been characterized.  This possibility is still being evaluated and may the subject of a future proposal.</w:t>
      </w:r>
    </w:p>
    <w:p w14:paraId="5A726994" w14:textId="7739B274" w:rsidR="00A17D48" w:rsidRDefault="00A17D48" w:rsidP="00A17D48">
      <w:pPr>
        <w:pStyle w:val="SingleTxtG"/>
        <w:spacing w:after="240"/>
        <w:ind w:left="1701" w:right="39"/>
      </w:pPr>
      <w:r>
        <w:t>For category 2C (</w:t>
      </w:r>
      <w:r w:rsidR="00EE195A">
        <w:t>l</w:t>
      </w:r>
      <w:r>
        <w:t>ow hazard)</w:t>
      </w:r>
      <w:r>
        <w:rPr>
          <w:rStyle w:val="FootnoteReference"/>
        </w:rPr>
        <w:footnoteReference w:id="6"/>
      </w:r>
      <w:r>
        <w:t>:</w:t>
      </w:r>
    </w:p>
    <w:p w14:paraId="72493F69" w14:textId="79809ABE" w:rsidR="00A17D48" w:rsidRDefault="00A17D48" w:rsidP="005C593C">
      <w:pPr>
        <w:pStyle w:val="SingleTxtG"/>
        <w:numPr>
          <w:ilvl w:val="0"/>
          <w:numId w:val="24"/>
        </w:numPr>
        <w:spacing w:after="240"/>
        <w:ind w:left="2419" w:right="43"/>
        <w:contextualSpacing/>
      </w:pPr>
      <w:r>
        <w:t>Applies to only Division 1.4S.</w:t>
      </w:r>
    </w:p>
    <w:p w14:paraId="7F128784" w14:textId="27DD0B8B" w:rsidR="00A17D48" w:rsidRDefault="00C845BE" w:rsidP="005C593C">
      <w:pPr>
        <w:pStyle w:val="SingleTxtG"/>
        <w:numPr>
          <w:ilvl w:val="0"/>
          <w:numId w:val="24"/>
        </w:numPr>
        <w:spacing w:after="240"/>
        <w:ind w:left="2419" w:right="43"/>
        <w:contextualSpacing/>
      </w:pPr>
      <w:r>
        <w:t>Packaging, other than the immediate container, doesn’t substantially mitigate the hazard.</w:t>
      </w:r>
      <w:r w:rsidR="00A17D48">
        <w:t>.  The exact wording of this is yet to be worked out.</w:t>
      </w:r>
    </w:p>
    <w:p w14:paraId="04E5D435" w14:textId="2652AAE3" w:rsidR="00A17D48" w:rsidRPr="00AD3965" w:rsidRDefault="00A17D48" w:rsidP="005C593C">
      <w:pPr>
        <w:pStyle w:val="SingleTxtG"/>
        <w:numPr>
          <w:ilvl w:val="0"/>
          <w:numId w:val="24"/>
        </w:numPr>
        <w:spacing w:after="240"/>
        <w:ind w:left="2419" w:right="43"/>
        <w:contextualSpacing/>
      </w:pPr>
      <w:r>
        <w:t xml:space="preserve">No violent reaction in 6(a) (or 6(d) if performed) and 6(b) test (if performed).  It should be noted that in some cases the 6(d) test is performed in lieu of the 6(a) test </w:t>
      </w:r>
      <w:r w:rsidR="00184A68">
        <w:t>and</w:t>
      </w:r>
      <w:r>
        <w:t xml:space="preserve"> that, in some cases, the 6(b) test is waived depending on the 6(a) test results.  The exact meaning of “no violent reaction” is still being worked out by the </w:t>
      </w:r>
      <w:r w:rsidR="00664803">
        <w:t>working group</w:t>
      </w:r>
      <w:r>
        <w:t xml:space="preserve">; however, it is anticipated that they will </w:t>
      </w:r>
      <w:r w:rsidR="00FA5C04">
        <w:t>make use of the criteria as present in the cited tests</w:t>
      </w:r>
      <w:r>
        <w:t>.</w:t>
      </w:r>
    </w:p>
    <w:p w14:paraId="2DA608D4" w14:textId="77777777" w:rsidR="00A17D48" w:rsidRDefault="00A17D48" w:rsidP="005C593C">
      <w:pPr>
        <w:pStyle w:val="SingleTxtG"/>
        <w:numPr>
          <w:ilvl w:val="0"/>
          <w:numId w:val="24"/>
        </w:numPr>
        <w:spacing w:after="240"/>
        <w:ind w:right="39"/>
      </w:pPr>
      <w:r>
        <w:lastRenderedPageBreak/>
        <w:t>Some consideration may also be required to categorize very small amounts of materials that have not yet been characterized.  This possibility is still being evaluated and may the subject of a future proposal.</w:t>
      </w:r>
    </w:p>
    <w:p w14:paraId="4E0AB856" w14:textId="33573252" w:rsidR="00870D67" w:rsidRDefault="004A072E" w:rsidP="004A072E">
      <w:pPr>
        <w:pStyle w:val="SingleTxtG"/>
        <w:spacing w:after="240"/>
        <w:ind w:left="1701" w:right="39"/>
      </w:pPr>
      <w:r w:rsidRPr="003B0037">
        <w:rPr>
          <w:b/>
          <w:u w:val="single"/>
        </w:rPr>
        <w:t>Conclusion:</w:t>
      </w:r>
      <w:r w:rsidRPr="003B0037">
        <w:t xml:space="preserve">  </w:t>
      </w:r>
      <w:r w:rsidR="00F04D38">
        <w:t xml:space="preserve">The philosophical differences discussed above have been resolved and the EWG and ICG can now continue to work on additional details needed to complete the GHS Ch. 2.1 review.  Although there was unanimous agreement </w:t>
      </w:r>
      <w:r w:rsidR="00870D67">
        <w:t>to the</w:t>
      </w:r>
      <w:r w:rsidR="00F04D38">
        <w:t xml:space="preserve"> criteria </w:t>
      </w:r>
      <w:r w:rsidR="008A03BA">
        <w:t>for sub-category c</w:t>
      </w:r>
      <w:r w:rsidR="00870D67">
        <w:t>ategorization, some technical details are still pending and should be resolved by the next session.</w:t>
      </w:r>
    </w:p>
    <w:p w14:paraId="76105986" w14:textId="3FCB0081" w:rsidR="004A072E" w:rsidRPr="003B0037" w:rsidRDefault="00924DF7" w:rsidP="004A072E">
      <w:pPr>
        <w:pStyle w:val="SingleTxtG"/>
        <w:spacing w:after="240"/>
        <w:ind w:left="1701" w:right="39"/>
      </w:pPr>
      <w:r>
        <w:t>This information will be considered by the TDG Sub-Committee during the EWG report on Monday, 2 July 2018 and again during the joint TDG and GHS Sub-Committee meeting, along with reports from the ICG chair, on Tuesday, 3 July 2018, afternoon</w:t>
      </w:r>
      <w:r w:rsidR="004A072E" w:rsidRPr="003B0037">
        <w:t>.</w:t>
      </w:r>
    </w:p>
    <w:p w14:paraId="3F2D8032" w14:textId="77777777" w:rsidR="003160CC" w:rsidRPr="009979EA" w:rsidRDefault="003160CC" w:rsidP="003160CC">
      <w:pPr>
        <w:pStyle w:val="SingleTxtG"/>
        <w:spacing w:before="240" w:after="0"/>
        <w:jc w:val="center"/>
        <w:rPr>
          <w:u w:val="single"/>
        </w:rPr>
      </w:pPr>
      <w:r w:rsidRPr="009979EA">
        <w:rPr>
          <w:u w:val="single"/>
        </w:rPr>
        <w:tab/>
      </w:r>
      <w:r w:rsidRPr="009979EA">
        <w:rPr>
          <w:u w:val="single"/>
        </w:rPr>
        <w:tab/>
      </w:r>
      <w:r w:rsidRPr="009979EA">
        <w:rPr>
          <w:u w:val="single"/>
        </w:rPr>
        <w:tab/>
      </w:r>
    </w:p>
    <w:p w14:paraId="4F9BCAE4" w14:textId="77777777" w:rsidR="00AF5B84" w:rsidRPr="009979EA" w:rsidRDefault="00AF5B84" w:rsidP="00AF5B84">
      <w:pPr>
        <w:pStyle w:val="HChG"/>
        <w:ind w:left="0" w:firstLine="0"/>
        <w:rPr>
          <w:rFonts w:eastAsia="MS Mincho"/>
          <w:sz w:val="26"/>
          <w:lang w:eastAsia="ja-JP"/>
        </w:rPr>
      </w:pPr>
      <w:r w:rsidRPr="009979EA">
        <w:rPr>
          <w:rFonts w:eastAsia="MS Mincho"/>
          <w:lang w:eastAsia="ja-JP"/>
        </w:rPr>
        <w:br w:type="page"/>
      </w:r>
      <w:bookmarkStart w:id="12" w:name="Annex1"/>
      <w:bookmarkEnd w:id="12"/>
      <w:r w:rsidRPr="009979EA">
        <w:rPr>
          <w:rFonts w:eastAsia="MS Mincho"/>
          <w:lang w:eastAsia="ja-JP"/>
        </w:rPr>
        <w:lastRenderedPageBreak/>
        <w:t>Annex 1</w:t>
      </w:r>
      <w:r w:rsidRPr="009979EA">
        <w:rPr>
          <w:rFonts w:eastAsia="MS Mincho"/>
          <w:lang w:eastAsia="ja-JP"/>
        </w:rPr>
        <w:br/>
      </w:r>
      <w:r w:rsidRPr="009979EA">
        <w:rPr>
          <w:rFonts w:eastAsia="MS Mincho"/>
          <w:sz w:val="26"/>
          <w:lang w:eastAsia="ja-JP"/>
        </w:rPr>
        <w:t>Working Group on Explosives (</w:t>
      </w:r>
      <w:r w:rsidR="003758B0" w:rsidRPr="009979EA">
        <w:rPr>
          <w:rFonts w:eastAsia="MS Mincho"/>
          <w:sz w:val="26"/>
          <w:lang w:eastAsia="ja-JP"/>
        </w:rPr>
        <w:t>25 – 29 June 2018</w:t>
      </w:r>
      <w:r w:rsidRPr="009979EA">
        <w:rPr>
          <w:rFonts w:eastAsia="MS Mincho"/>
          <w:sz w:val="26"/>
          <w:lang w:eastAsia="ja-JP"/>
        </w:rPr>
        <w:t>)</w:t>
      </w:r>
      <w:r w:rsidRPr="009979EA">
        <w:rPr>
          <w:rFonts w:eastAsia="MS Mincho"/>
          <w:sz w:val="26"/>
          <w:lang w:eastAsia="ja-JP"/>
        </w:rPr>
        <w:br/>
        <w:t>List of Participants</w:t>
      </w:r>
    </w:p>
    <w:p w14:paraId="26C366AB" w14:textId="77777777" w:rsidR="00381C62" w:rsidRPr="009979EA" w:rsidRDefault="00AF5B84" w:rsidP="00AF5B84">
      <w:pPr>
        <w:pStyle w:val="HChG"/>
        <w:ind w:left="0" w:firstLine="0"/>
        <w:rPr>
          <w:rFonts w:eastAsia="MS Mincho"/>
          <w:lang w:eastAsia="ja-JP"/>
        </w:rPr>
      </w:pPr>
      <w:r w:rsidRPr="009979EA">
        <w:rPr>
          <w:rFonts w:eastAsia="MS Mincho"/>
          <w:lang w:eastAsia="ja-JP"/>
        </w:rPr>
        <w:t xml:space="preserve">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895"/>
        <w:gridCol w:w="4422"/>
      </w:tblGrid>
      <w:tr w:rsidR="00861561" w:rsidRPr="009979EA" w14:paraId="1709ED4E" w14:textId="77777777" w:rsidTr="00861561">
        <w:trPr>
          <w:trHeight w:val="255"/>
          <w:jc w:val="center"/>
        </w:trPr>
        <w:tc>
          <w:tcPr>
            <w:tcW w:w="2774" w:type="dxa"/>
            <w:shd w:val="clear" w:color="auto" w:fill="auto"/>
            <w:noWrap/>
            <w:vAlign w:val="bottom"/>
          </w:tcPr>
          <w:p w14:paraId="31467FCB" w14:textId="4FC5D9BE" w:rsidR="00861561" w:rsidRPr="009979EA" w:rsidRDefault="00861561" w:rsidP="00FE138B">
            <w:pPr>
              <w:suppressAutoHyphens w:val="0"/>
              <w:spacing w:line="240" w:lineRule="auto"/>
              <w:jc w:val="center"/>
              <w:rPr>
                <w:b/>
              </w:rPr>
            </w:pPr>
            <w:r w:rsidRPr="009979EA">
              <w:rPr>
                <w:b/>
              </w:rPr>
              <w:t>Name</w:t>
            </w:r>
          </w:p>
        </w:tc>
        <w:tc>
          <w:tcPr>
            <w:tcW w:w="1895" w:type="dxa"/>
            <w:shd w:val="clear" w:color="auto" w:fill="auto"/>
            <w:noWrap/>
            <w:vAlign w:val="bottom"/>
          </w:tcPr>
          <w:p w14:paraId="78A16822" w14:textId="77777777" w:rsidR="00861561" w:rsidRPr="009979EA" w:rsidRDefault="00861561" w:rsidP="00FE138B">
            <w:pPr>
              <w:suppressAutoHyphens w:val="0"/>
              <w:spacing w:line="240" w:lineRule="auto"/>
              <w:jc w:val="center"/>
              <w:rPr>
                <w:b/>
              </w:rPr>
            </w:pPr>
            <w:r w:rsidRPr="009979EA">
              <w:rPr>
                <w:b/>
              </w:rPr>
              <w:t>Representing</w:t>
            </w:r>
          </w:p>
        </w:tc>
        <w:tc>
          <w:tcPr>
            <w:tcW w:w="4422" w:type="dxa"/>
            <w:shd w:val="clear" w:color="auto" w:fill="auto"/>
            <w:noWrap/>
            <w:vAlign w:val="bottom"/>
          </w:tcPr>
          <w:p w14:paraId="6324D4F0" w14:textId="77777777" w:rsidR="00861561" w:rsidRPr="009979EA" w:rsidRDefault="00861561" w:rsidP="00FE138B">
            <w:pPr>
              <w:suppressAutoHyphens w:val="0"/>
              <w:spacing w:line="240" w:lineRule="auto"/>
              <w:jc w:val="center"/>
              <w:rPr>
                <w:b/>
              </w:rPr>
            </w:pPr>
            <w:r w:rsidRPr="009979EA">
              <w:rPr>
                <w:b/>
              </w:rPr>
              <w:t>Email address</w:t>
            </w:r>
          </w:p>
        </w:tc>
      </w:tr>
      <w:tr w:rsidR="00861561" w:rsidRPr="009979EA" w14:paraId="14047DD7"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2E1954F" w14:textId="361718E4" w:rsidR="00861561" w:rsidRPr="009979EA" w:rsidRDefault="00861561" w:rsidP="006912D1">
            <w:pPr>
              <w:suppressAutoHyphens w:val="0"/>
              <w:spacing w:line="240" w:lineRule="auto"/>
              <w:rPr>
                <w:rFonts w:eastAsia="MS Mincho"/>
                <w:lang w:eastAsia="ja-JP"/>
              </w:rPr>
            </w:pPr>
            <w:r w:rsidRPr="00CE56DF">
              <w:t>Arnaud Vandenbroucke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329FEF2" w14:textId="511EFA75" w:rsidR="00861561" w:rsidRPr="009979EA" w:rsidRDefault="00861561" w:rsidP="006912D1">
            <w:pPr>
              <w:suppressAutoHyphens w:val="0"/>
              <w:spacing w:line="240" w:lineRule="auto"/>
            </w:pPr>
            <w:r w:rsidRPr="00002AA5">
              <w:t>Belgium</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D265E83" w14:textId="2C7B3F0F" w:rsidR="00861561" w:rsidRPr="009979EA" w:rsidRDefault="00861561" w:rsidP="006912D1">
            <w:pPr>
              <w:suppressAutoHyphens w:val="0"/>
              <w:spacing w:line="240" w:lineRule="auto"/>
            </w:pPr>
            <w:r w:rsidRPr="00002AA5">
              <w:t>arnaud.vandenbroucke@economie.fgov.be</w:t>
            </w:r>
          </w:p>
        </w:tc>
      </w:tr>
      <w:tr w:rsidR="00861561" w:rsidRPr="009979EA" w14:paraId="3D5FBF4E"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B5C6811" w14:textId="5E7F6DE7" w:rsidR="00861561" w:rsidRPr="009979EA" w:rsidRDefault="00861561" w:rsidP="006912D1">
            <w:pPr>
              <w:suppressAutoHyphens w:val="0"/>
              <w:spacing w:line="240" w:lineRule="auto"/>
              <w:rPr>
                <w:rFonts w:eastAsia="MS Mincho"/>
                <w:lang w:eastAsia="ja-JP"/>
              </w:rPr>
            </w:pPr>
            <w:r w:rsidRPr="00CE56DF">
              <w:t>Jean-Luc Arpin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311082C" w14:textId="0F2EF326" w:rsidR="00861561" w:rsidRPr="009979EA" w:rsidRDefault="00861561" w:rsidP="006912D1">
            <w:pPr>
              <w:suppressAutoHyphens w:val="0"/>
              <w:spacing w:line="240" w:lineRule="auto"/>
            </w:pPr>
            <w:r w:rsidRPr="00002AA5">
              <w:t>Canada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F73826F" w14:textId="1732C456" w:rsidR="00861561" w:rsidRPr="009979EA" w:rsidRDefault="00861561" w:rsidP="006912D1">
            <w:pPr>
              <w:suppressAutoHyphens w:val="0"/>
              <w:spacing w:line="240" w:lineRule="auto"/>
            </w:pPr>
            <w:r w:rsidRPr="00002AA5">
              <w:t>jean-luc.arpin@canada.ca</w:t>
            </w:r>
          </w:p>
        </w:tc>
      </w:tr>
      <w:tr w:rsidR="00861561" w:rsidRPr="009979EA" w14:paraId="33F5E048"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D3AEB3B" w14:textId="1F4CF783" w:rsidR="00861561" w:rsidRPr="009979EA" w:rsidRDefault="00861561" w:rsidP="006912D1">
            <w:pPr>
              <w:suppressAutoHyphens w:val="0"/>
              <w:spacing w:line="240" w:lineRule="auto"/>
              <w:rPr>
                <w:rFonts w:eastAsia="MS Mincho"/>
                <w:lang w:eastAsia="ja-JP"/>
              </w:rPr>
            </w:pPr>
            <w:r w:rsidRPr="00CE56DF">
              <w:t>Mikko Ojala</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85EEC61" w14:textId="11A2CE51" w:rsidR="00861561" w:rsidRPr="009979EA" w:rsidRDefault="00861561" w:rsidP="006912D1">
            <w:pPr>
              <w:suppressAutoHyphens w:val="0"/>
              <w:spacing w:line="240" w:lineRule="auto"/>
            </w:pPr>
            <w:r w:rsidRPr="00002AA5">
              <w:t>Finland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C9F3D0C" w14:textId="2DD1C04F" w:rsidR="00861561" w:rsidRPr="009979EA" w:rsidRDefault="00861561" w:rsidP="006912D1">
            <w:pPr>
              <w:suppressAutoHyphens w:val="0"/>
              <w:spacing w:line="240" w:lineRule="auto"/>
            </w:pPr>
            <w:r w:rsidRPr="00002AA5">
              <w:t>mikko.ojala@tukes.fi</w:t>
            </w:r>
          </w:p>
        </w:tc>
      </w:tr>
      <w:tr w:rsidR="00861561" w:rsidRPr="009979EA" w14:paraId="24D1DC69"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AAA0BC9" w14:textId="75B2FA1D" w:rsidR="00861561" w:rsidRPr="009979EA" w:rsidRDefault="00861561" w:rsidP="006912D1">
            <w:pPr>
              <w:suppressAutoHyphens w:val="0"/>
              <w:spacing w:line="240" w:lineRule="auto"/>
            </w:pPr>
            <w:r w:rsidRPr="00CE56DF">
              <w:t>Lionel Aufauvre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89311DB" w14:textId="62CB6A18" w:rsidR="00861561" w:rsidRPr="009979EA" w:rsidRDefault="00861561" w:rsidP="006912D1">
            <w:pPr>
              <w:suppressAutoHyphens w:val="0"/>
              <w:spacing w:line="240" w:lineRule="auto"/>
            </w:pPr>
            <w:r w:rsidRPr="00002AA5">
              <w:t>France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D20F7DD" w14:textId="30B1FAEE" w:rsidR="00861561" w:rsidRPr="009979EA" w:rsidRDefault="00861561" w:rsidP="006912D1">
            <w:pPr>
              <w:suppressAutoHyphens w:val="0"/>
              <w:spacing w:line="240" w:lineRule="auto"/>
            </w:pPr>
            <w:r w:rsidRPr="00002AA5">
              <w:t>lionel.aufauvre@ineris.fr</w:t>
            </w:r>
          </w:p>
        </w:tc>
      </w:tr>
      <w:tr w:rsidR="00861561" w:rsidRPr="009979EA" w14:paraId="4D61988B"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2017D31" w14:textId="15BB251E" w:rsidR="00861561" w:rsidRPr="009979EA" w:rsidRDefault="00861561" w:rsidP="006912D1">
            <w:pPr>
              <w:suppressAutoHyphens w:val="0"/>
              <w:spacing w:line="240" w:lineRule="auto"/>
            </w:pPr>
            <w:r w:rsidRPr="00CE56DF">
              <w:t>Alexander von Oertzen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E2C7A7F" w14:textId="36F438A1" w:rsidR="00861561" w:rsidRPr="009979EA" w:rsidRDefault="00861561" w:rsidP="006912D1">
            <w:pPr>
              <w:suppressAutoHyphens w:val="0"/>
              <w:spacing w:line="240" w:lineRule="auto"/>
            </w:pPr>
            <w:r w:rsidRPr="00002AA5">
              <w:t>Germany</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B642EBA" w14:textId="522D4CDB" w:rsidR="00861561" w:rsidRPr="009979EA" w:rsidRDefault="00861561" w:rsidP="006912D1">
            <w:pPr>
              <w:suppressAutoHyphens w:val="0"/>
              <w:spacing w:line="240" w:lineRule="auto"/>
            </w:pPr>
            <w:r w:rsidRPr="00002AA5">
              <w:t>alexander.von_oertzen@bam.de</w:t>
            </w:r>
          </w:p>
        </w:tc>
      </w:tr>
      <w:tr w:rsidR="00861561" w:rsidRPr="009979EA" w14:paraId="31416000"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425F9D1" w14:textId="53972514" w:rsidR="00861561" w:rsidRPr="009979EA" w:rsidRDefault="00861561" w:rsidP="006912D1">
            <w:pPr>
              <w:suppressAutoHyphens w:val="0"/>
              <w:spacing w:line="240" w:lineRule="auto"/>
              <w:rPr>
                <w:rFonts w:eastAsia="MS Mincho"/>
                <w:lang w:eastAsia="ja-JP"/>
              </w:rPr>
            </w:pPr>
            <w:r w:rsidRPr="00CE56DF">
              <w:t>Heike Michael-Schulz</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FEDA14A" w14:textId="2EEA5BA1" w:rsidR="00861561" w:rsidRPr="009979EA" w:rsidRDefault="00861561" w:rsidP="006912D1">
            <w:pPr>
              <w:suppressAutoHyphens w:val="0"/>
              <w:spacing w:line="240" w:lineRule="auto"/>
            </w:pPr>
            <w:r w:rsidRPr="00002AA5">
              <w:t>Germany</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A516FF8" w14:textId="6FCA02CE" w:rsidR="00861561" w:rsidRPr="009979EA" w:rsidRDefault="00861561" w:rsidP="006912D1">
            <w:pPr>
              <w:suppressAutoHyphens w:val="0"/>
              <w:spacing w:line="240" w:lineRule="auto"/>
            </w:pPr>
            <w:r w:rsidRPr="00002AA5">
              <w:t>heike.michael-schulz@bam.de</w:t>
            </w:r>
          </w:p>
        </w:tc>
      </w:tr>
      <w:tr w:rsidR="00861561" w:rsidRPr="009979EA" w14:paraId="000C3C79"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40CB0D9" w14:textId="2092169E" w:rsidR="00861561" w:rsidRPr="009979EA" w:rsidRDefault="00861561" w:rsidP="006912D1">
            <w:pPr>
              <w:suppressAutoHyphens w:val="0"/>
              <w:spacing w:line="240" w:lineRule="auto"/>
              <w:rPr>
                <w:rFonts w:eastAsia="MS Mincho"/>
                <w:lang w:eastAsia="ja-JP"/>
              </w:rPr>
            </w:pPr>
            <w:r w:rsidRPr="00CE56DF">
              <w:t>Shu Usuba</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5E94E4B" w14:textId="33DA9871" w:rsidR="00861561" w:rsidRPr="009979EA" w:rsidRDefault="00861561" w:rsidP="006912D1">
            <w:pPr>
              <w:suppressAutoHyphens w:val="0"/>
              <w:spacing w:line="240" w:lineRule="auto"/>
            </w:pPr>
            <w:r w:rsidRPr="00002AA5">
              <w:t>Japan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26D8ECE" w14:textId="6416E76A" w:rsidR="00861561" w:rsidRPr="009979EA" w:rsidRDefault="00861561" w:rsidP="006912D1">
            <w:pPr>
              <w:suppressAutoHyphens w:val="0"/>
              <w:spacing w:line="240" w:lineRule="auto"/>
            </w:pPr>
            <w:r w:rsidRPr="00002AA5">
              <w:t>shuusuba@live.jp</w:t>
            </w:r>
          </w:p>
        </w:tc>
      </w:tr>
      <w:tr w:rsidR="00861561" w:rsidRPr="009979EA" w14:paraId="398C9E7A"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07893F1" w14:textId="34D5C634" w:rsidR="00861561" w:rsidRPr="009979EA" w:rsidRDefault="00861561" w:rsidP="006912D1">
            <w:pPr>
              <w:suppressAutoHyphens w:val="0"/>
              <w:spacing w:line="240" w:lineRule="auto"/>
            </w:pPr>
            <w:r w:rsidRPr="00CE56DF">
              <w:t>Ed de Jong</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CD08846" w14:textId="5DB8A878" w:rsidR="00861561" w:rsidRPr="009979EA" w:rsidRDefault="00861561" w:rsidP="006912D1">
            <w:pPr>
              <w:suppressAutoHyphens w:val="0"/>
              <w:spacing w:line="240" w:lineRule="auto"/>
            </w:pPr>
            <w:r w:rsidRPr="00002AA5">
              <w:t>Netherlands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708D97E" w14:textId="1023F111" w:rsidR="00861561" w:rsidRPr="009979EA" w:rsidRDefault="00861561" w:rsidP="006912D1">
            <w:pPr>
              <w:suppressAutoHyphens w:val="0"/>
              <w:spacing w:line="240" w:lineRule="auto"/>
            </w:pPr>
            <w:r w:rsidRPr="00002AA5">
              <w:t>ed.dejong@tno.nl</w:t>
            </w:r>
          </w:p>
        </w:tc>
      </w:tr>
      <w:tr w:rsidR="00861561" w:rsidRPr="009979EA" w14:paraId="0EA12D37"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2A870C8" w14:textId="08DEFA71" w:rsidR="00861561" w:rsidRPr="009979EA" w:rsidRDefault="00861561" w:rsidP="006912D1">
            <w:pPr>
              <w:suppressAutoHyphens w:val="0"/>
              <w:spacing w:line="240" w:lineRule="auto"/>
              <w:rPr>
                <w:rFonts w:eastAsia="MS Mincho"/>
                <w:lang w:eastAsia="ja-JP"/>
              </w:rPr>
            </w:pPr>
            <w:r w:rsidRPr="00CE56DF">
              <w:t>Soedesh Mahesh</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2FB86EA" w14:textId="4DE3DB1D" w:rsidR="00861561" w:rsidRPr="009979EA" w:rsidRDefault="00861561" w:rsidP="006912D1">
            <w:pPr>
              <w:suppressAutoHyphens w:val="0"/>
              <w:spacing w:line="240" w:lineRule="auto"/>
            </w:pPr>
            <w:r w:rsidRPr="00002AA5">
              <w:t>Netherlands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673AC2E" w14:textId="3959BB61" w:rsidR="00861561" w:rsidRPr="009979EA" w:rsidRDefault="00861561" w:rsidP="006912D1">
            <w:pPr>
              <w:suppressAutoHyphens w:val="0"/>
              <w:spacing w:line="240" w:lineRule="auto"/>
            </w:pPr>
            <w:r w:rsidRPr="00002AA5">
              <w:t>soedesh.mahesh@rivm.nl</w:t>
            </w:r>
          </w:p>
        </w:tc>
      </w:tr>
      <w:tr w:rsidR="00861561" w:rsidRPr="009979EA" w14:paraId="24CE1722"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8505BEA" w14:textId="745C0A52" w:rsidR="00861561" w:rsidRPr="009979EA" w:rsidRDefault="00861561" w:rsidP="006912D1">
            <w:pPr>
              <w:suppressAutoHyphens w:val="0"/>
              <w:spacing w:line="240" w:lineRule="auto"/>
              <w:rPr>
                <w:rFonts w:eastAsia="MS Mincho"/>
                <w:lang w:eastAsia="ja-JP"/>
              </w:rPr>
            </w:pPr>
            <w:r w:rsidRPr="00CE56DF">
              <w:t>Jose R. Quintana</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DE2FE0C" w14:textId="42765BE5" w:rsidR="00861561" w:rsidRPr="009979EA" w:rsidRDefault="00861561" w:rsidP="006912D1">
            <w:pPr>
              <w:suppressAutoHyphens w:val="0"/>
              <w:spacing w:line="240" w:lineRule="auto"/>
            </w:pPr>
            <w:r w:rsidRPr="00002AA5">
              <w:t>Spain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838C443" w14:textId="51B029FF" w:rsidR="00861561" w:rsidRPr="009979EA" w:rsidRDefault="00861561" w:rsidP="006912D1">
            <w:pPr>
              <w:suppressAutoHyphens w:val="0"/>
              <w:spacing w:line="240" w:lineRule="auto"/>
            </w:pPr>
            <w:r w:rsidRPr="00002AA5">
              <w:t>jrquintana@maxam.net</w:t>
            </w:r>
          </w:p>
        </w:tc>
      </w:tr>
      <w:tr w:rsidR="00861561" w:rsidRPr="009979EA" w14:paraId="2844C717"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15A3032" w14:textId="7599F229" w:rsidR="00861561" w:rsidRPr="009979EA" w:rsidRDefault="00861561" w:rsidP="006912D1">
            <w:pPr>
              <w:suppressAutoHyphens w:val="0"/>
              <w:spacing w:line="240" w:lineRule="auto"/>
              <w:rPr>
                <w:rFonts w:eastAsia="MS Mincho"/>
                <w:lang w:eastAsia="ja-JP"/>
              </w:rPr>
            </w:pPr>
            <w:r w:rsidRPr="00CE56DF">
              <w:t>Ramon Gonzalez</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BF7B485" w14:textId="6E47F240" w:rsidR="00861561" w:rsidRPr="009979EA" w:rsidRDefault="00861561" w:rsidP="006912D1">
            <w:pPr>
              <w:suppressAutoHyphens w:val="0"/>
              <w:spacing w:line="240" w:lineRule="auto"/>
            </w:pPr>
            <w:r w:rsidRPr="00002AA5">
              <w:t>Spain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8D541A8" w14:textId="5925808D" w:rsidR="00861561" w:rsidRPr="009979EA" w:rsidRDefault="00861561" w:rsidP="006912D1">
            <w:pPr>
              <w:suppressAutoHyphens w:val="0"/>
              <w:spacing w:line="240" w:lineRule="auto"/>
            </w:pPr>
            <w:r w:rsidRPr="00002AA5">
              <w:t>reguren@maxam.net</w:t>
            </w:r>
          </w:p>
        </w:tc>
      </w:tr>
      <w:tr w:rsidR="00861561" w:rsidRPr="009979EA" w14:paraId="20448864"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19676F9" w14:textId="53FDA48D" w:rsidR="00861561" w:rsidRPr="009979EA" w:rsidRDefault="00861561" w:rsidP="006912D1">
            <w:pPr>
              <w:suppressAutoHyphens w:val="0"/>
              <w:spacing w:line="240" w:lineRule="auto"/>
              <w:rPr>
                <w:rFonts w:eastAsia="MS Mincho"/>
                <w:lang w:eastAsia="ja-JP"/>
              </w:rPr>
            </w:pPr>
            <w:r w:rsidRPr="00CE56DF">
              <w:t>Shulin Nie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45F2272" w14:textId="0EC19271" w:rsidR="00861561" w:rsidRPr="009979EA" w:rsidRDefault="00861561" w:rsidP="006912D1">
            <w:pPr>
              <w:suppressAutoHyphens w:val="0"/>
              <w:spacing w:line="240" w:lineRule="auto"/>
            </w:pPr>
            <w:r w:rsidRPr="00002AA5">
              <w:t>Sweden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0B95026" w14:textId="331BBE23" w:rsidR="00861561" w:rsidRPr="009979EA" w:rsidRDefault="00861561" w:rsidP="006912D1">
            <w:pPr>
              <w:suppressAutoHyphens w:val="0"/>
              <w:spacing w:line="240" w:lineRule="auto"/>
            </w:pPr>
            <w:r w:rsidRPr="00002AA5">
              <w:t>shulin.nie@msb.se</w:t>
            </w:r>
          </w:p>
        </w:tc>
      </w:tr>
      <w:tr w:rsidR="00861561" w:rsidRPr="009979EA" w14:paraId="628A0EE0"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23C7DB4" w14:textId="113F51DC" w:rsidR="00861561" w:rsidRPr="00CE56DF" w:rsidRDefault="00861561" w:rsidP="0021319E">
            <w:pPr>
              <w:suppressAutoHyphens w:val="0"/>
              <w:spacing w:line="240" w:lineRule="auto"/>
            </w:pPr>
            <w:r w:rsidRPr="00A17AF0">
              <w:t>Lorens Van Dam</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5AF4AD8" w14:textId="4D89C540" w:rsidR="00861561" w:rsidRPr="00002AA5" w:rsidRDefault="00861561" w:rsidP="0021319E">
            <w:pPr>
              <w:suppressAutoHyphens w:val="0"/>
              <w:spacing w:line="240" w:lineRule="auto"/>
            </w:pPr>
            <w:r w:rsidRPr="00A17AF0">
              <w:t>Sweden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50D6FBE3" w14:textId="3960FF8B" w:rsidR="00861561" w:rsidRPr="00002AA5" w:rsidRDefault="00861561" w:rsidP="0021319E">
            <w:pPr>
              <w:suppressAutoHyphens w:val="0"/>
              <w:spacing w:line="240" w:lineRule="auto"/>
            </w:pPr>
            <w:bookmarkStart w:id="13" w:name="_Hlk517964818"/>
            <w:r w:rsidRPr="00A17AF0">
              <w:t>lorens.van.dam@msb.se</w:t>
            </w:r>
            <w:bookmarkEnd w:id="13"/>
          </w:p>
        </w:tc>
      </w:tr>
      <w:tr w:rsidR="00861561" w:rsidRPr="009979EA" w14:paraId="2A9E9C09"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0311BDB" w14:textId="7B3CAB5A" w:rsidR="00861561" w:rsidRPr="009979EA" w:rsidRDefault="00861561" w:rsidP="006912D1">
            <w:pPr>
              <w:suppressAutoHyphens w:val="0"/>
              <w:spacing w:line="240" w:lineRule="auto"/>
              <w:rPr>
                <w:rFonts w:eastAsia="MS Mincho"/>
                <w:lang w:eastAsia="ja-JP"/>
              </w:rPr>
            </w:pPr>
            <w:r w:rsidRPr="00CE56DF">
              <w:t>Keith White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7064485" w14:textId="4A5A0A53" w:rsidR="00861561" w:rsidRPr="009979EA" w:rsidRDefault="00861561" w:rsidP="006912D1">
            <w:pPr>
              <w:suppressAutoHyphens w:val="0"/>
              <w:spacing w:line="240" w:lineRule="auto"/>
            </w:pPr>
            <w:r w:rsidRPr="00002AA5">
              <w:t>UK</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67FA9B7" w14:textId="7B4AE22C" w:rsidR="00861561" w:rsidRPr="009979EA" w:rsidRDefault="00861561" w:rsidP="006912D1">
            <w:pPr>
              <w:suppressAutoHyphens w:val="0"/>
              <w:spacing w:line="240" w:lineRule="auto"/>
            </w:pPr>
            <w:r w:rsidRPr="00002AA5">
              <w:t>keith.white@vca.gov.uk</w:t>
            </w:r>
          </w:p>
        </w:tc>
      </w:tr>
      <w:tr w:rsidR="00861561" w:rsidRPr="009979EA" w14:paraId="3DE08B5E"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1D4D4D8" w14:textId="0351414E" w:rsidR="00861561" w:rsidRPr="009979EA" w:rsidRDefault="00861561" w:rsidP="006912D1">
            <w:pPr>
              <w:suppressAutoHyphens w:val="0"/>
              <w:spacing w:line="240" w:lineRule="auto"/>
              <w:rPr>
                <w:rFonts w:eastAsia="MS Mincho"/>
                <w:lang w:eastAsia="ja-JP"/>
              </w:rPr>
            </w:pPr>
            <w:r w:rsidRPr="00CE56DF">
              <w:t>Phil Smith</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CF6388F" w14:textId="02D3B1E4" w:rsidR="00861561" w:rsidRPr="009979EA" w:rsidRDefault="00861561" w:rsidP="006912D1">
            <w:pPr>
              <w:suppressAutoHyphens w:val="0"/>
              <w:spacing w:line="240" w:lineRule="auto"/>
            </w:pPr>
            <w:r w:rsidRPr="00002AA5">
              <w:t>UK</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CE4BAD7" w14:textId="0E5C2DB4" w:rsidR="00861561" w:rsidRPr="009979EA" w:rsidRDefault="00861561" w:rsidP="006912D1">
            <w:pPr>
              <w:suppressAutoHyphens w:val="0"/>
              <w:spacing w:line="240" w:lineRule="auto"/>
            </w:pPr>
            <w:r w:rsidRPr="00002AA5">
              <w:t>philip.smith@hse.gov.uk</w:t>
            </w:r>
          </w:p>
        </w:tc>
      </w:tr>
      <w:tr w:rsidR="00861561" w:rsidRPr="009979EA" w14:paraId="2FDC943D"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A4F7701" w14:textId="27272CE3" w:rsidR="00861561" w:rsidRPr="009979EA" w:rsidRDefault="00861561" w:rsidP="006912D1">
            <w:pPr>
              <w:suppressAutoHyphens w:val="0"/>
              <w:spacing w:line="240" w:lineRule="auto"/>
              <w:rPr>
                <w:rFonts w:eastAsia="MS Mincho"/>
                <w:lang w:eastAsia="ja-JP"/>
              </w:rPr>
            </w:pPr>
            <w:r w:rsidRPr="00CE56DF">
              <w:t>Brian Vos</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59543BF" w14:textId="01521CE0" w:rsidR="00861561" w:rsidRPr="009979EA" w:rsidRDefault="00861561" w:rsidP="006912D1">
            <w:pPr>
              <w:suppressAutoHyphens w:val="0"/>
              <w:spacing w:line="240" w:lineRule="auto"/>
            </w:pPr>
            <w:r w:rsidRPr="00002AA5">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A54BCD2" w14:textId="462A769F" w:rsidR="00861561" w:rsidRPr="009979EA" w:rsidRDefault="00861561" w:rsidP="006912D1">
            <w:pPr>
              <w:suppressAutoHyphens w:val="0"/>
              <w:spacing w:line="240" w:lineRule="auto"/>
            </w:pPr>
            <w:r w:rsidRPr="00002AA5">
              <w:t>brian.vos@dot.gov</w:t>
            </w:r>
          </w:p>
        </w:tc>
      </w:tr>
      <w:tr w:rsidR="00861561" w:rsidRPr="009979EA" w14:paraId="78C1A1EE"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C2FBABB" w14:textId="6AEF4F6C" w:rsidR="00861561" w:rsidRPr="009979EA" w:rsidRDefault="00861561" w:rsidP="006912D1">
            <w:pPr>
              <w:suppressAutoHyphens w:val="0"/>
              <w:spacing w:line="240" w:lineRule="auto"/>
              <w:rPr>
                <w:rFonts w:eastAsia="MS Mincho"/>
                <w:lang w:eastAsia="ja-JP"/>
              </w:rPr>
            </w:pPr>
            <w:r w:rsidRPr="00CE56DF">
              <w:t>Kevin Leary</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E1B7838" w14:textId="661582E9" w:rsidR="00861561" w:rsidRPr="009979EA" w:rsidRDefault="00861561" w:rsidP="006912D1">
            <w:pPr>
              <w:suppressAutoHyphens w:val="0"/>
              <w:spacing w:line="240" w:lineRule="auto"/>
            </w:pPr>
            <w:r w:rsidRPr="00002AA5">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EDFBF7B" w14:textId="624BFF15" w:rsidR="00861561" w:rsidRPr="009979EA" w:rsidRDefault="00861561" w:rsidP="006912D1">
            <w:pPr>
              <w:suppressAutoHyphens w:val="0"/>
              <w:spacing w:line="240" w:lineRule="auto"/>
            </w:pPr>
            <w:r w:rsidRPr="00002AA5">
              <w:t>kevin.leary@dot.gov</w:t>
            </w:r>
          </w:p>
        </w:tc>
      </w:tr>
      <w:tr w:rsidR="00861561" w:rsidRPr="009979EA" w14:paraId="725565A5"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76E15E8" w14:textId="5C8B0436" w:rsidR="00861561" w:rsidRPr="009979EA" w:rsidRDefault="00861561" w:rsidP="006912D1">
            <w:pPr>
              <w:suppressAutoHyphens w:val="0"/>
              <w:spacing w:line="240" w:lineRule="auto"/>
              <w:rPr>
                <w:rFonts w:eastAsia="MS Mincho"/>
                <w:lang w:eastAsia="ja-JP"/>
              </w:rPr>
            </w:pPr>
            <w:r w:rsidRPr="00CE56DF">
              <w:t>Michael Givens</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54B353C" w14:textId="1885ABB0" w:rsidR="00861561" w:rsidRPr="009979EA" w:rsidRDefault="00861561" w:rsidP="006912D1">
            <w:pPr>
              <w:suppressAutoHyphens w:val="0"/>
              <w:spacing w:line="240" w:lineRule="auto"/>
            </w:pPr>
            <w:r w:rsidRPr="00002AA5">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145EB02" w14:textId="5B18375B" w:rsidR="00861561" w:rsidRPr="009979EA" w:rsidRDefault="00861561" w:rsidP="006912D1">
            <w:pPr>
              <w:suppressAutoHyphens w:val="0"/>
              <w:spacing w:line="240" w:lineRule="auto"/>
            </w:pPr>
            <w:r w:rsidRPr="00002AA5">
              <w:t>michael.givens@faa.gov</w:t>
            </w:r>
          </w:p>
        </w:tc>
      </w:tr>
      <w:tr w:rsidR="00861561" w:rsidRPr="009979EA" w14:paraId="4239010C"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1295471" w14:textId="563238CF" w:rsidR="00861561" w:rsidRPr="009979EA" w:rsidRDefault="00861561" w:rsidP="006912D1">
            <w:pPr>
              <w:suppressAutoHyphens w:val="0"/>
              <w:spacing w:line="240" w:lineRule="auto"/>
              <w:rPr>
                <w:rFonts w:eastAsia="MS Mincho"/>
                <w:lang w:eastAsia="ja-JP"/>
              </w:rPr>
            </w:pPr>
            <w:r w:rsidRPr="006B479F">
              <w:t>Bob Sheridan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9994ED7" w14:textId="690FF755" w:rsidR="00861561" w:rsidRPr="009979EA" w:rsidRDefault="00861561" w:rsidP="006912D1">
            <w:pPr>
              <w:suppressAutoHyphens w:val="0"/>
              <w:spacing w:line="240" w:lineRule="auto"/>
            </w:pPr>
            <w:r w:rsidRPr="00CC357F">
              <w:t>AEISG</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9725523" w14:textId="24907550" w:rsidR="00861561" w:rsidRPr="009979EA" w:rsidRDefault="00861561" w:rsidP="006912D1">
            <w:pPr>
              <w:suppressAutoHyphens w:val="0"/>
              <w:spacing w:line="240" w:lineRule="auto"/>
            </w:pPr>
            <w:r w:rsidRPr="00CC357F">
              <w:t>bob.sheridan@aeisg.org.au</w:t>
            </w:r>
          </w:p>
        </w:tc>
      </w:tr>
      <w:tr w:rsidR="00861561" w:rsidRPr="009979EA" w14:paraId="7CD44E86"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FEA0154" w14:textId="0A171BAF" w:rsidR="00861561" w:rsidRPr="009979EA" w:rsidRDefault="00861561" w:rsidP="006912D1">
            <w:pPr>
              <w:suppressAutoHyphens w:val="0"/>
              <w:spacing w:line="240" w:lineRule="auto"/>
              <w:rPr>
                <w:rFonts w:eastAsia="MS Mincho"/>
                <w:lang w:eastAsia="ja-JP"/>
              </w:rPr>
            </w:pPr>
            <w:r w:rsidRPr="006B479F">
              <w:t>Ken Price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F41B06E" w14:textId="54F13416" w:rsidR="00861561" w:rsidRPr="009979EA" w:rsidRDefault="00861561" w:rsidP="006912D1">
            <w:pPr>
              <w:suppressAutoHyphens w:val="0"/>
              <w:spacing w:line="240" w:lineRule="auto"/>
            </w:pPr>
            <w:r w:rsidRPr="00CC357F">
              <w:t>AEISG</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61A5FA6" w14:textId="44680868" w:rsidR="00861561" w:rsidRPr="009979EA" w:rsidRDefault="00861561" w:rsidP="006912D1">
            <w:pPr>
              <w:suppressAutoHyphens w:val="0"/>
              <w:spacing w:line="240" w:lineRule="auto"/>
            </w:pPr>
            <w:r w:rsidRPr="00CC357F">
              <w:t>ken@riskom.com.au</w:t>
            </w:r>
          </w:p>
        </w:tc>
      </w:tr>
      <w:tr w:rsidR="00861561" w:rsidRPr="009979EA" w14:paraId="7BA6FE29"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7D5681B" w14:textId="5D23EB09" w:rsidR="00861561" w:rsidRPr="009979EA" w:rsidRDefault="00861561" w:rsidP="006912D1">
            <w:pPr>
              <w:suppressAutoHyphens w:val="0"/>
              <w:spacing w:line="240" w:lineRule="auto"/>
              <w:rPr>
                <w:rFonts w:eastAsia="MS Mincho"/>
                <w:lang w:eastAsia="ja-JP"/>
              </w:rPr>
            </w:pPr>
            <w:r w:rsidRPr="006B479F">
              <w:t>Dieter Heitkamp</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107D6B5" w14:textId="66176482" w:rsidR="00861561" w:rsidRPr="009979EA" w:rsidRDefault="00861561" w:rsidP="006912D1">
            <w:pPr>
              <w:suppressAutoHyphens w:val="0"/>
              <w:spacing w:line="240" w:lineRule="auto"/>
            </w:pPr>
            <w:r w:rsidRPr="00CC357F">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4C4C42F" w14:textId="2A77AA31" w:rsidR="00861561" w:rsidRPr="009979EA" w:rsidRDefault="00861561" w:rsidP="006912D1">
            <w:pPr>
              <w:suppressAutoHyphens w:val="0"/>
              <w:spacing w:line="240" w:lineRule="auto"/>
            </w:pPr>
            <w:r w:rsidRPr="00CC357F">
              <w:t>dieter.heitkamp@bayer.com</w:t>
            </w:r>
          </w:p>
        </w:tc>
      </w:tr>
      <w:tr w:rsidR="00861561" w:rsidRPr="009979EA" w14:paraId="00FFDEE6"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07168D9" w14:textId="062A8617" w:rsidR="00861561" w:rsidRPr="009979EA" w:rsidRDefault="00861561" w:rsidP="006912D1">
            <w:pPr>
              <w:suppressAutoHyphens w:val="0"/>
              <w:spacing w:line="240" w:lineRule="auto"/>
              <w:rPr>
                <w:rFonts w:eastAsia="MS Mincho"/>
                <w:lang w:eastAsia="ja-JP"/>
              </w:rPr>
            </w:pPr>
            <w:r w:rsidRPr="006B479F">
              <w:t>Peter Schuurman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9D033B6" w14:textId="4BC8E0E8" w:rsidR="00861561" w:rsidRPr="009979EA" w:rsidRDefault="00861561" w:rsidP="006912D1">
            <w:pPr>
              <w:suppressAutoHyphens w:val="0"/>
              <w:spacing w:line="240" w:lineRule="auto"/>
            </w:pPr>
            <w:r w:rsidRPr="00CC357F">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35C8FA8" w14:textId="74690C94" w:rsidR="00861561" w:rsidRPr="009979EA" w:rsidRDefault="00861561" w:rsidP="006912D1">
            <w:pPr>
              <w:suppressAutoHyphens w:val="0"/>
              <w:spacing w:line="240" w:lineRule="auto"/>
            </w:pPr>
            <w:r w:rsidRPr="00CC357F">
              <w:t>peter.schuurman@akzonobel.com</w:t>
            </w:r>
          </w:p>
        </w:tc>
      </w:tr>
      <w:tr w:rsidR="00861561" w:rsidRPr="009979EA" w14:paraId="31C6B5E0"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316E03D" w14:textId="0938C251" w:rsidR="00861561" w:rsidRPr="009979EA" w:rsidRDefault="00861561" w:rsidP="006912D1">
            <w:pPr>
              <w:suppressAutoHyphens w:val="0"/>
              <w:spacing w:line="240" w:lineRule="auto"/>
              <w:rPr>
                <w:rFonts w:eastAsia="MS Mincho"/>
                <w:lang w:eastAsia="ja-JP"/>
              </w:rPr>
            </w:pPr>
            <w:r w:rsidRPr="006B479F">
              <w:t>Werner Lange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FA57753" w14:textId="7D1483F8" w:rsidR="00861561" w:rsidRPr="009979EA" w:rsidRDefault="00861561" w:rsidP="006912D1">
            <w:pPr>
              <w:suppressAutoHyphens w:val="0"/>
              <w:spacing w:line="240" w:lineRule="auto"/>
            </w:pPr>
            <w:r w:rsidRPr="00CC357F">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9DF9794" w14:textId="1717CB30" w:rsidR="00861561" w:rsidRPr="009979EA" w:rsidRDefault="00861561" w:rsidP="006912D1">
            <w:pPr>
              <w:suppressAutoHyphens w:val="0"/>
              <w:spacing w:line="240" w:lineRule="auto"/>
            </w:pPr>
            <w:r w:rsidRPr="00CC357F">
              <w:t>wlange@dow.com</w:t>
            </w:r>
          </w:p>
        </w:tc>
      </w:tr>
      <w:tr w:rsidR="00861561" w:rsidRPr="009979EA" w14:paraId="7CA96CF2"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F3C1330" w14:textId="067B7751" w:rsidR="00861561" w:rsidRPr="009979EA" w:rsidRDefault="00861561" w:rsidP="006912D1">
            <w:pPr>
              <w:suppressAutoHyphens w:val="0"/>
              <w:spacing w:line="240" w:lineRule="auto"/>
              <w:rPr>
                <w:rFonts w:eastAsia="MS Mincho"/>
                <w:lang w:eastAsia="ja-JP"/>
              </w:rPr>
            </w:pPr>
            <w:r w:rsidRPr="006B479F">
              <w:t>Klaus Pilatus</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EB8F6D9" w14:textId="06DAC14A" w:rsidR="00861561" w:rsidRPr="009979EA" w:rsidRDefault="00861561" w:rsidP="006912D1">
            <w:pPr>
              <w:suppressAutoHyphens w:val="0"/>
              <w:spacing w:line="240" w:lineRule="auto"/>
            </w:pPr>
            <w:r w:rsidRPr="00CC357F">
              <w:t>CLEPA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8E2B794" w14:textId="1135E6FD" w:rsidR="00861561" w:rsidRPr="009979EA" w:rsidRDefault="00861561" w:rsidP="006912D1">
            <w:pPr>
              <w:suppressAutoHyphens w:val="0"/>
              <w:spacing w:line="240" w:lineRule="auto"/>
            </w:pPr>
            <w:r w:rsidRPr="00CC357F">
              <w:t>Klaus.pilatus@autoliv.com</w:t>
            </w:r>
          </w:p>
        </w:tc>
      </w:tr>
      <w:tr w:rsidR="00861561" w:rsidRPr="009979EA" w14:paraId="35D7947E"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AC58B5C" w14:textId="2A6B5517" w:rsidR="00861561" w:rsidRPr="009979EA" w:rsidRDefault="00861561" w:rsidP="006912D1">
            <w:pPr>
              <w:suppressAutoHyphens w:val="0"/>
              <w:spacing w:line="240" w:lineRule="auto"/>
              <w:rPr>
                <w:rFonts w:eastAsia="MS Mincho"/>
                <w:lang w:eastAsia="ja-JP"/>
              </w:rPr>
            </w:pPr>
            <w:r w:rsidRPr="006B479F">
              <w:t>Dave Madsen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77FFD3F" w14:textId="5BEB26BD" w:rsidR="00861561" w:rsidRPr="009979EA" w:rsidRDefault="00861561" w:rsidP="006912D1">
            <w:pPr>
              <w:suppressAutoHyphens w:val="0"/>
              <w:spacing w:line="240" w:lineRule="auto"/>
            </w:pPr>
            <w:r w:rsidRPr="00CC357F">
              <w:t>COSTHA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42335E6" w14:textId="673A0EA7" w:rsidR="00861561" w:rsidRPr="009979EA" w:rsidRDefault="00861561" w:rsidP="006912D1">
            <w:pPr>
              <w:suppressAutoHyphens w:val="0"/>
              <w:spacing w:line="240" w:lineRule="auto"/>
            </w:pPr>
            <w:r w:rsidRPr="00CC357F">
              <w:t>dave.madsen@autoliv.com</w:t>
            </w:r>
          </w:p>
        </w:tc>
      </w:tr>
      <w:tr w:rsidR="00861561" w:rsidRPr="009979EA" w14:paraId="01F1047E"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A687ABE" w14:textId="50EA38DF" w:rsidR="00861561" w:rsidRPr="009979EA" w:rsidRDefault="00861561" w:rsidP="006912D1">
            <w:pPr>
              <w:suppressAutoHyphens w:val="0"/>
              <w:spacing w:line="240" w:lineRule="auto"/>
              <w:rPr>
                <w:rFonts w:eastAsia="MS Mincho"/>
                <w:lang w:eastAsia="ja-JP"/>
              </w:rPr>
            </w:pPr>
            <w:r w:rsidRPr="006B479F">
              <w:t>David Boston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539A41E" w14:textId="39510F62" w:rsidR="00861561" w:rsidRPr="009979EA" w:rsidRDefault="00861561" w:rsidP="006912D1">
            <w:pPr>
              <w:suppressAutoHyphens w:val="0"/>
              <w:spacing w:line="240" w:lineRule="auto"/>
            </w:pPr>
            <w:r w:rsidRPr="00CC357F">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F59C541" w14:textId="75C7FFF6" w:rsidR="00861561" w:rsidRPr="009979EA" w:rsidRDefault="00861561" w:rsidP="006912D1">
            <w:pPr>
              <w:suppressAutoHyphens w:val="0"/>
              <w:spacing w:line="240" w:lineRule="auto"/>
            </w:pPr>
            <w:r w:rsidRPr="00CC357F">
              <w:t>dboston@ime.org</w:t>
            </w:r>
          </w:p>
        </w:tc>
      </w:tr>
      <w:tr w:rsidR="00861561" w:rsidRPr="009979EA" w14:paraId="7BDBA894"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645F9E4" w14:textId="161E142E" w:rsidR="00861561" w:rsidRPr="009979EA" w:rsidRDefault="00861561" w:rsidP="006912D1">
            <w:pPr>
              <w:suppressAutoHyphens w:val="0"/>
              <w:spacing w:line="240" w:lineRule="auto"/>
              <w:rPr>
                <w:rFonts w:eastAsia="MS Mincho"/>
                <w:lang w:eastAsia="ja-JP"/>
              </w:rPr>
            </w:pPr>
            <w:r w:rsidRPr="006B479F">
              <w:t>Jackson Shaver</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5906870" w14:textId="14B366A6" w:rsidR="00861561" w:rsidRPr="009979EA" w:rsidRDefault="00861561" w:rsidP="006912D1">
            <w:pPr>
              <w:suppressAutoHyphens w:val="0"/>
              <w:spacing w:line="240" w:lineRule="auto"/>
            </w:pPr>
            <w:r w:rsidRPr="00CC357F">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0035B8A" w14:textId="41759F88" w:rsidR="00861561" w:rsidRPr="009979EA" w:rsidRDefault="00861561" w:rsidP="006912D1">
            <w:pPr>
              <w:suppressAutoHyphens w:val="0"/>
              <w:spacing w:line="240" w:lineRule="auto"/>
            </w:pPr>
            <w:r w:rsidRPr="00CC357F">
              <w:t>jackson.shaver@sdi.daicel.com</w:t>
            </w:r>
          </w:p>
        </w:tc>
      </w:tr>
      <w:tr w:rsidR="00861561" w:rsidRPr="009979EA" w14:paraId="4FE4DC96"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4DF21BD" w14:textId="56FEBC4D" w:rsidR="00861561" w:rsidRPr="009979EA" w:rsidRDefault="00861561" w:rsidP="006912D1">
            <w:pPr>
              <w:suppressAutoHyphens w:val="0"/>
              <w:spacing w:line="240" w:lineRule="auto"/>
              <w:rPr>
                <w:rFonts w:eastAsia="MS Mincho"/>
                <w:lang w:eastAsia="ja-JP"/>
              </w:rPr>
            </w:pPr>
            <w:r w:rsidRPr="006B479F">
              <w:t>Noel Hsu</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F1E1FC2" w14:textId="58760B35" w:rsidR="00861561" w:rsidRPr="009979EA" w:rsidRDefault="00861561" w:rsidP="006912D1">
            <w:pPr>
              <w:suppressAutoHyphens w:val="0"/>
              <w:spacing w:line="240" w:lineRule="auto"/>
            </w:pPr>
            <w:r w:rsidRPr="00CC357F">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1B535FB" w14:textId="4398D22F" w:rsidR="00861561" w:rsidRPr="009979EA" w:rsidRDefault="00861561" w:rsidP="006912D1">
            <w:pPr>
              <w:suppressAutoHyphens w:val="0"/>
              <w:spacing w:line="240" w:lineRule="auto"/>
            </w:pPr>
            <w:r w:rsidRPr="00CC357F">
              <w:t>noel.hsu@orica.com</w:t>
            </w:r>
          </w:p>
        </w:tc>
      </w:tr>
      <w:tr w:rsidR="00861561" w:rsidRPr="009979EA" w14:paraId="19BFD1DF"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9EF50D1" w14:textId="343713DB" w:rsidR="00861561" w:rsidRPr="009979EA" w:rsidRDefault="00861561" w:rsidP="006912D1">
            <w:pPr>
              <w:suppressAutoHyphens w:val="0"/>
              <w:spacing w:line="240" w:lineRule="auto"/>
              <w:rPr>
                <w:rFonts w:eastAsia="MS Mincho"/>
                <w:lang w:eastAsia="ja-JP"/>
              </w:rPr>
            </w:pPr>
            <w:r w:rsidRPr="006B479F">
              <w:t>Ben Barrett</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CFC321A" w14:textId="58C43E6C" w:rsidR="00861561" w:rsidRPr="009979EA" w:rsidRDefault="00861561" w:rsidP="006912D1">
            <w:pPr>
              <w:suppressAutoHyphens w:val="0"/>
              <w:spacing w:line="240" w:lineRule="auto"/>
            </w:pPr>
            <w:r w:rsidRPr="00CC357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21AD08F" w14:textId="7B9B9DE8" w:rsidR="00861561" w:rsidRPr="009979EA" w:rsidRDefault="00861561" w:rsidP="006912D1">
            <w:pPr>
              <w:suppressAutoHyphens w:val="0"/>
              <w:spacing w:line="240" w:lineRule="auto"/>
            </w:pPr>
            <w:r w:rsidRPr="00CC357F">
              <w:t>ben.barrett@dgadvisor.com</w:t>
            </w:r>
          </w:p>
        </w:tc>
      </w:tr>
      <w:tr w:rsidR="00861561" w:rsidRPr="009979EA" w14:paraId="18690A35"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EE31C45" w14:textId="175464FD" w:rsidR="00861561" w:rsidRPr="009979EA" w:rsidRDefault="00861561" w:rsidP="006912D1">
            <w:pPr>
              <w:suppressAutoHyphens w:val="0"/>
              <w:spacing w:line="240" w:lineRule="auto"/>
              <w:rPr>
                <w:rFonts w:eastAsia="MS Mincho"/>
                <w:lang w:eastAsia="ja-JP"/>
              </w:rPr>
            </w:pPr>
            <w:r w:rsidRPr="006B479F">
              <w:t>Brian Osowiecki</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9C06F1E" w14:textId="1C05C3F8" w:rsidR="00861561" w:rsidRPr="009979EA" w:rsidRDefault="00861561" w:rsidP="006912D1">
            <w:pPr>
              <w:suppressAutoHyphens w:val="0"/>
              <w:spacing w:line="240" w:lineRule="auto"/>
            </w:pPr>
            <w:r w:rsidRPr="00CC357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67382AE" w14:textId="243BD025" w:rsidR="00861561" w:rsidRPr="009979EA" w:rsidRDefault="00861561" w:rsidP="006912D1">
            <w:pPr>
              <w:suppressAutoHyphens w:val="0"/>
              <w:spacing w:line="240" w:lineRule="auto"/>
            </w:pPr>
            <w:r w:rsidRPr="00CC357F">
              <w:t>bosowiecki@saami.org</w:t>
            </w:r>
          </w:p>
        </w:tc>
      </w:tr>
      <w:tr w:rsidR="00861561" w:rsidRPr="009979EA" w14:paraId="051F8640"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0B94130" w14:textId="3C0E2730" w:rsidR="00861561" w:rsidRPr="009979EA" w:rsidRDefault="00861561" w:rsidP="006912D1">
            <w:pPr>
              <w:suppressAutoHyphens w:val="0"/>
              <w:spacing w:line="240" w:lineRule="auto"/>
              <w:rPr>
                <w:rFonts w:eastAsia="MS Mincho"/>
                <w:lang w:eastAsia="ja-JP"/>
              </w:rPr>
            </w:pPr>
            <w:r w:rsidRPr="006B479F">
              <w:t>Kyle Barrett</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E068F2D" w14:textId="25ACE71F" w:rsidR="00861561" w:rsidRPr="009979EA" w:rsidRDefault="00861561" w:rsidP="006912D1">
            <w:pPr>
              <w:suppressAutoHyphens w:val="0"/>
              <w:spacing w:line="240" w:lineRule="auto"/>
            </w:pPr>
            <w:r w:rsidRPr="00CC357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CAF88CA" w14:textId="752B5545" w:rsidR="00861561" w:rsidRPr="009979EA" w:rsidRDefault="00861561" w:rsidP="006912D1">
            <w:pPr>
              <w:suppressAutoHyphens w:val="0"/>
              <w:spacing w:line="240" w:lineRule="auto"/>
            </w:pPr>
            <w:r w:rsidRPr="00CC357F">
              <w:t>kylebarrett96@gmail.com</w:t>
            </w:r>
          </w:p>
        </w:tc>
      </w:tr>
      <w:tr w:rsidR="00861561" w:rsidRPr="009979EA" w14:paraId="03EEB371"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56E0910" w14:textId="1CDADFA0" w:rsidR="00861561" w:rsidRPr="009979EA" w:rsidRDefault="00861561" w:rsidP="006912D1">
            <w:pPr>
              <w:suppressAutoHyphens w:val="0"/>
              <w:spacing w:line="240" w:lineRule="auto"/>
              <w:rPr>
                <w:rFonts w:eastAsia="MS Mincho"/>
                <w:lang w:eastAsia="ja-JP"/>
              </w:rPr>
            </w:pPr>
            <w:r w:rsidRPr="006B479F">
              <w:t>Marie-France Dagenais</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95E6D0E" w14:textId="1A731D13" w:rsidR="00861561" w:rsidRPr="009979EA" w:rsidRDefault="00861561" w:rsidP="006912D1">
            <w:pPr>
              <w:suppressAutoHyphens w:val="0"/>
              <w:spacing w:line="240" w:lineRule="auto"/>
            </w:pPr>
            <w:r w:rsidRPr="00CC357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68A5515" w14:textId="4D2F0FAF" w:rsidR="00861561" w:rsidRPr="009979EA" w:rsidRDefault="00861561" w:rsidP="006912D1">
            <w:pPr>
              <w:suppressAutoHyphens w:val="0"/>
              <w:spacing w:line="240" w:lineRule="auto"/>
            </w:pPr>
            <w:r w:rsidRPr="00CC357F">
              <w:t>mfdagenais@dgadvisor.com</w:t>
            </w:r>
          </w:p>
        </w:tc>
      </w:tr>
      <w:tr w:rsidR="00861561" w:rsidRPr="009979EA" w14:paraId="6E103BE6"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7669AFD" w14:textId="091F4FEE" w:rsidR="00861561" w:rsidRPr="009979EA" w:rsidRDefault="00861561" w:rsidP="006912D1">
            <w:pPr>
              <w:suppressAutoHyphens w:val="0"/>
              <w:spacing w:line="240" w:lineRule="auto"/>
              <w:rPr>
                <w:rFonts w:eastAsia="MS Mincho"/>
                <w:lang w:eastAsia="ja-JP"/>
              </w:rPr>
            </w:pPr>
            <w:r w:rsidRPr="006B479F">
              <w:t>Matthew Spencer</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654CACE" w14:textId="217985BE" w:rsidR="00861561" w:rsidRPr="009979EA" w:rsidRDefault="00861561" w:rsidP="006912D1">
            <w:pPr>
              <w:suppressAutoHyphens w:val="0"/>
              <w:spacing w:line="240" w:lineRule="auto"/>
            </w:pPr>
            <w:r w:rsidRPr="00CC357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DF51414" w14:textId="4E0C8358" w:rsidR="00861561" w:rsidRPr="009979EA" w:rsidRDefault="00861561" w:rsidP="006912D1">
            <w:pPr>
              <w:suppressAutoHyphens w:val="0"/>
              <w:spacing w:line="240" w:lineRule="auto"/>
            </w:pPr>
            <w:r w:rsidRPr="00CC357F">
              <w:t>mspencer@hornady.com</w:t>
            </w:r>
          </w:p>
        </w:tc>
      </w:tr>
      <w:tr w:rsidR="00861561" w:rsidRPr="009979EA" w14:paraId="492D9DA4" w14:textId="77777777" w:rsidTr="00861561">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FD6D179" w14:textId="62F9C787" w:rsidR="00861561" w:rsidRPr="009979EA" w:rsidRDefault="00861561" w:rsidP="006912D1">
            <w:pPr>
              <w:suppressAutoHyphens w:val="0"/>
              <w:spacing w:line="240" w:lineRule="auto"/>
              <w:rPr>
                <w:rFonts w:eastAsia="MS Mincho"/>
                <w:lang w:eastAsia="ja-JP"/>
              </w:rPr>
            </w:pPr>
            <w:r w:rsidRPr="006B479F">
              <w:t>Robert Ford</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F2F16F3" w14:textId="51179F15" w:rsidR="00861561" w:rsidRPr="009979EA" w:rsidRDefault="00861561" w:rsidP="006912D1">
            <w:pPr>
              <w:suppressAutoHyphens w:val="0"/>
              <w:spacing w:line="240" w:lineRule="auto"/>
            </w:pPr>
            <w:r w:rsidRPr="00CC357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C905C30" w14:textId="123ED9D9" w:rsidR="00861561" w:rsidRPr="009979EA" w:rsidRDefault="00861561" w:rsidP="006912D1">
            <w:pPr>
              <w:suppressAutoHyphens w:val="0"/>
              <w:spacing w:line="240" w:lineRule="auto"/>
            </w:pPr>
            <w:r w:rsidRPr="00CC357F">
              <w:t>rford@smsenergetics.com</w:t>
            </w:r>
          </w:p>
        </w:tc>
      </w:tr>
    </w:tbl>
    <w:p w14:paraId="451A091D" w14:textId="77777777" w:rsidR="00AF5B84" w:rsidRPr="009979EA" w:rsidRDefault="00AF5B84" w:rsidP="00E16005">
      <w:pPr>
        <w:pStyle w:val="SingleTxtG"/>
        <w:rPr>
          <w:rFonts w:eastAsia="MS Mincho"/>
          <w:lang w:eastAsia="ja-JP"/>
        </w:rPr>
      </w:pPr>
    </w:p>
    <w:p w14:paraId="12DC86AA" w14:textId="7F1521E1" w:rsidR="004964DE" w:rsidRPr="009979EA" w:rsidRDefault="004964DE" w:rsidP="002B1C3B">
      <w:pPr>
        <w:pStyle w:val="HChG"/>
        <w:ind w:left="0" w:right="39" w:firstLine="0"/>
        <w:rPr>
          <w:rFonts w:eastAsia="MS Mincho"/>
          <w:sz w:val="26"/>
          <w:lang w:eastAsia="ja-JP"/>
        </w:rPr>
      </w:pPr>
      <w:r w:rsidRPr="009979EA">
        <w:rPr>
          <w:rFonts w:eastAsia="MS Mincho"/>
          <w:lang w:eastAsia="ja-JP"/>
        </w:rPr>
        <w:br w:type="page"/>
      </w:r>
      <w:bookmarkStart w:id="14" w:name="Annex2"/>
      <w:bookmarkEnd w:id="14"/>
      <w:r w:rsidRPr="009979EA">
        <w:rPr>
          <w:rFonts w:eastAsia="MS Mincho"/>
          <w:lang w:eastAsia="ja-JP"/>
        </w:rPr>
        <w:lastRenderedPageBreak/>
        <w:t>Annex 2</w:t>
      </w:r>
      <w:r w:rsidRPr="009979EA">
        <w:rPr>
          <w:rFonts w:eastAsia="MS Mincho"/>
          <w:lang w:eastAsia="ja-JP"/>
        </w:rPr>
        <w:br/>
      </w:r>
      <w:r w:rsidR="002200BC" w:rsidRPr="009979EA">
        <w:rPr>
          <w:rFonts w:eastAsia="MS Mincho"/>
          <w:sz w:val="26"/>
          <w:lang w:eastAsia="ja-JP"/>
        </w:rPr>
        <w:t xml:space="preserve">Working Group on Explosives </w:t>
      </w:r>
      <w:r w:rsidR="00B106E2" w:rsidRPr="009979EA">
        <w:rPr>
          <w:rFonts w:eastAsia="MS Mincho"/>
          <w:sz w:val="26"/>
          <w:lang w:eastAsia="ja-JP"/>
        </w:rPr>
        <w:t>(25 – 29 June 2018)</w:t>
      </w:r>
      <w:r w:rsidR="002200BC" w:rsidRPr="009979EA">
        <w:rPr>
          <w:rFonts w:eastAsia="MS Mincho"/>
          <w:sz w:val="26"/>
          <w:lang w:eastAsia="ja-JP"/>
        </w:rPr>
        <w:br/>
      </w:r>
      <w:r w:rsidRPr="009979EA">
        <w:rPr>
          <w:rFonts w:eastAsia="MS Mincho"/>
          <w:sz w:val="26"/>
          <w:lang w:eastAsia="ja-JP"/>
        </w:rPr>
        <w:t>Changes for the Model Regulations</w:t>
      </w:r>
      <w:r w:rsidR="00033A5E" w:rsidRPr="009979EA">
        <w:rPr>
          <w:rFonts w:eastAsia="MS Mincho"/>
          <w:sz w:val="26"/>
          <w:lang w:eastAsia="ja-JP"/>
        </w:rPr>
        <w:t xml:space="preserve"> (</w:t>
      </w:r>
      <w:r w:rsidR="00E16005" w:rsidRPr="009979EA">
        <w:rPr>
          <w:rFonts w:eastAsia="MS Mincho"/>
          <w:sz w:val="26"/>
          <w:lang w:eastAsia="ja-JP"/>
        </w:rPr>
        <w:t>20</w:t>
      </w:r>
      <w:r w:rsidR="00033A5E" w:rsidRPr="009979EA">
        <w:rPr>
          <w:rFonts w:eastAsia="MS Mincho"/>
          <w:sz w:val="26"/>
          <w:lang w:eastAsia="ja-JP"/>
        </w:rPr>
        <w:t>th Revised Edition)</w:t>
      </w:r>
    </w:p>
    <w:p w14:paraId="3126D52A" w14:textId="77777777" w:rsidR="001344C8" w:rsidRPr="009979EA" w:rsidRDefault="001344C8" w:rsidP="001344C8">
      <w:pPr>
        <w:tabs>
          <w:tab w:val="left" w:pos="720"/>
        </w:tabs>
        <w:spacing w:line="240" w:lineRule="auto"/>
        <w:ind w:right="43"/>
        <w:rPr>
          <w:b/>
        </w:rPr>
      </w:pPr>
      <w:bookmarkStart w:id="15" w:name="_Hlk495037913"/>
      <w:r w:rsidRPr="009979EA">
        <w:rPr>
          <w:rFonts w:eastAsia="MS Mincho"/>
          <w:lang w:eastAsia="ja-JP"/>
        </w:rPr>
        <w:t xml:space="preserve">Notes:  Source of proposed change is indicated by </w:t>
      </w:r>
      <w:r w:rsidRPr="009979EA">
        <w:rPr>
          <w:rFonts w:eastAsia="MS Mincho"/>
          <w:i/>
          <w:lang w:eastAsia="ja-JP"/>
        </w:rPr>
        <w:t>italicized text (Source:  XXX)</w:t>
      </w:r>
      <w:r w:rsidRPr="009979EA">
        <w:rPr>
          <w:b/>
        </w:rPr>
        <w:t xml:space="preserve">  </w:t>
      </w:r>
    </w:p>
    <w:p w14:paraId="39CC88F2" w14:textId="77777777" w:rsidR="001344C8" w:rsidRPr="009979EA" w:rsidRDefault="001344C8" w:rsidP="001344C8">
      <w:pPr>
        <w:tabs>
          <w:tab w:val="left" w:pos="630"/>
        </w:tabs>
        <w:spacing w:line="240" w:lineRule="auto"/>
        <w:ind w:right="43"/>
      </w:pPr>
      <w:r w:rsidRPr="009979EA">
        <w:rPr>
          <w:color w:val="FF0000"/>
        </w:rPr>
        <w:tab/>
      </w:r>
      <w:r w:rsidRPr="009979EA">
        <w:rPr>
          <w:strike/>
          <w:color w:val="FF0000"/>
        </w:rPr>
        <w:t>Red</w:t>
      </w:r>
      <w:r w:rsidRPr="009979EA">
        <w:t xml:space="preserve"> indicates deleted text</w:t>
      </w:r>
    </w:p>
    <w:p w14:paraId="76AE79D6" w14:textId="77777777" w:rsidR="004964DE" w:rsidRPr="009979EA" w:rsidRDefault="001344C8" w:rsidP="001344C8">
      <w:pPr>
        <w:tabs>
          <w:tab w:val="left" w:pos="630"/>
        </w:tabs>
        <w:spacing w:after="120" w:line="240" w:lineRule="auto"/>
        <w:ind w:right="43"/>
        <w:rPr>
          <w:rFonts w:eastAsia="MS Mincho"/>
          <w:lang w:eastAsia="ja-JP"/>
        </w:rPr>
      </w:pPr>
      <w:r w:rsidRPr="009979EA">
        <w:rPr>
          <w:color w:val="0070C0"/>
        </w:rPr>
        <w:tab/>
      </w:r>
      <w:r w:rsidRPr="009979EA">
        <w:rPr>
          <w:color w:val="0070C0"/>
          <w:u w:val="single"/>
        </w:rPr>
        <w:t>Blue</w:t>
      </w:r>
      <w:r w:rsidRPr="009979EA">
        <w:rPr>
          <w:color w:val="0070C0"/>
        </w:rPr>
        <w:t xml:space="preserve"> </w:t>
      </w:r>
      <w:r w:rsidRPr="009979EA">
        <w:t>indicates inserted text</w:t>
      </w:r>
    </w:p>
    <w:p w14:paraId="60C37A98" w14:textId="58334AD3" w:rsidR="00FE138B" w:rsidRPr="009979EA" w:rsidRDefault="00A86275" w:rsidP="009A3B26">
      <w:pPr>
        <w:pStyle w:val="SingleTxtG"/>
        <w:widowControl w:val="0"/>
        <w:numPr>
          <w:ilvl w:val="0"/>
          <w:numId w:val="5"/>
        </w:numPr>
        <w:pBdr>
          <w:top w:val="single" w:sz="4" w:space="0" w:color="auto"/>
        </w:pBdr>
        <w:suppressAutoHyphens w:val="0"/>
        <w:spacing w:line="240" w:lineRule="auto"/>
        <w:ind w:right="43"/>
        <w:rPr>
          <w:b/>
        </w:rPr>
      </w:pPr>
      <w:r>
        <w:rPr>
          <w:b/>
          <w:u w:val="single"/>
        </w:rPr>
        <w:t>Chapter 1.4</w:t>
      </w:r>
      <w:r w:rsidRPr="001D2BAF">
        <w:t xml:space="preserve"> – Add entries 05X1 and 05X2 to Table 1.4.1 as shown below:</w:t>
      </w:r>
    </w:p>
    <w:p w14:paraId="238B059E" w14:textId="77777777" w:rsidR="00D41964" w:rsidRPr="001D2BAF" w:rsidRDefault="00D41964" w:rsidP="00D41964">
      <w:pPr>
        <w:pStyle w:val="SingleTxtG"/>
        <w:widowControl w:val="0"/>
        <w:suppressAutoHyphens w:val="0"/>
        <w:spacing w:line="240" w:lineRule="auto"/>
        <w:ind w:left="567" w:right="639"/>
      </w:pPr>
      <w:r w:rsidRPr="001D2BAF">
        <w:t xml:space="preserve">Class 1, Division 1.1 explosives </w:t>
      </w:r>
    </w:p>
    <w:p w14:paraId="27634369" w14:textId="77777777" w:rsidR="00D41964" w:rsidRPr="001D2BAF" w:rsidRDefault="00D41964" w:rsidP="00D41964">
      <w:pPr>
        <w:pStyle w:val="SingleTxtG"/>
        <w:widowControl w:val="0"/>
        <w:suppressAutoHyphens w:val="0"/>
        <w:spacing w:line="240" w:lineRule="auto"/>
        <w:ind w:left="567" w:right="639"/>
      </w:pPr>
      <w:r w:rsidRPr="001D2BAF">
        <w:t xml:space="preserve">Class 1, Division 1.2 explosives </w:t>
      </w:r>
    </w:p>
    <w:p w14:paraId="261DD1C9" w14:textId="77777777" w:rsidR="00D41964" w:rsidRPr="001D2BAF" w:rsidRDefault="00D41964" w:rsidP="00D41964">
      <w:pPr>
        <w:pStyle w:val="SingleTxtG"/>
        <w:widowControl w:val="0"/>
        <w:suppressAutoHyphens w:val="0"/>
        <w:spacing w:line="240" w:lineRule="auto"/>
        <w:ind w:left="567" w:right="639"/>
      </w:pPr>
      <w:r w:rsidRPr="001D2BAF">
        <w:t xml:space="preserve">Class 1, Division 1.3 compatibility group C explosives </w:t>
      </w:r>
    </w:p>
    <w:p w14:paraId="4837AA7F" w14:textId="4BB81EB6" w:rsidR="00D41964" w:rsidRPr="001D2BAF" w:rsidRDefault="00D41964" w:rsidP="0023424F">
      <w:pPr>
        <w:pStyle w:val="SingleTxtG"/>
        <w:widowControl w:val="0"/>
        <w:suppressAutoHyphens w:val="0"/>
        <w:spacing w:after="240" w:line="240" w:lineRule="auto"/>
        <w:ind w:left="562" w:right="634"/>
        <w:rPr>
          <w:color w:val="0070C0"/>
          <w:u w:val="single"/>
        </w:rPr>
      </w:pPr>
      <w:r w:rsidRPr="001D2BAF">
        <w:t>Class 1, Division 1.4 UN Nos. 0104, 0237, 0255, 0267, 0289, 0361, 0365, 0366, 0440, 0441, 0455, 0456</w:t>
      </w:r>
      <w:r w:rsidR="0023424F" w:rsidRPr="001D2BAF">
        <w:rPr>
          <w:color w:val="0070C0"/>
          <w:u w:val="single"/>
        </w:rPr>
        <w:t>,</w:t>
      </w:r>
      <w:r w:rsidRPr="001D2BAF">
        <w:rPr>
          <w:color w:val="0070C0"/>
          <w:u w:val="single"/>
        </w:rPr>
        <w:t xml:space="preserve"> </w:t>
      </w:r>
      <w:r w:rsidRPr="001D2BAF">
        <w:rPr>
          <w:strike/>
          <w:color w:val="FF0000"/>
        </w:rPr>
        <w:t>and</w:t>
      </w:r>
      <w:r w:rsidRPr="001D2BAF">
        <w:t xml:space="preserve"> 0500</w:t>
      </w:r>
      <w:r w:rsidR="0023424F" w:rsidRPr="001D2BAF">
        <w:rPr>
          <w:color w:val="0070C0"/>
          <w:u w:val="single"/>
        </w:rPr>
        <w:t>, 05X1 and 05X2</w:t>
      </w:r>
    </w:p>
    <w:p w14:paraId="5654EB74" w14:textId="1E5D0BEA" w:rsidR="0023424F" w:rsidRDefault="0023424F" w:rsidP="0023424F">
      <w:pPr>
        <w:pStyle w:val="SingleTxtG"/>
        <w:widowControl w:val="0"/>
        <w:suppressAutoHyphens w:val="0"/>
        <w:spacing w:line="240" w:lineRule="auto"/>
        <w:ind w:left="0" w:right="39"/>
        <w:rPr>
          <w:i/>
        </w:rPr>
      </w:pPr>
      <w:r w:rsidRPr="009979EA">
        <w:rPr>
          <w:i/>
        </w:rPr>
        <w:t xml:space="preserve">Source:  Para. </w:t>
      </w:r>
      <w:r w:rsidR="001D2BAF">
        <w:rPr>
          <w:i/>
        </w:rPr>
        <w:t>6</w:t>
      </w:r>
      <w:r w:rsidRPr="009979EA">
        <w:rPr>
          <w:i/>
        </w:rPr>
        <w:t xml:space="preserve"> of this report.</w:t>
      </w:r>
    </w:p>
    <w:p w14:paraId="7A5B37D2" w14:textId="193B3F04" w:rsidR="00D41964" w:rsidRPr="00D41964" w:rsidRDefault="00A86275" w:rsidP="00D41964">
      <w:pPr>
        <w:pStyle w:val="SingleTxtG"/>
        <w:widowControl w:val="0"/>
        <w:numPr>
          <w:ilvl w:val="0"/>
          <w:numId w:val="5"/>
        </w:numPr>
        <w:pBdr>
          <w:top w:val="single" w:sz="4" w:space="0" w:color="auto"/>
        </w:pBdr>
        <w:suppressAutoHyphens w:val="0"/>
        <w:spacing w:line="240" w:lineRule="auto"/>
        <w:ind w:right="43"/>
        <w:rPr>
          <w:b/>
        </w:rPr>
      </w:pPr>
      <w:r w:rsidRPr="009979EA">
        <w:rPr>
          <w:b/>
          <w:u w:val="single"/>
        </w:rPr>
        <w:t>Chapter 3.2</w:t>
      </w:r>
      <w:r w:rsidRPr="009979EA">
        <w:rPr>
          <w:b/>
        </w:rPr>
        <w:t xml:space="preserve"> </w:t>
      </w:r>
      <w:r w:rsidRPr="009979EA">
        <w:t>– Add three new entries for electronic detonators as shown below:</w:t>
      </w:r>
    </w:p>
    <w:p w14:paraId="46430C15" w14:textId="3CC97FDE" w:rsidR="00FE138B" w:rsidRPr="009979EA" w:rsidRDefault="00FE138B" w:rsidP="009A4EB0">
      <w:pPr>
        <w:pStyle w:val="SingleTxtG"/>
        <w:widowControl w:val="0"/>
        <w:suppressAutoHyphens w:val="0"/>
        <w:spacing w:after="240" w:line="240" w:lineRule="auto"/>
        <w:ind w:left="0" w:right="43"/>
      </w:pPr>
    </w:p>
    <w:tbl>
      <w:tblPr>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985"/>
        <w:gridCol w:w="567"/>
        <w:gridCol w:w="567"/>
        <w:gridCol w:w="567"/>
        <w:gridCol w:w="567"/>
        <w:gridCol w:w="356"/>
        <w:gridCol w:w="352"/>
        <w:gridCol w:w="709"/>
        <w:gridCol w:w="709"/>
        <w:gridCol w:w="709"/>
        <w:gridCol w:w="708"/>
      </w:tblGrid>
      <w:tr w:rsidR="00FE138B" w:rsidRPr="00B501B7" w14:paraId="1479D0E3" w14:textId="77777777" w:rsidTr="00FE138B">
        <w:trPr>
          <w:trHeight w:hRule="exact" w:val="394"/>
        </w:trPr>
        <w:tc>
          <w:tcPr>
            <w:tcW w:w="425" w:type="dxa"/>
            <w:vMerge w:val="restart"/>
          </w:tcPr>
          <w:p w14:paraId="15336CEE" w14:textId="77777777" w:rsidR="00FE138B" w:rsidRPr="00B501B7" w:rsidRDefault="00FE138B" w:rsidP="009A4EB0">
            <w:pPr>
              <w:pStyle w:val="TableParagraph"/>
              <w:spacing w:before="8"/>
              <w:rPr>
                <w:sz w:val="14"/>
                <w:szCs w:val="14"/>
              </w:rPr>
            </w:pPr>
          </w:p>
          <w:p w14:paraId="70E69E21" w14:textId="77777777" w:rsidR="00FE138B" w:rsidRPr="00B501B7" w:rsidRDefault="00FE138B" w:rsidP="009A4EB0">
            <w:pPr>
              <w:pStyle w:val="TableParagraph"/>
              <w:rPr>
                <w:b/>
                <w:sz w:val="14"/>
                <w:szCs w:val="14"/>
              </w:rPr>
            </w:pPr>
            <w:r w:rsidRPr="00B501B7">
              <w:rPr>
                <w:b/>
                <w:sz w:val="14"/>
                <w:szCs w:val="14"/>
              </w:rPr>
              <w:t>UN</w:t>
            </w:r>
          </w:p>
          <w:p w14:paraId="5A4D569E" w14:textId="77777777" w:rsidR="00FE138B" w:rsidRPr="00B501B7" w:rsidRDefault="00FE138B" w:rsidP="009A4EB0">
            <w:pPr>
              <w:pStyle w:val="TableParagraph"/>
              <w:rPr>
                <w:b/>
                <w:sz w:val="14"/>
                <w:szCs w:val="14"/>
              </w:rPr>
            </w:pPr>
            <w:r w:rsidRPr="00B501B7">
              <w:rPr>
                <w:b/>
                <w:sz w:val="14"/>
                <w:szCs w:val="14"/>
              </w:rPr>
              <w:t>No.</w:t>
            </w:r>
          </w:p>
        </w:tc>
        <w:tc>
          <w:tcPr>
            <w:tcW w:w="1985" w:type="dxa"/>
            <w:vMerge w:val="restart"/>
          </w:tcPr>
          <w:p w14:paraId="6400C456" w14:textId="77777777" w:rsidR="00FE138B" w:rsidRPr="00B501B7" w:rsidRDefault="00FE138B" w:rsidP="009A4EB0">
            <w:pPr>
              <w:pStyle w:val="TableParagraph"/>
              <w:rPr>
                <w:sz w:val="14"/>
                <w:szCs w:val="14"/>
              </w:rPr>
            </w:pPr>
          </w:p>
          <w:p w14:paraId="0C790863" w14:textId="77777777" w:rsidR="00FE138B" w:rsidRPr="00B501B7" w:rsidRDefault="00FE138B" w:rsidP="009A4EB0">
            <w:pPr>
              <w:pStyle w:val="TableParagraph"/>
              <w:spacing w:before="7"/>
              <w:rPr>
                <w:sz w:val="14"/>
                <w:szCs w:val="14"/>
              </w:rPr>
            </w:pPr>
          </w:p>
          <w:p w14:paraId="1A437C15" w14:textId="77777777" w:rsidR="00FE138B" w:rsidRPr="00B501B7" w:rsidRDefault="00FE138B" w:rsidP="009A4EB0">
            <w:pPr>
              <w:pStyle w:val="TableParagraph"/>
              <w:spacing w:before="1"/>
              <w:rPr>
                <w:b/>
                <w:sz w:val="14"/>
                <w:szCs w:val="14"/>
              </w:rPr>
            </w:pPr>
            <w:r w:rsidRPr="00B501B7">
              <w:rPr>
                <w:b/>
                <w:sz w:val="14"/>
                <w:szCs w:val="14"/>
              </w:rPr>
              <w:t>Name and description</w:t>
            </w:r>
          </w:p>
        </w:tc>
        <w:tc>
          <w:tcPr>
            <w:tcW w:w="567" w:type="dxa"/>
            <w:vMerge w:val="restart"/>
          </w:tcPr>
          <w:p w14:paraId="29FBFB5C" w14:textId="77777777" w:rsidR="00FE138B" w:rsidRPr="00B501B7" w:rsidRDefault="00FE138B" w:rsidP="009A4EB0">
            <w:pPr>
              <w:pStyle w:val="TableParagraph"/>
              <w:spacing w:before="9"/>
              <w:rPr>
                <w:sz w:val="14"/>
                <w:szCs w:val="14"/>
              </w:rPr>
            </w:pPr>
          </w:p>
          <w:p w14:paraId="42E6C812" w14:textId="77777777" w:rsidR="00FE138B" w:rsidRPr="00B501B7" w:rsidRDefault="00FE138B" w:rsidP="009A4EB0">
            <w:pPr>
              <w:pStyle w:val="TableParagraph"/>
              <w:rPr>
                <w:b/>
                <w:sz w:val="14"/>
                <w:szCs w:val="14"/>
              </w:rPr>
            </w:pPr>
            <w:r w:rsidRPr="00B501B7">
              <w:rPr>
                <w:b/>
                <w:sz w:val="14"/>
                <w:szCs w:val="14"/>
              </w:rPr>
              <w:t xml:space="preserve">Class or  </w:t>
            </w:r>
            <w:r w:rsidRPr="00B501B7">
              <w:rPr>
                <w:b/>
                <w:spacing w:val="-1"/>
                <w:sz w:val="14"/>
                <w:szCs w:val="14"/>
              </w:rPr>
              <w:t>division</w:t>
            </w:r>
          </w:p>
        </w:tc>
        <w:tc>
          <w:tcPr>
            <w:tcW w:w="567" w:type="dxa"/>
            <w:vMerge w:val="restart"/>
          </w:tcPr>
          <w:p w14:paraId="2A96379A" w14:textId="77777777" w:rsidR="00FE138B" w:rsidRPr="00B501B7" w:rsidRDefault="00FE138B" w:rsidP="009A4EB0">
            <w:pPr>
              <w:pStyle w:val="TableParagraph"/>
              <w:spacing w:before="9"/>
              <w:rPr>
                <w:sz w:val="14"/>
                <w:szCs w:val="14"/>
              </w:rPr>
            </w:pPr>
          </w:p>
          <w:p w14:paraId="5FDFD959" w14:textId="77777777" w:rsidR="00FE138B" w:rsidRPr="00B501B7" w:rsidRDefault="00FE138B" w:rsidP="009A4EB0">
            <w:pPr>
              <w:pStyle w:val="TableParagraph"/>
              <w:rPr>
                <w:b/>
                <w:sz w:val="14"/>
                <w:szCs w:val="14"/>
              </w:rPr>
            </w:pPr>
            <w:r w:rsidRPr="00B501B7">
              <w:rPr>
                <w:b/>
                <w:sz w:val="14"/>
                <w:szCs w:val="14"/>
              </w:rPr>
              <w:t>Subsi- diary hazard</w:t>
            </w:r>
          </w:p>
        </w:tc>
        <w:tc>
          <w:tcPr>
            <w:tcW w:w="567" w:type="dxa"/>
            <w:vMerge w:val="restart"/>
          </w:tcPr>
          <w:p w14:paraId="29A21356" w14:textId="77777777" w:rsidR="00FE138B" w:rsidRPr="00B501B7" w:rsidRDefault="00FE138B" w:rsidP="009A4EB0">
            <w:pPr>
              <w:pStyle w:val="TableParagraph"/>
              <w:spacing w:before="9"/>
              <w:rPr>
                <w:sz w:val="14"/>
                <w:szCs w:val="14"/>
              </w:rPr>
            </w:pPr>
          </w:p>
          <w:p w14:paraId="49CC8237" w14:textId="77777777" w:rsidR="00FE138B" w:rsidRPr="00B501B7" w:rsidRDefault="00FE138B" w:rsidP="009A4EB0">
            <w:pPr>
              <w:pStyle w:val="TableParagraph"/>
              <w:spacing w:line="183" w:lineRule="exact"/>
              <w:rPr>
                <w:b/>
                <w:sz w:val="14"/>
                <w:szCs w:val="14"/>
              </w:rPr>
            </w:pPr>
            <w:r w:rsidRPr="00B501B7">
              <w:rPr>
                <w:b/>
                <w:sz w:val="14"/>
                <w:szCs w:val="14"/>
              </w:rPr>
              <w:t>UN</w:t>
            </w:r>
          </w:p>
          <w:p w14:paraId="45AC45C2" w14:textId="77777777" w:rsidR="00FE138B" w:rsidRPr="00B501B7" w:rsidRDefault="00FE138B" w:rsidP="009A4EB0">
            <w:pPr>
              <w:pStyle w:val="TableParagraph"/>
              <w:rPr>
                <w:b/>
                <w:sz w:val="14"/>
                <w:szCs w:val="14"/>
              </w:rPr>
            </w:pPr>
            <w:r w:rsidRPr="00B501B7">
              <w:rPr>
                <w:b/>
                <w:sz w:val="14"/>
                <w:szCs w:val="14"/>
              </w:rPr>
              <w:t>packing group</w:t>
            </w:r>
          </w:p>
        </w:tc>
        <w:tc>
          <w:tcPr>
            <w:tcW w:w="567" w:type="dxa"/>
            <w:vMerge w:val="restart"/>
          </w:tcPr>
          <w:p w14:paraId="7CFCEBC7" w14:textId="77777777" w:rsidR="00FE138B" w:rsidRPr="00B501B7" w:rsidRDefault="00FE138B" w:rsidP="009A4EB0">
            <w:pPr>
              <w:pStyle w:val="TableParagraph"/>
              <w:spacing w:before="9"/>
              <w:rPr>
                <w:sz w:val="14"/>
                <w:szCs w:val="14"/>
              </w:rPr>
            </w:pPr>
          </w:p>
          <w:p w14:paraId="0DEE3C5D" w14:textId="77777777" w:rsidR="00FE138B" w:rsidRPr="00B501B7" w:rsidRDefault="00FE138B" w:rsidP="009A4EB0">
            <w:pPr>
              <w:pStyle w:val="TableParagraph"/>
              <w:rPr>
                <w:b/>
                <w:sz w:val="14"/>
                <w:szCs w:val="14"/>
              </w:rPr>
            </w:pPr>
            <w:r w:rsidRPr="00B501B7">
              <w:rPr>
                <w:b/>
                <w:sz w:val="14"/>
                <w:szCs w:val="14"/>
              </w:rPr>
              <w:t>Special provi- sions</w:t>
            </w:r>
          </w:p>
        </w:tc>
        <w:tc>
          <w:tcPr>
            <w:tcW w:w="708" w:type="dxa"/>
            <w:gridSpan w:val="2"/>
            <w:vMerge w:val="restart"/>
          </w:tcPr>
          <w:p w14:paraId="078E740F" w14:textId="77777777" w:rsidR="00FE138B" w:rsidRPr="00B501B7" w:rsidRDefault="00FE138B" w:rsidP="009A4EB0">
            <w:pPr>
              <w:pStyle w:val="TableParagraph"/>
              <w:spacing w:before="9"/>
              <w:rPr>
                <w:sz w:val="14"/>
                <w:szCs w:val="14"/>
              </w:rPr>
            </w:pPr>
          </w:p>
          <w:p w14:paraId="7F0726BB" w14:textId="77777777" w:rsidR="00FE138B" w:rsidRPr="00B501B7" w:rsidRDefault="00FE138B" w:rsidP="009A4EB0">
            <w:pPr>
              <w:pStyle w:val="TableParagraph"/>
              <w:rPr>
                <w:b/>
                <w:sz w:val="14"/>
                <w:szCs w:val="14"/>
              </w:rPr>
            </w:pPr>
            <w:r w:rsidRPr="00B501B7">
              <w:rPr>
                <w:b/>
                <w:sz w:val="14"/>
                <w:szCs w:val="14"/>
              </w:rPr>
              <w:t>Limited and excepted quantities</w:t>
            </w:r>
          </w:p>
        </w:tc>
        <w:tc>
          <w:tcPr>
            <w:tcW w:w="1418" w:type="dxa"/>
            <w:gridSpan w:val="2"/>
          </w:tcPr>
          <w:p w14:paraId="5065D87B" w14:textId="77777777" w:rsidR="00FE138B" w:rsidRPr="00B501B7" w:rsidRDefault="00FE138B" w:rsidP="009A4EB0">
            <w:pPr>
              <w:pStyle w:val="TableParagraph"/>
              <w:spacing w:before="99"/>
              <w:rPr>
                <w:b/>
                <w:sz w:val="14"/>
                <w:szCs w:val="14"/>
              </w:rPr>
            </w:pPr>
            <w:r w:rsidRPr="00B501B7">
              <w:rPr>
                <w:b/>
                <w:sz w:val="14"/>
                <w:szCs w:val="14"/>
              </w:rPr>
              <w:t>Packagings and IBCs</w:t>
            </w:r>
          </w:p>
        </w:tc>
        <w:tc>
          <w:tcPr>
            <w:tcW w:w="1417" w:type="dxa"/>
            <w:gridSpan w:val="2"/>
          </w:tcPr>
          <w:p w14:paraId="6E2ECCF5" w14:textId="77777777" w:rsidR="00FE138B" w:rsidRPr="00B501B7" w:rsidRDefault="00FE138B" w:rsidP="009A4EB0">
            <w:pPr>
              <w:pStyle w:val="TableParagraph"/>
              <w:spacing w:before="8"/>
              <w:rPr>
                <w:b/>
                <w:sz w:val="14"/>
                <w:szCs w:val="14"/>
              </w:rPr>
            </w:pPr>
            <w:r w:rsidRPr="00B501B7">
              <w:rPr>
                <w:b/>
                <w:sz w:val="14"/>
                <w:szCs w:val="14"/>
              </w:rPr>
              <w:t>Portable tanks and bulk containers</w:t>
            </w:r>
          </w:p>
        </w:tc>
      </w:tr>
      <w:tr w:rsidR="00FE138B" w:rsidRPr="00B501B7" w14:paraId="17E0BF67" w14:textId="77777777" w:rsidTr="00FE138B">
        <w:trPr>
          <w:trHeight w:hRule="exact" w:val="578"/>
        </w:trPr>
        <w:tc>
          <w:tcPr>
            <w:tcW w:w="425" w:type="dxa"/>
            <w:vMerge/>
          </w:tcPr>
          <w:p w14:paraId="204F4DF0" w14:textId="77777777" w:rsidR="00FE138B" w:rsidRPr="00B501B7" w:rsidRDefault="00FE138B" w:rsidP="009A4EB0">
            <w:pPr>
              <w:widowControl w:val="0"/>
              <w:suppressAutoHyphens w:val="0"/>
              <w:rPr>
                <w:sz w:val="14"/>
                <w:szCs w:val="14"/>
              </w:rPr>
            </w:pPr>
          </w:p>
        </w:tc>
        <w:tc>
          <w:tcPr>
            <w:tcW w:w="1985" w:type="dxa"/>
            <w:vMerge/>
          </w:tcPr>
          <w:p w14:paraId="1D6DAFE1" w14:textId="77777777" w:rsidR="00FE138B" w:rsidRPr="00B501B7" w:rsidRDefault="00FE138B" w:rsidP="009A4EB0">
            <w:pPr>
              <w:widowControl w:val="0"/>
              <w:suppressAutoHyphens w:val="0"/>
              <w:rPr>
                <w:sz w:val="14"/>
                <w:szCs w:val="14"/>
              </w:rPr>
            </w:pPr>
          </w:p>
        </w:tc>
        <w:tc>
          <w:tcPr>
            <w:tcW w:w="567" w:type="dxa"/>
            <w:vMerge/>
          </w:tcPr>
          <w:p w14:paraId="14010D5A" w14:textId="77777777" w:rsidR="00FE138B" w:rsidRPr="00B501B7" w:rsidRDefault="00FE138B" w:rsidP="009A4EB0">
            <w:pPr>
              <w:widowControl w:val="0"/>
              <w:suppressAutoHyphens w:val="0"/>
              <w:rPr>
                <w:sz w:val="14"/>
                <w:szCs w:val="14"/>
              </w:rPr>
            </w:pPr>
          </w:p>
        </w:tc>
        <w:tc>
          <w:tcPr>
            <w:tcW w:w="567" w:type="dxa"/>
            <w:vMerge/>
          </w:tcPr>
          <w:p w14:paraId="0769FB88" w14:textId="77777777" w:rsidR="00FE138B" w:rsidRPr="00B501B7" w:rsidRDefault="00FE138B" w:rsidP="009A4EB0">
            <w:pPr>
              <w:widowControl w:val="0"/>
              <w:suppressAutoHyphens w:val="0"/>
              <w:rPr>
                <w:sz w:val="14"/>
                <w:szCs w:val="14"/>
              </w:rPr>
            </w:pPr>
          </w:p>
        </w:tc>
        <w:tc>
          <w:tcPr>
            <w:tcW w:w="567" w:type="dxa"/>
            <w:vMerge/>
          </w:tcPr>
          <w:p w14:paraId="07E34EFA" w14:textId="77777777" w:rsidR="00FE138B" w:rsidRPr="00B501B7" w:rsidRDefault="00FE138B" w:rsidP="009A4EB0">
            <w:pPr>
              <w:widowControl w:val="0"/>
              <w:suppressAutoHyphens w:val="0"/>
              <w:rPr>
                <w:sz w:val="14"/>
                <w:szCs w:val="14"/>
              </w:rPr>
            </w:pPr>
          </w:p>
        </w:tc>
        <w:tc>
          <w:tcPr>
            <w:tcW w:w="567" w:type="dxa"/>
            <w:vMerge/>
          </w:tcPr>
          <w:p w14:paraId="365973A2" w14:textId="77777777" w:rsidR="00FE138B" w:rsidRPr="00B501B7" w:rsidRDefault="00FE138B" w:rsidP="009A4EB0">
            <w:pPr>
              <w:widowControl w:val="0"/>
              <w:suppressAutoHyphens w:val="0"/>
              <w:rPr>
                <w:sz w:val="14"/>
                <w:szCs w:val="14"/>
              </w:rPr>
            </w:pPr>
          </w:p>
        </w:tc>
        <w:tc>
          <w:tcPr>
            <w:tcW w:w="708" w:type="dxa"/>
            <w:gridSpan w:val="2"/>
            <w:vMerge/>
          </w:tcPr>
          <w:p w14:paraId="20B5EB24" w14:textId="77777777" w:rsidR="00FE138B" w:rsidRPr="00B501B7" w:rsidRDefault="00FE138B" w:rsidP="009A4EB0">
            <w:pPr>
              <w:widowControl w:val="0"/>
              <w:suppressAutoHyphens w:val="0"/>
              <w:rPr>
                <w:sz w:val="14"/>
                <w:szCs w:val="14"/>
              </w:rPr>
            </w:pPr>
          </w:p>
        </w:tc>
        <w:tc>
          <w:tcPr>
            <w:tcW w:w="709" w:type="dxa"/>
          </w:tcPr>
          <w:p w14:paraId="7E0A7D05" w14:textId="77777777" w:rsidR="00FE138B" w:rsidRPr="00B501B7" w:rsidRDefault="00FE138B" w:rsidP="009A4EB0">
            <w:pPr>
              <w:pStyle w:val="TableParagraph"/>
              <w:spacing w:before="99"/>
              <w:ind w:left="2" w:right="28" w:hanging="2"/>
              <w:rPr>
                <w:b/>
                <w:sz w:val="14"/>
                <w:szCs w:val="14"/>
              </w:rPr>
            </w:pPr>
            <w:r w:rsidRPr="00B501B7">
              <w:rPr>
                <w:b/>
                <w:sz w:val="14"/>
                <w:szCs w:val="14"/>
              </w:rPr>
              <w:t>Packing instruction</w:t>
            </w:r>
          </w:p>
        </w:tc>
        <w:tc>
          <w:tcPr>
            <w:tcW w:w="709" w:type="dxa"/>
          </w:tcPr>
          <w:p w14:paraId="736B2AD0" w14:textId="77777777" w:rsidR="00FE138B" w:rsidRPr="00B501B7" w:rsidRDefault="00FE138B" w:rsidP="009A4EB0">
            <w:pPr>
              <w:pStyle w:val="TableParagraph"/>
              <w:spacing w:before="8"/>
              <w:rPr>
                <w:b/>
                <w:sz w:val="14"/>
                <w:szCs w:val="14"/>
              </w:rPr>
            </w:pPr>
            <w:r w:rsidRPr="00B501B7">
              <w:rPr>
                <w:b/>
                <w:sz w:val="14"/>
                <w:szCs w:val="14"/>
              </w:rPr>
              <w:t>Special packing provisions</w:t>
            </w:r>
          </w:p>
        </w:tc>
        <w:tc>
          <w:tcPr>
            <w:tcW w:w="709" w:type="dxa"/>
          </w:tcPr>
          <w:p w14:paraId="71567375" w14:textId="77777777" w:rsidR="00FE138B" w:rsidRPr="00B501B7" w:rsidRDefault="00FE138B" w:rsidP="009A4EB0">
            <w:pPr>
              <w:pStyle w:val="TableParagraph"/>
              <w:spacing w:before="99"/>
              <w:ind w:left="-8" w:right="-9"/>
              <w:rPr>
                <w:b/>
                <w:sz w:val="14"/>
                <w:szCs w:val="14"/>
              </w:rPr>
            </w:pPr>
            <w:r w:rsidRPr="00B501B7">
              <w:rPr>
                <w:b/>
                <w:sz w:val="14"/>
                <w:szCs w:val="14"/>
              </w:rPr>
              <w:t>Instruc- tions</w:t>
            </w:r>
          </w:p>
        </w:tc>
        <w:tc>
          <w:tcPr>
            <w:tcW w:w="708" w:type="dxa"/>
          </w:tcPr>
          <w:p w14:paraId="1C984020" w14:textId="77777777" w:rsidR="00FE138B" w:rsidRPr="00B501B7" w:rsidRDefault="00FE138B" w:rsidP="009A4EB0">
            <w:pPr>
              <w:pStyle w:val="TableParagraph"/>
              <w:spacing w:before="99"/>
              <w:ind w:left="21" w:hanging="2"/>
              <w:rPr>
                <w:b/>
                <w:sz w:val="14"/>
                <w:szCs w:val="14"/>
              </w:rPr>
            </w:pPr>
            <w:r w:rsidRPr="00B501B7">
              <w:rPr>
                <w:b/>
                <w:sz w:val="14"/>
                <w:szCs w:val="14"/>
              </w:rPr>
              <w:t>Special provisions</w:t>
            </w:r>
          </w:p>
        </w:tc>
      </w:tr>
      <w:tr w:rsidR="00FE138B" w:rsidRPr="00B501B7" w14:paraId="009DCBB4" w14:textId="77777777" w:rsidTr="00FE138B">
        <w:trPr>
          <w:trHeight w:hRule="exact" w:val="209"/>
        </w:trPr>
        <w:tc>
          <w:tcPr>
            <w:tcW w:w="425" w:type="dxa"/>
          </w:tcPr>
          <w:p w14:paraId="241B999A" w14:textId="77777777" w:rsidR="00FE138B" w:rsidRPr="00B501B7" w:rsidRDefault="00FE138B" w:rsidP="009A4EB0">
            <w:pPr>
              <w:pStyle w:val="TableParagraph"/>
              <w:spacing w:before="6"/>
              <w:ind w:right="114"/>
              <w:jc w:val="right"/>
              <w:rPr>
                <w:b/>
                <w:sz w:val="14"/>
                <w:szCs w:val="14"/>
              </w:rPr>
            </w:pPr>
            <w:r w:rsidRPr="00B501B7">
              <w:rPr>
                <w:b/>
                <w:sz w:val="14"/>
                <w:szCs w:val="14"/>
              </w:rPr>
              <w:t>(1)</w:t>
            </w:r>
          </w:p>
        </w:tc>
        <w:tc>
          <w:tcPr>
            <w:tcW w:w="1985" w:type="dxa"/>
          </w:tcPr>
          <w:p w14:paraId="51E071DA" w14:textId="77777777" w:rsidR="00FE138B" w:rsidRPr="00B501B7" w:rsidRDefault="00FE138B" w:rsidP="009A4EB0">
            <w:pPr>
              <w:pStyle w:val="TableParagraph"/>
              <w:spacing w:before="6"/>
              <w:ind w:left="9" w:right="6"/>
              <w:rPr>
                <w:b/>
                <w:sz w:val="14"/>
                <w:szCs w:val="14"/>
              </w:rPr>
            </w:pPr>
            <w:r w:rsidRPr="00B501B7">
              <w:rPr>
                <w:b/>
                <w:sz w:val="14"/>
                <w:szCs w:val="14"/>
              </w:rPr>
              <w:t>(2)</w:t>
            </w:r>
          </w:p>
        </w:tc>
        <w:tc>
          <w:tcPr>
            <w:tcW w:w="567" w:type="dxa"/>
          </w:tcPr>
          <w:p w14:paraId="2A7C87EC" w14:textId="77777777" w:rsidR="00FE138B" w:rsidRPr="00B501B7" w:rsidRDefault="00FE138B" w:rsidP="009A4EB0">
            <w:pPr>
              <w:pStyle w:val="TableParagraph"/>
              <w:spacing w:before="6"/>
              <w:ind w:left="126" w:right="126"/>
              <w:rPr>
                <w:b/>
                <w:sz w:val="14"/>
                <w:szCs w:val="14"/>
              </w:rPr>
            </w:pPr>
            <w:r w:rsidRPr="00B501B7">
              <w:rPr>
                <w:b/>
                <w:sz w:val="14"/>
                <w:szCs w:val="14"/>
              </w:rPr>
              <w:t>(3)</w:t>
            </w:r>
          </w:p>
        </w:tc>
        <w:tc>
          <w:tcPr>
            <w:tcW w:w="567" w:type="dxa"/>
          </w:tcPr>
          <w:p w14:paraId="06772667" w14:textId="77777777" w:rsidR="00FE138B" w:rsidRPr="00B501B7" w:rsidRDefault="00FE138B" w:rsidP="009A4EB0">
            <w:pPr>
              <w:pStyle w:val="TableParagraph"/>
              <w:spacing w:before="6"/>
              <w:ind w:left="106" w:right="107"/>
              <w:rPr>
                <w:b/>
                <w:sz w:val="14"/>
                <w:szCs w:val="14"/>
              </w:rPr>
            </w:pPr>
            <w:r w:rsidRPr="00B501B7">
              <w:rPr>
                <w:b/>
                <w:sz w:val="14"/>
                <w:szCs w:val="14"/>
              </w:rPr>
              <w:t>(4)</w:t>
            </w:r>
          </w:p>
        </w:tc>
        <w:tc>
          <w:tcPr>
            <w:tcW w:w="567" w:type="dxa"/>
          </w:tcPr>
          <w:p w14:paraId="240903B4" w14:textId="77777777" w:rsidR="00FE138B" w:rsidRPr="00B501B7" w:rsidRDefault="00FE138B" w:rsidP="009A4EB0">
            <w:pPr>
              <w:pStyle w:val="TableParagraph"/>
              <w:spacing w:before="6"/>
              <w:ind w:left="67" w:right="68"/>
              <w:rPr>
                <w:b/>
                <w:sz w:val="14"/>
                <w:szCs w:val="14"/>
              </w:rPr>
            </w:pPr>
            <w:r w:rsidRPr="00B501B7">
              <w:rPr>
                <w:b/>
                <w:sz w:val="14"/>
                <w:szCs w:val="14"/>
              </w:rPr>
              <w:t>(5)</w:t>
            </w:r>
          </w:p>
        </w:tc>
        <w:tc>
          <w:tcPr>
            <w:tcW w:w="567" w:type="dxa"/>
          </w:tcPr>
          <w:p w14:paraId="08DFD268" w14:textId="77777777" w:rsidR="00FE138B" w:rsidRPr="00B501B7" w:rsidRDefault="00FE138B" w:rsidP="009A4EB0">
            <w:pPr>
              <w:pStyle w:val="TableParagraph"/>
              <w:spacing w:before="6"/>
              <w:ind w:left="105" w:right="102"/>
              <w:rPr>
                <w:b/>
                <w:sz w:val="14"/>
                <w:szCs w:val="14"/>
              </w:rPr>
            </w:pPr>
            <w:r w:rsidRPr="00B501B7">
              <w:rPr>
                <w:b/>
                <w:sz w:val="14"/>
                <w:szCs w:val="14"/>
              </w:rPr>
              <w:t>(6)</w:t>
            </w:r>
          </w:p>
        </w:tc>
        <w:tc>
          <w:tcPr>
            <w:tcW w:w="356" w:type="dxa"/>
          </w:tcPr>
          <w:p w14:paraId="0D97943C" w14:textId="77777777" w:rsidR="00FE138B" w:rsidRPr="00B501B7" w:rsidRDefault="00FE138B" w:rsidP="009A4EB0">
            <w:pPr>
              <w:pStyle w:val="TableParagraph"/>
              <w:spacing w:before="6"/>
              <w:ind w:left="-15" w:right="16"/>
              <w:rPr>
                <w:b/>
                <w:sz w:val="14"/>
                <w:szCs w:val="14"/>
              </w:rPr>
            </w:pPr>
            <w:r w:rsidRPr="00B501B7">
              <w:rPr>
                <w:b/>
                <w:sz w:val="14"/>
                <w:szCs w:val="14"/>
              </w:rPr>
              <w:t>(7a)</w:t>
            </w:r>
          </w:p>
        </w:tc>
        <w:tc>
          <w:tcPr>
            <w:tcW w:w="352" w:type="dxa"/>
          </w:tcPr>
          <w:p w14:paraId="0B1E7AF9" w14:textId="77777777" w:rsidR="00FE138B" w:rsidRPr="00B501B7" w:rsidRDefault="00FE138B" w:rsidP="009A4EB0">
            <w:pPr>
              <w:pStyle w:val="TableParagraph"/>
              <w:spacing w:before="6"/>
              <w:rPr>
                <w:b/>
                <w:sz w:val="14"/>
                <w:szCs w:val="14"/>
              </w:rPr>
            </w:pPr>
            <w:r w:rsidRPr="00B501B7">
              <w:rPr>
                <w:b/>
                <w:sz w:val="14"/>
                <w:szCs w:val="14"/>
              </w:rPr>
              <w:t>(7b)</w:t>
            </w:r>
          </w:p>
        </w:tc>
        <w:tc>
          <w:tcPr>
            <w:tcW w:w="709" w:type="dxa"/>
          </w:tcPr>
          <w:p w14:paraId="2B604646" w14:textId="77777777" w:rsidR="00FE138B" w:rsidRPr="00B501B7" w:rsidRDefault="00FE138B" w:rsidP="009A4EB0">
            <w:pPr>
              <w:pStyle w:val="TableParagraph"/>
              <w:spacing w:before="6"/>
              <w:ind w:left="144" w:right="141"/>
              <w:rPr>
                <w:b/>
                <w:sz w:val="14"/>
                <w:szCs w:val="14"/>
              </w:rPr>
            </w:pPr>
            <w:r w:rsidRPr="00B501B7">
              <w:rPr>
                <w:b/>
                <w:sz w:val="14"/>
                <w:szCs w:val="14"/>
              </w:rPr>
              <w:t>(8)</w:t>
            </w:r>
          </w:p>
        </w:tc>
        <w:tc>
          <w:tcPr>
            <w:tcW w:w="709" w:type="dxa"/>
          </w:tcPr>
          <w:p w14:paraId="2774BE87" w14:textId="77777777" w:rsidR="00FE138B" w:rsidRPr="00B501B7" w:rsidRDefault="00FE138B" w:rsidP="009A4EB0">
            <w:pPr>
              <w:pStyle w:val="TableParagraph"/>
              <w:spacing w:before="6"/>
              <w:ind w:right="290"/>
              <w:jc w:val="right"/>
              <w:rPr>
                <w:b/>
                <w:sz w:val="14"/>
                <w:szCs w:val="14"/>
              </w:rPr>
            </w:pPr>
            <w:r w:rsidRPr="00B501B7">
              <w:rPr>
                <w:b/>
                <w:sz w:val="14"/>
                <w:szCs w:val="14"/>
              </w:rPr>
              <w:t>(9)</w:t>
            </w:r>
          </w:p>
        </w:tc>
        <w:tc>
          <w:tcPr>
            <w:tcW w:w="709" w:type="dxa"/>
          </w:tcPr>
          <w:p w14:paraId="44BE0561" w14:textId="77777777" w:rsidR="00FE138B" w:rsidRPr="00B501B7" w:rsidRDefault="00FE138B" w:rsidP="009A4EB0">
            <w:pPr>
              <w:pStyle w:val="TableParagraph"/>
              <w:spacing w:before="6"/>
              <w:ind w:left="7" w:right="-9"/>
              <w:rPr>
                <w:b/>
                <w:sz w:val="14"/>
                <w:szCs w:val="14"/>
              </w:rPr>
            </w:pPr>
            <w:r w:rsidRPr="00B501B7">
              <w:rPr>
                <w:b/>
                <w:sz w:val="14"/>
                <w:szCs w:val="14"/>
              </w:rPr>
              <w:t>(10)</w:t>
            </w:r>
          </w:p>
        </w:tc>
        <w:tc>
          <w:tcPr>
            <w:tcW w:w="708" w:type="dxa"/>
          </w:tcPr>
          <w:p w14:paraId="48E126E4" w14:textId="77777777" w:rsidR="00FE138B" w:rsidRPr="00B501B7" w:rsidRDefault="00FE138B" w:rsidP="009A4EB0">
            <w:pPr>
              <w:pStyle w:val="TableParagraph"/>
              <w:spacing w:before="6"/>
              <w:ind w:left="239"/>
              <w:jc w:val="left"/>
              <w:rPr>
                <w:b/>
                <w:sz w:val="14"/>
                <w:szCs w:val="14"/>
              </w:rPr>
            </w:pPr>
            <w:r w:rsidRPr="00B501B7">
              <w:rPr>
                <w:b/>
                <w:sz w:val="14"/>
                <w:szCs w:val="14"/>
              </w:rPr>
              <w:t>(11)</w:t>
            </w:r>
          </w:p>
        </w:tc>
      </w:tr>
      <w:tr w:rsidR="00FE138B" w:rsidRPr="00B501B7" w14:paraId="76195F4D" w14:textId="77777777" w:rsidTr="00FE138B">
        <w:trPr>
          <w:trHeight w:hRule="exact" w:val="209"/>
        </w:trPr>
        <w:tc>
          <w:tcPr>
            <w:tcW w:w="425" w:type="dxa"/>
          </w:tcPr>
          <w:p w14:paraId="409C67D2" w14:textId="77777777" w:rsidR="00FE138B" w:rsidRPr="00B501B7" w:rsidRDefault="00FE138B" w:rsidP="009A4EB0">
            <w:pPr>
              <w:pStyle w:val="TableParagraph"/>
              <w:spacing w:before="3"/>
              <w:rPr>
                <w:sz w:val="14"/>
                <w:szCs w:val="14"/>
              </w:rPr>
            </w:pPr>
            <w:r w:rsidRPr="00B501B7">
              <w:rPr>
                <w:sz w:val="14"/>
                <w:szCs w:val="14"/>
              </w:rPr>
              <w:t>-</w:t>
            </w:r>
          </w:p>
        </w:tc>
        <w:tc>
          <w:tcPr>
            <w:tcW w:w="1985" w:type="dxa"/>
          </w:tcPr>
          <w:p w14:paraId="4B47BC4E" w14:textId="77777777" w:rsidR="00FE138B" w:rsidRPr="00B501B7" w:rsidRDefault="00FE138B" w:rsidP="009A4EB0">
            <w:pPr>
              <w:pStyle w:val="TableParagraph"/>
              <w:spacing w:before="6"/>
              <w:ind w:left="6" w:right="6"/>
              <w:rPr>
                <w:b/>
                <w:sz w:val="14"/>
                <w:szCs w:val="14"/>
              </w:rPr>
            </w:pPr>
            <w:r w:rsidRPr="00B501B7">
              <w:rPr>
                <w:b/>
                <w:sz w:val="14"/>
                <w:szCs w:val="14"/>
              </w:rPr>
              <w:t>3.1.2</w:t>
            </w:r>
          </w:p>
        </w:tc>
        <w:tc>
          <w:tcPr>
            <w:tcW w:w="567" w:type="dxa"/>
          </w:tcPr>
          <w:p w14:paraId="1A0FD98D" w14:textId="77777777" w:rsidR="00FE138B" w:rsidRPr="00B501B7" w:rsidRDefault="00FE138B" w:rsidP="009A4EB0">
            <w:pPr>
              <w:pStyle w:val="TableParagraph"/>
              <w:spacing w:before="6"/>
              <w:ind w:left="127" w:right="126"/>
              <w:rPr>
                <w:b/>
                <w:sz w:val="14"/>
                <w:szCs w:val="14"/>
              </w:rPr>
            </w:pPr>
            <w:r w:rsidRPr="00B501B7">
              <w:rPr>
                <w:b/>
                <w:sz w:val="14"/>
                <w:szCs w:val="14"/>
              </w:rPr>
              <w:t>2.0</w:t>
            </w:r>
          </w:p>
        </w:tc>
        <w:tc>
          <w:tcPr>
            <w:tcW w:w="567" w:type="dxa"/>
          </w:tcPr>
          <w:p w14:paraId="6D19A833" w14:textId="77777777" w:rsidR="00FE138B" w:rsidRPr="00B501B7" w:rsidRDefault="00FE138B" w:rsidP="009A4EB0">
            <w:pPr>
              <w:pStyle w:val="TableParagraph"/>
              <w:spacing w:before="6"/>
              <w:ind w:left="107" w:right="107"/>
              <w:rPr>
                <w:b/>
                <w:sz w:val="14"/>
                <w:szCs w:val="14"/>
              </w:rPr>
            </w:pPr>
            <w:r w:rsidRPr="00B501B7">
              <w:rPr>
                <w:b/>
                <w:sz w:val="14"/>
                <w:szCs w:val="14"/>
              </w:rPr>
              <w:t>2.0</w:t>
            </w:r>
          </w:p>
        </w:tc>
        <w:tc>
          <w:tcPr>
            <w:tcW w:w="567" w:type="dxa"/>
          </w:tcPr>
          <w:p w14:paraId="0C568C4A" w14:textId="77777777" w:rsidR="00FE138B" w:rsidRPr="00B501B7" w:rsidRDefault="00FE138B" w:rsidP="009A4EB0">
            <w:pPr>
              <w:pStyle w:val="TableParagraph"/>
              <w:spacing w:before="6"/>
              <w:ind w:left="67" w:right="67"/>
              <w:rPr>
                <w:b/>
                <w:sz w:val="14"/>
                <w:szCs w:val="14"/>
              </w:rPr>
            </w:pPr>
            <w:r w:rsidRPr="00B501B7">
              <w:rPr>
                <w:b/>
                <w:sz w:val="14"/>
                <w:szCs w:val="14"/>
              </w:rPr>
              <w:t>2.0.1.3</w:t>
            </w:r>
          </w:p>
        </w:tc>
        <w:tc>
          <w:tcPr>
            <w:tcW w:w="567" w:type="dxa"/>
          </w:tcPr>
          <w:p w14:paraId="6F50ABC0" w14:textId="77777777" w:rsidR="00FE138B" w:rsidRPr="00B501B7" w:rsidRDefault="00FE138B" w:rsidP="009A4EB0">
            <w:pPr>
              <w:pStyle w:val="TableParagraph"/>
              <w:spacing w:before="6"/>
              <w:ind w:left="106" w:right="102"/>
              <w:rPr>
                <w:b/>
                <w:sz w:val="14"/>
                <w:szCs w:val="14"/>
              </w:rPr>
            </w:pPr>
            <w:r w:rsidRPr="00B501B7">
              <w:rPr>
                <w:b/>
                <w:sz w:val="14"/>
                <w:szCs w:val="14"/>
              </w:rPr>
              <w:t>3.3</w:t>
            </w:r>
          </w:p>
        </w:tc>
        <w:tc>
          <w:tcPr>
            <w:tcW w:w="356" w:type="dxa"/>
          </w:tcPr>
          <w:p w14:paraId="04D9DFC9" w14:textId="77777777" w:rsidR="00FE138B" w:rsidRPr="00B501B7" w:rsidRDefault="00FE138B" w:rsidP="009A4EB0">
            <w:pPr>
              <w:pStyle w:val="TableParagraph"/>
              <w:spacing w:before="6"/>
              <w:ind w:left="-15" w:right="16"/>
              <w:rPr>
                <w:b/>
                <w:sz w:val="14"/>
                <w:szCs w:val="14"/>
              </w:rPr>
            </w:pPr>
            <w:r w:rsidRPr="00B501B7">
              <w:rPr>
                <w:b/>
                <w:sz w:val="14"/>
                <w:szCs w:val="14"/>
              </w:rPr>
              <w:t>3.4</w:t>
            </w:r>
          </w:p>
        </w:tc>
        <w:tc>
          <w:tcPr>
            <w:tcW w:w="352" w:type="dxa"/>
          </w:tcPr>
          <w:p w14:paraId="356ADF63" w14:textId="77777777" w:rsidR="00FE138B" w:rsidRPr="00B501B7" w:rsidRDefault="00FE138B" w:rsidP="009A4EB0">
            <w:pPr>
              <w:pStyle w:val="TableParagraph"/>
              <w:spacing w:before="6"/>
              <w:rPr>
                <w:b/>
                <w:sz w:val="14"/>
                <w:szCs w:val="14"/>
              </w:rPr>
            </w:pPr>
            <w:r w:rsidRPr="00B501B7">
              <w:rPr>
                <w:b/>
                <w:sz w:val="14"/>
                <w:szCs w:val="14"/>
              </w:rPr>
              <w:t>3.5</w:t>
            </w:r>
          </w:p>
        </w:tc>
        <w:tc>
          <w:tcPr>
            <w:tcW w:w="709" w:type="dxa"/>
          </w:tcPr>
          <w:p w14:paraId="6008A9BC" w14:textId="77777777" w:rsidR="00FE138B" w:rsidRPr="00B501B7" w:rsidRDefault="00FE138B" w:rsidP="009A4EB0">
            <w:pPr>
              <w:pStyle w:val="TableParagraph"/>
              <w:spacing w:before="6"/>
              <w:ind w:left="141" w:right="141"/>
              <w:rPr>
                <w:b/>
                <w:sz w:val="14"/>
                <w:szCs w:val="14"/>
              </w:rPr>
            </w:pPr>
            <w:r w:rsidRPr="00B501B7">
              <w:rPr>
                <w:b/>
                <w:sz w:val="14"/>
                <w:szCs w:val="14"/>
              </w:rPr>
              <w:t>4.1.4</w:t>
            </w:r>
          </w:p>
        </w:tc>
        <w:tc>
          <w:tcPr>
            <w:tcW w:w="709" w:type="dxa"/>
          </w:tcPr>
          <w:p w14:paraId="47648A28" w14:textId="77777777" w:rsidR="00FE138B" w:rsidRPr="00B501B7" w:rsidRDefault="00FE138B" w:rsidP="009A4EB0">
            <w:pPr>
              <w:pStyle w:val="TableParagraph"/>
              <w:spacing w:before="6"/>
              <w:ind w:right="226"/>
              <w:jc w:val="right"/>
              <w:rPr>
                <w:b/>
                <w:sz w:val="14"/>
                <w:szCs w:val="14"/>
              </w:rPr>
            </w:pPr>
            <w:r w:rsidRPr="00B501B7">
              <w:rPr>
                <w:b/>
                <w:sz w:val="14"/>
                <w:szCs w:val="14"/>
              </w:rPr>
              <w:t>4.1.4</w:t>
            </w:r>
          </w:p>
        </w:tc>
        <w:tc>
          <w:tcPr>
            <w:tcW w:w="709" w:type="dxa"/>
          </w:tcPr>
          <w:p w14:paraId="7714F9D8" w14:textId="77777777" w:rsidR="00FE138B" w:rsidRPr="00B501B7" w:rsidRDefault="00FE138B" w:rsidP="009A4EB0">
            <w:pPr>
              <w:pStyle w:val="TableParagraph"/>
              <w:spacing w:before="6"/>
              <w:ind w:left="7" w:right="-9"/>
              <w:rPr>
                <w:b/>
                <w:sz w:val="14"/>
                <w:szCs w:val="14"/>
              </w:rPr>
            </w:pPr>
            <w:r w:rsidRPr="00B501B7">
              <w:rPr>
                <w:b/>
                <w:sz w:val="14"/>
                <w:szCs w:val="14"/>
              </w:rPr>
              <w:t>4.2.5/4.3.2</w:t>
            </w:r>
          </w:p>
        </w:tc>
        <w:tc>
          <w:tcPr>
            <w:tcW w:w="708" w:type="dxa"/>
          </w:tcPr>
          <w:p w14:paraId="7AC1C116" w14:textId="77777777" w:rsidR="00FE138B" w:rsidRPr="00B501B7" w:rsidRDefault="00FE138B" w:rsidP="009A4EB0">
            <w:pPr>
              <w:pStyle w:val="TableParagraph"/>
              <w:spacing w:before="6"/>
              <w:ind w:left="213"/>
              <w:jc w:val="left"/>
              <w:rPr>
                <w:b/>
                <w:sz w:val="14"/>
                <w:szCs w:val="14"/>
              </w:rPr>
            </w:pPr>
            <w:r w:rsidRPr="00B501B7">
              <w:rPr>
                <w:b/>
                <w:sz w:val="14"/>
                <w:szCs w:val="14"/>
              </w:rPr>
              <w:t>4.2.5</w:t>
            </w:r>
          </w:p>
        </w:tc>
      </w:tr>
      <w:tr w:rsidR="00FE138B" w:rsidRPr="00BA1337" w14:paraId="03157E2C" w14:textId="77777777" w:rsidTr="00FE138B">
        <w:trPr>
          <w:trHeight w:hRule="exact" w:val="447"/>
        </w:trPr>
        <w:tc>
          <w:tcPr>
            <w:tcW w:w="425" w:type="dxa"/>
          </w:tcPr>
          <w:p w14:paraId="466A05FB" w14:textId="126B43BC" w:rsidR="00FE138B" w:rsidRPr="00BA1337" w:rsidRDefault="00FE138B" w:rsidP="009A4EB0">
            <w:pPr>
              <w:pStyle w:val="TableParagraph"/>
              <w:spacing w:before="3"/>
              <w:rPr>
                <w:color w:val="0070C0"/>
                <w:sz w:val="14"/>
                <w:szCs w:val="14"/>
                <w:u w:val="single"/>
              </w:rPr>
            </w:pPr>
            <w:r w:rsidRPr="00BA1337">
              <w:rPr>
                <w:color w:val="0070C0"/>
                <w:sz w:val="14"/>
                <w:szCs w:val="14"/>
                <w:u w:val="single"/>
              </w:rPr>
              <w:t>05X</w:t>
            </w:r>
            <w:r w:rsidR="00D41964">
              <w:rPr>
                <w:color w:val="0070C0"/>
                <w:sz w:val="14"/>
                <w:szCs w:val="14"/>
                <w:u w:val="single"/>
              </w:rPr>
              <w:t>0</w:t>
            </w:r>
          </w:p>
        </w:tc>
        <w:tc>
          <w:tcPr>
            <w:tcW w:w="1985" w:type="dxa"/>
          </w:tcPr>
          <w:p w14:paraId="6C745582" w14:textId="77777777" w:rsidR="00FE138B" w:rsidRPr="00BA1337" w:rsidRDefault="00FE138B" w:rsidP="009A4EB0">
            <w:pPr>
              <w:pStyle w:val="TableParagraph"/>
              <w:spacing w:before="6"/>
              <w:ind w:left="6" w:right="6"/>
              <w:jc w:val="left"/>
              <w:rPr>
                <w:b/>
                <w:color w:val="0070C0"/>
                <w:sz w:val="14"/>
                <w:szCs w:val="14"/>
                <w:u w:val="single"/>
              </w:rPr>
            </w:pPr>
            <w:r w:rsidRPr="00BA1337">
              <w:rPr>
                <w:color w:val="0070C0"/>
                <w:sz w:val="14"/>
                <w:szCs w:val="14"/>
                <w:u w:val="single"/>
              </w:rPr>
              <w:t>DETONATORS, ELECTRONIC programmable for blasting†</w:t>
            </w:r>
          </w:p>
        </w:tc>
        <w:tc>
          <w:tcPr>
            <w:tcW w:w="567" w:type="dxa"/>
          </w:tcPr>
          <w:p w14:paraId="46014893" w14:textId="77777777" w:rsidR="00FE138B" w:rsidRPr="00BA1337" w:rsidRDefault="00FE138B" w:rsidP="009A4EB0">
            <w:pPr>
              <w:pStyle w:val="TableParagraph"/>
              <w:spacing w:before="6"/>
              <w:ind w:left="127" w:right="126"/>
              <w:rPr>
                <w:b/>
                <w:color w:val="0070C0"/>
                <w:sz w:val="14"/>
                <w:szCs w:val="14"/>
                <w:u w:val="single"/>
              </w:rPr>
            </w:pPr>
            <w:r w:rsidRPr="00BA1337">
              <w:rPr>
                <w:color w:val="0070C0"/>
                <w:sz w:val="14"/>
                <w:szCs w:val="14"/>
                <w:u w:val="single"/>
              </w:rPr>
              <w:t>1.1B</w:t>
            </w:r>
          </w:p>
        </w:tc>
        <w:tc>
          <w:tcPr>
            <w:tcW w:w="567" w:type="dxa"/>
          </w:tcPr>
          <w:p w14:paraId="3A49FC0E" w14:textId="77777777" w:rsidR="00FE138B" w:rsidRPr="00BA1337" w:rsidRDefault="00FE138B" w:rsidP="009A4EB0">
            <w:pPr>
              <w:pStyle w:val="TableParagraph"/>
              <w:spacing w:before="6"/>
              <w:ind w:left="107" w:right="107"/>
              <w:rPr>
                <w:b/>
                <w:color w:val="0070C0"/>
                <w:sz w:val="14"/>
                <w:szCs w:val="14"/>
                <w:u w:val="single"/>
              </w:rPr>
            </w:pPr>
          </w:p>
        </w:tc>
        <w:tc>
          <w:tcPr>
            <w:tcW w:w="567" w:type="dxa"/>
          </w:tcPr>
          <w:p w14:paraId="435777F5" w14:textId="77777777" w:rsidR="00FE138B" w:rsidRPr="00BA1337" w:rsidRDefault="00FE138B" w:rsidP="009A4EB0">
            <w:pPr>
              <w:pStyle w:val="TableParagraph"/>
              <w:spacing w:before="6"/>
              <w:ind w:left="67" w:right="67"/>
              <w:rPr>
                <w:b/>
                <w:color w:val="0070C0"/>
                <w:sz w:val="14"/>
                <w:szCs w:val="14"/>
                <w:u w:val="single"/>
              </w:rPr>
            </w:pPr>
          </w:p>
        </w:tc>
        <w:tc>
          <w:tcPr>
            <w:tcW w:w="567" w:type="dxa"/>
          </w:tcPr>
          <w:p w14:paraId="0DA1C7CD" w14:textId="77777777" w:rsidR="00FE138B" w:rsidRPr="00BA1337" w:rsidRDefault="00FE138B" w:rsidP="009A4EB0">
            <w:pPr>
              <w:pStyle w:val="TableParagraph"/>
              <w:spacing w:before="6"/>
              <w:ind w:left="106" w:right="102"/>
              <w:rPr>
                <w:b/>
                <w:color w:val="0070C0"/>
                <w:sz w:val="14"/>
                <w:szCs w:val="14"/>
                <w:u w:val="single"/>
              </w:rPr>
            </w:pPr>
          </w:p>
        </w:tc>
        <w:tc>
          <w:tcPr>
            <w:tcW w:w="356" w:type="dxa"/>
          </w:tcPr>
          <w:p w14:paraId="127AB621" w14:textId="77777777" w:rsidR="00FE138B" w:rsidRPr="00BA1337" w:rsidRDefault="00FE138B" w:rsidP="009A4EB0">
            <w:pPr>
              <w:pStyle w:val="TableParagraph"/>
              <w:spacing w:before="6"/>
              <w:ind w:left="-15" w:right="16"/>
              <w:rPr>
                <w:b/>
                <w:color w:val="0070C0"/>
                <w:sz w:val="14"/>
                <w:szCs w:val="14"/>
                <w:u w:val="single"/>
              </w:rPr>
            </w:pPr>
            <w:r w:rsidRPr="00BA1337">
              <w:rPr>
                <w:color w:val="0070C0"/>
                <w:sz w:val="14"/>
                <w:szCs w:val="14"/>
                <w:u w:val="single"/>
              </w:rPr>
              <w:t>0</w:t>
            </w:r>
          </w:p>
        </w:tc>
        <w:tc>
          <w:tcPr>
            <w:tcW w:w="352" w:type="dxa"/>
          </w:tcPr>
          <w:p w14:paraId="08A9BB60" w14:textId="77777777" w:rsidR="00FE138B" w:rsidRPr="00BA1337" w:rsidRDefault="00FE138B" w:rsidP="009A4EB0">
            <w:pPr>
              <w:pStyle w:val="TableParagraph"/>
              <w:spacing w:before="6"/>
              <w:rPr>
                <w:b/>
                <w:color w:val="0070C0"/>
                <w:sz w:val="14"/>
                <w:szCs w:val="14"/>
                <w:u w:val="single"/>
              </w:rPr>
            </w:pPr>
            <w:r w:rsidRPr="00BA1337">
              <w:rPr>
                <w:color w:val="0070C0"/>
                <w:sz w:val="14"/>
                <w:szCs w:val="14"/>
                <w:u w:val="single"/>
              </w:rPr>
              <w:t>E0</w:t>
            </w:r>
          </w:p>
        </w:tc>
        <w:tc>
          <w:tcPr>
            <w:tcW w:w="709" w:type="dxa"/>
          </w:tcPr>
          <w:p w14:paraId="72860BDE" w14:textId="77777777" w:rsidR="00FE138B" w:rsidRPr="00BA1337" w:rsidRDefault="00FE138B" w:rsidP="009A4EB0">
            <w:pPr>
              <w:pStyle w:val="TableParagraph"/>
              <w:spacing w:before="6"/>
              <w:ind w:left="141" w:right="141"/>
              <w:rPr>
                <w:b/>
                <w:color w:val="0070C0"/>
                <w:sz w:val="14"/>
                <w:szCs w:val="14"/>
                <w:u w:val="single"/>
              </w:rPr>
            </w:pPr>
            <w:r w:rsidRPr="00BA1337">
              <w:rPr>
                <w:color w:val="0070C0"/>
                <w:sz w:val="14"/>
                <w:szCs w:val="14"/>
                <w:u w:val="single"/>
              </w:rPr>
              <w:t>P131</w:t>
            </w:r>
          </w:p>
        </w:tc>
        <w:tc>
          <w:tcPr>
            <w:tcW w:w="709" w:type="dxa"/>
          </w:tcPr>
          <w:p w14:paraId="1B82341E" w14:textId="77777777" w:rsidR="00FE138B" w:rsidRPr="00BA1337" w:rsidRDefault="00FE138B" w:rsidP="009A4EB0">
            <w:pPr>
              <w:pStyle w:val="TableParagraph"/>
              <w:spacing w:before="6"/>
              <w:ind w:right="226"/>
              <w:jc w:val="right"/>
              <w:rPr>
                <w:b/>
                <w:color w:val="0070C0"/>
                <w:sz w:val="14"/>
                <w:szCs w:val="14"/>
                <w:u w:val="single"/>
              </w:rPr>
            </w:pPr>
          </w:p>
        </w:tc>
        <w:tc>
          <w:tcPr>
            <w:tcW w:w="709" w:type="dxa"/>
          </w:tcPr>
          <w:p w14:paraId="6D162F19" w14:textId="77777777" w:rsidR="00FE138B" w:rsidRPr="00BA1337" w:rsidRDefault="00FE138B" w:rsidP="009A4EB0">
            <w:pPr>
              <w:pStyle w:val="TableParagraph"/>
              <w:spacing w:before="6"/>
              <w:ind w:left="7" w:right="8"/>
              <w:rPr>
                <w:b/>
                <w:color w:val="0070C0"/>
                <w:sz w:val="14"/>
                <w:szCs w:val="14"/>
                <w:u w:val="single"/>
              </w:rPr>
            </w:pPr>
          </w:p>
        </w:tc>
        <w:tc>
          <w:tcPr>
            <w:tcW w:w="708" w:type="dxa"/>
          </w:tcPr>
          <w:p w14:paraId="0719C7E0" w14:textId="77777777" w:rsidR="00FE138B" w:rsidRPr="00BA1337" w:rsidRDefault="00FE138B" w:rsidP="009A4EB0">
            <w:pPr>
              <w:pStyle w:val="TableParagraph"/>
              <w:spacing w:before="6"/>
              <w:ind w:left="213"/>
              <w:jc w:val="left"/>
              <w:rPr>
                <w:b/>
                <w:color w:val="0070C0"/>
                <w:sz w:val="14"/>
                <w:szCs w:val="14"/>
                <w:u w:val="single"/>
              </w:rPr>
            </w:pPr>
          </w:p>
        </w:tc>
      </w:tr>
      <w:tr w:rsidR="00FE138B" w:rsidRPr="00BA1337" w14:paraId="062B64B8" w14:textId="77777777" w:rsidTr="00FE138B">
        <w:trPr>
          <w:trHeight w:hRule="exact" w:val="447"/>
        </w:trPr>
        <w:tc>
          <w:tcPr>
            <w:tcW w:w="425" w:type="dxa"/>
          </w:tcPr>
          <w:p w14:paraId="6A960E63" w14:textId="554669C4" w:rsidR="00FE138B" w:rsidRPr="00BA1337" w:rsidRDefault="00FE138B" w:rsidP="009A4EB0">
            <w:pPr>
              <w:pStyle w:val="TableParagraph"/>
              <w:spacing w:before="3"/>
              <w:rPr>
                <w:color w:val="0070C0"/>
                <w:sz w:val="14"/>
                <w:szCs w:val="14"/>
                <w:u w:val="single"/>
              </w:rPr>
            </w:pPr>
            <w:r w:rsidRPr="00BA1337">
              <w:rPr>
                <w:color w:val="0070C0"/>
                <w:sz w:val="14"/>
                <w:szCs w:val="14"/>
                <w:u w:val="single"/>
              </w:rPr>
              <w:t>05X</w:t>
            </w:r>
            <w:r w:rsidR="00D41964">
              <w:rPr>
                <w:color w:val="0070C0"/>
                <w:sz w:val="14"/>
                <w:szCs w:val="14"/>
                <w:u w:val="single"/>
              </w:rPr>
              <w:t>1</w:t>
            </w:r>
          </w:p>
        </w:tc>
        <w:tc>
          <w:tcPr>
            <w:tcW w:w="1985" w:type="dxa"/>
          </w:tcPr>
          <w:p w14:paraId="19B2D2D9" w14:textId="77777777" w:rsidR="00FE138B" w:rsidRPr="00BA1337" w:rsidRDefault="00FE138B" w:rsidP="009A4EB0">
            <w:pPr>
              <w:pStyle w:val="TableParagraph"/>
              <w:spacing w:before="6"/>
              <w:ind w:left="6" w:right="6"/>
              <w:jc w:val="left"/>
              <w:rPr>
                <w:color w:val="0070C0"/>
                <w:sz w:val="14"/>
                <w:szCs w:val="14"/>
                <w:u w:val="single"/>
              </w:rPr>
            </w:pPr>
            <w:r w:rsidRPr="00BA1337">
              <w:rPr>
                <w:color w:val="0070C0"/>
                <w:sz w:val="14"/>
                <w:szCs w:val="14"/>
                <w:u w:val="single"/>
              </w:rPr>
              <w:t>DETONATORS, ELECTRONIC programmable for blasting†</w:t>
            </w:r>
          </w:p>
        </w:tc>
        <w:tc>
          <w:tcPr>
            <w:tcW w:w="567" w:type="dxa"/>
          </w:tcPr>
          <w:p w14:paraId="7C4F8201" w14:textId="77777777" w:rsidR="00FE138B" w:rsidRPr="00BA1337" w:rsidRDefault="00FE138B" w:rsidP="009A4EB0">
            <w:pPr>
              <w:pStyle w:val="TableParagraph"/>
              <w:spacing w:before="6"/>
              <w:ind w:left="127" w:right="126"/>
              <w:rPr>
                <w:color w:val="0070C0"/>
                <w:sz w:val="14"/>
                <w:szCs w:val="14"/>
                <w:u w:val="single"/>
              </w:rPr>
            </w:pPr>
            <w:r w:rsidRPr="00BA1337">
              <w:rPr>
                <w:color w:val="0070C0"/>
                <w:sz w:val="14"/>
                <w:szCs w:val="14"/>
                <w:u w:val="single"/>
              </w:rPr>
              <w:t>1.4B</w:t>
            </w:r>
          </w:p>
        </w:tc>
        <w:tc>
          <w:tcPr>
            <w:tcW w:w="567" w:type="dxa"/>
          </w:tcPr>
          <w:p w14:paraId="113B62E4" w14:textId="77777777" w:rsidR="00FE138B" w:rsidRPr="00BA1337" w:rsidRDefault="00FE138B" w:rsidP="009A4EB0">
            <w:pPr>
              <w:pStyle w:val="TableParagraph"/>
              <w:spacing w:before="6"/>
              <w:ind w:left="107" w:right="107"/>
              <w:rPr>
                <w:b/>
                <w:color w:val="0070C0"/>
                <w:sz w:val="14"/>
                <w:szCs w:val="14"/>
                <w:u w:val="single"/>
              </w:rPr>
            </w:pPr>
          </w:p>
        </w:tc>
        <w:tc>
          <w:tcPr>
            <w:tcW w:w="567" w:type="dxa"/>
          </w:tcPr>
          <w:p w14:paraId="2E4D887D" w14:textId="77777777" w:rsidR="00FE138B" w:rsidRPr="00BA1337" w:rsidRDefault="00FE138B" w:rsidP="009A4EB0">
            <w:pPr>
              <w:pStyle w:val="TableParagraph"/>
              <w:spacing w:before="6"/>
              <w:ind w:left="67" w:right="67"/>
              <w:rPr>
                <w:b/>
                <w:color w:val="0070C0"/>
                <w:sz w:val="14"/>
                <w:szCs w:val="14"/>
                <w:u w:val="single"/>
              </w:rPr>
            </w:pPr>
          </w:p>
        </w:tc>
        <w:tc>
          <w:tcPr>
            <w:tcW w:w="567" w:type="dxa"/>
          </w:tcPr>
          <w:p w14:paraId="6F79FE12" w14:textId="77777777" w:rsidR="00FE138B" w:rsidRPr="00BA1337" w:rsidRDefault="00FE138B" w:rsidP="009A4EB0">
            <w:pPr>
              <w:pStyle w:val="TableParagraph"/>
              <w:spacing w:before="6"/>
              <w:ind w:left="106" w:right="102"/>
              <w:rPr>
                <w:b/>
                <w:color w:val="0070C0"/>
                <w:sz w:val="14"/>
                <w:szCs w:val="14"/>
                <w:u w:val="single"/>
              </w:rPr>
            </w:pPr>
          </w:p>
        </w:tc>
        <w:tc>
          <w:tcPr>
            <w:tcW w:w="356" w:type="dxa"/>
          </w:tcPr>
          <w:p w14:paraId="3614F080" w14:textId="77777777" w:rsidR="00FE138B" w:rsidRPr="00BA1337" w:rsidRDefault="00FE138B" w:rsidP="009A4EB0">
            <w:pPr>
              <w:pStyle w:val="TableParagraph"/>
              <w:spacing w:before="6"/>
              <w:ind w:left="-15" w:right="16"/>
              <w:rPr>
                <w:color w:val="0070C0"/>
                <w:sz w:val="14"/>
                <w:szCs w:val="14"/>
                <w:u w:val="single"/>
              </w:rPr>
            </w:pPr>
            <w:r w:rsidRPr="00BA1337">
              <w:rPr>
                <w:color w:val="0070C0"/>
                <w:sz w:val="14"/>
                <w:szCs w:val="14"/>
                <w:u w:val="single"/>
              </w:rPr>
              <w:t>0</w:t>
            </w:r>
          </w:p>
        </w:tc>
        <w:tc>
          <w:tcPr>
            <w:tcW w:w="352" w:type="dxa"/>
          </w:tcPr>
          <w:p w14:paraId="5C5B30FF" w14:textId="77777777" w:rsidR="00FE138B" w:rsidRPr="00BA1337" w:rsidRDefault="00FE138B" w:rsidP="009A4EB0">
            <w:pPr>
              <w:pStyle w:val="TableParagraph"/>
              <w:spacing w:before="6"/>
              <w:rPr>
                <w:color w:val="0070C0"/>
                <w:sz w:val="14"/>
                <w:szCs w:val="14"/>
                <w:u w:val="single"/>
              </w:rPr>
            </w:pPr>
            <w:r w:rsidRPr="00BA1337">
              <w:rPr>
                <w:color w:val="0070C0"/>
                <w:sz w:val="14"/>
                <w:szCs w:val="14"/>
                <w:u w:val="single"/>
              </w:rPr>
              <w:t>E0</w:t>
            </w:r>
          </w:p>
        </w:tc>
        <w:tc>
          <w:tcPr>
            <w:tcW w:w="709" w:type="dxa"/>
          </w:tcPr>
          <w:p w14:paraId="31737FF4" w14:textId="77777777" w:rsidR="00FE138B" w:rsidRPr="00BA1337" w:rsidRDefault="00FE138B" w:rsidP="009A4EB0">
            <w:pPr>
              <w:pStyle w:val="TableParagraph"/>
              <w:spacing w:before="6"/>
              <w:ind w:left="141" w:right="141"/>
              <w:rPr>
                <w:color w:val="0070C0"/>
                <w:sz w:val="14"/>
                <w:szCs w:val="14"/>
                <w:u w:val="single"/>
              </w:rPr>
            </w:pPr>
            <w:r w:rsidRPr="00BA1337">
              <w:rPr>
                <w:color w:val="0070C0"/>
                <w:sz w:val="14"/>
                <w:szCs w:val="14"/>
                <w:u w:val="single"/>
              </w:rPr>
              <w:t>P131</w:t>
            </w:r>
          </w:p>
        </w:tc>
        <w:tc>
          <w:tcPr>
            <w:tcW w:w="709" w:type="dxa"/>
          </w:tcPr>
          <w:p w14:paraId="37007AE6" w14:textId="77777777" w:rsidR="00FE138B" w:rsidRPr="00BA1337" w:rsidRDefault="00FE138B" w:rsidP="009A4EB0">
            <w:pPr>
              <w:pStyle w:val="TableParagraph"/>
              <w:spacing w:before="6"/>
              <w:ind w:right="226"/>
              <w:jc w:val="right"/>
              <w:rPr>
                <w:b/>
                <w:color w:val="0070C0"/>
                <w:sz w:val="14"/>
                <w:szCs w:val="14"/>
                <w:u w:val="single"/>
              </w:rPr>
            </w:pPr>
          </w:p>
        </w:tc>
        <w:tc>
          <w:tcPr>
            <w:tcW w:w="709" w:type="dxa"/>
          </w:tcPr>
          <w:p w14:paraId="2877996E" w14:textId="77777777" w:rsidR="00FE138B" w:rsidRPr="00BA1337" w:rsidRDefault="00FE138B" w:rsidP="009A4EB0">
            <w:pPr>
              <w:pStyle w:val="TableParagraph"/>
              <w:spacing w:before="6"/>
              <w:ind w:left="7" w:right="8"/>
              <w:rPr>
                <w:b/>
                <w:color w:val="0070C0"/>
                <w:sz w:val="14"/>
                <w:szCs w:val="14"/>
                <w:u w:val="single"/>
              </w:rPr>
            </w:pPr>
          </w:p>
        </w:tc>
        <w:tc>
          <w:tcPr>
            <w:tcW w:w="708" w:type="dxa"/>
          </w:tcPr>
          <w:p w14:paraId="0F45DC91" w14:textId="77777777" w:rsidR="00FE138B" w:rsidRPr="00BA1337" w:rsidRDefault="00FE138B" w:rsidP="009A4EB0">
            <w:pPr>
              <w:pStyle w:val="TableParagraph"/>
              <w:spacing w:before="6"/>
              <w:ind w:left="213"/>
              <w:jc w:val="left"/>
              <w:rPr>
                <w:b/>
                <w:color w:val="0070C0"/>
                <w:sz w:val="14"/>
                <w:szCs w:val="14"/>
                <w:u w:val="single"/>
              </w:rPr>
            </w:pPr>
          </w:p>
        </w:tc>
      </w:tr>
      <w:tr w:rsidR="00FE138B" w:rsidRPr="00BA1337" w14:paraId="0D7F59C7" w14:textId="77777777" w:rsidTr="00FE138B">
        <w:trPr>
          <w:trHeight w:hRule="exact" w:val="447"/>
        </w:trPr>
        <w:tc>
          <w:tcPr>
            <w:tcW w:w="425" w:type="dxa"/>
          </w:tcPr>
          <w:p w14:paraId="49C3A99B" w14:textId="0452618D" w:rsidR="00FE138B" w:rsidRPr="00BA1337" w:rsidRDefault="00FE138B" w:rsidP="009A4EB0">
            <w:pPr>
              <w:pStyle w:val="TableParagraph"/>
              <w:spacing w:before="3"/>
              <w:rPr>
                <w:color w:val="0070C0"/>
                <w:sz w:val="14"/>
                <w:szCs w:val="14"/>
                <w:u w:val="single"/>
              </w:rPr>
            </w:pPr>
            <w:r w:rsidRPr="00BA1337">
              <w:rPr>
                <w:color w:val="0070C0"/>
                <w:sz w:val="14"/>
                <w:szCs w:val="14"/>
                <w:u w:val="single"/>
              </w:rPr>
              <w:t>05X</w:t>
            </w:r>
            <w:r w:rsidR="00D41964">
              <w:rPr>
                <w:color w:val="0070C0"/>
                <w:sz w:val="14"/>
                <w:szCs w:val="14"/>
                <w:u w:val="single"/>
              </w:rPr>
              <w:t>2</w:t>
            </w:r>
          </w:p>
        </w:tc>
        <w:tc>
          <w:tcPr>
            <w:tcW w:w="1985" w:type="dxa"/>
          </w:tcPr>
          <w:p w14:paraId="724E7313" w14:textId="77777777" w:rsidR="00FE138B" w:rsidRPr="00BA1337" w:rsidRDefault="00FE138B" w:rsidP="009A4EB0">
            <w:pPr>
              <w:pStyle w:val="TableParagraph"/>
              <w:spacing w:before="6"/>
              <w:ind w:left="6" w:right="6"/>
              <w:jc w:val="left"/>
              <w:rPr>
                <w:color w:val="0070C0"/>
                <w:sz w:val="14"/>
                <w:szCs w:val="14"/>
                <w:u w:val="single"/>
              </w:rPr>
            </w:pPr>
            <w:r w:rsidRPr="00BA1337">
              <w:rPr>
                <w:color w:val="0070C0"/>
                <w:sz w:val="14"/>
                <w:szCs w:val="14"/>
                <w:u w:val="single"/>
              </w:rPr>
              <w:t>DETONATORS, ELECTRONIC programmable for blasting†</w:t>
            </w:r>
          </w:p>
        </w:tc>
        <w:tc>
          <w:tcPr>
            <w:tcW w:w="567" w:type="dxa"/>
          </w:tcPr>
          <w:p w14:paraId="46A1A2F4" w14:textId="77777777" w:rsidR="00FE138B" w:rsidRPr="00BA1337" w:rsidRDefault="00FE138B" w:rsidP="009A4EB0">
            <w:pPr>
              <w:pStyle w:val="TableParagraph"/>
              <w:spacing w:before="6"/>
              <w:ind w:left="127" w:right="126"/>
              <w:rPr>
                <w:color w:val="0070C0"/>
                <w:sz w:val="14"/>
                <w:szCs w:val="14"/>
                <w:u w:val="single"/>
              </w:rPr>
            </w:pPr>
            <w:r w:rsidRPr="00BA1337">
              <w:rPr>
                <w:color w:val="0070C0"/>
                <w:sz w:val="14"/>
                <w:szCs w:val="14"/>
                <w:u w:val="single"/>
              </w:rPr>
              <w:t>1.4S</w:t>
            </w:r>
          </w:p>
        </w:tc>
        <w:tc>
          <w:tcPr>
            <w:tcW w:w="567" w:type="dxa"/>
          </w:tcPr>
          <w:p w14:paraId="41F538A4" w14:textId="77777777" w:rsidR="00FE138B" w:rsidRPr="00BA1337" w:rsidRDefault="00FE138B" w:rsidP="009A4EB0">
            <w:pPr>
              <w:pStyle w:val="TableParagraph"/>
              <w:spacing w:before="6"/>
              <w:ind w:left="107" w:right="107"/>
              <w:rPr>
                <w:b/>
                <w:color w:val="0070C0"/>
                <w:sz w:val="14"/>
                <w:szCs w:val="14"/>
                <w:u w:val="single"/>
              </w:rPr>
            </w:pPr>
          </w:p>
        </w:tc>
        <w:tc>
          <w:tcPr>
            <w:tcW w:w="567" w:type="dxa"/>
          </w:tcPr>
          <w:p w14:paraId="778AC8C9" w14:textId="77777777" w:rsidR="00FE138B" w:rsidRPr="00BA1337" w:rsidRDefault="00FE138B" w:rsidP="009A4EB0">
            <w:pPr>
              <w:pStyle w:val="TableParagraph"/>
              <w:spacing w:before="6"/>
              <w:ind w:left="67" w:right="67"/>
              <w:rPr>
                <w:b/>
                <w:color w:val="0070C0"/>
                <w:sz w:val="14"/>
                <w:szCs w:val="14"/>
                <w:u w:val="single"/>
              </w:rPr>
            </w:pPr>
          </w:p>
        </w:tc>
        <w:tc>
          <w:tcPr>
            <w:tcW w:w="567" w:type="dxa"/>
          </w:tcPr>
          <w:p w14:paraId="2245C5BA" w14:textId="77777777" w:rsidR="00FE138B" w:rsidRPr="00BA1337" w:rsidRDefault="00FE138B" w:rsidP="009A4EB0">
            <w:pPr>
              <w:pStyle w:val="TableParagraph"/>
              <w:spacing w:before="6"/>
              <w:ind w:left="106" w:right="102"/>
              <w:rPr>
                <w:b/>
                <w:color w:val="0070C0"/>
                <w:sz w:val="14"/>
                <w:szCs w:val="14"/>
                <w:u w:val="single"/>
              </w:rPr>
            </w:pPr>
            <w:r w:rsidRPr="00BA1337">
              <w:rPr>
                <w:color w:val="0070C0"/>
                <w:sz w:val="14"/>
                <w:szCs w:val="14"/>
                <w:u w:val="single"/>
              </w:rPr>
              <w:t>347</w:t>
            </w:r>
          </w:p>
        </w:tc>
        <w:tc>
          <w:tcPr>
            <w:tcW w:w="356" w:type="dxa"/>
          </w:tcPr>
          <w:p w14:paraId="69BF2A0A" w14:textId="77777777" w:rsidR="00FE138B" w:rsidRPr="00BA1337" w:rsidRDefault="00FE138B" w:rsidP="009A4EB0">
            <w:pPr>
              <w:pStyle w:val="TableParagraph"/>
              <w:spacing w:before="6"/>
              <w:ind w:left="-15" w:right="16"/>
              <w:rPr>
                <w:color w:val="0070C0"/>
                <w:sz w:val="14"/>
                <w:szCs w:val="14"/>
                <w:u w:val="single"/>
              </w:rPr>
            </w:pPr>
            <w:r w:rsidRPr="00BA1337">
              <w:rPr>
                <w:color w:val="0070C0"/>
                <w:sz w:val="14"/>
                <w:szCs w:val="14"/>
                <w:u w:val="single"/>
              </w:rPr>
              <w:t>0</w:t>
            </w:r>
          </w:p>
        </w:tc>
        <w:tc>
          <w:tcPr>
            <w:tcW w:w="352" w:type="dxa"/>
          </w:tcPr>
          <w:p w14:paraId="65BCA7AF" w14:textId="77777777" w:rsidR="00FE138B" w:rsidRPr="00BA1337" w:rsidRDefault="00FE138B" w:rsidP="009A4EB0">
            <w:pPr>
              <w:pStyle w:val="TableParagraph"/>
              <w:spacing w:before="6"/>
              <w:rPr>
                <w:color w:val="0070C0"/>
                <w:sz w:val="14"/>
                <w:szCs w:val="14"/>
                <w:u w:val="single"/>
              </w:rPr>
            </w:pPr>
            <w:r w:rsidRPr="00BA1337">
              <w:rPr>
                <w:color w:val="0070C0"/>
                <w:sz w:val="14"/>
                <w:szCs w:val="14"/>
                <w:u w:val="single"/>
              </w:rPr>
              <w:t>E0</w:t>
            </w:r>
          </w:p>
        </w:tc>
        <w:tc>
          <w:tcPr>
            <w:tcW w:w="709" w:type="dxa"/>
          </w:tcPr>
          <w:p w14:paraId="1179CD8D" w14:textId="77777777" w:rsidR="00FE138B" w:rsidRPr="00BA1337" w:rsidRDefault="00FE138B" w:rsidP="009A4EB0">
            <w:pPr>
              <w:pStyle w:val="TableParagraph"/>
              <w:spacing w:before="6"/>
              <w:ind w:left="141" w:right="141"/>
              <w:rPr>
                <w:color w:val="0070C0"/>
                <w:sz w:val="14"/>
                <w:szCs w:val="14"/>
                <w:u w:val="single"/>
              </w:rPr>
            </w:pPr>
            <w:r w:rsidRPr="00BA1337">
              <w:rPr>
                <w:color w:val="0070C0"/>
                <w:sz w:val="14"/>
                <w:szCs w:val="14"/>
                <w:u w:val="single"/>
              </w:rPr>
              <w:t>P131</w:t>
            </w:r>
          </w:p>
        </w:tc>
        <w:tc>
          <w:tcPr>
            <w:tcW w:w="709" w:type="dxa"/>
          </w:tcPr>
          <w:p w14:paraId="08CF600F" w14:textId="77777777" w:rsidR="00FE138B" w:rsidRPr="00BA1337" w:rsidRDefault="00FE138B" w:rsidP="009A4EB0">
            <w:pPr>
              <w:pStyle w:val="TableParagraph"/>
              <w:spacing w:before="6"/>
              <w:ind w:right="226"/>
              <w:jc w:val="right"/>
              <w:rPr>
                <w:b/>
                <w:color w:val="0070C0"/>
                <w:sz w:val="14"/>
                <w:szCs w:val="14"/>
                <w:u w:val="single"/>
              </w:rPr>
            </w:pPr>
          </w:p>
        </w:tc>
        <w:tc>
          <w:tcPr>
            <w:tcW w:w="709" w:type="dxa"/>
          </w:tcPr>
          <w:p w14:paraId="16A4DE04" w14:textId="77777777" w:rsidR="00FE138B" w:rsidRPr="00BA1337" w:rsidRDefault="00FE138B" w:rsidP="009A4EB0">
            <w:pPr>
              <w:pStyle w:val="TableParagraph"/>
              <w:spacing w:before="6"/>
              <w:ind w:left="7" w:right="8"/>
              <w:rPr>
                <w:b/>
                <w:color w:val="0070C0"/>
                <w:sz w:val="14"/>
                <w:szCs w:val="14"/>
                <w:u w:val="single"/>
              </w:rPr>
            </w:pPr>
          </w:p>
        </w:tc>
        <w:tc>
          <w:tcPr>
            <w:tcW w:w="708" w:type="dxa"/>
          </w:tcPr>
          <w:p w14:paraId="4DE60CA1" w14:textId="77777777" w:rsidR="00FE138B" w:rsidRPr="00BA1337" w:rsidRDefault="00FE138B" w:rsidP="009A4EB0">
            <w:pPr>
              <w:pStyle w:val="TableParagraph"/>
              <w:spacing w:before="6"/>
              <w:ind w:left="213"/>
              <w:jc w:val="left"/>
              <w:rPr>
                <w:b/>
                <w:color w:val="0070C0"/>
                <w:sz w:val="14"/>
                <w:szCs w:val="14"/>
                <w:u w:val="single"/>
              </w:rPr>
            </w:pPr>
          </w:p>
        </w:tc>
      </w:tr>
    </w:tbl>
    <w:p w14:paraId="69A3E03C" w14:textId="77777777" w:rsidR="00FE138B" w:rsidRPr="009979EA" w:rsidRDefault="00FE138B" w:rsidP="009A4EB0">
      <w:pPr>
        <w:pStyle w:val="SingleTxtG"/>
        <w:widowControl w:val="0"/>
        <w:suppressAutoHyphens w:val="0"/>
        <w:spacing w:line="240" w:lineRule="auto"/>
        <w:ind w:left="0" w:right="39"/>
      </w:pPr>
    </w:p>
    <w:p w14:paraId="1E85035A" w14:textId="32B4E673" w:rsidR="001344C8" w:rsidRPr="009979EA" w:rsidRDefault="00FE138B" w:rsidP="003B0037">
      <w:pPr>
        <w:pStyle w:val="SingleTxtG"/>
        <w:widowControl w:val="0"/>
        <w:suppressAutoHyphens w:val="0"/>
        <w:spacing w:line="240" w:lineRule="auto"/>
        <w:ind w:left="0" w:right="39"/>
        <w:rPr>
          <w:b/>
        </w:rPr>
      </w:pPr>
      <w:r w:rsidRPr="009979EA">
        <w:rPr>
          <w:i/>
        </w:rPr>
        <w:t xml:space="preserve">Source:  </w:t>
      </w:r>
      <w:r w:rsidR="00345339" w:rsidRPr="00372316">
        <w:rPr>
          <w:i/>
        </w:rPr>
        <w:t>ST/SG/AC.10/C.3/</w:t>
      </w:r>
      <w:r>
        <w:rPr>
          <w:i/>
        </w:rPr>
        <w:t>2018/58</w:t>
      </w:r>
      <w:r w:rsidRPr="009979EA">
        <w:rPr>
          <w:i/>
        </w:rPr>
        <w:t xml:space="preserve">, Para. </w:t>
      </w:r>
      <w:r>
        <w:rPr>
          <w:i/>
        </w:rPr>
        <w:t xml:space="preserve">11 </w:t>
      </w:r>
      <w:r w:rsidR="0023424F">
        <w:rPr>
          <w:i/>
        </w:rPr>
        <w:t xml:space="preserve">as amended by the working group </w:t>
      </w:r>
      <w:r w:rsidRPr="009979EA">
        <w:rPr>
          <w:i/>
        </w:rPr>
        <w:t xml:space="preserve">and Para. </w:t>
      </w:r>
      <w:r w:rsidR="001D2BAF">
        <w:rPr>
          <w:i/>
        </w:rPr>
        <w:t>6</w:t>
      </w:r>
      <w:r w:rsidRPr="009979EA">
        <w:rPr>
          <w:i/>
        </w:rPr>
        <w:t xml:space="preserve"> of this report.</w:t>
      </w:r>
    </w:p>
    <w:p w14:paraId="3E65EC1C" w14:textId="599DC8D3" w:rsidR="003B0037" w:rsidRPr="009979EA" w:rsidRDefault="00A86275" w:rsidP="009A3B26">
      <w:pPr>
        <w:pStyle w:val="SingleTxtG"/>
        <w:widowControl w:val="0"/>
        <w:numPr>
          <w:ilvl w:val="0"/>
          <w:numId w:val="5"/>
        </w:numPr>
        <w:pBdr>
          <w:top w:val="single" w:sz="4" w:space="1" w:color="auto"/>
        </w:pBdr>
        <w:suppressAutoHyphens w:val="0"/>
        <w:spacing w:line="240" w:lineRule="auto"/>
        <w:ind w:right="43"/>
        <w:rPr>
          <w:b/>
        </w:rPr>
      </w:pPr>
      <w:r>
        <w:rPr>
          <w:b/>
          <w:u w:val="single"/>
        </w:rPr>
        <w:t>Appendix B</w:t>
      </w:r>
      <w:r w:rsidRPr="009979EA">
        <w:rPr>
          <w:b/>
        </w:rPr>
        <w:t xml:space="preserve"> </w:t>
      </w:r>
      <w:r w:rsidRPr="009979EA">
        <w:t xml:space="preserve">– </w:t>
      </w:r>
      <w:r>
        <w:t>Amend the definition of “Detonators” as shown below</w:t>
      </w:r>
      <w:r w:rsidRPr="009979EA">
        <w:t>:</w:t>
      </w:r>
    </w:p>
    <w:p w14:paraId="41882788" w14:textId="77777777" w:rsidR="00FE138B" w:rsidRPr="00FE138B" w:rsidRDefault="00FE138B" w:rsidP="009A4EB0">
      <w:pPr>
        <w:pStyle w:val="SingleTxtG"/>
        <w:widowControl w:val="0"/>
        <w:suppressAutoHyphens w:val="0"/>
        <w:spacing w:line="240" w:lineRule="auto"/>
        <w:ind w:left="567" w:right="639"/>
        <w:rPr>
          <w:b/>
          <w:i/>
        </w:rPr>
      </w:pPr>
      <w:r w:rsidRPr="00FE138B">
        <w:rPr>
          <w:b/>
          <w:i/>
        </w:rPr>
        <w:t>Detonators</w:t>
      </w:r>
    </w:p>
    <w:p w14:paraId="1F6159E2" w14:textId="4C727BE3" w:rsidR="00FE138B" w:rsidRDefault="00FE138B" w:rsidP="009A4EB0">
      <w:pPr>
        <w:pStyle w:val="SingleTxtG"/>
        <w:widowControl w:val="0"/>
        <w:suppressAutoHyphens w:val="0"/>
        <w:spacing w:line="240" w:lineRule="auto"/>
        <w:ind w:left="567" w:right="639" w:firstLine="567"/>
      </w:pPr>
      <w:r>
        <w:t>Articles consisting of a small metal or plastics tube containing explosives such as lead azide, PETN or combinations of explosives. They are designed to start a detonation train. They may be constructed to detonate instantaneously, or may contain a delay element. The term includes:</w:t>
      </w:r>
    </w:p>
    <w:p w14:paraId="74C205E5" w14:textId="77777777" w:rsidR="00FE138B" w:rsidRDefault="00FE138B" w:rsidP="009A4EB0">
      <w:pPr>
        <w:pStyle w:val="SingleTxtG"/>
        <w:widowControl w:val="0"/>
        <w:suppressAutoHyphens w:val="0"/>
        <w:spacing w:line="240" w:lineRule="auto"/>
        <w:ind w:left="567" w:right="639" w:firstLine="567"/>
      </w:pPr>
      <w:r>
        <w:t>DETONATORS FOR AMMUNITION and</w:t>
      </w:r>
    </w:p>
    <w:p w14:paraId="52691761" w14:textId="3C4FC023" w:rsidR="00FE138B" w:rsidRDefault="00FE138B" w:rsidP="009A4EB0">
      <w:pPr>
        <w:pStyle w:val="SingleTxtG"/>
        <w:widowControl w:val="0"/>
        <w:suppressAutoHyphens w:val="0"/>
        <w:spacing w:line="240" w:lineRule="auto"/>
        <w:ind w:left="567" w:right="639" w:firstLine="567"/>
      </w:pPr>
      <w:r>
        <w:t xml:space="preserve">DETONATORS for blasting, </w:t>
      </w:r>
      <w:r w:rsidRPr="00FE138B">
        <w:rPr>
          <w:strike/>
          <w:color w:val="FF0000"/>
        </w:rPr>
        <w:t>both</w:t>
      </w:r>
      <w:r w:rsidRPr="00FE138B">
        <w:rPr>
          <w:color w:val="FF0000"/>
        </w:rPr>
        <w:t xml:space="preserve"> </w:t>
      </w:r>
      <w:r>
        <w:t>ELECTRIC</w:t>
      </w:r>
      <w:r w:rsidRPr="00FE138B">
        <w:rPr>
          <w:color w:val="0070C0"/>
          <w:u w:val="single"/>
        </w:rPr>
        <w:t>,</w:t>
      </w:r>
      <w:r>
        <w:t xml:space="preserve"> </w:t>
      </w:r>
      <w:r w:rsidRPr="00FE138B">
        <w:rPr>
          <w:strike/>
          <w:color w:val="FF0000"/>
        </w:rPr>
        <w:t>and</w:t>
      </w:r>
      <w:r w:rsidRPr="00FE138B">
        <w:rPr>
          <w:color w:val="FF0000"/>
        </w:rPr>
        <w:t xml:space="preserve"> </w:t>
      </w:r>
      <w:r>
        <w:t>NON-ELECTRIC</w:t>
      </w:r>
      <w:r w:rsidRPr="00FE138B">
        <w:rPr>
          <w:color w:val="0070C0"/>
          <w:u w:val="single"/>
        </w:rPr>
        <w:t>, and ELECTRONIC programmable</w:t>
      </w:r>
      <w:r>
        <w:t>.</w:t>
      </w:r>
    </w:p>
    <w:p w14:paraId="3DC4B000" w14:textId="24B2C160" w:rsidR="001344C8" w:rsidRPr="009979EA" w:rsidRDefault="00FE138B" w:rsidP="00E170CF">
      <w:pPr>
        <w:pStyle w:val="SingleTxtG"/>
        <w:widowControl w:val="0"/>
        <w:suppressAutoHyphens w:val="0"/>
        <w:spacing w:after="240" w:line="240" w:lineRule="auto"/>
        <w:ind w:left="562" w:right="43"/>
      </w:pPr>
      <w:r>
        <w:t>Detonating relays without flexible detonating cord are included.</w:t>
      </w:r>
    </w:p>
    <w:p w14:paraId="3DA0CEA3" w14:textId="2387FB00" w:rsidR="001344C8" w:rsidRPr="009979EA" w:rsidRDefault="001344C8" w:rsidP="003B0037">
      <w:pPr>
        <w:pStyle w:val="SingleTxtG"/>
        <w:widowControl w:val="0"/>
        <w:suppressAutoHyphens w:val="0"/>
        <w:spacing w:line="240" w:lineRule="auto"/>
        <w:ind w:left="0" w:right="39"/>
        <w:rPr>
          <w:i/>
        </w:rPr>
      </w:pPr>
      <w:r w:rsidRPr="009979EA">
        <w:rPr>
          <w:i/>
        </w:rPr>
        <w:t xml:space="preserve">Source:  </w:t>
      </w:r>
      <w:r w:rsidR="00345339" w:rsidRPr="00372316">
        <w:rPr>
          <w:i/>
        </w:rPr>
        <w:t>ST/SG/AC.10/C.3/</w:t>
      </w:r>
      <w:r w:rsidR="009979EA">
        <w:rPr>
          <w:i/>
        </w:rPr>
        <w:t>2018/58</w:t>
      </w:r>
      <w:r w:rsidRPr="009979EA">
        <w:rPr>
          <w:i/>
        </w:rPr>
        <w:t xml:space="preserve">, Para. </w:t>
      </w:r>
      <w:r w:rsidR="009979EA">
        <w:rPr>
          <w:i/>
        </w:rPr>
        <w:t>1</w:t>
      </w:r>
      <w:r w:rsidR="009A4EB0">
        <w:rPr>
          <w:i/>
        </w:rPr>
        <w:t>2(a)</w:t>
      </w:r>
      <w:r w:rsidR="009979EA">
        <w:rPr>
          <w:i/>
        </w:rPr>
        <w:t xml:space="preserve"> </w:t>
      </w:r>
      <w:r w:rsidRPr="009979EA">
        <w:rPr>
          <w:i/>
        </w:rPr>
        <w:t xml:space="preserve">and Para. </w:t>
      </w:r>
      <w:r w:rsidR="001D2BAF">
        <w:rPr>
          <w:i/>
        </w:rPr>
        <w:t>6</w:t>
      </w:r>
      <w:r w:rsidRPr="009979EA">
        <w:rPr>
          <w:i/>
        </w:rPr>
        <w:t xml:space="preserve"> of this report.</w:t>
      </w:r>
    </w:p>
    <w:bookmarkEnd w:id="15"/>
    <w:p w14:paraId="671FD20D" w14:textId="317AE955" w:rsidR="003B0037" w:rsidRPr="009979EA" w:rsidRDefault="00A86275" w:rsidP="00AC2252">
      <w:pPr>
        <w:pStyle w:val="SingleTxtG"/>
        <w:keepNext/>
        <w:keepLines/>
        <w:widowControl w:val="0"/>
        <w:numPr>
          <w:ilvl w:val="0"/>
          <w:numId w:val="5"/>
        </w:numPr>
        <w:pBdr>
          <w:top w:val="single" w:sz="4" w:space="1" w:color="auto"/>
        </w:pBdr>
        <w:suppressAutoHyphens w:val="0"/>
        <w:spacing w:line="240" w:lineRule="auto"/>
        <w:ind w:right="43"/>
        <w:rPr>
          <w:b/>
        </w:rPr>
      </w:pPr>
      <w:r>
        <w:rPr>
          <w:b/>
          <w:u w:val="single"/>
        </w:rPr>
        <w:lastRenderedPageBreak/>
        <w:t>Appendix B</w:t>
      </w:r>
      <w:r w:rsidRPr="009979EA">
        <w:rPr>
          <w:b/>
        </w:rPr>
        <w:t xml:space="preserve"> </w:t>
      </w:r>
      <w:r w:rsidRPr="009979EA">
        <w:t xml:space="preserve">– </w:t>
      </w:r>
      <w:r>
        <w:t>Add a new definition for “DETONATORS, ELECTRONIC programmable for blasting” as shown below:</w:t>
      </w:r>
    </w:p>
    <w:p w14:paraId="77CF43AB" w14:textId="1DBDE0C7" w:rsidR="009A4EB0" w:rsidRPr="00496E7B" w:rsidRDefault="009A4EB0" w:rsidP="00AC2252">
      <w:pPr>
        <w:pStyle w:val="SingleTxtG"/>
        <w:keepNext/>
        <w:keepLines/>
        <w:widowControl w:val="0"/>
        <w:suppressAutoHyphens w:val="0"/>
        <w:spacing w:line="240" w:lineRule="auto"/>
        <w:ind w:left="567" w:right="639"/>
        <w:rPr>
          <w:b/>
          <w:i/>
          <w:color w:val="0070C0"/>
          <w:u w:val="single"/>
        </w:rPr>
      </w:pPr>
      <w:r w:rsidRPr="00496E7B">
        <w:rPr>
          <w:b/>
          <w:i/>
          <w:color w:val="0070C0"/>
          <w:u w:val="single"/>
        </w:rPr>
        <w:t xml:space="preserve">DETONATORS, ELECTRONIC </w:t>
      </w:r>
      <w:r w:rsidRPr="00496E7B">
        <w:rPr>
          <w:b/>
          <w:color w:val="0070C0"/>
          <w:u w:val="single"/>
        </w:rPr>
        <w:t>programmable for blasting</w:t>
      </w:r>
    </w:p>
    <w:p w14:paraId="6563F96C" w14:textId="62E3ED93" w:rsidR="009A4EB0" w:rsidRDefault="002B2FA9" w:rsidP="00AC2252">
      <w:pPr>
        <w:pStyle w:val="SingleTxtG"/>
        <w:keepNext/>
        <w:keepLines/>
        <w:widowControl w:val="0"/>
        <w:suppressAutoHyphens w:val="0"/>
        <w:spacing w:after="240" w:line="240" w:lineRule="auto"/>
        <w:ind w:left="562" w:right="634" w:firstLine="562"/>
      </w:pPr>
      <w:r w:rsidRPr="002B2FA9">
        <w:rPr>
          <w:color w:val="0070C0"/>
          <w:u w:val="single"/>
        </w:rPr>
        <w:t>Detonators with enhanced safety and security features, utilizing electronic components to transmit a firing signal with validated commands and secure communications.  Detonators of this type cannot be initiated by other means</w:t>
      </w:r>
      <w:r w:rsidR="009A4EB0" w:rsidRPr="009A4EB0">
        <w:rPr>
          <w:color w:val="0070C0"/>
          <w:u w:val="single"/>
        </w:rPr>
        <w:t>.</w:t>
      </w:r>
    </w:p>
    <w:p w14:paraId="107881FA" w14:textId="25F8DD62" w:rsidR="009A4EB0" w:rsidRDefault="009A4EB0" w:rsidP="00AC2252">
      <w:pPr>
        <w:pStyle w:val="SingleTxtG"/>
        <w:keepNext/>
        <w:keepLines/>
        <w:widowControl w:val="0"/>
        <w:suppressAutoHyphens w:val="0"/>
        <w:spacing w:line="240" w:lineRule="auto"/>
        <w:ind w:left="0" w:right="39"/>
        <w:rPr>
          <w:i/>
        </w:rPr>
      </w:pPr>
      <w:r w:rsidRPr="009979EA">
        <w:rPr>
          <w:i/>
        </w:rPr>
        <w:t xml:space="preserve">Source:  </w:t>
      </w:r>
      <w:r w:rsidR="00345339" w:rsidRPr="00372316">
        <w:rPr>
          <w:i/>
        </w:rPr>
        <w:t>ST/SG/AC.10/C.3/</w:t>
      </w:r>
      <w:r>
        <w:rPr>
          <w:i/>
        </w:rPr>
        <w:t>2018/58</w:t>
      </w:r>
      <w:r w:rsidRPr="009979EA">
        <w:rPr>
          <w:i/>
        </w:rPr>
        <w:t xml:space="preserve">, Para. </w:t>
      </w:r>
      <w:r>
        <w:rPr>
          <w:i/>
        </w:rPr>
        <w:t xml:space="preserve">12(b) </w:t>
      </w:r>
      <w:r w:rsidR="002B2FA9">
        <w:rPr>
          <w:i/>
        </w:rPr>
        <w:t xml:space="preserve">as amended by the working group </w:t>
      </w:r>
      <w:r w:rsidRPr="009979EA">
        <w:rPr>
          <w:i/>
        </w:rPr>
        <w:t xml:space="preserve">and Para. </w:t>
      </w:r>
      <w:r w:rsidR="001D2BAF">
        <w:rPr>
          <w:i/>
        </w:rPr>
        <w:t>6</w:t>
      </w:r>
      <w:r w:rsidRPr="009979EA">
        <w:rPr>
          <w:i/>
        </w:rPr>
        <w:t xml:space="preserve"> of this report.</w:t>
      </w:r>
    </w:p>
    <w:p w14:paraId="7682078F" w14:textId="77777777" w:rsidR="00396450" w:rsidRPr="00773354" w:rsidRDefault="00396450" w:rsidP="00396450">
      <w:pPr>
        <w:pStyle w:val="SingleTxtG"/>
        <w:widowControl w:val="0"/>
        <w:numPr>
          <w:ilvl w:val="0"/>
          <w:numId w:val="5"/>
        </w:numPr>
        <w:pBdr>
          <w:top w:val="single" w:sz="4" w:space="0" w:color="auto"/>
        </w:pBdr>
        <w:suppressAutoHyphens w:val="0"/>
        <w:spacing w:line="240" w:lineRule="auto"/>
        <w:ind w:right="43"/>
        <w:rPr>
          <w:b/>
        </w:rPr>
      </w:pPr>
      <w:r w:rsidRPr="00773354">
        <w:rPr>
          <w:b/>
          <w:u w:val="single"/>
        </w:rPr>
        <w:t>Chapter 3.3</w:t>
      </w:r>
      <w:r w:rsidRPr="001D2BAF">
        <w:t xml:space="preserve"> – </w:t>
      </w:r>
      <w:r>
        <w:t>Insert the following special provisions in chapter 3.3 of the Model Regulations</w:t>
      </w:r>
      <w:r w:rsidRPr="001D2BAF">
        <w:t>:</w:t>
      </w:r>
    </w:p>
    <w:p w14:paraId="7568F6FA" w14:textId="77777777" w:rsidR="00396450" w:rsidRPr="00773354" w:rsidRDefault="00396450" w:rsidP="00396450">
      <w:pPr>
        <w:pStyle w:val="SingleTxtG"/>
        <w:widowControl w:val="0"/>
        <w:suppressAutoHyphens w:val="0"/>
        <w:spacing w:after="240" w:line="240" w:lineRule="auto"/>
        <w:ind w:left="562" w:right="634"/>
        <w:rPr>
          <w:color w:val="0070C0"/>
          <w:u w:val="single"/>
        </w:rPr>
      </w:pPr>
      <w:r w:rsidRPr="00773354">
        <w:rPr>
          <w:color w:val="0070C0"/>
          <w:u w:val="single"/>
        </w:rPr>
        <w:t>Special provision [XXX] for Class 1 entries (UN Nos. 0340, 0341, 0342 and 0343):</w:t>
      </w:r>
    </w:p>
    <w:p w14:paraId="56D7C2BD" w14:textId="77777777" w:rsidR="00396450" w:rsidRPr="00773354" w:rsidRDefault="00396450" w:rsidP="00396450">
      <w:pPr>
        <w:pStyle w:val="SingleTxtG"/>
        <w:widowControl w:val="0"/>
        <w:suppressAutoHyphens w:val="0"/>
        <w:spacing w:after="240" w:line="240" w:lineRule="auto"/>
        <w:ind w:left="562" w:right="634"/>
        <w:rPr>
          <w:color w:val="0070C0"/>
          <w:u w:val="single"/>
        </w:rPr>
      </w:pPr>
      <w:r w:rsidRPr="00773354">
        <w:rPr>
          <w:color w:val="0070C0"/>
          <w:u w:val="single"/>
        </w:rPr>
        <w:t>“[XXX] The consignor must ensure that nitrocellulose meets the criteria of the Bergmann-Junk test or methyl violet paper test in the Manual of Tests and Criteria Appendix 10”. Tests of type 3 (c) need not be applied.”</w:t>
      </w:r>
    </w:p>
    <w:p w14:paraId="2E56B87C" w14:textId="77777777" w:rsidR="00396450" w:rsidRPr="00773354" w:rsidRDefault="00396450" w:rsidP="00396450">
      <w:pPr>
        <w:pStyle w:val="SingleTxtG"/>
        <w:widowControl w:val="0"/>
        <w:suppressAutoHyphens w:val="0"/>
        <w:spacing w:after="240" w:line="240" w:lineRule="auto"/>
        <w:ind w:left="562" w:right="634"/>
        <w:rPr>
          <w:color w:val="0070C0"/>
          <w:u w:val="single"/>
        </w:rPr>
      </w:pPr>
      <w:r w:rsidRPr="00773354">
        <w:rPr>
          <w:color w:val="0070C0"/>
          <w:u w:val="single"/>
        </w:rPr>
        <w:t>Special provision [YYY] for Division 4.1 entries (UN Nos. 2555, 2556, 2557 and nitrocellulose</w:t>
      </w:r>
      <w:r>
        <w:rPr>
          <w:color w:val="0070C0"/>
          <w:u w:val="single"/>
        </w:rPr>
        <w:t xml:space="preserve"> </w:t>
      </w:r>
      <w:r w:rsidRPr="00773354">
        <w:rPr>
          <w:color w:val="0070C0"/>
          <w:u w:val="single"/>
        </w:rPr>
        <w:t>under UN No.3380):</w:t>
      </w:r>
    </w:p>
    <w:p w14:paraId="4FF02F22" w14:textId="77777777" w:rsidR="00396450" w:rsidRPr="001D2BAF" w:rsidRDefault="00396450" w:rsidP="00396450">
      <w:pPr>
        <w:pStyle w:val="SingleTxtG"/>
        <w:widowControl w:val="0"/>
        <w:suppressAutoHyphens w:val="0"/>
        <w:spacing w:after="240" w:line="240" w:lineRule="auto"/>
        <w:ind w:left="562" w:right="634"/>
        <w:rPr>
          <w:color w:val="0070C0"/>
          <w:u w:val="single"/>
        </w:rPr>
      </w:pPr>
      <w:r w:rsidRPr="00773354">
        <w:rPr>
          <w:color w:val="0070C0"/>
          <w:u w:val="single"/>
        </w:rPr>
        <w:t>“[YYY] The consignor must ensure that nitrocellulose meets the criteria of the Bergmann-Junk test or methyl violet paper test in the Manual of Tests and Criteria Appendix 10”.</w:t>
      </w:r>
    </w:p>
    <w:p w14:paraId="5751C1BB" w14:textId="1CA75F94" w:rsidR="00396450" w:rsidRPr="00396450" w:rsidRDefault="00396450" w:rsidP="003B0037">
      <w:pPr>
        <w:pStyle w:val="SingleTxtG"/>
        <w:widowControl w:val="0"/>
        <w:suppressAutoHyphens w:val="0"/>
        <w:spacing w:line="240" w:lineRule="auto"/>
        <w:ind w:left="0" w:right="39"/>
        <w:rPr>
          <w:b/>
        </w:rPr>
      </w:pPr>
      <w:r w:rsidRPr="009979EA">
        <w:rPr>
          <w:i/>
        </w:rPr>
        <w:t xml:space="preserve">Source:  </w:t>
      </w:r>
      <w:r w:rsidRPr="00396450">
        <w:rPr>
          <w:i/>
        </w:rPr>
        <w:t>ST/SG/AC.10/C.3/2018/9</w:t>
      </w:r>
      <w:r>
        <w:rPr>
          <w:i/>
        </w:rPr>
        <w:t xml:space="preserve">, Para. 8 as amended by the working group and </w:t>
      </w:r>
      <w:r w:rsidRPr="009979EA">
        <w:rPr>
          <w:i/>
        </w:rPr>
        <w:t xml:space="preserve">Para. </w:t>
      </w:r>
      <w:r>
        <w:rPr>
          <w:i/>
        </w:rPr>
        <w:t>7</w:t>
      </w:r>
      <w:r w:rsidRPr="009979EA">
        <w:rPr>
          <w:i/>
        </w:rPr>
        <w:t xml:space="preserve"> of this report.</w:t>
      </w:r>
    </w:p>
    <w:p w14:paraId="4281DFF3" w14:textId="441BF3BE" w:rsidR="00D83454" w:rsidRPr="009979EA" w:rsidRDefault="00D953FB" w:rsidP="00D953FB">
      <w:pPr>
        <w:pStyle w:val="SingleTxtG"/>
        <w:keepNext/>
        <w:widowControl w:val="0"/>
        <w:numPr>
          <w:ilvl w:val="0"/>
          <w:numId w:val="5"/>
        </w:numPr>
        <w:pBdr>
          <w:top w:val="single" w:sz="4" w:space="1" w:color="auto"/>
        </w:pBdr>
        <w:suppressAutoHyphens w:val="0"/>
        <w:spacing w:after="240" w:line="240" w:lineRule="auto"/>
        <w:ind w:right="43"/>
        <w:rPr>
          <w:b/>
        </w:rPr>
      </w:pPr>
      <w:r>
        <w:rPr>
          <w:b/>
          <w:u w:val="single"/>
        </w:rPr>
        <w:t xml:space="preserve">Chapter 2.1 </w:t>
      </w:r>
      <w:r>
        <w:t xml:space="preserve">– </w:t>
      </w:r>
      <w:r w:rsidRPr="00A37E96">
        <w:t xml:space="preserve">Amend the Note in </w:t>
      </w:r>
      <w:r>
        <w:t xml:space="preserve">Section </w:t>
      </w:r>
      <w:r w:rsidRPr="00A37E96">
        <w:t>2.1.3.6.4 (b) to read as follows:</w:t>
      </w:r>
    </w:p>
    <w:p w14:paraId="6374F120" w14:textId="77777777" w:rsidR="00A52DF9" w:rsidRPr="00A52DF9" w:rsidRDefault="00A37E96" w:rsidP="00A37E96">
      <w:pPr>
        <w:pStyle w:val="SingleTxtG"/>
        <w:widowControl w:val="0"/>
        <w:suppressAutoHyphens w:val="0"/>
        <w:spacing w:after="240" w:line="240" w:lineRule="auto"/>
        <w:ind w:left="567" w:right="729"/>
        <w:rPr>
          <w:i/>
          <w:iCs/>
          <w:color w:val="0070C0"/>
          <w:u w:val="single"/>
        </w:rPr>
      </w:pPr>
      <w:r w:rsidRPr="00A37E96">
        <w:rPr>
          <w:b/>
          <w:bCs/>
          <w:i/>
          <w:iCs/>
        </w:rPr>
        <w:t xml:space="preserve">NOTE: </w:t>
      </w:r>
      <w:r w:rsidRPr="00A37E96">
        <w:rPr>
          <w:i/>
          <w:iCs/>
        </w:rPr>
        <w:t>Where the integrity of the article may be affected in the event of an external fire these criteria shall be examined by a fire test</w:t>
      </w:r>
      <w:r w:rsidRPr="00A52DF9">
        <w:rPr>
          <w:i/>
          <w:iCs/>
          <w:strike/>
          <w:color w:val="FF0000"/>
        </w:rPr>
        <w:t>,</w:t>
      </w:r>
      <w:r w:rsidR="00A52DF9" w:rsidRPr="00A52DF9">
        <w:rPr>
          <w:i/>
          <w:iCs/>
          <w:color w:val="0070C0"/>
          <w:u w:val="single"/>
        </w:rPr>
        <w:t>.</w:t>
      </w:r>
    </w:p>
    <w:p w14:paraId="0B7942A0" w14:textId="72198879" w:rsidR="00D83454" w:rsidRDefault="00A52DF9" w:rsidP="00A37E96">
      <w:pPr>
        <w:pStyle w:val="SingleTxtG"/>
        <w:widowControl w:val="0"/>
        <w:suppressAutoHyphens w:val="0"/>
        <w:spacing w:after="240" w:line="240" w:lineRule="auto"/>
        <w:ind w:left="567" w:right="729"/>
        <w:rPr>
          <w:b/>
        </w:rPr>
      </w:pPr>
      <w:r w:rsidRPr="00A52DF9">
        <w:rPr>
          <w:bCs/>
          <w:i/>
          <w:iCs/>
          <w:color w:val="0070C0"/>
          <w:u w:val="single"/>
        </w:rPr>
        <w:t>One</w:t>
      </w:r>
      <w:r w:rsidR="00A37E96" w:rsidRPr="00A52DF9">
        <w:rPr>
          <w:i/>
          <w:iCs/>
          <w:color w:val="0070C0"/>
          <w:u w:val="single"/>
        </w:rPr>
        <w:t xml:space="preserve"> </w:t>
      </w:r>
      <w:r w:rsidR="00A37E96" w:rsidRPr="00A37E96">
        <w:rPr>
          <w:i/>
          <w:iCs/>
        </w:rPr>
        <w:t xml:space="preserve">such </w:t>
      </w:r>
      <w:r w:rsidR="00A37E96" w:rsidRPr="00A52DF9">
        <w:rPr>
          <w:i/>
          <w:iCs/>
          <w:strike/>
          <w:color w:val="FF0000"/>
          <w:u w:val="single"/>
        </w:rPr>
        <w:t xml:space="preserve">as </w:t>
      </w:r>
      <w:r w:rsidRPr="00A52DF9">
        <w:rPr>
          <w:i/>
          <w:iCs/>
          <w:color w:val="0070C0"/>
          <w:u w:val="single"/>
        </w:rPr>
        <w:t xml:space="preserve">method is </w:t>
      </w:r>
      <w:r w:rsidR="00A37E96" w:rsidRPr="00A37E96">
        <w:rPr>
          <w:i/>
          <w:iCs/>
        </w:rPr>
        <w:t xml:space="preserve">described in ISO </w:t>
      </w:r>
      <w:r w:rsidR="00A37E96" w:rsidRPr="00A37E96">
        <w:rPr>
          <w:i/>
          <w:iCs/>
          <w:strike/>
          <w:color w:val="FF0000"/>
        </w:rPr>
        <w:t>12097-3</w:t>
      </w:r>
      <w:r w:rsidR="00A37E96" w:rsidRPr="00A37E96">
        <w:rPr>
          <w:i/>
          <w:color w:val="0070C0"/>
          <w:u w:val="single"/>
        </w:rPr>
        <w:t>14451-2 using a heating rate of 80 K/min</w:t>
      </w:r>
      <w:r w:rsidR="000C34C4">
        <w:rPr>
          <w:i/>
        </w:rPr>
        <w:t>.</w:t>
      </w:r>
      <w:r w:rsidR="00A37E96" w:rsidRPr="00A37E96">
        <w:rPr>
          <w:i/>
          <w:iCs/>
        </w:rPr>
        <w:t xml:space="preserve"> </w:t>
      </w:r>
      <w:r w:rsidR="00D83454" w:rsidRPr="00A37E96">
        <w:rPr>
          <w:b/>
        </w:rPr>
        <w:t xml:space="preserve"> </w:t>
      </w:r>
    </w:p>
    <w:p w14:paraId="0EF24306" w14:textId="082A553A" w:rsidR="00D83454" w:rsidRDefault="00D83454" w:rsidP="00D83454">
      <w:pPr>
        <w:pStyle w:val="SingleTxtG"/>
        <w:widowControl w:val="0"/>
        <w:suppressAutoHyphens w:val="0"/>
        <w:spacing w:line="240" w:lineRule="auto"/>
        <w:ind w:left="0" w:right="39"/>
        <w:rPr>
          <w:i/>
        </w:rPr>
      </w:pPr>
      <w:r w:rsidRPr="009979EA">
        <w:rPr>
          <w:i/>
        </w:rPr>
        <w:t xml:space="preserve">Source:  </w:t>
      </w:r>
      <w:r w:rsidRPr="00372316">
        <w:rPr>
          <w:i/>
        </w:rPr>
        <w:t>ST/SG/AC.10/C.3/2018/</w:t>
      </w:r>
      <w:r>
        <w:rPr>
          <w:i/>
        </w:rPr>
        <w:t>6</w:t>
      </w:r>
      <w:r w:rsidRPr="009979EA">
        <w:rPr>
          <w:i/>
        </w:rPr>
        <w:t>, Para</w:t>
      </w:r>
      <w:r>
        <w:rPr>
          <w:i/>
        </w:rPr>
        <w:t>s</w:t>
      </w:r>
      <w:r w:rsidRPr="009979EA">
        <w:rPr>
          <w:i/>
        </w:rPr>
        <w:t xml:space="preserve">. </w:t>
      </w:r>
      <w:r>
        <w:rPr>
          <w:i/>
        </w:rPr>
        <w:t xml:space="preserve">6 – 7 </w:t>
      </w:r>
      <w:r w:rsidRPr="009979EA">
        <w:rPr>
          <w:i/>
        </w:rPr>
        <w:t xml:space="preserve">and Para. </w:t>
      </w:r>
      <w:r w:rsidR="00734488">
        <w:rPr>
          <w:i/>
        </w:rPr>
        <w:t>9</w:t>
      </w:r>
      <w:r w:rsidRPr="009979EA">
        <w:rPr>
          <w:i/>
        </w:rPr>
        <w:t xml:space="preserve"> of this report.</w:t>
      </w:r>
    </w:p>
    <w:p w14:paraId="4CF33C36" w14:textId="4BC333BA" w:rsidR="00607FF1" w:rsidRPr="009979EA" w:rsidRDefault="00382DF0" w:rsidP="00382DF0">
      <w:pPr>
        <w:pStyle w:val="SingleTxtG"/>
        <w:keepNext/>
        <w:widowControl w:val="0"/>
        <w:numPr>
          <w:ilvl w:val="0"/>
          <w:numId w:val="5"/>
        </w:numPr>
        <w:pBdr>
          <w:top w:val="single" w:sz="4" w:space="1" w:color="auto"/>
        </w:pBdr>
        <w:suppressAutoHyphens w:val="0"/>
        <w:spacing w:after="240" w:line="240" w:lineRule="auto"/>
        <w:ind w:right="43"/>
        <w:rPr>
          <w:b/>
        </w:rPr>
      </w:pPr>
      <w:bookmarkStart w:id="16" w:name="_Hlk517977522"/>
      <w:r>
        <w:rPr>
          <w:b/>
          <w:u w:val="single"/>
        </w:rPr>
        <w:t xml:space="preserve">Dangerous Goods List in the Spanish Version of the Model </w:t>
      </w:r>
      <w:r w:rsidR="00EC4233">
        <w:rPr>
          <w:b/>
          <w:u w:val="single"/>
        </w:rPr>
        <w:t>Regulations</w:t>
      </w:r>
      <w:r w:rsidR="00EC4233" w:rsidRPr="00EC4233">
        <w:rPr>
          <w:b/>
        </w:rPr>
        <w:t xml:space="preserve"> </w:t>
      </w:r>
      <w:r w:rsidR="00EC4233" w:rsidRPr="009979EA">
        <w:rPr>
          <w:b/>
        </w:rPr>
        <w:t>–</w:t>
      </w:r>
      <w:r w:rsidR="00D953FB" w:rsidRPr="009979EA">
        <w:t xml:space="preserve"> </w:t>
      </w:r>
      <w:r w:rsidR="00D953FB">
        <w:t xml:space="preserve">Amend the </w:t>
      </w:r>
      <w:r>
        <w:t>description entries UN 0238 and UN 0288 to read “</w:t>
      </w:r>
      <w:r w:rsidRPr="00382DF0">
        <w:t>CARGAS  MOLDEADAS LINEALES FLEXIBLES</w:t>
      </w:r>
      <w:r>
        <w:t>”</w:t>
      </w:r>
      <w:r w:rsidR="00D953FB">
        <w:t>:</w:t>
      </w:r>
    </w:p>
    <w:p w14:paraId="0B70B012" w14:textId="0FE2F0D2" w:rsidR="00607FF1" w:rsidRDefault="00607FF1" w:rsidP="00607FF1">
      <w:pPr>
        <w:pStyle w:val="SingleTxtG"/>
        <w:widowControl w:val="0"/>
        <w:suppressAutoHyphens w:val="0"/>
        <w:spacing w:line="240" w:lineRule="auto"/>
        <w:ind w:left="0" w:right="39"/>
        <w:rPr>
          <w:i/>
        </w:rPr>
      </w:pPr>
      <w:r w:rsidRPr="009979EA">
        <w:rPr>
          <w:i/>
        </w:rPr>
        <w:t xml:space="preserve">Source:  </w:t>
      </w:r>
      <w:r w:rsidR="00382DF0" w:rsidRPr="00382DF0">
        <w:rPr>
          <w:i/>
        </w:rPr>
        <w:t>UN/SCETDG/53/INF.29</w:t>
      </w:r>
      <w:r w:rsidR="00382DF0">
        <w:rPr>
          <w:i/>
        </w:rPr>
        <w:t xml:space="preserve">, Para. 9, and </w:t>
      </w:r>
      <w:r w:rsidRPr="009979EA">
        <w:rPr>
          <w:i/>
        </w:rPr>
        <w:t xml:space="preserve">Para. </w:t>
      </w:r>
      <w:r>
        <w:rPr>
          <w:i/>
        </w:rPr>
        <w:t>1</w:t>
      </w:r>
      <w:r w:rsidR="00382DF0">
        <w:rPr>
          <w:i/>
        </w:rPr>
        <w:t>6</w:t>
      </w:r>
      <w:r w:rsidRPr="009979EA">
        <w:rPr>
          <w:i/>
        </w:rPr>
        <w:t xml:space="preserve"> of this report.</w:t>
      </w:r>
    </w:p>
    <w:bookmarkEnd w:id="16"/>
    <w:p w14:paraId="4BE06697" w14:textId="77777777" w:rsidR="00382DF0" w:rsidRPr="009979EA" w:rsidRDefault="00382DF0" w:rsidP="00382DF0">
      <w:pPr>
        <w:pStyle w:val="SingleTxtG"/>
        <w:keepNext/>
        <w:widowControl w:val="0"/>
        <w:numPr>
          <w:ilvl w:val="0"/>
          <w:numId w:val="5"/>
        </w:numPr>
        <w:pBdr>
          <w:top w:val="single" w:sz="4" w:space="1" w:color="auto"/>
        </w:pBdr>
        <w:suppressAutoHyphens w:val="0"/>
        <w:spacing w:after="240" w:line="240" w:lineRule="auto"/>
        <w:ind w:right="43"/>
        <w:rPr>
          <w:b/>
        </w:rPr>
      </w:pPr>
      <w:r>
        <w:rPr>
          <w:b/>
          <w:u w:val="single"/>
        </w:rPr>
        <w:t xml:space="preserve">Section </w:t>
      </w:r>
      <w:r w:rsidRPr="00345339">
        <w:rPr>
          <w:b/>
          <w:u w:val="single"/>
        </w:rPr>
        <w:t xml:space="preserve">2.4.3.2.3.1 </w:t>
      </w:r>
      <w:r w:rsidRPr="009979EA">
        <w:rPr>
          <w:b/>
        </w:rPr>
        <w:t xml:space="preserve"> </w:t>
      </w:r>
      <w:r w:rsidRPr="009979EA">
        <w:t xml:space="preserve">– </w:t>
      </w:r>
      <w:r>
        <w:t>Amend the new Note to Section 2.4.3.2.3.1 as shown below:</w:t>
      </w:r>
    </w:p>
    <w:p w14:paraId="7ACC79EE" w14:textId="77777777" w:rsidR="00382DF0" w:rsidRPr="00A37E96" w:rsidRDefault="00382DF0" w:rsidP="00382DF0">
      <w:pPr>
        <w:pStyle w:val="SingleTxtG"/>
        <w:widowControl w:val="0"/>
        <w:suppressAutoHyphens w:val="0"/>
        <w:spacing w:after="240" w:line="240" w:lineRule="auto"/>
        <w:ind w:left="562" w:right="734"/>
      </w:pPr>
      <w:r w:rsidRPr="000322E7">
        <w:rPr>
          <w:b/>
          <w:bCs/>
          <w:i/>
          <w:iCs/>
        </w:rPr>
        <w:t xml:space="preserve">NOTE: </w:t>
      </w:r>
      <w:r w:rsidRPr="000322E7">
        <w:rPr>
          <w:i/>
          <w:iCs/>
        </w:rPr>
        <w:t xml:space="preserve">Self-reactive substances, </w:t>
      </w:r>
      <w:r w:rsidRPr="00345339">
        <w:rPr>
          <w:i/>
          <w:iCs/>
          <w:strike/>
          <w:color w:val="FF0000"/>
        </w:rPr>
        <w:t xml:space="preserve">except for type G, </w:t>
      </w:r>
      <w:r w:rsidRPr="000322E7">
        <w:rPr>
          <w:i/>
          <w:iCs/>
        </w:rPr>
        <w:t xml:space="preserve">giving also a positive result with this test method, shall not be </w:t>
      </w:r>
      <w:r w:rsidRPr="00345339">
        <w:rPr>
          <w:bCs/>
          <w:i/>
          <w:iCs/>
        </w:rPr>
        <w:t>classified</w:t>
      </w:r>
      <w:r w:rsidRPr="000322E7">
        <w:rPr>
          <w:i/>
          <w:iCs/>
        </w:rPr>
        <w:t xml:space="preserve"> in Division 4.2 but in Division 4.1 (see 2.4.2.3.1.1).</w:t>
      </w:r>
    </w:p>
    <w:p w14:paraId="116E9FD1" w14:textId="77777777" w:rsidR="00382DF0" w:rsidRDefault="00382DF0" w:rsidP="00382DF0">
      <w:pPr>
        <w:pStyle w:val="SingleTxtG"/>
        <w:widowControl w:val="0"/>
        <w:pBdr>
          <w:bottom w:val="single" w:sz="4" w:space="1" w:color="auto"/>
        </w:pBdr>
        <w:suppressAutoHyphens w:val="0"/>
        <w:spacing w:line="240" w:lineRule="auto"/>
        <w:ind w:left="0" w:right="39"/>
        <w:rPr>
          <w:i/>
        </w:rPr>
      </w:pPr>
      <w:r w:rsidRPr="009979EA">
        <w:rPr>
          <w:i/>
        </w:rPr>
        <w:t xml:space="preserve">Source:  Para. </w:t>
      </w:r>
      <w:r>
        <w:rPr>
          <w:i/>
        </w:rPr>
        <w:t>17</w:t>
      </w:r>
      <w:r w:rsidRPr="009979EA">
        <w:rPr>
          <w:i/>
        </w:rPr>
        <w:t xml:space="preserve"> of this report.</w:t>
      </w:r>
    </w:p>
    <w:p w14:paraId="17597B9D" w14:textId="77777777" w:rsidR="009A4EB0" w:rsidRPr="009A4EB0" w:rsidRDefault="009A4EB0" w:rsidP="009A4EB0">
      <w:pPr>
        <w:pStyle w:val="HChG"/>
        <w:keepNext w:val="0"/>
        <w:keepLines w:val="0"/>
        <w:widowControl w:val="0"/>
        <w:suppressAutoHyphens w:val="0"/>
        <w:ind w:left="0" w:right="39" w:firstLine="0"/>
        <w:rPr>
          <w:rFonts w:eastAsia="MS Mincho"/>
          <w:sz w:val="20"/>
          <w:lang w:eastAsia="ja-JP"/>
        </w:rPr>
      </w:pPr>
    </w:p>
    <w:p w14:paraId="5D240680" w14:textId="13434923" w:rsidR="00B05B49" w:rsidRPr="009979EA" w:rsidRDefault="00033A5E" w:rsidP="00B05B49">
      <w:pPr>
        <w:pStyle w:val="HChG"/>
        <w:ind w:left="0" w:right="39" w:firstLine="0"/>
        <w:rPr>
          <w:rFonts w:eastAsia="MS Mincho"/>
          <w:sz w:val="26"/>
          <w:lang w:eastAsia="ja-JP"/>
        </w:rPr>
      </w:pPr>
      <w:r w:rsidRPr="009979EA">
        <w:rPr>
          <w:rFonts w:eastAsia="MS Mincho"/>
          <w:lang w:eastAsia="ja-JP"/>
        </w:rPr>
        <w:br w:type="page"/>
      </w:r>
      <w:bookmarkStart w:id="17" w:name="Annex3"/>
      <w:bookmarkEnd w:id="17"/>
      <w:r w:rsidR="00B05B49" w:rsidRPr="009979EA">
        <w:rPr>
          <w:rFonts w:eastAsia="MS Mincho"/>
          <w:lang w:eastAsia="ja-JP"/>
        </w:rPr>
        <w:lastRenderedPageBreak/>
        <w:t>Annex 3</w:t>
      </w:r>
      <w:r w:rsidR="00B05B49" w:rsidRPr="009979EA">
        <w:rPr>
          <w:rFonts w:eastAsia="MS Mincho"/>
          <w:lang w:eastAsia="ja-JP"/>
        </w:rPr>
        <w:br/>
      </w:r>
      <w:r w:rsidR="002200BC" w:rsidRPr="009979EA">
        <w:rPr>
          <w:rFonts w:eastAsia="MS Mincho"/>
          <w:sz w:val="26"/>
          <w:lang w:eastAsia="ja-JP"/>
        </w:rPr>
        <w:t xml:space="preserve">Working Group on Explosives </w:t>
      </w:r>
      <w:r w:rsidR="00B106E2" w:rsidRPr="009979EA">
        <w:rPr>
          <w:rFonts w:eastAsia="MS Mincho"/>
          <w:sz w:val="26"/>
          <w:lang w:eastAsia="ja-JP"/>
        </w:rPr>
        <w:t>(25 – 29 June 2018)</w:t>
      </w:r>
      <w:r w:rsidR="002200BC" w:rsidRPr="009979EA">
        <w:rPr>
          <w:rFonts w:eastAsia="MS Mincho"/>
          <w:sz w:val="26"/>
          <w:lang w:eastAsia="ja-JP"/>
        </w:rPr>
        <w:br/>
      </w:r>
      <w:r w:rsidR="00B05B49" w:rsidRPr="009979EA">
        <w:rPr>
          <w:rFonts w:eastAsia="MS Mincho"/>
          <w:sz w:val="26"/>
          <w:lang w:eastAsia="ja-JP"/>
        </w:rPr>
        <w:t xml:space="preserve">Changes for the </w:t>
      </w:r>
      <w:r w:rsidRPr="009979EA">
        <w:rPr>
          <w:rFonts w:eastAsia="MS Mincho"/>
          <w:sz w:val="26"/>
          <w:lang w:eastAsia="ja-JP"/>
        </w:rPr>
        <w:t>Test Manual (</w:t>
      </w:r>
      <w:r w:rsidR="00E16005" w:rsidRPr="009979EA">
        <w:rPr>
          <w:rFonts w:eastAsia="MS Mincho"/>
          <w:sz w:val="26"/>
          <w:lang w:eastAsia="ja-JP"/>
        </w:rPr>
        <w:t>6</w:t>
      </w:r>
      <w:r w:rsidRPr="009979EA">
        <w:rPr>
          <w:rFonts w:eastAsia="MS Mincho"/>
          <w:sz w:val="26"/>
          <w:lang w:eastAsia="ja-JP"/>
        </w:rPr>
        <w:t>th Revised Edition)</w:t>
      </w:r>
    </w:p>
    <w:p w14:paraId="140C2737" w14:textId="77777777" w:rsidR="00AC1EBC" w:rsidRPr="009979EA" w:rsidRDefault="00AC1EBC" w:rsidP="00AC1EBC">
      <w:pPr>
        <w:tabs>
          <w:tab w:val="left" w:pos="720"/>
        </w:tabs>
        <w:spacing w:line="240" w:lineRule="auto"/>
        <w:ind w:right="43"/>
        <w:rPr>
          <w:b/>
        </w:rPr>
      </w:pPr>
      <w:r w:rsidRPr="009979EA">
        <w:rPr>
          <w:rFonts w:eastAsia="MS Mincho"/>
          <w:lang w:eastAsia="ja-JP"/>
        </w:rPr>
        <w:t xml:space="preserve">Notes:  Source of proposed change is indicated by </w:t>
      </w:r>
      <w:r w:rsidRPr="009979EA">
        <w:rPr>
          <w:rFonts w:eastAsia="MS Mincho"/>
          <w:i/>
          <w:lang w:eastAsia="ja-JP"/>
        </w:rPr>
        <w:t>italicized text (Source:  XXX)</w:t>
      </w:r>
      <w:r w:rsidRPr="009979EA">
        <w:rPr>
          <w:b/>
        </w:rPr>
        <w:t xml:space="preserve">  </w:t>
      </w:r>
    </w:p>
    <w:p w14:paraId="31492C91" w14:textId="77777777" w:rsidR="00AC1EBC" w:rsidRPr="009979EA" w:rsidRDefault="00AC1EBC" w:rsidP="00AC1EBC">
      <w:pPr>
        <w:tabs>
          <w:tab w:val="left" w:pos="630"/>
        </w:tabs>
        <w:spacing w:line="240" w:lineRule="auto"/>
        <w:ind w:right="43"/>
      </w:pPr>
      <w:r w:rsidRPr="009979EA">
        <w:rPr>
          <w:color w:val="FF0000"/>
        </w:rPr>
        <w:tab/>
      </w:r>
      <w:r w:rsidRPr="009979EA">
        <w:rPr>
          <w:strike/>
          <w:color w:val="FF0000"/>
        </w:rPr>
        <w:t>Red</w:t>
      </w:r>
      <w:r w:rsidRPr="009979EA">
        <w:t xml:space="preserve"> indicates deleted text</w:t>
      </w:r>
    </w:p>
    <w:p w14:paraId="5F3F95DF" w14:textId="77777777" w:rsidR="00AC1EBC" w:rsidRPr="009979EA" w:rsidRDefault="00AC1EBC" w:rsidP="00AC1EBC">
      <w:pPr>
        <w:tabs>
          <w:tab w:val="left" w:pos="630"/>
        </w:tabs>
        <w:spacing w:after="120" w:line="240" w:lineRule="auto"/>
        <w:ind w:right="43"/>
        <w:rPr>
          <w:rFonts w:eastAsia="MS Mincho"/>
          <w:lang w:eastAsia="ja-JP"/>
        </w:rPr>
      </w:pPr>
      <w:r w:rsidRPr="009979EA">
        <w:rPr>
          <w:color w:val="0070C0"/>
        </w:rPr>
        <w:tab/>
      </w:r>
      <w:r w:rsidRPr="009979EA">
        <w:rPr>
          <w:color w:val="0070C0"/>
          <w:u w:val="single"/>
        </w:rPr>
        <w:t>Blue</w:t>
      </w:r>
      <w:r w:rsidRPr="009979EA">
        <w:rPr>
          <w:color w:val="0070C0"/>
        </w:rPr>
        <w:t xml:space="preserve"> </w:t>
      </w:r>
      <w:r w:rsidRPr="009979EA">
        <w:t>indicates inserted text</w:t>
      </w:r>
    </w:p>
    <w:p w14:paraId="60AA6F7D" w14:textId="0A8B202A" w:rsidR="00FE3BFA" w:rsidRPr="009979EA" w:rsidRDefault="00FE3BFA" w:rsidP="005C593C">
      <w:pPr>
        <w:pStyle w:val="SingleTxtG"/>
        <w:keepNext/>
        <w:keepLines/>
        <w:numPr>
          <w:ilvl w:val="0"/>
          <w:numId w:val="20"/>
        </w:numPr>
        <w:pBdr>
          <w:top w:val="single" w:sz="4" w:space="1" w:color="auto"/>
        </w:pBdr>
        <w:spacing w:line="240" w:lineRule="auto"/>
        <w:ind w:right="39"/>
      </w:pPr>
      <w:r>
        <w:rPr>
          <w:b/>
          <w:u w:val="single"/>
        </w:rPr>
        <w:t>Appendices</w:t>
      </w:r>
      <w:r w:rsidRPr="009979EA">
        <w:rPr>
          <w:b/>
        </w:rPr>
        <w:t xml:space="preserve"> </w:t>
      </w:r>
      <w:r w:rsidRPr="009979EA">
        <w:t xml:space="preserve">– </w:t>
      </w:r>
      <w:r>
        <w:t xml:space="preserve">Add new Appendix XX as shown in para. 10 of </w:t>
      </w:r>
      <w:r w:rsidRPr="00FE3BFA">
        <w:t>ST/SG/AC.10/C.3/2018/9</w:t>
      </w:r>
      <w:r>
        <w:t>.</w:t>
      </w:r>
    </w:p>
    <w:p w14:paraId="4BA75867" w14:textId="53AE610C" w:rsidR="00AC1EBC" w:rsidRPr="009979EA" w:rsidRDefault="00AC1EBC" w:rsidP="00AC1EBC">
      <w:pPr>
        <w:pStyle w:val="SingleTxtG"/>
        <w:keepNext/>
        <w:keepLines/>
        <w:pBdr>
          <w:bottom w:val="single" w:sz="4" w:space="1" w:color="auto"/>
        </w:pBdr>
        <w:spacing w:line="240" w:lineRule="auto"/>
        <w:ind w:left="0" w:right="39"/>
        <w:rPr>
          <w:i/>
        </w:rPr>
      </w:pPr>
      <w:r w:rsidRPr="009979EA">
        <w:rPr>
          <w:i/>
        </w:rPr>
        <w:t xml:space="preserve">Source:  </w:t>
      </w:r>
      <w:r w:rsidR="00FE3BFA" w:rsidRPr="00FE3BFA">
        <w:rPr>
          <w:i/>
        </w:rPr>
        <w:t xml:space="preserve">ST/SG/AC.10/C.3/2018/9, Para. </w:t>
      </w:r>
      <w:r w:rsidR="00FE3BFA">
        <w:rPr>
          <w:i/>
        </w:rPr>
        <w:t>10</w:t>
      </w:r>
      <w:r w:rsidRPr="009979EA">
        <w:rPr>
          <w:i/>
        </w:rPr>
        <w:t xml:space="preserve">, and Para. </w:t>
      </w:r>
      <w:r w:rsidR="00FE3BFA">
        <w:rPr>
          <w:i/>
        </w:rPr>
        <w:t>7</w:t>
      </w:r>
      <w:r w:rsidRPr="009979EA">
        <w:rPr>
          <w:i/>
        </w:rPr>
        <w:t xml:space="preserve"> of this report.</w:t>
      </w:r>
    </w:p>
    <w:p w14:paraId="1C415831" w14:textId="5AE7B094" w:rsidR="004C3AC1" w:rsidRPr="009979EA" w:rsidRDefault="004C3AC1" w:rsidP="005C593C">
      <w:pPr>
        <w:pStyle w:val="SingleTxtG"/>
        <w:keepNext/>
        <w:keepLines/>
        <w:numPr>
          <w:ilvl w:val="0"/>
          <w:numId w:val="20"/>
        </w:numPr>
        <w:spacing w:line="240" w:lineRule="auto"/>
        <w:ind w:right="39"/>
      </w:pPr>
      <w:r>
        <w:rPr>
          <w:b/>
          <w:u w:val="single"/>
        </w:rPr>
        <w:t>Appendices</w:t>
      </w:r>
      <w:r w:rsidRPr="009979EA">
        <w:rPr>
          <w:b/>
        </w:rPr>
        <w:t xml:space="preserve"> </w:t>
      </w:r>
      <w:r w:rsidRPr="009979EA">
        <w:t xml:space="preserve">– </w:t>
      </w:r>
      <w:r w:rsidR="004D6A30">
        <w:t xml:space="preserve">Revise section 2.4.1 of new </w:t>
      </w:r>
      <w:r>
        <w:t xml:space="preserve">Appendix XX </w:t>
      </w:r>
      <w:r w:rsidR="004D6A30">
        <w:t xml:space="preserve">(see Amendment 1 above) </w:t>
      </w:r>
      <w:r>
        <w:t>as shown</w:t>
      </w:r>
      <w:r w:rsidR="004D6A30">
        <w:t xml:space="preserve"> below</w:t>
      </w:r>
      <w:r w:rsidR="00D839AE">
        <w:t>:</w:t>
      </w:r>
    </w:p>
    <w:p w14:paraId="11E1188F" w14:textId="695724D1" w:rsidR="004C3AC1" w:rsidRPr="009979EA" w:rsidRDefault="004D6A30" w:rsidP="004D6A30">
      <w:pPr>
        <w:pStyle w:val="SingleTxtG"/>
        <w:widowControl w:val="0"/>
        <w:suppressAutoHyphens w:val="0"/>
        <w:spacing w:after="240" w:line="240" w:lineRule="auto"/>
        <w:ind w:left="567" w:right="729"/>
      </w:pPr>
      <w:r w:rsidRPr="004D6A30">
        <w:t>2.4.1        The test result is considered "+" and the substance is classified as unstable if the quantity of NO gas given off is more than 2.5 ml</w:t>
      </w:r>
      <w:r>
        <w:t>/g</w:t>
      </w:r>
      <w:r w:rsidR="000D3582">
        <w:t xml:space="preserve"> of NC</w:t>
      </w:r>
      <w:r w:rsidRPr="004D6A30">
        <w:t>. If the quantity of NO gas given off is less than or equal to 2.5 ml</w:t>
      </w:r>
      <w:r>
        <w:t>/g,</w:t>
      </w:r>
      <w:r w:rsidRPr="004D6A30">
        <w:t xml:space="preserve"> of NC the result is "-" and the substance is classified as stable.</w:t>
      </w:r>
    </w:p>
    <w:p w14:paraId="0377E7BE" w14:textId="590C780E" w:rsidR="004C3AC1" w:rsidRPr="009979EA" w:rsidRDefault="004C3AC1" w:rsidP="004C3AC1">
      <w:pPr>
        <w:pStyle w:val="SingleTxtG"/>
        <w:keepNext/>
        <w:keepLines/>
        <w:pBdr>
          <w:bottom w:val="single" w:sz="4" w:space="1" w:color="auto"/>
        </w:pBdr>
        <w:spacing w:line="240" w:lineRule="auto"/>
        <w:ind w:left="0" w:right="39"/>
        <w:rPr>
          <w:i/>
        </w:rPr>
      </w:pPr>
      <w:r w:rsidRPr="009979EA">
        <w:rPr>
          <w:i/>
        </w:rPr>
        <w:t xml:space="preserve">Source:  Para. </w:t>
      </w:r>
      <w:r>
        <w:rPr>
          <w:i/>
        </w:rPr>
        <w:t>7</w:t>
      </w:r>
      <w:r w:rsidRPr="009979EA">
        <w:rPr>
          <w:i/>
        </w:rPr>
        <w:t xml:space="preserve"> of this report.</w:t>
      </w:r>
    </w:p>
    <w:p w14:paraId="44D7065B" w14:textId="5EB0BEC1" w:rsidR="00D839AE" w:rsidRPr="009979EA" w:rsidRDefault="00D839AE" w:rsidP="005C593C">
      <w:pPr>
        <w:pStyle w:val="SingleTxtG"/>
        <w:keepNext/>
        <w:keepLines/>
        <w:numPr>
          <w:ilvl w:val="0"/>
          <w:numId w:val="20"/>
        </w:numPr>
        <w:spacing w:line="240" w:lineRule="auto"/>
        <w:ind w:right="39"/>
      </w:pPr>
      <w:r>
        <w:rPr>
          <w:b/>
          <w:u w:val="single"/>
        </w:rPr>
        <w:t>Appendices</w:t>
      </w:r>
      <w:r w:rsidRPr="009979EA">
        <w:rPr>
          <w:b/>
        </w:rPr>
        <w:t xml:space="preserve"> </w:t>
      </w:r>
      <w:r w:rsidRPr="009979EA">
        <w:t xml:space="preserve">– </w:t>
      </w:r>
      <w:r>
        <w:t>Add section 2.5 to new Appendix XX (see Amendment 1 above) as shown below</w:t>
      </w:r>
    </w:p>
    <w:p w14:paraId="48D541C3" w14:textId="77777777" w:rsidR="00D839AE" w:rsidRPr="00285368" w:rsidRDefault="00D839AE" w:rsidP="00D839AE">
      <w:pPr>
        <w:pStyle w:val="H23G"/>
        <w:spacing w:after="240"/>
        <w:ind w:left="360" w:firstLine="0"/>
        <w:rPr>
          <w:b w:val="0"/>
          <w:lang w:val="en-GB"/>
        </w:rPr>
      </w:pPr>
      <w:r w:rsidRPr="00285368">
        <w:rPr>
          <w:b w:val="0"/>
          <w:lang w:val="en-GB"/>
        </w:rPr>
        <w:t>2.5               Examples of results</w:t>
      </w:r>
      <w:r w:rsidRPr="00285368">
        <w:rPr>
          <w:b w:val="0"/>
          <w:lang w:val="en-GB"/>
        </w:rPr>
        <w:br/>
      </w:r>
    </w:p>
    <w:tbl>
      <w:tblPr>
        <w:tblW w:w="0" w:type="auto"/>
        <w:jc w:val="center"/>
        <w:tblCellMar>
          <w:left w:w="0" w:type="dxa"/>
          <w:right w:w="0" w:type="dxa"/>
        </w:tblCellMar>
        <w:tblLook w:val="04A0" w:firstRow="1" w:lastRow="0" w:firstColumn="1" w:lastColumn="0" w:noHBand="0" w:noVBand="1"/>
      </w:tblPr>
      <w:tblGrid>
        <w:gridCol w:w="3587"/>
        <w:gridCol w:w="2792"/>
      </w:tblGrid>
      <w:tr w:rsidR="00D839AE" w:rsidRPr="00285368" w14:paraId="0B6F3841" w14:textId="77777777" w:rsidTr="00D839AE">
        <w:trPr>
          <w:jc w:val="center"/>
        </w:trPr>
        <w:tc>
          <w:tcPr>
            <w:tcW w:w="3587" w:type="dxa"/>
            <w:tcBorders>
              <w:top w:val="single" w:sz="8" w:space="0" w:color="auto"/>
              <w:left w:val="nil"/>
              <w:bottom w:val="single" w:sz="8" w:space="0" w:color="auto"/>
              <w:right w:val="nil"/>
            </w:tcBorders>
            <w:hideMark/>
          </w:tcPr>
          <w:p w14:paraId="3848C1AA" w14:textId="5F07A0DC" w:rsidR="00D839AE" w:rsidRPr="00285368" w:rsidRDefault="00D839AE">
            <w:pPr>
              <w:pStyle w:val="p1"/>
              <w:spacing w:before="30" w:after="30" w:line="240" w:lineRule="atLeast"/>
              <w:jc w:val="center"/>
              <w:rPr>
                <w:bCs/>
                <w:sz w:val="20"/>
                <w:szCs w:val="20"/>
                <w:lang w:eastAsia="en-GB"/>
              </w:rPr>
            </w:pPr>
            <w:r w:rsidRPr="00285368">
              <w:rPr>
                <w:bCs/>
                <w:sz w:val="20"/>
                <w:szCs w:val="20"/>
                <w:lang w:eastAsia="en-GB"/>
              </w:rPr>
              <w:t xml:space="preserve">Quantity of NO gas/g </w:t>
            </w:r>
            <w:r w:rsidR="00D609F2">
              <w:rPr>
                <w:bCs/>
                <w:sz w:val="20"/>
                <w:szCs w:val="20"/>
                <w:lang w:eastAsia="en-GB"/>
              </w:rPr>
              <w:t>of NC</w:t>
            </w:r>
          </w:p>
        </w:tc>
        <w:tc>
          <w:tcPr>
            <w:tcW w:w="2792" w:type="dxa"/>
            <w:tcBorders>
              <w:top w:val="single" w:sz="8" w:space="0" w:color="auto"/>
              <w:left w:val="nil"/>
              <w:bottom w:val="single" w:sz="8" w:space="0" w:color="auto"/>
              <w:right w:val="nil"/>
            </w:tcBorders>
            <w:hideMark/>
          </w:tcPr>
          <w:p w14:paraId="5A3A58D8" w14:textId="77777777" w:rsidR="00D839AE" w:rsidRPr="00285368" w:rsidRDefault="00D839AE">
            <w:pPr>
              <w:pStyle w:val="p1"/>
              <w:spacing w:before="30" w:after="30" w:line="240" w:lineRule="atLeast"/>
              <w:jc w:val="center"/>
              <w:rPr>
                <w:bCs/>
                <w:sz w:val="20"/>
                <w:szCs w:val="20"/>
                <w:lang w:eastAsia="en-GB"/>
              </w:rPr>
            </w:pPr>
            <w:r w:rsidRPr="00285368">
              <w:rPr>
                <w:bCs/>
                <w:sz w:val="20"/>
                <w:szCs w:val="20"/>
                <w:lang w:eastAsia="en-GB"/>
              </w:rPr>
              <w:t>Result</w:t>
            </w:r>
          </w:p>
        </w:tc>
      </w:tr>
      <w:tr w:rsidR="00D839AE" w:rsidRPr="00285368" w14:paraId="4FCD1AA3" w14:textId="77777777" w:rsidTr="00D839AE">
        <w:trPr>
          <w:jc w:val="center"/>
        </w:trPr>
        <w:tc>
          <w:tcPr>
            <w:tcW w:w="3587" w:type="dxa"/>
            <w:hideMark/>
          </w:tcPr>
          <w:p w14:paraId="44CDCAAA" w14:textId="77777777" w:rsidR="00D839AE" w:rsidRPr="00285368" w:rsidRDefault="00D839AE">
            <w:pPr>
              <w:pStyle w:val="p1"/>
              <w:spacing w:line="240" w:lineRule="atLeast"/>
              <w:jc w:val="center"/>
              <w:rPr>
                <w:sz w:val="20"/>
                <w:szCs w:val="20"/>
                <w:lang w:eastAsia="en-GB"/>
              </w:rPr>
            </w:pPr>
            <w:r w:rsidRPr="00285368">
              <w:rPr>
                <w:sz w:val="20"/>
                <w:szCs w:val="20"/>
                <w:lang w:eastAsia="en-GB"/>
              </w:rPr>
              <w:t>2.6 ml</w:t>
            </w:r>
          </w:p>
        </w:tc>
        <w:tc>
          <w:tcPr>
            <w:tcW w:w="2792" w:type="dxa"/>
            <w:hideMark/>
          </w:tcPr>
          <w:p w14:paraId="25E4A650" w14:textId="77777777" w:rsidR="00D839AE" w:rsidRPr="00285368" w:rsidRDefault="00D839AE">
            <w:pPr>
              <w:pStyle w:val="p1"/>
              <w:spacing w:line="240" w:lineRule="atLeast"/>
              <w:jc w:val="center"/>
              <w:rPr>
                <w:sz w:val="20"/>
                <w:szCs w:val="20"/>
                <w:lang w:eastAsia="en-GB"/>
              </w:rPr>
            </w:pPr>
            <w:r w:rsidRPr="00285368">
              <w:rPr>
                <w:sz w:val="20"/>
                <w:szCs w:val="20"/>
                <w:lang w:eastAsia="en-GB"/>
              </w:rPr>
              <w:t>+</w:t>
            </w:r>
          </w:p>
        </w:tc>
      </w:tr>
      <w:tr w:rsidR="00D839AE" w:rsidRPr="00285368" w14:paraId="24918056" w14:textId="77777777" w:rsidTr="00D839AE">
        <w:trPr>
          <w:jc w:val="center"/>
        </w:trPr>
        <w:tc>
          <w:tcPr>
            <w:tcW w:w="3587" w:type="dxa"/>
            <w:tcBorders>
              <w:top w:val="nil"/>
              <w:left w:val="nil"/>
              <w:bottom w:val="single" w:sz="8" w:space="0" w:color="auto"/>
              <w:right w:val="nil"/>
            </w:tcBorders>
            <w:hideMark/>
          </w:tcPr>
          <w:p w14:paraId="0A83B550" w14:textId="77777777" w:rsidR="00D839AE" w:rsidRPr="00285368" w:rsidRDefault="00D839AE">
            <w:pPr>
              <w:pStyle w:val="p1"/>
              <w:spacing w:line="240" w:lineRule="atLeast"/>
              <w:jc w:val="center"/>
              <w:rPr>
                <w:sz w:val="20"/>
                <w:szCs w:val="20"/>
                <w:lang w:eastAsia="en-GB"/>
              </w:rPr>
            </w:pPr>
            <w:r w:rsidRPr="00285368">
              <w:rPr>
                <w:sz w:val="20"/>
                <w:szCs w:val="20"/>
                <w:lang w:eastAsia="en-GB"/>
              </w:rPr>
              <w:t xml:space="preserve">2.5 ml </w:t>
            </w:r>
          </w:p>
        </w:tc>
        <w:tc>
          <w:tcPr>
            <w:tcW w:w="2792" w:type="dxa"/>
            <w:tcBorders>
              <w:top w:val="nil"/>
              <w:left w:val="nil"/>
              <w:bottom w:val="single" w:sz="8" w:space="0" w:color="auto"/>
              <w:right w:val="nil"/>
            </w:tcBorders>
            <w:hideMark/>
          </w:tcPr>
          <w:p w14:paraId="79CF6639" w14:textId="77777777" w:rsidR="00D839AE" w:rsidRPr="00285368" w:rsidRDefault="00D839AE">
            <w:pPr>
              <w:pStyle w:val="p1"/>
              <w:spacing w:line="240" w:lineRule="atLeast"/>
              <w:jc w:val="center"/>
              <w:rPr>
                <w:sz w:val="20"/>
                <w:szCs w:val="20"/>
                <w:lang w:eastAsia="en-GB"/>
              </w:rPr>
            </w:pPr>
            <w:r w:rsidRPr="00285368">
              <w:rPr>
                <w:sz w:val="20"/>
                <w:szCs w:val="20"/>
                <w:lang w:eastAsia="en-GB"/>
              </w:rPr>
              <w:t>–</w:t>
            </w:r>
          </w:p>
        </w:tc>
      </w:tr>
    </w:tbl>
    <w:p w14:paraId="081BA9A1" w14:textId="79F1B5B8" w:rsidR="00D839AE" w:rsidRPr="009979EA" w:rsidRDefault="00D839AE" w:rsidP="00D839AE">
      <w:pPr>
        <w:pStyle w:val="SingleTxtG"/>
        <w:widowControl w:val="0"/>
        <w:suppressAutoHyphens w:val="0"/>
        <w:spacing w:after="240" w:line="240" w:lineRule="auto"/>
        <w:ind w:left="567" w:right="729"/>
      </w:pPr>
    </w:p>
    <w:p w14:paraId="28472D6D" w14:textId="77777777" w:rsidR="00D839AE" w:rsidRPr="009979EA" w:rsidRDefault="00D839AE" w:rsidP="00D839AE">
      <w:pPr>
        <w:pStyle w:val="SingleTxtG"/>
        <w:keepNext/>
        <w:keepLines/>
        <w:pBdr>
          <w:bottom w:val="single" w:sz="4" w:space="1" w:color="auto"/>
        </w:pBdr>
        <w:spacing w:line="240" w:lineRule="auto"/>
        <w:ind w:left="0" w:right="39"/>
        <w:rPr>
          <w:i/>
        </w:rPr>
      </w:pPr>
      <w:r w:rsidRPr="009979EA">
        <w:rPr>
          <w:i/>
        </w:rPr>
        <w:t xml:space="preserve">Source:  Para. </w:t>
      </w:r>
      <w:r>
        <w:rPr>
          <w:i/>
        </w:rPr>
        <w:t>7</w:t>
      </w:r>
      <w:r w:rsidRPr="009979EA">
        <w:rPr>
          <w:i/>
        </w:rPr>
        <w:t xml:space="preserve"> of this report.</w:t>
      </w:r>
    </w:p>
    <w:p w14:paraId="17D1EB31" w14:textId="66F49238" w:rsidR="00E515DB" w:rsidRPr="009979EA" w:rsidRDefault="00E515DB" w:rsidP="005C593C">
      <w:pPr>
        <w:pStyle w:val="SingleTxtG"/>
        <w:keepNext/>
        <w:keepLines/>
        <w:numPr>
          <w:ilvl w:val="0"/>
          <w:numId w:val="20"/>
        </w:numPr>
        <w:spacing w:line="240" w:lineRule="auto"/>
        <w:ind w:right="39"/>
      </w:pPr>
      <w:r>
        <w:rPr>
          <w:b/>
          <w:u w:val="single"/>
        </w:rPr>
        <w:t>Appendices</w:t>
      </w:r>
      <w:r w:rsidRPr="009979EA">
        <w:rPr>
          <w:b/>
        </w:rPr>
        <w:t xml:space="preserve"> </w:t>
      </w:r>
      <w:r w:rsidRPr="009979EA">
        <w:t xml:space="preserve">– </w:t>
      </w:r>
      <w:r>
        <w:t xml:space="preserve">Revise section </w:t>
      </w:r>
      <w:r w:rsidR="00285368">
        <w:t>3.2.2</w:t>
      </w:r>
      <w:r>
        <w:t>.1 of new Appendix XX (see Amendment 1 above) as shown below:</w:t>
      </w:r>
    </w:p>
    <w:p w14:paraId="03A25906" w14:textId="67110A94" w:rsidR="00285368" w:rsidRDefault="00285368" w:rsidP="008D01B6">
      <w:pPr>
        <w:pStyle w:val="SingleTxtG"/>
        <w:keepNext/>
        <w:keepLines/>
        <w:spacing w:after="240" w:line="240" w:lineRule="auto"/>
        <w:ind w:left="567" w:right="43"/>
      </w:pPr>
      <w:r w:rsidRPr="00285368">
        <w:t>3.2.2.1     A sample of dry nitrocellulose weighing 2.5</w:t>
      </w:r>
      <w:r w:rsidR="00D609F2">
        <w:t>0</w:t>
      </w:r>
      <w:r w:rsidRPr="00285368">
        <w:t xml:space="preserve"> ± 0.01 g. The moisture content of the sample must be below 1% after the drying process and at the time, when it is introduced in the tube. Drying conditions must be chosen, which avoid a decomposition of the NC, e.g. 50°</w:t>
      </w:r>
      <w:r w:rsidR="00532E68">
        <w:t xml:space="preserve"> </w:t>
      </w:r>
      <w:r w:rsidRPr="00285368">
        <w:t>C in a vacuum oven.</w:t>
      </w:r>
    </w:p>
    <w:p w14:paraId="6DB6BE72" w14:textId="6BC3EBB4" w:rsidR="00E515DB" w:rsidRDefault="00E515DB" w:rsidP="00E515DB">
      <w:pPr>
        <w:pStyle w:val="SingleTxtG"/>
        <w:keepNext/>
        <w:keepLines/>
        <w:pBdr>
          <w:bottom w:val="single" w:sz="4" w:space="1" w:color="auto"/>
        </w:pBdr>
        <w:spacing w:line="240" w:lineRule="auto"/>
        <w:ind w:left="0" w:right="39"/>
        <w:rPr>
          <w:i/>
        </w:rPr>
      </w:pPr>
      <w:r w:rsidRPr="009979EA">
        <w:rPr>
          <w:i/>
        </w:rPr>
        <w:t xml:space="preserve">Source:  Para. </w:t>
      </w:r>
      <w:r>
        <w:rPr>
          <w:i/>
        </w:rPr>
        <w:t>7</w:t>
      </w:r>
      <w:r w:rsidRPr="009979EA">
        <w:rPr>
          <w:i/>
        </w:rPr>
        <w:t xml:space="preserve"> of this report.</w:t>
      </w:r>
    </w:p>
    <w:p w14:paraId="04DB1B5B" w14:textId="77777777" w:rsidR="000318FA" w:rsidRPr="00D953FB" w:rsidRDefault="000318FA" w:rsidP="005C593C">
      <w:pPr>
        <w:pStyle w:val="SingleTxtG"/>
        <w:keepNext/>
        <w:widowControl w:val="0"/>
        <w:numPr>
          <w:ilvl w:val="0"/>
          <w:numId w:val="20"/>
        </w:numPr>
        <w:pBdr>
          <w:top w:val="single" w:sz="4" w:space="1" w:color="auto"/>
        </w:pBdr>
        <w:suppressAutoHyphens w:val="0"/>
        <w:spacing w:after="240" w:line="240" w:lineRule="auto"/>
        <w:ind w:right="43"/>
        <w:rPr>
          <w:b/>
        </w:rPr>
      </w:pPr>
      <w:r>
        <w:rPr>
          <w:b/>
          <w:u w:val="single"/>
        </w:rPr>
        <w:t xml:space="preserve">Section </w:t>
      </w:r>
      <w:r w:rsidRPr="00D953FB">
        <w:rPr>
          <w:b/>
          <w:u w:val="single"/>
        </w:rPr>
        <w:t>51.4.5.1</w:t>
      </w:r>
      <w:r w:rsidRPr="009979EA">
        <w:rPr>
          <w:b/>
        </w:rPr>
        <w:t xml:space="preserve">  </w:t>
      </w:r>
      <w:r w:rsidRPr="009979EA">
        <w:t xml:space="preserve">– </w:t>
      </w:r>
      <w:r>
        <w:t>Replace the entire text of section 51.4.5.1 with the following text:</w:t>
      </w:r>
    </w:p>
    <w:p w14:paraId="64B52322" w14:textId="13CFB30C" w:rsidR="000318FA" w:rsidRPr="00D953FB" w:rsidRDefault="000318FA" w:rsidP="000318FA">
      <w:pPr>
        <w:pStyle w:val="SingleTxtG"/>
        <w:keepNext/>
        <w:widowControl w:val="0"/>
        <w:suppressAutoHyphens w:val="0"/>
        <w:spacing w:after="240" w:line="240" w:lineRule="auto"/>
        <w:ind w:left="360" w:right="43"/>
      </w:pPr>
      <w:r w:rsidRPr="00D953FB">
        <w:t xml:space="preserve">51.4.5.1 A compilation for the test results and classification data for more than 200 Industrial Nitrocellulose is given in Appendix </w:t>
      </w:r>
      <w:r w:rsidR="00532E68">
        <w:t>XX</w:t>
      </w:r>
      <w:r w:rsidRPr="00D953FB">
        <w:t>.</w:t>
      </w:r>
    </w:p>
    <w:p w14:paraId="1411CE95" w14:textId="502F813B" w:rsidR="000318FA" w:rsidRDefault="000318FA" w:rsidP="000318FA">
      <w:pPr>
        <w:pStyle w:val="SingleTxtG"/>
        <w:widowControl w:val="0"/>
        <w:suppressAutoHyphens w:val="0"/>
        <w:spacing w:line="240" w:lineRule="auto"/>
        <w:ind w:left="0" w:right="39"/>
        <w:rPr>
          <w:i/>
        </w:rPr>
      </w:pPr>
      <w:r w:rsidRPr="009979EA">
        <w:rPr>
          <w:i/>
        </w:rPr>
        <w:t xml:space="preserve">Source:  </w:t>
      </w:r>
      <w:r w:rsidRPr="000C3D2C">
        <w:rPr>
          <w:i/>
          <w:iCs/>
        </w:rPr>
        <w:t>UN/SCETDG/53/INF.7</w:t>
      </w:r>
      <w:r>
        <w:rPr>
          <w:i/>
          <w:iCs/>
        </w:rPr>
        <w:t xml:space="preserve"> – </w:t>
      </w:r>
      <w:r w:rsidRPr="000C3D2C">
        <w:rPr>
          <w:i/>
          <w:iCs/>
        </w:rPr>
        <w:t>UN/SCEGHS/35/INF.6</w:t>
      </w:r>
      <w:r w:rsidRPr="009979EA">
        <w:rPr>
          <w:i/>
        </w:rPr>
        <w:t xml:space="preserve">, </w:t>
      </w:r>
      <w:r>
        <w:rPr>
          <w:i/>
        </w:rPr>
        <w:t>Annex</w:t>
      </w:r>
      <w:r w:rsidR="00931F74">
        <w:rPr>
          <w:i/>
        </w:rPr>
        <w:t>,</w:t>
      </w:r>
      <w:r>
        <w:rPr>
          <w:i/>
        </w:rPr>
        <w:t xml:space="preserve"> </w:t>
      </w:r>
      <w:r w:rsidRPr="009979EA">
        <w:rPr>
          <w:i/>
        </w:rPr>
        <w:t xml:space="preserve">and Para. </w:t>
      </w:r>
      <w:r>
        <w:rPr>
          <w:i/>
        </w:rPr>
        <w:t>8</w:t>
      </w:r>
      <w:r w:rsidRPr="009979EA">
        <w:rPr>
          <w:i/>
        </w:rPr>
        <w:t xml:space="preserve"> of this report.</w:t>
      </w:r>
    </w:p>
    <w:p w14:paraId="714D6AEA" w14:textId="6EE8AAAF" w:rsidR="000318FA" w:rsidRPr="00D953FB" w:rsidRDefault="000318FA" w:rsidP="005C593C">
      <w:pPr>
        <w:pStyle w:val="SingleTxtG"/>
        <w:keepNext/>
        <w:widowControl w:val="0"/>
        <w:numPr>
          <w:ilvl w:val="0"/>
          <w:numId w:val="20"/>
        </w:numPr>
        <w:pBdr>
          <w:top w:val="single" w:sz="4" w:space="1" w:color="auto"/>
        </w:pBdr>
        <w:suppressAutoHyphens w:val="0"/>
        <w:spacing w:after="240" w:line="240" w:lineRule="auto"/>
        <w:ind w:right="43"/>
        <w:rPr>
          <w:b/>
        </w:rPr>
      </w:pPr>
      <w:r>
        <w:rPr>
          <w:b/>
          <w:u w:val="single"/>
        </w:rPr>
        <w:t>Appendices</w:t>
      </w:r>
      <w:r w:rsidRPr="009979EA">
        <w:rPr>
          <w:b/>
        </w:rPr>
        <w:t xml:space="preserve">  </w:t>
      </w:r>
      <w:r w:rsidRPr="009979EA">
        <w:t xml:space="preserve">– </w:t>
      </w:r>
      <w:r>
        <w:t>Add new Appendix XX as follows:</w:t>
      </w:r>
    </w:p>
    <w:p w14:paraId="6EE8EA64" w14:textId="77777777" w:rsidR="000318FA" w:rsidRDefault="000318FA" w:rsidP="000318FA">
      <w:pPr>
        <w:pStyle w:val="H1G"/>
        <w:keepNext w:val="0"/>
        <w:keepLines w:val="0"/>
      </w:pPr>
      <w:r>
        <w:t>Appendix XX</w:t>
      </w:r>
    </w:p>
    <w:p w14:paraId="7874F10A" w14:textId="77777777" w:rsidR="000318FA" w:rsidRDefault="000318FA" w:rsidP="000318FA">
      <w:pPr>
        <w:pStyle w:val="H23G"/>
        <w:keepNext w:val="0"/>
        <w:keepLines w:val="0"/>
      </w:pPr>
      <w:r>
        <w:tab/>
      </w:r>
      <w:r>
        <w:tab/>
      </w:r>
      <w:r w:rsidRPr="00287671">
        <w:t>Comp</w:t>
      </w:r>
      <w:r>
        <w:t>il</w:t>
      </w:r>
      <w:r w:rsidRPr="00287671">
        <w:t xml:space="preserve">ation of </w:t>
      </w:r>
      <w:r>
        <w:t xml:space="preserve">classification </w:t>
      </w:r>
      <w:r w:rsidRPr="00287671">
        <w:t>results on industrial nitrocellulose for the purposes of supply and use</w:t>
      </w:r>
      <w:r>
        <w:t xml:space="preserve"> according to </w:t>
      </w:r>
      <w:r w:rsidRPr="00287671">
        <w:t>GHS chapter 2.17</w:t>
      </w:r>
      <w:r>
        <w:t xml:space="preserve">, </w:t>
      </w:r>
      <w:r w:rsidRPr="00287671">
        <w:t>which can be used for the classification of Industrial NC products</w:t>
      </w:r>
      <w:r>
        <w:t>.</w:t>
      </w:r>
    </w:p>
    <w:p w14:paraId="3950106F" w14:textId="77777777" w:rsidR="000318FA" w:rsidRDefault="000318FA" w:rsidP="000318FA">
      <w:pPr>
        <w:pStyle w:val="SingleTxtG"/>
        <w:rPr>
          <w:lang w:val="fr-CH"/>
        </w:rPr>
      </w:pPr>
      <w:r>
        <w:lastRenderedPageBreak/>
        <w:t>Requirements for the use of the test results for the classification of industrial nitrocellulose products:</w:t>
      </w:r>
    </w:p>
    <w:p w14:paraId="4F933948" w14:textId="77777777" w:rsidR="000318FA" w:rsidRPr="000B0348" w:rsidRDefault="000318FA" w:rsidP="000318FA">
      <w:pPr>
        <w:pStyle w:val="SingleTxtG"/>
      </w:pPr>
      <w:r w:rsidRPr="000B0348">
        <w:t>1.</w:t>
      </w:r>
      <w:r w:rsidRPr="000B0348">
        <w:tab/>
        <w:t>The test results in this appendix can only be used for the classification of industrial nitrocellulose products packed in UN approved fibre board boxes (4G) or fibre drums (1G) according to packing instruction P406. They cannot be used for nitrocellulose products in other pressure resistant packaging like steel drums.</w:t>
      </w:r>
    </w:p>
    <w:p w14:paraId="5E095985" w14:textId="77777777" w:rsidR="000318FA" w:rsidRPr="004C6FD7" w:rsidRDefault="000318FA" w:rsidP="000318FA">
      <w:pPr>
        <w:pStyle w:val="SingleTxtG"/>
        <w:rPr>
          <w:lang w:val="fr-CH"/>
        </w:rPr>
      </w:pPr>
      <w:r w:rsidRPr="000B0348">
        <w:t>2.</w:t>
      </w:r>
      <w:r w:rsidRPr="000B0348">
        <w:tab/>
        <w:t>The test results in this appendix can only be used for industrial nitrocellulose products which fulfill the test requirements of the Bergmann Junk test for the thermal stability demonstrated by the fact that the quantity of nitrous vapours given off is not more than 2.5 ml</w:t>
      </w:r>
      <w:r>
        <w:t>/g</w:t>
      </w:r>
      <w:r w:rsidRPr="000B0348">
        <w:t xml:space="preserve"> NO during the test at 132 °C. The </w:t>
      </w:r>
      <w:r>
        <w:rPr>
          <w:lang w:val="fr-CH"/>
        </w:rPr>
        <w:t>Bergman-Junk stability test is described in Appendix YY of the Manual of Tests and Criteria.</w:t>
      </w:r>
    </w:p>
    <w:p w14:paraId="27BC1F68" w14:textId="77777777" w:rsidR="000318FA" w:rsidRPr="00F520D0" w:rsidRDefault="000318FA" w:rsidP="000318FA">
      <w:pPr>
        <w:pStyle w:val="HChG"/>
        <w:keepNext w:val="0"/>
        <w:keepLines w:val="0"/>
      </w:pPr>
      <w:r>
        <w:tab/>
      </w:r>
      <w:r>
        <w:tab/>
        <w:t>Test r</w:t>
      </w:r>
      <w:r w:rsidRPr="00F520D0">
        <w:t>esults</w:t>
      </w:r>
    </w:p>
    <w:p w14:paraId="770D9552" w14:textId="77777777" w:rsidR="000318FA" w:rsidRDefault="000318FA" w:rsidP="000318FA">
      <w:pPr>
        <w:pStyle w:val="SingleTxtG"/>
      </w:pPr>
      <w:r>
        <w:t>3.</w:t>
      </w:r>
      <w:r>
        <w:tab/>
      </w:r>
      <w:r w:rsidRPr="003E7622">
        <w:t xml:space="preserve">All </w:t>
      </w:r>
      <w:r>
        <w:t>i</w:t>
      </w:r>
      <w:r w:rsidRPr="003E7622">
        <w:t>ndustrial</w:t>
      </w:r>
      <w:r w:rsidRPr="005B7584">
        <w:t xml:space="preserve"> </w:t>
      </w:r>
      <w:r>
        <w:t>nitrocellulose</w:t>
      </w:r>
      <w:r w:rsidRPr="005B7584">
        <w:t xml:space="preserve"> products worldwide can be made comparable b</w:t>
      </w:r>
      <w:r>
        <w:t>ased upon</w:t>
      </w:r>
      <w:r w:rsidRPr="005B7584">
        <w:t xml:space="preserve"> the</w:t>
      </w:r>
      <w:r>
        <w:t>ir</w:t>
      </w:r>
      <w:r w:rsidRPr="005B7584">
        <w:t xml:space="preserve"> nitrogen content and the</w:t>
      </w:r>
      <w:r>
        <w:t>ir</w:t>
      </w:r>
      <w:r w:rsidRPr="005B7584">
        <w:t xml:space="preserve"> Norm-viscosities (according to ISO 14446). WONIPA has therefore used this method for presenting the results of the BAM tests in </w:t>
      </w:r>
      <w:r>
        <w:t xml:space="preserve">the following </w:t>
      </w:r>
      <w:r w:rsidRPr="005B7584">
        <w:t xml:space="preserve">table. </w:t>
      </w:r>
      <w:r>
        <w:t xml:space="preserve">It should be noted that </w:t>
      </w:r>
      <w:r w:rsidRPr="005B7584">
        <w:t>BAM also uses the Norm-viscosities in the publications of the storage group classifications</w:t>
      </w:r>
      <w:r>
        <w:t>, whereby t</w:t>
      </w:r>
      <w:r w:rsidRPr="005B7584">
        <w:t>he storage group classification refer</w:t>
      </w:r>
      <w:r>
        <w:t>s</w:t>
      </w:r>
      <w:r w:rsidRPr="005B7584">
        <w:t xml:space="preserve"> to the storage of industrial nitrocellulose in </w:t>
      </w:r>
      <w:r>
        <w:t>warehouses.</w:t>
      </w:r>
      <w:r w:rsidRPr="005B7584">
        <w:t xml:space="preserve"> </w:t>
      </w:r>
    </w:p>
    <w:p w14:paraId="5F266200" w14:textId="77777777" w:rsidR="000318FA" w:rsidRDefault="000318FA" w:rsidP="000318FA">
      <w:pPr>
        <w:pStyle w:val="SingleTxtG"/>
      </w:pPr>
      <w:r>
        <w:t>4.</w:t>
      </w:r>
      <w:r>
        <w:tab/>
        <w:t xml:space="preserve">According to their Nitrogen content </w:t>
      </w:r>
      <w:r w:rsidRPr="005B7584">
        <w:t xml:space="preserve">three types of </w:t>
      </w:r>
      <w:r>
        <w:t>i</w:t>
      </w:r>
      <w:r w:rsidRPr="005B7584">
        <w:t xml:space="preserve">ndustrial </w:t>
      </w:r>
      <w:r>
        <w:t>n</w:t>
      </w:r>
      <w:r w:rsidRPr="005B7584">
        <w:t xml:space="preserve">itrocellulose products </w:t>
      </w:r>
      <w:r>
        <w:t>have been defined:</w:t>
      </w:r>
    </w:p>
    <w:p w14:paraId="5E8A738A" w14:textId="77777777" w:rsidR="000318FA" w:rsidRPr="0083343A" w:rsidRDefault="000318FA" w:rsidP="000318FA">
      <w:pPr>
        <w:pStyle w:val="SingleTxtG"/>
        <w:ind w:firstLine="567"/>
      </w:pPr>
      <w:r>
        <w:t>(a)</w:t>
      </w:r>
      <w:r>
        <w:tab/>
      </w:r>
      <w:r w:rsidRPr="000B0348">
        <w:rPr>
          <w:b/>
        </w:rPr>
        <w:t>E</w:t>
      </w:r>
      <w:r w:rsidRPr="0083343A">
        <w:t xml:space="preserve"> grades as ester soluble products with nitrogen content from 11.8 to 12.3 %</w:t>
      </w:r>
      <w:r>
        <w:t>;</w:t>
      </w:r>
      <w:r w:rsidRPr="0083343A">
        <w:t xml:space="preserve"> </w:t>
      </w:r>
    </w:p>
    <w:p w14:paraId="007F514C" w14:textId="77777777" w:rsidR="000318FA" w:rsidRPr="0083343A" w:rsidRDefault="000318FA" w:rsidP="000318FA">
      <w:pPr>
        <w:pStyle w:val="SingleTxtG"/>
        <w:ind w:left="1701"/>
      </w:pPr>
      <w:r>
        <w:t>(b)</w:t>
      </w:r>
      <w:r>
        <w:tab/>
      </w:r>
      <w:r w:rsidRPr="000B0348">
        <w:rPr>
          <w:b/>
        </w:rPr>
        <w:t>M</w:t>
      </w:r>
      <w:r w:rsidRPr="0083343A">
        <w:t>-grades as medium soluble grades with nitrogen content of 11.3 to 11.8 %</w:t>
      </w:r>
      <w:r>
        <w:t xml:space="preserve">; </w:t>
      </w:r>
      <w:r w:rsidRPr="0083343A">
        <w:t xml:space="preserve"> </w:t>
      </w:r>
    </w:p>
    <w:p w14:paraId="2F5E941F" w14:textId="77777777" w:rsidR="000318FA" w:rsidRPr="0083343A" w:rsidRDefault="000318FA" w:rsidP="000318FA">
      <w:pPr>
        <w:pStyle w:val="SingleTxtG"/>
        <w:ind w:left="1701"/>
      </w:pPr>
      <w:r>
        <w:t>(c)</w:t>
      </w:r>
      <w:r>
        <w:tab/>
      </w:r>
      <w:r w:rsidRPr="000B0348">
        <w:rPr>
          <w:b/>
        </w:rPr>
        <w:t>A</w:t>
      </w:r>
      <w:r w:rsidRPr="0083343A">
        <w:t xml:space="preserve">-grades as alcohol soluble grades with a nitrogen content of 10.7 to 11.3 %. </w:t>
      </w:r>
    </w:p>
    <w:p w14:paraId="5A6535FD" w14:textId="77777777" w:rsidR="000318FA" w:rsidRDefault="000318FA" w:rsidP="000318FA">
      <w:pPr>
        <w:pStyle w:val="SingleTxtG"/>
        <w:ind w:left="1701" w:hanging="567"/>
      </w:pPr>
      <w:r w:rsidRPr="00531CE0">
        <w:t xml:space="preserve">The </w:t>
      </w:r>
      <w:r>
        <w:t>testing results have been grouped accordingly into 3 separate tables.</w:t>
      </w:r>
    </w:p>
    <w:p w14:paraId="77D5103F" w14:textId="77777777" w:rsidR="000318FA" w:rsidRDefault="000318FA" w:rsidP="000318FA">
      <w:pPr>
        <w:pStyle w:val="SingleTxtG"/>
      </w:pPr>
      <w:r>
        <w:t>5</w:t>
      </w:r>
      <w:r w:rsidRPr="0083343A">
        <w:t xml:space="preserve">. </w:t>
      </w:r>
      <w:r w:rsidRPr="0083343A">
        <w:tab/>
        <w:t xml:space="preserve">The first column of the tables provides the types of the </w:t>
      </w:r>
      <w:r>
        <w:t>i</w:t>
      </w:r>
      <w:r w:rsidRPr="0083343A">
        <w:t xml:space="preserve">ndustrial </w:t>
      </w:r>
      <w:r>
        <w:t>n</w:t>
      </w:r>
      <w:r w:rsidRPr="0083343A">
        <w:t xml:space="preserve">itrocellulose, which are identified according to ISO 14446 by a combination of two elements: </w:t>
      </w:r>
    </w:p>
    <w:p w14:paraId="43DD479C" w14:textId="77777777" w:rsidR="000318FA" w:rsidRPr="0083343A" w:rsidRDefault="000318FA" w:rsidP="000318FA">
      <w:pPr>
        <w:pStyle w:val="SingleTxtG"/>
        <w:ind w:left="1701"/>
      </w:pPr>
      <w:r>
        <w:t>(a)</w:t>
      </w:r>
      <w:r>
        <w:tab/>
      </w:r>
      <w:r w:rsidRPr="0083343A">
        <w:t xml:space="preserve">A 1- or 2-digit number, which indicates the concentration of the NC solution that is required for a viscosity of 400 </w:t>
      </w:r>
      <w:r>
        <w:t>±</w:t>
      </w:r>
      <w:r w:rsidRPr="0083343A">
        <w:t>25 mPa</w:t>
      </w:r>
      <w:r>
        <w:t>·</w:t>
      </w:r>
      <w:r w:rsidRPr="0083343A">
        <w:t>s</w:t>
      </w:r>
      <w:r>
        <w:rPr>
          <w:lang w:val="fr-CH"/>
        </w:rPr>
        <w:t>;</w:t>
      </w:r>
      <w:r w:rsidRPr="0083343A">
        <w:t xml:space="preserve"> and </w:t>
      </w:r>
    </w:p>
    <w:p w14:paraId="1B10F5EE" w14:textId="77777777" w:rsidR="000318FA" w:rsidRPr="00B2448F" w:rsidRDefault="000318FA" w:rsidP="000318FA">
      <w:pPr>
        <w:pStyle w:val="SingleTxtG"/>
        <w:ind w:left="1701"/>
        <w:rPr>
          <w:lang w:val="fr-CH"/>
        </w:rPr>
      </w:pPr>
      <w:r>
        <w:t>(b)</w:t>
      </w:r>
      <w:r>
        <w:tab/>
      </w:r>
      <w:r w:rsidRPr="0083343A">
        <w:t>A letter which identifies the solvent in w</w:t>
      </w:r>
      <w:r>
        <w:t>hich the NC-</w:t>
      </w:r>
      <w:r>
        <w:softHyphen/>
        <w:t>product is soluble</w:t>
      </w:r>
      <w:r>
        <w:rPr>
          <w:lang w:val="fr-CH"/>
        </w:rPr>
        <w:t>.</w:t>
      </w:r>
    </w:p>
    <w:p w14:paraId="74B75F29" w14:textId="77777777" w:rsidR="000318FA" w:rsidRPr="004114BB" w:rsidRDefault="000318FA" w:rsidP="005C593C">
      <w:pPr>
        <w:pStyle w:val="Bullet1G"/>
        <w:numPr>
          <w:ilvl w:val="0"/>
          <w:numId w:val="28"/>
        </w:numPr>
        <w:ind w:firstLine="426"/>
      </w:pPr>
      <w:r w:rsidRPr="004114BB">
        <w:t xml:space="preserve">E stands for ester soluble </w:t>
      </w:r>
    </w:p>
    <w:p w14:paraId="39CA8E79" w14:textId="77777777" w:rsidR="000318FA" w:rsidRPr="004114BB" w:rsidRDefault="000318FA" w:rsidP="005C593C">
      <w:pPr>
        <w:pStyle w:val="Bullet1G"/>
        <w:numPr>
          <w:ilvl w:val="0"/>
          <w:numId w:val="28"/>
        </w:numPr>
        <w:ind w:firstLine="426"/>
      </w:pPr>
      <w:r w:rsidRPr="004114BB">
        <w:t xml:space="preserve">M stands for medium soluble </w:t>
      </w:r>
    </w:p>
    <w:p w14:paraId="2AC8850F" w14:textId="77777777" w:rsidR="000318FA" w:rsidRPr="004114BB" w:rsidRDefault="000318FA" w:rsidP="005C593C">
      <w:pPr>
        <w:pStyle w:val="Bullet1G"/>
        <w:numPr>
          <w:ilvl w:val="0"/>
          <w:numId w:val="28"/>
        </w:numPr>
        <w:ind w:firstLine="426"/>
      </w:pPr>
      <w:r w:rsidRPr="004114BB">
        <w:t xml:space="preserve">A stands for alcohol soluble </w:t>
      </w:r>
    </w:p>
    <w:p w14:paraId="69A566C4" w14:textId="77777777" w:rsidR="000318FA" w:rsidRDefault="000318FA" w:rsidP="000318FA">
      <w:pPr>
        <w:pStyle w:val="SingleTxtG"/>
      </w:pPr>
      <w:r w:rsidRPr="009F45D4">
        <w:t>For example for the NC-type 4</w:t>
      </w:r>
      <w:r w:rsidRPr="0083343A">
        <w:t xml:space="preserve">E </w:t>
      </w:r>
      <w:r w:rsidRPr="009F45D4">
        <w:t xml:space="preserve">in </w:t>
      </w:r>
      <w:r>
        <w:t>the first t</w:t>
      </w:r>
      <w:r w:rsidRPr="009F45D4">
        <w:t>able, with a concentration of 4 %</w:t>
      </w:r>
      <w:r>
        <w:t>, a</w:t>
      </w:r>
      <w:r w:rsidRPr="009F45D4">
        <w:t xml:space="preserve"> viscosity of 400 </w:t>
      </w:r>
      <w:r>
        <w:t>±</w:t>
      </w:r>
      <w:r w:rsidRPr="009F45D4">
        <w:t>25 mPa</w:t>
      </w:r>
      <w:r>
        <w:t xml:space="preserve">·s </w:t>
      </w:r>
      <w:r w:rsidRPr="009F45D4">
        <w:t>is achieved.</w:t>
      </w:r>
    </w:p>
    <w:p w14:paraId="096450A3" w14:textId="77777777" w:rsidR="000318FA" w:rsidRDefault="000318FA" w:rsidP="000318FA">
      <w:pPr>
        <w:pStyle w:val="SingleTxtG"/>
      </w:pPr>
      <w:r w:rsidRPr="009F45D4">
        <w:t xml:space="preserve">The viscosities are measured in a solvent mixture of 95 % acetone/5 % water with a Höppler viscometer. </w:t>
      </w:r>
      <w:r>
        <w:t>Historically i</w:t>
      </w:r>
      <w:r w:rsidRPr="009F45D4">
        <w:t xml:space="preserve">ndustrial </w:t>
      </w:r>
      <w:r>
        <w:t>n</w:t>
      </w:r>
      <w:r w:rsidRPr="009F45D4">
        <w:t xml:space="preserve">itrocellulose </w:t>
      </w:r>
      <w:r>
        <w:t>types have been developed f</w:t>
      </w:r>
      <w:r w:rsidRPr="009F45D4">
        <w:t xml:space="preserve">or </w:t>
      </w:r>
      <w:r>
        <w:t xml:space="preserve">a number of </w:t>
      </w:r>
      <w:r w:rsidRPr="009F45D4">
        <w:t xml:space="preserve">Norm-viscosities </w:t>
      </w:r>
      <w:r>
        <w:t xml:space="preserve">only </w:t>
      </w:r>
      <w:r w:rsidRPr="009F45D4">
        <w:t>and not for all Norm-</w:t>
      </w:r>
      <w:r w:rsidRPr="009F45D4">
        <w:softHyphen/>
        <w:t>viscosities. As it is technically possible to produce products with all Norm-viscosities, all relevant Norm-viscosities were entered in the table</w:t>
      </w:r>
      <w:r>
        <w:t>s</w:t>
      </w:r>
      <w:r w:rsidRPr="009F45D4">
        <w:t xml:space="preserve">, </w:t>
      </w:r>
      <w:r>
        <w:t xml:space="preserve">but </w:t>
      </w:r>
      <w:r w:rsidRPr="009F45D4">
        <w:t xml:space="preserve">some </w:t>
      </w:r>
      <w:r>
        <w:t xml:space="preserve">cells in the tables therefore remain </w:t>
      </w:r>
      <w:r w:rsidRPr="009F45D4">
        <w:t xml:space="preserve">empty. </w:t>
      </w:r>
    </w:p>
    <w:p w14:paraId="6876321D" w14:textId="77777777" w:rsidR="000318FA" w:rsidRDefault="000318FA" w:rsidP="000318FA">
      <w:pPr>
        <w:pStyle w:val="SingleTxtG"/>
      </w:pPr>
      <w:r>
        <w:rPr>
          <w:lang w:val="fr-CH"/>
        </w:rPr>
        <w:t>6</w:t>
      </w:r>
      <w:r>
        <w:t xml:space="preserve">. </w:t>
      </w:r>
      <w:r>
        <w:tab/>
      </w:r>
      <w:r w:rsidRPr="009F45D4">
        <w:t xml:space="preserve">The </w:t>
      </w:r>
      <w:r>
        <w:t xml:space="preserve">results of the tests are presented per </w:t>
      </w:r>
      <w:r w:rsidRPr="000A2C71">
        <w:t>phlegmatizer</w:t>
      </w:r>
      <w:r>
        <w:t xml:space="preserve"> content</w:t>
      </w:r>
      <w:r w:rsidRPr="002A607E">
        <w:t xml:space="preserve"> for </w:t>
      </w:r>
      <w:r>
        <w:t xml:space="preserve">the phlegmatizers </w:t>
      </w:r>
      <w:r w:rsidRPr="002A607E">
        <w:t>Isopropanol (IPA), Ethanol (ETH), Butanol (BUT) and Water</w:t>
      </w:r>
      <w:r>
        <w:t xml:space="preserve"> and NC-chips with plasticiser.</w:t>
      </w:r>
    </w:p>
    <w:p w14:paraId="39D4EED3" w14:textId="77777777" w:rsidR="000318FA" w:rsidRDefault="000318FA" w:rsidP="000318FA">
      <w:pPr>
        <w:suppressAutoHyphens w:val="0"/>
        <w:spacing w:line="240" w:lineRule="auto"/>
        <w:rPr>
          <w:lang w:val="fr-CH"/>
        </w:rPr>
      </w:pPr>
      <w:r>
        <w:rPr>
          <w:lang w:val="fr-CH"/>
        </w:rPr>
        <w:br w:type="page"/>
      </w:r>
    </w:p>
    <w:p w14:paraId="38DAF649" w14:textId="77777777" w:rsidR="000318FA" w:rsidRDefault="000318FA" w:rsidP="000318FA">
      <w:pPr>
        <w:pStyle w:val="SingleTxtG"/>
        <w:rPr>
          <w:b/>
          <w:lang w:val="fr-CH"/>
        </w:rPr>
      </w:pPr>
      <w:r w:rsidRPr="00B9104E">
        <w:rPr>
          <w:b/>
        </w:rPr>
        <w:lastRenderedPageBreak/>
        <w:t>Compilation of category classifications for NC-Norm grades according to GHS chapter 2.17 desensitized explosives (Tests made by BAM in the years from 1981 to 2011</w:t>
      </w:r>
    </w:p>
    <w:p w14:paraId="43271BFF" w14:textId="77777777" w:rsidR="000318FA" w:rsidRDefault="000318FA" w:rsidP="000318FA">
      <w:pPr>
        <w:pStyle w:val="SingleTxtG"/>
        <w:jc w:val="left"/>
        <w:rPr>
          <w:b/>
          <w:lang w:val="fr-CH"/>
        </w:rPr>
      </w:pPr>
      <w:r w:rsidRPr="00B9104E">
        <w:rPr>
          <w:b/>
          <w:lang w:val="fr-CH"/>
        </w:rPr>
        <w:t>IPA = Isopropanol, ETH = Ethanol, BUT = Butanol</w:t>
      </w:r>
    </w:p>
    <w:p w14:paraId="4E69D86F" w14:textId="77777777" w:rsidR="000318FA" w:rsidRPr="000A2C71" w:rsidRDefault="000318FA" w:rsidP="000318FA">
      <w:pPr>
        <w:pStyle w:val="SingleTxtG"/>
        <w:jc w:val="left"/>
      </w:pPr>
      <w:r w:rsidRPr="000A2C71">
        <w:t>(a)</w:t>
      </w:r>
      <w:r w:rsidRPr="000A2C71">
        <w:tab/>
        <w:t xml:space="preserve">Part Ester </w:t>
      </w:r>
      <w:r w:rsidRPr="00B9104E">
        <w:t>soluble</w:t>
      </w:r>
      <w:r w:rsidRPr="000A2C71">
        <w:t xml:space="preserve"> E-grades with a Nitrogen Content of 11.8 to 12.3 %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0318FA" w:rsidRPr="00B9104E" w14:paraId="7858CD63" w14:textId="77777777" w:rsidTr="007A5319">
        <w:trPr>
          <w:trHeight w:val="300"/>
        </w:trPr>
        <w:tc>
          <w:tcPr>
            <w:tcW w:w="618" w:type="dxa"/>
            <w:tcBorders>
              <w:top w:val="nil"/>
              <w:left w:val="single" w:sz="8" w:space="0" w:color="auto"/>
              <w:bottom w:val="nil"/>
              <w:right w:val="nil"/>
            </w:tcBorders>
            <w:shd w:val="clear" w:color="000000" w:fill="C0C0C0"/>
            <w:noWrap/>
            <w:vAlign w:val="bottom"/>
            <w:hideMark/>
          </w:tcPr>
          <w:p w14:paraId="4DA0E926"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14:paraId="311D33F1"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14:paraId="485E75EC"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14:paraId="6ADEC29D"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14:paraId="7EDCDFBE"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14:paraId="7A806CA3" w14:textId="77777777" w:rsidR="000318FA" w:rsidRPr="00B9104E" w:rsidRDefault="000318FA" w:rsidP="000318FA">
            <w:pPr>
              <w:suppressAutoHyphens w:val="0"/>
              <w:spacing w:before="2" w:after="2"/>
              <w:jc w:val="center"/>
              <w:rPr>
                <w:bCs/>
                <w:iCs/>
                <w:lang w:val="de-DE" w:eastAsia="de-DE"/>
              </w:rPr>
            </w:pPr>
            <w:r w:rsidRPr="00B9104E">
              <w:rPr>
                <w:bCs/>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14:paraId="2BD4A9B8" w14:textId="77777777" w:rsidR="000318FA" w:rsidRPr="00B9104E" w:rsidRDefault="000318FA" w:rsidP="000318FA">
            <w:pPr>
              <w:suppressAutoHyphens w:val="0"/>
              <w:spacing w:before="2" w:after="2"/>
              <w:jc w:val="center"/>
              <w:rPr>
                <w:bCs/>
                <w:iCs/>
                <w:lang w:val="de-DE" w:eastAsia="de-DE"/>
              </w:rPr>
            </w:pPr>
            <w:r w:rsidRPr="00B9104E">
              <w:rPr>
                <w:bCs/>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14:paraId="187FBF1A"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 xml:space="preserve">Water </w:t>
            </w:r>
          </w:p>
        </w:tc>
        <w:tc>
          <w:tcPr>
            <w:tcW w:w="996" w:type="dxa"/>
            <w:tcBorders>
              <w:top w:val="nil"/>
              <w:left w:val="nil"/>
              <w:bottom w:val="nil"/>
              <w:right w:val="single" w:sz="4" w:space="0" w:color="auto"/>
            </w:tcBorders>
            <w:shd w:val="clear" w:color="000000" w:fill="C0C0C0"/>
            <w:noWrap/>
            <w:vAlign w:val="bottom"/>
            <w:hideMark/>
          </w:tcPr>
          <w:p w14:paraId="77D31851"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 xml:space="preserve">NC-Chips with </w:t>
            </w:r>
          </w:p>
        </w:tc>
      </w:tr>
      <w:tr w:rsidR="000318FA" w:rsidRPr="00B9104E" w14:paraId="0C9741D5" w14:textId="77777777" w:rsidTr="007A5319">
        <w:trPr>
          <w:trHeight w:val="300"/>
        </w:trPr>
        <w:tc>
          <w:tcPr>
            <w:tcW w:w="618" w:type="dxa"/>
            <w:tcBorders>
              <w:top w:val="nil"/>
              <w:left w:val="single" w:sz="8" w:space="0" w:color="auto"/>
              <w:bottom w:val="nil"/>
              <w:right w:val="nil"/>
            </w:tcBorders>
            <w:shd w:val="clear" w:color="000000" w:fill="C0C0C0"/>
            <w:noWrap/>
            <w:vAlign w:val="bottom"/>
            <w:hideMark/>
          </w:tcPr>
          <w:p w14:paraId="01CC59D0"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14:paraId="179E2402" w14:textId="77777777" w:rsidR="000318FA" w:rsidRPr="00B9104E" w:rsidRDefault="000318FA" w:rsidP="000318FA">
            <w:pPr>
              <w:suppressAutoHyphens w:val="0"/>
              <w:spacing w:before="2" w:after="2"/>
              <w:rPr>
                <w:bCs/>
                <w:iCs/>
                <w:color w:val="000000"/>
                <w:lang w:val="de-DE" w:eastAsia="de-DE"/>
              </w:rPr>
            </w:pPr>
            <w:r w:rsidRPr="00B9104E">
              <w:rPr>
                <w:bCs/>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14:paraId="28D810FC"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14:paraId="04105D21"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14:paraId="02D17CB4"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14:paraId="39A9C455" w14:textId="77777777" w:rsidR="000318FA" w:rsidRPr="00B9104E" w:rsidRDefault="000318FA" w:rsidP="000318FA">
            <w:pPr>
              <w:suppressAutoHyphens w:val="0"/>
              <w:spacing w:before="2" w:after="2"/>
              <w:jc w:val="center"/>
              <w:rPr>
                <w:bCs/>
                <w:iCs/>
                <w:lang w:val="de-DE" w:eastAsia="de-DE"/>
              </w:rPr>
            </w:pPr>
            <w:r w:rsidRPr="00B9104E">
              <w:rPr>
                <w:bCs/>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14:paraId="40DDBA89" w14:textId="77777777" w:rsidR="000318FA" w:rsidRPr="00B9104E" w:rsidRDefault="000318FA" w:rsidP="000318FA">
            <w:pPr>
              <w:suppressAutoHyphens w:val="0"/>
              <w:spacing w:before="2" w:after="2"/>
              <w:jc w:val="center"/>
              <w:rPr>
                <w:bCs/>
                <w:iCs/>
                <w:lang w:val="de-DE" w:eastAsia="de-DE"/>
              </w:rPr>
            </w:pPr>
            <w:r w:rsidRPr="00B9104E">
              <w:rPr>
                <w:bCs/>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14:paraId="1549F975"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14:paraId="51F3AF41" w14:textId="77777777" w:rsidR="000318FA" w:rsidRPr="00B9104E" w:rsidRDefault="000318FA" w:rsidP="000318FA">
            <w:pPr>
              <w:suppressAutoHyphens w:val="0"/>
              <w:spacing w:before="2" w:after="2"/>
              <w:jc w:val="center"/>
              <w:rPr>
                <w:bCs/>
                <w:iCs/>
                <w:color w:val="000000"/>
                <w:lang w:val="de-DE" w:eastAsia="de-DE"/>
              </w:rPr>
            </w:pPr>
            <w:r w:rsidRPr="00B9104E">
              <w:rPr>
                <w:bCs/>
                <w:iCs/>
                <w:color w:val="000000"/>
                <w:lang w:val="de-DE" w:eastAsia="de-DE"/>
              </w:rPr>
              <w:t>20 % Plasticizer</w:t>
            </w:r>
          </w:p>
        </w:tc>
      </w:tr>
      <w:tr w:rsidR="000318FA" w:rsidRPr="00B9104E" w14:paraId="6B644A54" w14:textId="77777777" w:rsidTr="007A5319">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54D77"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3E </w:t>
            </w:r>
          </w:p>
        </w:tc>
        <w:tc>
          <w:tcPr>
            <w:tcW w:w="1200" w:type="dxa"/>
            <w:tcBorders>
              <w:top w:val="nil"/>
              <w:left w:val="nil"/>
              <w:bottom w:val="single" w:sz="4" w:space="0" w:color="auto"/>
              <w:right w:val="single" w:sz="4" w:space="0" w:color="auto"/>
            </w:tcBorders>
            <w:shd w:val="clear" w:color="auto" w:fill="auto"/>
            <w:noWrap/>
            <w:vAlign w:val="bottom"/>
            <w:hideMark/>
          </w:tcPr>
          <w:p w14:paraId="293993D7"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E96F2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6591E87"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3F4FD35"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8A29DC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518B34EE"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47A684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470023A5"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255567D5"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1846D1C"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4E </w:t>
            </w:r>
          </w:p>
        </w:tc>
        <w:tc>
          <w:tcPr>
            <w:tcW w:w="1200" w:type="dxa"/>
            <w:tcBorders>
              <w:top w:val="nil"/>
              <w:left w:val="nil"/>
              <w:bottom w:val="single" w:sz="4" w:space="0" w:color="auto"/>
              <w:right w:val="single" w:sz="4" w:space="0" w:color="auto"/>
            </w:tcBorders>
            <w:shd w:val="clear" w:color="auto" w:fill="auto"/>
            <w:noWrap/>
            <w:vAlign w:val="bottom"/>
            <w:hideMark/>
          </w:tcPr>
          <w:p w14:paraId="505A708F" w14:textId="77777777" w:rsidR="000318FA" w:rsidRPr="00B9104E" w:rsidRDefault="000318FA" w:rsidP="000318FA">
            <w:pPr>
              <w:suppressAutoHyphens w:val="0"/>
              <w:spacing w:before="2" w:after="2"/>
              <w:jc w:val="center"/>
              <w:rPr>
                <w:lang w:val="de-DE" w:eastAsia="de-DE"/>
              </w:rPr>
            </w:pPr>
            <w:r w:rsidRPr="00B9104E">
              <w:rPr>
                <w:lang w:val="de-DE" w:eastAsia="de-DE"/>
              </w:rPr>
              <w:t>1 (330)</w:t>
            </w:r>
          </w:p>
        </w:tc>
        <w:tc>
          <w:tcPr>
            <w:tcW w:w="1200" w:type="dxa"/>
            <w:tcBorders>
              <w:top w:val="nil"/>
              <w:left w:val="nil"/>
              <w:bottom w:val="single" w:sz="4" w:space="0" w:color="auto"/>
              <w:right w:val="single" w:sz="4" w:space="0" w:color="auto"/>
            </w:tcBorders>
            <w:shd w:val="clear" w:color="auto" w:fill="auto"/>
            <w:noWrap/>
            <w:vAlign w:val="bottom"/>
            <w:hideMark/>
          </w:tcPr>
          <w:p w14:paraId="389D104B" w14:textId="77777777" w:rsidR="000318FA" w:rsidRPr="00B9104E" w:rsidRDefault="000318FA" w:rsidP="000318FA">
            <w:pPr>
              <w:suppressAutoHyphens w:val="0"/>
              <w:spacing w:before="2" w:after="2"/>
              <w:jc w:val="center"/>
              <w:rPr>
                <w:lang w:val="de-DE" w:eastAsia="de-DE"/>
              </w:rPr>
            </w:pPr>
            <w:r w:rsidRPr="00B9104E">
              <w:rPr>
                <w:lang w:val="de-DE" w:eastAsia="de-DE"/>
              </w:rPr>
              <w:t>1 (760 )</w:t>
            </w:r>
          </w:p>
        </w:tc>
        <w:tc>
          <w:tcPr>
            <w:tcW w:w="640" w:type="dxa"/>
            <w:tcBorders>
              <w:top w:val="nil"/>
              <w:left w:val="nil"/>
              <w:bottom w:val="single" w:sz="4" w:space="0" w:color="auto"/>
              <w:right w:val="single" w:sz="4" w:space="0" w:color="auto"/>
            </w:tcBorders>
            <w:shd w:val="clear" w:color="auto" w:fill="auto"/>
            <w:noWrap/>
            <w:vAlign w:val="bottom"/>
            <w:hideMark/>
          </w:tcPr>
          <w:p w14:paraId="7C86D33A"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5B624AEF"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3 </w:t>
            </w:r>
          </w:p>
        </w:tc>
        <w:tc>
          <w:tcPr>
            <w:tcW w:w="740" w:type="dxa"/>
            <w:tcBorders>
              <w:top w:val="nil"/>
              <w:left w:val="nil"/>
              <w:bottom w:val="single" w:sz="4" w:space="0" w:color="auto"/>
              <w:right w:val="single" w:sz="4" w:space="0" w:color="auto"/>
            </w:tcBorders>
            <w:shd w:val="clear" w:color="000000" w:fill="FFFFFF"/>
            <w:noWrap/>
            <w:vAlign w:val="bottom"/>
            <w:hideMark/>
          </w:tcPr>
          <w:p w14:paraId="64E19E32"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 (530) </w:t>
            </w:r>
          </w:p>
        </w:tc>
        <w:tc>
          <w:tcPr>
            <w:tcW w:w="740" w:type="dxa"/>
            <w:tcBorders>
              <w:top w:val="nil"/>
              <w:left w:val="nil"/>
              <w:bottom w:val="single" w:sz="4" w:space="0" w:color="auto"/>
              <w:right w:val="single" w:sz="4" w:space="0" w:color="auto"/>
            </w:tcBorders>
            <w:shd w:val="clear" w:color="auto" w:fill="auto"/>
            <w:noWrap/>
            <w:vAlign w:val="bottom"/>
            <w:hideMark/>
          </w:tcPr>
          <w:p w14:paraId="3E7EC92B"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 (540) </w:t>
            </w:r>
          </w:p>
        </w:tc>
        <w:tc>
          <w:tcPr>
            <w:tcW w:w="720" w:type="dxa"/>
            <w:tcBorders>
              <w:top w:val="nil"/>
              <w:left w:val="nil"/>
              <w:bottom w:val="single" w:sz="4" w:space="0" w:color="auto"/>
              <w:right w:val="single" w:sz="4" w:space="0" w:color="auto"/>
            </w:tcBorders>
            <w:shd w:val="clear" w:color="auto" w:fill="auto"/>
            <w:noWrap/>
            <w:vAlign w:val="bottom"/>
            <w:hideMark/>
          </w:tcPr>
          <w:p w14:paraId="20F84AC5"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0591A5D"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5E0564E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87D2E91"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5E </w:t>
            </w:r>
          </w:p>
        </w:tc>
        <w:tc>
          <w:tcPr>
            <w:tcW w:w="1200" w:type="dxa"/>
            <w:tcBorders>
              <w:top w:val="nil"/>
              <w:left w:val="nil"/>
              <w:bottom w:val="single" w:sz="4" w:space="0" w:color="auto"/>
              <w:right w:val="single" w:sz="4" w:space="0" w:color="auto"/>
            </w:tcBorders>
            <w:shd w:val="clear" w:color="auto" w:fill="auto"/>
            <w:noWrap/>
            <w:vAlign w:val="bottom"/>
            <w:hideMark/>
          </w:tcPr>
          <w:p w14:paraId="557068D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73A73F"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3E4083B"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E1CB24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DF0F8FA"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208C9A30"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D03F795"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C3DE84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26CE4B57"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FFDD694"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6E </w:t>
            </w:r>
          </w:p>
        </w:tc>
        <w:tc>
          <w:tcPr>
            <w:tcW w:w="1200" w:type="dxa"/>
            <w:tcBorders>
              <w:top w:val="nil"/>
              <w:left w:val="nil"/>
              <w:bottom w:val="single" w:sz="4" w:space="0" w:color="auto"/>
              <w:right w:val="single" w:sz="4" w:space="0" w:color="auto"/>
            </w:tcBorders>
            <w:shd w:val="clear" w:color="auto" w:fill="auto"/>
            <w:noWrap/>
            <w:vAlign w:val="bottom"/>
            <w:hideMark/>
          </w:tcPr>
          <w:p w14:paraId="181DB69F"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46F3B6D8"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EBA6872"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2045871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65BBD72" w14:textId="77777777" w:rsidR="000318FA" w:rsidRPr="00B9104E" w:rsidRDefault="000318FA" w:rsidP="000318FA">
            <w:pPr>
              <w:suppressAutoHyphens w:val="0"/>
              <w:spacing w:before="2" w:after="2"/>
              <w:jc w:val="center"/>
              <w:rPr>
                <w:lang w:val="de-DE" w:eastAsia="de-DE"/>
              </w:rPr>
            </w:pPr>
            <w:r w:rsidRPr="00B9104E">
              <w:rPr>
                <w:lang w:val="de-DE" w:eastAsia="de-DE"/>
              </w:rPr>
              <w:t>1 (390)</w:t>
            </w:r>
          </w:p>
        </w:tc>
        <w:tc>
          <w:tcPr>
            <w:tcW w:w="740" w:type="dxa"/>
            <w:tcBorders>
              <w:top w:val="nil"/>
              <w:left w:val="nil"/>
              <w:bottom w:val="single" w:sz="4" w:space="0" w:color="auto"/>
              <w:right w:val="single" w:sz="4" w:space="0" w:color="auto"/>
            </w:tcBorders>
            <w:shd w:val="clear" w:color="auto" w:fill="auto"/>
            <w:noWrap/>
            <w:vAlign w:val="bottom"/>
            <w:hideMark/>
          </w:tcPr>
          <w:p w14:paraId="287F7437"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C9A257E"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09D1F81"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4F0DA9DB"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32D1A47"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7E </w:t>
            </w:r>
          </w:p>
        </w:tc>
        <w:tc>
          <w:tcPr>
            <w:tcW w:w="1200" w:type="dxa"/>
            <w:tcBorders>
              <w:top w:val="nil"/>
              <w:left w:val="nil"/>
              <w:bottom w:val="single" w:sz="4" w:space="0" w:color="auto"/>
              <w:right w:val="single" w:sz="4" w:space="0" w:color="auto"/>
            </w:tcBorders>
            <w:shd w:val="clear" w:color="auto" w:fill="auto"/>
            <w:noWrap/>
            <w:vAlign w:val="bottom"/>
            <w:hideMark/>
          </w:tcPr>
          <w:p w14:paraId="0455FAB0"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717EE87C"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 (430 ) </w:t>
            </w:r>
          </w:p>
        </w:tc>
        <w:tc>
          <w:tcPr>
            <w:tcW w:w="640" w:type="dxa"/>
            <w:tcBorders>
              <w:top w:val="nil"/>
              <w:left w:val="nil"/>
              <w:bottom w:val="single" w:sz="4" w:space="0" w:color="auto"/>
              <w:right w:val="single" w:sz="4" w:space="0" w:color="auto"/>
            </w:tcBorders>
            <w:shd w:val="clear" w:color="auto" w:fill="auto"/>
            <w:noWrap/>
            <w:vAlign w:val="bottom"/>
            <w:hideMark/>
          </w:tcPr>
          <w:p w14:paraId="2CA9BFE1"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0732E4B2"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467C3EDB" w14:textId="77777777" w:rsidR="000318FA" w:rsidRPr="00B9104E" w:rsidRDefault="000318FA" w:rsidP="000318FA">
            <w:pPr>
              <w:suppressAutoHyphens w:val="0"/>
              <w:spacing w:before="2" w:after="2"/>
              <w:jc w:val="center"/>
              <w:rPr>
                <w:lang w:val="de-DE" w:eastAsia="de-DE"/>
              </w:rPr>
            </w:pPr>
            <w:r w:rsidRPr="00B9104E">
              <w:rPr>
                <w:lang w:val="de-DE" w:eastAsia="de-DE"/>
              </w:rPr>
              <w:t>1 (320)</w:t>
            </w:r>
          </w:p>
        </w:tc>
        <w:tc>
          <w:tcPr>
            <w:tcW w:w="740" w:type="dxa"/>
            <w:tcBorders>
              <w:top w:val="nil"/>
              <w:left w:val="nil"/>
              <w:bottom w:val="single" w:sz="4" w:space="0" w:color="auto"/>
              <w:right w:val="single" w:sz="4" w:space="0" w:color="auto"/>
            </w:tcBorders>
            <w:shd w:val="clear" w:color="auto" w:fill="auto"/>
            <w:noWrap/>
            <w:vAlign w:val="bottom"/>
            <w:hideMark/>
          </w:tcPr>
          <w:p w14:paraId="27842842"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14:paraId="1409378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0A32D4D"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5C54F5C0"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A3A09F4"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8E </w:t>
            </w:r>
          </w:p>
        </w:tc>
        <w:tc>
          <w:tcPr>
            <w:tcW w:w="1200" w:type="dxa"/>
            <w:tcBorders>
              <w:top w:val="nil"/>
              <w:left w:val="nil"/>
              <w:bottom w:val="single" w:sz="4" w:space="0" w:color="auto"/>
              <w:right w:val="single" w:sz="4" w:space="0" w:color="auto"/>
            </w:tcBorders>
            <w:shd w:val="clear" w:color="auto" w:fill="auto"/>
            <w:noWrap/>
            <w:vAlign w:val="bottom"/>
            <w:hideMark/>
          </w:tcPr>
          <w:p w14:paraId="7F9CB5D8"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39F9285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68E4C3B"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3C0F421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067FB5F"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20234521"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14:paraId="041FBFC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10C34DD"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1689AFD9"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2649D11"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9E </w:t>
            </w:r>
          </w:p>
        </w:tc>
        <w:tc>
          <w:tcPr>
            <w:tcW w:w="1200" w:type="dxa"/>
            <w:tcBorders>
              <w:top w:val="nil"/>
              <w:left w:val="nil"/>
              <w:bottom w:val="single" w:sz="4" w:space="0" w:color="auto"/>
              <w:right w:val="single" w:sz="4" w:space="0" w:color="auto"/>
            </w:tcBorders>
            <w:shd w:val="clear" w:color="auto" w:fill="auto"/>
            <w:noWrap/>
            <w:vAlign w:val="bottom"/>
            <w:hideMark/>
          </w:tcPr>
          <w:p w14:paraId="28EA789B"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2 </w:t>
            </w:r>
          </w:p>
        </w:tc>
        <w:tc>
          <w:tcPr>
            <w:tcW w:w="1200" w:type="dxa"/>
            <w:tcBorders>
              <w:top w:val="nil"/>
              <w:left w:val="nil"/>
              <w:bottom w:val="single" w:sz="4" w:space="0" w:color="auto"/>
              <w:right w:val="single" w:sz="4" w:space="0" w:color="auto"/>
            </w:tcBorders>
            <w:shd w:val="clear" w:color="auto" w:fill="auto"/>
            <w:noWrap/>
            <w:vAlign w:val="bottom"/>
            <w:hideMark/>
          </w:tcPr>
          <w:p w14:paraId="4621AD92"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 (330) </w:t>
            </w:r>
          </w:p>
        </w:tc>
        <w:tc>
          <w:tcPr>
            <w:tcW w:w="640" w:type="dxa"/>
            <w:tcBorders>
              <w:top w:val="nil"/>
              <w:left w:val="nil"/>
              <w:bottom w:val="single" w:sz="4" w:space="0" w:color="auto"/>
              <w:right w:val="single" w:sz="4" w:space="0" w:color="auto"/>
            </w:tcBorders>
            <w:shd w:val="clear" w:color="auto" w:fill="auto"/>
            <w:noWrap/>
            <w:vAlign w:val="bottom"/>
            <w:hideMark/>
          </w:tcPr>
          <w:p w14:paraId="150C9D06"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1FF0A0A2"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6D4F3C31"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13C51FBC"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14:paraId="0C5F338F"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B49BAA2"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1B6A101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B2BC6E3"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10E </w:t>
            </w:r>
          </w:p>
        </w:tc>
        <w:tc>
          <w:tcPr>
            <w:tcW w:w="1200" w:type="dxa"/>
            <w:tcBorders>
              <w:top w:val="nil"/>
              <w:left w:val="nil"/>
              <w:bottom w:val="single" w:sz="4" w:space="0" w:color="auto"/>
              <w:right w:val="single" w:sz="4" w:space="0" w:color="auto"/>
            </w:tcBorders>
            <w:shd w:val="clear" w:color="auto" w:fill="auto"/>
            <w:noWrap/>
            <w:vAlign w:val="bottom"/>
            <w:hideMark/>
          </w:tcPr>
          <w:p w14:paraId="1979CF01"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71071959"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864702E"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00307081"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D58A588"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2CD333BE"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D74C003"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2F71193"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617BAD7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EF90EF6"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11E </w:t>
            </w:r>
          </w:p>
        </w:tc>
        <w:tc>
          <w:tcPr>
            <w:tcW w:w="1200" w:type="dxa"/>
            <w:tcBorders>
              <w:top w:val="nil"/>
              <w:left w:val="nil"/>
              <w:bottom w:val="single" w:sz="4" w:space="0" w:color="auto"/>
              <w:right w:val="single" w:sz="4" w:space="0" w:color="auto"/>
            </w:tcBorders>
            <w:shd w:val="clear" w:color="auto" w:fill="auto"/>
            <w:noWrap/>
            <w:vAlign w:val="bottom"/>
            <w:hideMark/>
          </w:tcPr>
          <w:p w14:paraId="43BFD8D2" w14:textId="77777777" w:rsidR="000318FA" w:rsidRPr="00B9104E" w:rsidRDefault="000318FA" w:rsidP="000318FA">
            <w:pPr>
              <w:suppressAutoHyphens w:val="0"/>
              <w:spacing w:before="2" w:after="2"/>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1EDC7E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A19E98B"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F213511"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7FD9029"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35905D9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E627A5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2FD10D6"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65344CCB"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0BBAD1D"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12E </w:t>
            </w:r>
          </w:p>
        </w:tc>
        <w:tc>
          <w:tcPr>
            <w:tcW w:w="1200" w:type="dxa"/>
            <w:tcBorders>
              <w:top w:val="nil"/>
              <w:left w:val="nil"/>
              <w:bottom w:val="single" w:sz="4" w:space="0" w:color="auto"/>
              <w:right w:val="single" w:sz="4" w:space="0" w:color="auto"/>
            </w:tcBorders>
            <w:shd w:val="clear" w:color="auto" w:fill="auto"/>
            <w:noWrap/>
            <w:vAlign w:val="bottom"/>
            <w:hideMark/>
          </w:tcPr>
          <w:p w14:paraId="1AED126C"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13E86765"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14:paraId="55D33CF8"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3D6E78A"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067D4CC3"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0FF68E17"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 (330) </w:t>
            </w:r>
          </w:p>
        </w:tc>
        <w:tc>
          <w:tcPr>
            <w:tcW w:w="720" w:type="dxa"/>
            <w:tcBorders>
              <w:top w:val="nil"/>
              <w:left w:val="nil"/>
              <w:bottom w:val="single" w:sz="4" w:space="0" w:color="auto"/>
              <w:right w:val="single" w:sz="4" w:space="0" w:color="auto"/>
            </w:tcBorders>
            <w:shd w:val="clear" w:color="auto" w:fill="auto"/>
            <w:noWrap/>
            <w:vAlign w:val="bottom"/>
            <w:hideMark/>
          </w:tcPr>
          <w:p w14:paraId="00B5B325"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55A63B0D"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7185BCB2"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27302B5"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13E </w:t>
            </w:r>
          </w:p>
        </w:tc>
        <w:tc>
          <w:tcPr>
            <w:tcW w:w="1200" w:type="dxa"/>
            <w:tcBorders>
              <w:top w:val="nil"/>
              <w:left w:val="nil"/>
              <w:bottom w:val="single" w:sz="4" w:space="0" w:color="auto"/>
              <w:right w:val="single" w:sz="4" w:space="0" w:color="auto"/>
            </w:tcBorders>
            <w:shd w:val="clear" w:color="auto" w:fill="auto"/>
            <w:noWrap/>
            <w:vAlign w:val="bottom"/>
            <w:hideMark/>
          </w:tcPr>
          <w:p w14:paraId="313B9001"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55103D5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B0D4D26"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7855AD40"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9E47999"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1D19941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953D27B"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FBEB07F"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7F3346AF"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2A4DA39"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14E </w:t>
            </w:r>
          </w:p>
        </w:tc>
        <w:tc>
          <w:tcPr>
            <w:tcW w:w="1200" w:type="dxa"/>
            <w:tcBorders>
              <w:top w:val="nil"/>
              <w:left w:val="nil"/>
              <w:bottom w:val="single" w:sz="4" w:space="0" w:color="auto"/>
              <w:right w:val="single" w:sz="4" w:space="0" w:color="auto"/>
            </w:tcBorders>
            <w:shd w:val="clear" w:color="auto" w:fill="auto"/>
            <w:noWrap/>
            <w:vAlign w:val="bottom"/>
            <w:hideMark/>
          </w:tcPr>
          <w:p w14:paraId="7954835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406BA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546E38EF"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38B182B"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A2B0051"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4EB7DCF8"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EA5031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B75546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3F20BA81"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D2B96EA"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15E </w:t>
            </w:r>
          </w:p>
        </w:tc>
        <w:tc>
          <w:tcPr>
            <w:tcW w:w="1200" w:type="dxa"/>
            <w:tcBorders>
              <w:top w:val="nil"/>
              <w:left w:val="nil"/>
              <w:bottom w:val="single" w:sz="4" w:space="0" w:color="auto"/>
              <w:right w:val="single" w:sz="4" w:space="0" w:color="auto"/>
            </w:tcBorders>
            <w:shd w:val="clear" w:color="auto" w:fill="auto"/>
            <w:noWrap/>
            <w:vAlign w:val="bottom"/>
            <w:hideMark/>
          </w:tcPr>
          <w:p w14:paraId="3C498C37"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6C94E189"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14:paraId="269D3085"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775B1995"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CF15CF7"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5288690A" w14:textId="77777777" w:rsidR="000318FA" w:rsidRPr="00B9104E" w:rsidRDefault="000318FA" w:rsidP="000318FA">
            <w:pPr>
              <w:suppressAutoHyphens w:val="0"/>
              <w:spacing w:before="2" w:after="2"/>
              <w:jc w:val="center"/>
              <w:rPr>
                <w:lang w:val="de-DE" w:eastAsia="de-DE"/>
              </w:rPr>
            </w:pPr>
            <w:r w:rsidRPr="00B9104E">
              <w:rPr>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14:paraId="56328178"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A9DB474"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57E93DF5"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59FC412"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16E </w:t>
            </w:r>
          </w:p>
        </w:tc>
        <w:tc>
          <w:tcPr>
            <w:tcW w:w="1200" w:type="dxa"/>
            <w:tcBorders>
              <w:top w:val="nil"/>
              <w:left w:val="nil"/>
              <w:bottom w:val="single" w:sz="4" w:space="0" w:color="auto"/>
              <w:right w:val="single" w:sz="4" w:space="0" w:color="auto"/>
            </w:tcBorders>
            <w:shd w:val="clear" w:color="auto" w:fill="auto"/>
            <w:noWrap/>
            <w:vAlign w:val="bottom"/>
            <w:hideMark/>
          </w:tcPr>
          <w:p w14:paraId="3D31E53E"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345B48"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99EB83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90EE941"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C174E70"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1528E0C7"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C43EDB6"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5033A88"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0926B94C"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9FAD5F1" w14:textId="77777777" w:rsidR="000318FA" w:rsidRPr="00B9104E" w:rsidRDefault="000318FA" w:rsidP="000318FA">
            <w:pPr>
              <w:suppressAutoHyphens w:val="0"/>
              <w:spacing w:before="2" w:after="2"/>
              <w:jc w:val="center"/>
              <w:rPr>
                <w:lang w:val="de-DE" w:eastAsia="de-DE"/>
              </w:rPr>
            </w:pPr>
            <w:r w:rsidRPr="00B9104E">
              <w:rPr>
                <w:lang w:val="de-DE" w:eastAsia="de-DE"/>
              </w:rPr>
              <w:t>17E</w:t>
            </w:r>
          </w:p>
        </w:tc>
        <w:tc>
          <w:tcPr>
            <w:tcW w:w="1200" w:type="dxa"/>
            <w:tcBorders>
              <w:top w:val="nil"/>
              <w:left w:val="nil"/>
              <w:bottom w:val="single" w:sz="4" w:space="0" w:color="auto"/>
              <w:right w:val="single" w:sz="4" w:space="0" w:color="auto"/>
            </w:tcBorders>
            <w:shd w:val="clear" w:color="auto" w:fill="auto"/>
            <w:noWrap/>
            <w:vAlign w:val="bottom"/>
            <w:hideMark/>
          </w:tcPr>
          <w:p w14:paraId="16EE54A5"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320C77"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B1518D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3676B6A"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190A3E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74EC284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2D1624A"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5B48387"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4604F6AC"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D9F57A0"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18E </w:t>
            </w:r>
          </w:p>
        </w:tc>
        <w:tc>
          <w:tcPr>
            <w:tcW w:w="1200" w:type="dxa"/>
            <w:tcBorders>
              <w:top w:val="nil"/>
              <w:left w:val="nil"/>
              <w:bottom w:val="single" w:sz="4" w:space="0" w:color="auto"/>
              <w:right w:val="single" w:sz="4" w:space="0" w:color="auto"/>
            </w:tcBorders>
            <w:shd w:val="clear" w:color="auto" w:fill="auto"/>
            <w:noWrap/>
            <w:vAlign w:val="bottom"/>
            <w:hideMark/>
          </w:tcPr>
          <w:p w14:paraId="54F165BF"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4BD93B4F"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7C52741"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17FD57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02DCCF6"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281CEE2F"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8EA3B71"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CF74AFF"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0BCC556D"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777FCC0"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19E </w:t>
            </w:r>
          </w:p>
        </w:tc>
        <w:tc>
          <w:tcPr>
            <w:tcW w:w="1200" w:type="dxa"/>
            <w:tcBorders>
              <w:top w:val="nil"/>
              <w:left w:val="nil"/>
              <w:bottom w:val="single" w:sz="4" w:space="0" w:color="auto"/>
              <w:right w:val="single" w:sz="4" w:space="0" w:color="auto"/>
            </w:tcBorders>
            <w:shd w:val="clear" w:color="auto" w:fill="auto"/>
            <w:noWrap/>
            <w:vAlign w:val="bottom"/>
            <w:hideMark/>
          </w:tcPr>
          <w:p w14:paraId="61282A8A" w14:textId="77777777" w:rsidR="000318FA" w:rsidRPr="00B9104E" w:rsidRDefault="000318FA" w:rsidP="000318FA">
            <w:pPr>
              <w:suppressAutoHyphens w:val="0"/>
              <w:spacing w:before="2" w:after="2"/>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F4D356"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75C76F7"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714CAAB5"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53DDED0"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51998B2E"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A7D57B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59A4EC3"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699B09A0"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8F5EE1F"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20E </w:t>
            </w:r>
          </w:p>
        </w:tc>
        <w:tc>
          <w:tcPr>
            <w:tcW w:w="1200" w:type="dxa"/>
            <w:tcBorders>
              <w:top w:val="nil"/>
              <w:left w:val="nil"/>
              <w:bottom w:val="single" w:sz="4" w:space="0" w:color="auto"/>
              <w:right w:val="single" w:sz="4" w:space="0" w:color="auto"/>
            </w:tcBorders>
            <w:shd w:val="clear" w:color="auto" w:fill="auto"/>
            <w:noWrap/>
            <w:vAlign w:val="bottom"/>
            <w:hideMark/>
          </w:tcPr>
          <w:p w14:paraId="4DBCE597"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62C0B2E3"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59B90EC"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0C137B24"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6267B98A"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4045DC71"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326B7D0"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F667B76"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637039E2"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BCD1BF5"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21E </w:t>
            </w:r>
          </w:p>
        </w:tc>
        <w:tc>
          <w:tcPr>
            <w:tcW w:w="1200" w:type="dxa"/>
            <w:tcBorders>
              <w:top w:val="nil"/>
              <w:left w:val="nil"/>
              <w:bottom w:val="single" w:sz="4" w:space="0" w:color="auto"/>
              <w:right w:val="single" w:sz="4" w:space="0" w:color="auto"/>
            </w:tcBorders>
            <w:shd w:val="clear" w:color="auto" w:fill="auto"/>
            <w:noWrap/>
            <w:vAlign w:val="bottom"/>
            <w:hideMark/>
          </w:tcPr>
          <w:p w14:paraId="06B6883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950D96"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836F847"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FDF8BE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E068A57"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7BF5DD48"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2236FD68"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2A44823"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56B1076C"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36984C4"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22E </w:t>
            </w:r>
          </w:p>
        </w:tc>
        <w:tc>
          <w:tcPr>
            <w:tcW w:w="1200" w:type="dxa"/>
            <w:tcBorders>
              <w:top w:val="nil"/>
              <w:left w:val="nil"/>
              <w:bottom w:val="single" w:sz="4" w:space="0" w:color="auto"/>
              <w:right w:val="single" w:sz="4" w:space="0" w:color="auto"/>
            </w:tcBorders>
            <w:shd w:val="clear" w:color="auto" w:fill="auto"/>
            <w:noWrap/>
            <w:vAlign w:val="bottom"/>
            <w:hideMark/>
          </w:tcPr>
          <w:p w14:paraId="62174218"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314F8C54"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53C744C9"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EA6BDCB"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DCBE85D"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129E2CE7"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592D49CC"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3974F392"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3CC1ADC8"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0769CD7"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23E </w:t>
            </w:r>
          </w:p>
        </w:tc>
        <w:tc>
          <w:tcPr>
            <w:tcW w:w="1200" w:type="dxa"/>
            <w:tcBorders>
              <w:top w:val="nil"/>
              <w:left w:val="nil"/>
              <w:bottom w:val="single" w:sz="4" w:space="0" w:color="auto"/>
              <w:right w:val="single" w:sz="4" w:space="0" w:color="auto"/>
            </w:tcBorders>
            <w:shd w:val="clear" w:color="auto" w:fill="auto"/>
            <w:noWrap/>
            <w:vAlign w:val="bottom"/>
            <w:hideMark/>
          </w:tcPr>
          <w:p w14:paraId="416BBF71"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5D9C3BFF"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DB69FB2"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72194561"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E8792A6"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4211C03F"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E0917D7"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7DE45C9B"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5942DC18"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D3494B7"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24E </w:t>
            </w:r>
          </w:p>
        </w:tc>
        <w:tc>
          <w:tcPr>
            <w:tcW w:w="1200" w:type="dxa"/>
            <w:tcBorders>
              <w:top w:val="nil"/>
              <w:left w:val="nil"/>
              <w:bottom w:val="single" w:sz="4" w:space="0" w:color="auto"/>
              <w:right w:val="single" w:sz="4" w:space="0" w:color="auto"/>
            </w:tcBorders>
            <w:shd w:val="clear" w:color="auto" w:fill="auto"/>
            <w:noWrap/>
            <w:vAlign w:val="bottom"/>
            <w:hideMark/>
          </w:tcPr>
          <w:p w14:paraId="153A2020"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71EF37F9"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01434F2F"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0E417E24"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0190EA2C"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2F7456B7"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1D2F799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1579D85"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17277F20"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5026A52"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25E </w:t>
            </w:r>
          </w:p>
        </w:tc>
        <w:tc>
          <w:tcPr>
            <w:tcW w:w="1200" w:type="dxa"/>
            <w:tcBorders>
              <w:top w:val="nil"/>
              <w:left w:val="nil"/>
              <w:bottom w:val="single" w:sz="4" w:space="0" w:color="auto"/>
              <w:right w:val="single" w:sz="4" w:space="0" w:color="auto"/>
            </w:tcBorders>
            <w:shd w:val="clear" w:color="auto" w:fill="auto"/>
            <w:noWrap/>
            <w:vAlign w:val="bottom"/>
            <w:hideMark/>
          </w:tcPr>
          <w:p w14:paraId="78B5B150"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6D604F0F"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22C5DC2D"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B9C6937"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5A7D25AA"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0E1ADDED"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37C0878B"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701CAD0B"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7BF8C01A"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144B97A"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26E </w:t>
            </w:r>
          </w:p>
        </w:tc>
        <w:tc>
          <w:tcPr>
            <w:tcW w:w="1200" w:type="dxa"/>
            <w:tcBorders>
              <w:top w:val="nil"/>
              <w:left w:val="nil"/>
              <w:bottom w:val="single" w:sz="4" w:space="0" w:color="auto"/>
              <w:right w:val="single" w:sz="4" w:space="0" w:color="auto"/>
            </w:tcBorders>
            <w:shd w:val="clear" w:color="auto" w:fill="auto"/>
            <w:noWrap/>
            <w:vAlign w:val="bottom"/>
            <w:hideMark/>
          </w:tcPr>
          <w:p w14:paraId="248C68C5"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9C132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398755F"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7ADB970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53EA9E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60082D20"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4B7FF4A"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1C98B7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0F6F1D45"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0EE9E28"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27E </w:t>
            </w:r>
          </w:p>
        </w:tc>
        <w:tc>
          <w:tcPr>
            <w:tcW w:w="1200" w:type="dxa"/>
            <w:tcBorders>
              <w:top w:val="nil"/>
              <w:left w:val="nil"/>
              <w:bottom w:val="single" w:sz="4" w:space="0" w:color="auto"/>
              <w:right w:val="single" w:sz="4" w:space="0" w:color="auto"/>
            </w:tcBorders>
            <w:shd w:val="clear" w:color="auto" w:fill="auto"/>
            <w:noWrap/>
            <w:vAlign w:val="bottom"/>
            <w:hideMark/>
          </w:tcPr>
          <w:p w14:paraId="2D362FFC"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12DBAD04"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0893D76"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7C078485"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4773EC69"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454148FE"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49A11B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5A754DA"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3E8DD164"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4C28D06"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28E </w:t>
            </w:r>
          </w:p>
        </w:tc>
        <w:tc>
          <w:tcPr>
            <w:tcW w:w="1200" w:type="dxa"/>
            <w:tcBorders>
              <w:top w:val="nil"/>
              <w:left w:val="nil"/>
              <w:bottom w:val="single" w:sz="4" w:space="0" w:color="auto"/>
              <w:right w:val="single" w:sz="4" w:space="0" w:color="auto"/>
            </w:tcBorders>
            <w:shd w:val="clear" w:color="auto" w:fill="auto"/>
            <w:noWrap/>
            <w:vAlign w:val="bottom"/>
            <w:hideMark/>
          </w:tcPr>
          <w:p w14:paraId="26A8F86C"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3B4F0786"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61E073AC"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7AC27F13"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291E3D5"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01DE1376"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F9D485F"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FEE285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2A57BE1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1A6CFFA"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29E </w:t>
            </w:r>
          </w:p>
        </w:tc>
        <w:tc>
          <w:tcPr>
            <w:tcW w:w="1200" w:type="dxa"/>
            <w:tcBorders>
              <w:top w:val="nil"/>
              <w:left w:val="nil"/>
              <w:bottom w:val="single" w:sz="4" w:space="0" w:color="auto"/>
              <w:right w:val="single" w:sz="4" w:space="0" w:color="auto"/>
            </w:tcBorders>
            <w:shd w:val="clear" w:color="auto" w:fill="auto"/>
            <w:noWrap/>
            <w:vAlign w:val="bottom"/>
            <w:hideMark/>
          </w:tcPr>
          <w:p w14:paraId="5785A42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F843F1"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B53361E"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24FCDE6"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A9AE8D1"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13E261D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ED0F6C8"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19849E5"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1A7C5AF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3255C45"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30E </w:t>
            </w:r>
          </w:p>
        </w:tc>
        <w:tc>
          <w:tcPr>
            <w:tcW w:w="1200" w:type="dxa"/>
            <w:tcBorders>
              <w:top w:val="nil"/>
              <w:left w:val="nil"/>
              <w:bottom w:val="single" w:sz="4" w:space="0" w:color="auto"/>
              <w:right w:val="single" w:sz="4" w:space="0" w:color="auto"/>
            </w:tcBorders>
            <w:shd w:val="clear" w:color="auto" w:fill="auto"/>
            <w:noWrap/>
            <w:vAlign w:val="bottom"/>
            <w:hideMark/>
          </w:tcPr>
          <w:p w14:paraId="4B516E99"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0CD1E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CDC7D9B"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1CB671E"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33FD281"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427B41DB"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0D9A41B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1D8853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480297B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FBB700E"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31E </w:t>
            </w:r>
          </w:p>
        </w:tc>
        <w:tc>
          <w:tcPr>
            <w:tcW w:w="1200" w:type="dxa"/>
            <w:tcBorders>
              <w:top w:val="nil"/>
              <w:left w:val="nil"/>
              <w:bottom w:val="single" w:sz="4" w:space="0" w:color="auto"/>
              <w:right w:val="single" w:sz="4" w:space="0" w:color="auto"/>
            </w:tcBorders>
            <w:shd w:val="clear" w:color="auto" w:fill="auto"/>
            <w:noWrap/>
            <w:vAlign w:val="bottom"/>
            <w:hideMark/>
          </w:tcPr>
          <w:p w14:paraId="44C6A240"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134B50F0"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B6CB8F1"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4FFC068"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2851ADF"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47647C4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4FFC000"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275B08C"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656B4592"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684264C"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32E </w:t>
            </w:r>
          </w:p>
        </w:tc>
        <w:tc>
          <w:tcPr>
            <w:tcW w:w="1200" w:type="dxa"/>
            <w:tcBorders>
              <w:top w:val="nil"/>
              <w:left w:val="nil"/>
              <w:bottom w:val="single" w:sz="4" w:space="0" w:color="auto"/>
              <w:right w:val="single" w:sz="4" w:space="0" w:color="auto"/>
            </w:tcBorders>
            <w:shd w:val="clear" w:color="auto" w:fill="auto"/>
            <w:noWrap/>
            <w:vAlign w:val="bottom"/>
            <w:hideMark/>
          </w:tcPr>
          <w:p w14:paraId="36BDF605"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3093F170"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6A22470"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055CB2DC"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5046510D"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34A0433A"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033FEA4E" w14:textId="77777777" w:rsidR="000318FA" w:rsidRPr="00B9104E" w:rsidRDefault="000318FA" w:rsidP="000318FA">
            <w:pPr>
              <w:suppressAutoHyphens w:val="0"/>
              <w:spacing w:before="2" w:after="2"/>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460C6AD5"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38BEF8C7"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F58DADD"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33E </w:t>
            </w:r>
          </w:p>
        </w:tc>
        <w:tc>
          <w:tcPr>
            <w:tcW w:w="1200" w:type="dxa"/>
            <w:tcBorders>
              <w:top w:val="nil"/>
              <w:left w:val="nil"/>
              <w:bottom w:val="single" w:sz="4" w:space="0" w:color="auto"/>
              <w:right w:val="single" w:sz="4" w:space="0" w:color="auto"/>
            </w:tcBorders>
            <w:shd w:val="clear" w:color="auto" w:fill="auto"/>
            <w:noWrap/>
            <w:vAlign w:val="bottom"/>
            <w:hideMark/>
          </w:tcPr>
          <w:p w14:paraId="6ED12E8B"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F377AA" w14:textId="77777777" w:rsidR="000318FA" w:rsidRPr="00B9104E" w:rsidRDefault="000318FA" w:rsidP="000318FA">
            <w:pPr>
              <w:suppressAutoHyphens w:val="0"/>
              <w:spacing w:before="2" w:after="2"/>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3C42A7A0" w14:textId="77777777" w:rsidR="000318FA" w:rsidRPr="00B9104E" w:rsidRDefault="000318FA" w:rsidP="000318FA">
            <w:pPr>
              <w:suppressAutoHyphens w:val="0"/>
              <w:spacing w:before="2" w:after="2"/>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64256A0F" w14:textId="77777777" w:rsidR="000318FA" w:rsidRPr="00B9104E" w:rsidRDefault="000318FA" w:rsidP="000318FA">
            <w:pPr>
              <w:suppressAutoHyphens w:val="0"/>
              <w:spacing w:before="2" w:after="2"/>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0A629F7D" w14:textId="77777777" w:rsidR="000318FA" w:rsidRPr="00B9104E" w:rsidRDefault="000318FA" w:rsidP="000318FA">
            <w:pPr>
              <w:suppressAutoHyphens w:val="0"/>
              <w:spacing w:before="2" w:after="2"/>
              <w:jc w:val="center"/>
              <w:rPr>
                <w:lang w:val="de-DE" w:eastAsia="de-DE"/>
              </w:rPr>
            </w:pPr>
          </w:p>
        </w:tc>
        <w:tc>
          <w:tcPr>
            <w:tcW w:w="740" w:type="dxa"/>
            <w:tcBorders>
              <w:top w:val="nil"/>
              <w:left w:val="nil"/>
              <w:bottom w:val="single" w:sz="4" w:space="0" w:color="auto"/>
              <w:right w:val="single" w:sz="4" w:space="0" w:color="auto"/>
            </w:tcBorders>
            <w:shd w:val="clear" w:color="auto" w:fill="auto"/>
            <w:noWrap/>
            <w:vAlign w:val="bottom"/>
            <w:hideMark/>
          </w:tcPr>
          <w:p w14:paraId="048D3051" w14:textId="77777777" w:rsidR="000318FA" w:rsidRPr="00B9104E" w:rsidRDefault="000318FA" w:rsidP="000318FA">
            <w:pPr>
              <w:suppressAutoHyphens w:val="0"/>
              <w:spacing w:before="2" w:after="2"/>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378345DA" w14:textId="77777777" w:rsidR="000318FA" w:rsidRPr="00B9104E" w:rsidRDefault="000318FA" w:rsidP="000318FA">
            <w:pPr>
              <w:suppressAutoHyphens w:val="0"/>
              <w:spacing w:before="2" w:after="2"/>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421B9F67" w14:textId="77777777" w:rsidR="000318FA" w:rsidRPr="00B9104E" w:rsidRDefault="000318FA" w:rsidP="000318FA">
            <w:pPr>
              <w:suppressAutoHyphens w:val="0"/>
              <w:spacing w:before="2" w:after="2"/>
              <w:jc w:val="center"/>
              <w:rPr>
                <w:lang w:val="de-DE" w:eastAsia="de-DE"/>
              </w:rPr>
            </w:pPr>
          </w:p>
        </w:tc>
      </w:tr>
      <w:tr w:rsidR="000318FA" w:rsidRPr="00B9104E" w14:paraId="2DF020EC"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15AB347"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34E </w:t>
            </w:r>
          </w:p>
        </w:tc>
        <w:tc>
          <w:tcPr>
            <w:tcW w:w="1200" w:type="dxa"/>
            <w:tcBorders>
              <w:top w:val="nil"/>
              <w:left w:val="nil"/>
              <w:bottom w:val="single" w:sz="4" w:space="0" w:color="auto"/>
              <w:right w:val="single" w:sz="4" w:space="0" w:color="auto"/>
            </w:tcBorders>
            <w:shd w:val="clear" w:color="auto" w:fill="auto"/>
            <w:noWrap/>
            <w:vAlign w:val="bottom"/>
            <w:hideMark/>
          </w:tcPr>
          <w:p w14:paraId="5F9C5B1F"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0C60942C"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702122A4" w14:textId="77777777" w:rsidR="000318FA" w:rsidRPr="00B9104E" w:rsidRDefault="000318FA" w:rsidP="000318FA">
            <w:pPr>
              <w:suppressAutoHyphens w:val="0"/>
              <w:spacing w:before="2" w:after="2"/>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423AD26F"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65A7B2AE" w14:textId="77777777" w:rsidR="000318FA" w:rsidRPr="00B9104E" w:rsidRDefault="000318FA" w:rsidP="000318FA">
            <w:pPr>
              <w:suppressAutoHyphens w:val="0"/>
              <w:spacing w:before="2" w:after="2"/>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6D7EAC8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FAE9A48"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86175C6" w14:textId="77777777" w:rsidR="000318FA" w:rsidRPr="00B9104E" w:rsidRDefault="000318FA" w:rsidP="000318FA">
            <w:pPr>
              <w:suppressAutoHyphens w:val="0"/>
              <w:spacing w:before="2" w:after="2"/>
              <w:jc w:val="center"/>
              <w:rPr>
                <w:lang w:val="de-DE" w:eastAsia="de-DE"/>
              </w:rPr>
            </w:pPr>
            <w:r w:rsidRPr="00B9104E">
              <w:rPr>
                <w:lang w:val="de-DE" w:eastAsia="de-DE"/>
              </w:rPr>
              <w:t>1 (1115)</w:t>
            </w:r>
          </w:p>
        </w:tc>
      </w:tr>
      <w:tr w:rsidR="000318FA" w:rsidRPr="00B9104E" w14:paraId="703BAFFF"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02BB81A"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35E </w:t>
            </w:r>
          </w:p>
        </w:tc>
        <w:tc>
          <w:tcPr>
            <w:tcW w:w="1200" w:type="dxa"/>
            <w:tcBorders>
              <w:top w:val="nil"/>
              <w:left w:val="nil"/>
              <w:bottom w:val="single" w:sz="4" w:space="0" w:color="auto"/>
              <w:right w:val="single" w:sz="4" w:space="0" w:color="auto"/>
            </w:tcBorders>
            <w:shd w:val="clear" w:color="auto" w:fill="auto"/>
            <w:noWrap/>
            <w:vAlign w:val="bottom"/>
            <w:hideMark/>
          </w:tcPr>
          <w:p w14:paraId="5842AA6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8F9C5E"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06E740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866EF83"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FFF57DE"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01DAD358"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2EA7577"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7A92D4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5139EE2C"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CDBBF59"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36E </w:t>
            </w:r>
          </w:p>
        </w:tc>
        <w:tc>
          <w:tcPr>
            <w:tcW w:w="1200" w:type="dxa"/>
            <w:tcBorders>
              <w:top w:val="nil"/>
              <w:left w:val="nil"/>
              <w:bottom w:val="single" w:sz="4" w:space="0" w:color="auto"/>
              <w:right w:val="single" w:sz="4" w:space="0" w:color="auto"/>
            </w:tcBorders>
            <w:shd w:val="clear" w:color="auto" w:fill="auto"/>
            <w:noWrap/>
            <w:vAlign w:val="bottom"/>
            <w:hideMark/>
          </w:tcPr>
          <w:p w14:paraId="5548A0F5"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53B8DC"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CE7B24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FB020C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2E5F58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5B089B99"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44623D5"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1D987C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39F4B39F"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672FFE0"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37E </w:t>
            </w:r>
          </w:p>
        </w:tc>
        <w:tc>
          <w:tcPr>
            <w:tcW w:w="1200" w:type="dxa"/>
            <w:tcBorders>
              <w:top w:val="nil"/>
              <w:left w:val="nil"/>
              <w:bottom w:val="single" w:sz="4" w:space="0" w:color="auto"/>
              <w:right w:val="single" w:sz="4" w:space="0" w:color="auto"/>
            </w:tcBorders>
            <w:shd w:val="clear" w:color="auto" w:fill="auto"/>
            <w:noWrap/>
            <w:vAlign w:val="bottom"/>
            <w:hideMark/>
          </w:tcPr>
          <w:p w14:paraId="74CF11CF"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EB1F72"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5222BF6"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AFD4426"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12C4017"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49A3ADD6"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750D1C5"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28C430A"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r w:rsidR="000318FA" w:rsidRPr="00B9104E" w14:paraId="541D3889"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B9B9E32" w14:textId="77777777" w:rsidR="000318FA" w:rsidRPr="00B9104E" w:rsidRDefault="000318FA" w:rsidP="000318FA">
            <w:pPr>
              <w:suppressAutoHyphens w:val="0"/>
              <w:spacing w:before="2" w:after="2"/>
              <w:jc w:val="center"/>
              <w:rPr>
                <w:lang w:val="de-DE" w:eastAsia="de-DE"/>
              </w:rPr>
            </w:pPr>
            <w:r w:rsidRPr="00B9104E">
              <w:rPr>
                <w:lang w:val="de-DE" w:eastAsia="de-DE"/>
              </w:rPr>
              <w:t xml:space="preserve">38E </w:t>
            </w:r>
          </w:p>
        </w:tc>
        <w:tc>
          <w:tcPr>
            <w:tcW w:w="1200" w:type="dxa"/>
            <w:tcBorders>
              <w:top w:val="nil"/>
              <w:left w:val="nil"/>
              <w:bottom w:val="single" w:sz="4" w:space="0" w:color="auto"/>
              <w:right w:val="single" w:sz="4" w:space="0" w:color="auto"/>
            </w:tcBorders>
            <w:shd w:val="clear" w:color="auto" w:fill="auto"/>
            <w:noWrap/>
            <w:vAlign w:val="bottom"/>
            <w:hideMark/>
          </w:tcPr>
          <w:p w14:paraId="1C10D04A"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135E8E"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E1F45DB"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0C794FD"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3AB6AC0"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122B3479"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E88CF04"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17A83C1" w14:textId="77777777" w:rsidR="000318FA" w:rsidRPr="00B9104E" w:rsidRDefault="000318FA" w:rsidP="000318FA">
            <w:pPr>
              <w:suppressAutoHyphens w:val="0"/>
              <w:spacing w:before="2" w:after="2"/>
              <w:jc w:val="center"/>
              <w:rPr>
                <w:lang w:val="de-DE" w:eastAsia="de-DE"/>
              </w:rPr>
            </w:pPr>
            <w:r w:rsidRPr="00B9104E">
              <w:rPr>
                <w:lang w:val="de-DE" w:eastAsia="de-DE"/>
              </w:rPr>
              <w:t> </w:t>
            </w:r>
          </w:p>
        </w:tc>
      </w:tr>
    </w:tbl>
    <w:p w14:paraId="000ECD2C" w14:textId="77777777" w:rsidR="000318FA" w:rsidRDefault="000318FA" w:rsidP="000318FA">
      <w:pPr>
        <w:rPr>
          <w:lang w:val="fr-CH"/>
        </w:rPr>
      </w:pPr>
    </w:p>
    <w:p w14:paraId="52E1B10E" w14:textId="77777777" w:rsidR="000318FA" w:rsidRDefault="000318FA" w:rsidP="000318FA">
      <w:pPr>
        <w:rPr>
          <w:lang w:val="fr-CH"/>
        </w:rPr>
      </w:pPr>
    </w:p>
    <w:p w14:paraId="37523609" w14:textId="77777777" w:rsidR="000318FA" w:rsidRPr="004114BB" w:rsidRDefault="000318FA" w:rsidP="000318FA">
      <w:pPr>
        <w:pStyle w:val="SingleTxtG"/>
        <w:rPr>
          <w:b/>
          <w:bCs/>
          <w:i/>
        </w:rPr>
      </w:pPr>
      <w:r w:rsidRPr="004114BB">
        <w:rPr>
          <w:b/>
          <w:bCs/>
        </w:rPr>
        <w:lastRenderedPageBreak/>
        <w:t xml:space="preserve">Compilation of category classifications for NC-Norm grades according to </w:t>
      </w:r>
      <w:r>
        <w:rPr>
          <w:b/>
          <w:bCs/>
        </w:rPr>
        <w:t xml:space="preserve">GHS </w:t>
      </w:r>
      <w:r w:rsidRPr="004114BB">
        <w:rPr>
          <w:b/>
          <w:bCs/>
        </w:rPr>
        <w:t xml:space="preserve">chapter 2.17 desensitized explosives (Tests  made by BAM in the years from 1981 to 2011 </w:t>
      </w:r>
      <w:r w:rsidRPr="004114BB">
        <w:rPr>
          <w:b/>
          <w:bCs/>
          <w:i/>
        </w:rPr>
        <w:t>(continued)</w:t>
      </w:r>
    </w:p>
    <w:p w14:paraId="67EFD77A" w14:textId="77777777" w:rsidR="000318FA" w:rsidRDefault="000318FA" w:rsidP="000318FA">
      <w:pPr>
        <w:pStyle w:val="SingleTxtG"/>
        <w:jc w:val="left"/>
        <w:rPr>
          <w:b/>
          <w:lang w:val="fr-CH"/>
        </w:rPr>
      </w:pPr>
      <w:r w:rsidRPr="00287671">
        <w:rPr>
          <w:b/>
          <w:lang w:val="fr-CH"/>
        </w:rPr>
        <w:t>IPA = Isopropanol, ETH = Ethanol, BUT = Butanol</w:t>
      </w:r>
    </w:p>
    <w:p w14:paraId="772A45D9" w14:textId="77777777" w:rsidR="000318FA" w:rsidRPr="000A2C71" w:rsidRDefault="000318FA" w:rsidP="000318FA">
      <w:pPr>
        <w:pStyle w:val="SingleTxtG"/>
        <w:jc w:val="left"/>
      </w:pPr>
      <w:r w:rsidRPr="000A2C71">
        <w:t>(b)</w:t>
      </w:r>
      <w:r w:rsidRPr="000A2C71">
        <w:tab/>
        <w:t>Part Medium soluble M-grades with a Nitrogen content of 11.3 to 11.8 %</w:t>
      </w:r>
    </w:p>
    <w:tbl>
      <w:tblPr>
        <w:tblW w:w="7434" w:type="dxa"/>
        <w:tblInd w:w="1204"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0318FA" w:rsidRPr="00B9104E" w14:paraId="26EA2F2E" w14:textId="77777777" w:rsidTr="007A5319">
        <w:trPr>
          <w:trHeight w:val="270"/>
        </w:trPr>
        <w:tc>
          <w:tcPr>
            <w:tcW w:w="618" w:type="dxa"/>
            <w:tcBorders>
              <w:top w:val="nil"/>
              <w:left w:val="single" w:sz="8" w:space="0" w:color="auto"/>
              <w:bottom w:val="nil"/>
              <w:right w:val="nil"/>
            </w:tcBorders>
            <w:shd w:val="clear" w:color="000000" w:fill="C0C0C0"/>
            <w:noWrap/>
            <w:vAlign w:val="bottom"/>
            <w:hideMark/>
          </w:tcPr>
          <w:p w14:paraId="2BC69091" w14:textId="77777777" w:rsidR="000318FA" w:rsidRPr="00B9104E" w:rsidRDefault="000318FA" w:rsidP="000318FA">
            <w:pPr>
              <w:suppressAutoHyphens w:val="0"/>
              <w:jc w:val="center"/>
              <w:rPr>
                <w:b/>
                <w:bCs/>
                <w:i/>
                <w:iCs/>
                <w:color w:val="000000"/>
                <w:lang w:eastAsia="de-DE"/>
              </w:rPr>
            </w:pPr>
            <w:r w:rsidRPr="00B9104E">
              <w:rPr>
                <w:b/>
                <w:bCs/>
                <w:i/>
                <w:iCs/>
                <w:color w:val="000000"/>
                <w:lang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14:paraId="7BA4D287" w14:textId="77777777" w:rsidR="000318FA" w:rsidRPr="00B9104E" w:rsidRDefault="000318FA" w:rsidP="000318FA">
            <w:pPr>
              <w:suppressAutoHyphens w:val="0"/>
              <w:jc w:val="center"/>
              <w:rPr>
                <w:b/>
                <w:bCs/>
                <w:i/>
                <w:iCs/>
                <w:color w:val="000000"/>
                <w:lang w:eastAsia="de-DE"/>
              </w:rPr>
            </w:pPr>
            <w:r w:rsidRPr="00B9104E">
              <w:rPr>
                <w:b/>
                <w:bCs/>
                <w:i/>
                <w:iCs/>
                <w:color w:val="000000"/>
                <w:lang w:eastAsia="de-DE"/>
              </w:rPr>
              <w:t>IPA 35 %</w:t>
            </w:r>
          </w:p>
        </w:tc>
        <w:tc>
          <w:tcPr>
            <w:tcW w:w="1200" w:type="dxa"/>
            <w:tcBorders>
              <w:top w:val="nil"/>
              <w:left w:val="nil"/>
              <w:bottom w:val="nil"/>
              <w:right w:val="single" w:sz="4" w:space="0" w:color="auto"/>
            </w:tcBorders>
            <w:shd w:val="clear" w:color="000000" w:fill="C0C0C0"/>
            <w:noWrap/>
            <w:vAlign w:val="bottom"/>
            <w:hideMark/>
          </w:tcPr>
          <w:p w14:paraId="7D2D8CA9" w14:textId="77777777" w:rsidR="000318FA" w:rsidRPr="00B9104E" w:rsidRDefault="000318FA" w:rsidP="000318FA">
            <w:pPr>
              <w:suppressAutoHyphens w:val="0"/>
              <w:jc w:val="center"/>
              <w:rPr>
                <w:b/>
                <w:bCs/>
                <w:i/>
                <w:iCs/>
                <w:color w:val="000000"/>
                <w:lang w:eastAsia="de-DE"/>
              </w:rPr>
            </w:pPr>
            <w:r w:rsidRPr="00B9104E">
              <w:rPr>
                <w:b/>
                <w:bCs/>
                <w:i/>
                <w:iCs/>
                <w:color w:val="000000"/>
                <w:lang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14:paraId="577A26E7" w14:textId="77777777" w:rsidR="000318FA" w:rsidRPr="00B9104E" w:rsidRDefault="000318FA" w:rsidP="000318FA">
            <w:pPr>
              <w:suppressAutoHyphens w:val="0"/>
              <w:jc w:val="center"/>
              <w:rPr>
                <w:b/>
                <w:bCs/>
                <w:i/>
                <w:iCs/>
                <w:color w:val="000000"/>
                <w:lang w:eastAsia="de-DE"/>
              </w:rPr>
            </w:pPr>
            <w:r w:rsidRPr="00B9104E">
              <w:rPr>
                <w:b/>
                <w:bCs/>
                <w:i/>
                <w:iCs/>
                <w:color w:val="000000"/>
                <w:lang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14:paraId="04336156" w14:textId="77777777" w:rsidR="000318FA" w:rsidRPr="00B9104E" w:rsidRDefault="000318FA" w:rsidP="000318FA">
            <w:pPr>
              <w:suppressAutoHyphens w:val="0"/>
              <w:jc w:val="center"/>
              <w:rPr>
                <w:b/>
                <w:bCs/>
                <w:i/>
                <w:iCs/>
                <w:color w:val="000000"/>
                <w:lang w:eastAsia="de-DE"/>
              </w:rPr>
            </w:pPr>
            <w:r w:rsidRPr="00B9104E">
              <w:rPr>
                <w:b/>
                <w:bCs/>
                <w:i/>
                <w:iCs/>
                <w:color w:val="000000"/>
                <w:lang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14:paraId="4229C58F" w14:textId="77777777" w:rsidR="000318FA" w:rsidRPr="00B9104E" w:rsidRDefault="000318FA" w:rsidP="000318FA">
            <w:pPr>
              <w:suppressAutoHyphens w:val="0"/>
              <w:jc w:val="center"/>
              <w:rPr>
                <w:b/>
                <w:bCs/>
                <w:i/>
                <w:iCs/>
                <w:lang w:eastAsia="de-DE"/>
              </w:rPr>
            </w:pPr>
            <w:r w:rsidRPr="00B9104E">
              <w:rPr>
                <w:b/>
                <w:bCs/>
                <w:i/>
                <w:iCs/>
                <w:lang w:eastAsia="de-DE"/>
              </w:rPr>
              <w:t>BUT</w:t>
            </w:r>
          </w:p>
        </w:tc>
        <w:tc>
          <w:tcPr>
            <w:tcW w:w="740" w:type="dxa"/>
            <w:tcBorders>
              <w:top w:val="nil"/>
              <w:left w:val="nil"/>
              <w:bottom w:val="nil"/>
              <w:right w:val="single" w:sz="4" w:space="0" w:color="auto"/>
            </w:tcBorders>
            <w:shd w:val="clear" w:color="000000" w:fill="C0C0C0"/>
            <w:noWrap/>
            <w:vAlign w:val="bottom"/>
            <w:hideMark/>
          </w:tcPr>
          <w:p w14:paraId="578CC3F5" w14:textId="77777777" w:rsidR="000318FA" w:rsidRPr="00B9104E" w:rsidRDefault="000318FA" w:rsidP="000318FA">
            <w:pPr>
              <w:suppressAutoHyphens w:val="0"/>
              <w:jc w:val="center"/>
              <w:rPr>
                <w:b/>
                <w:bCs/>
                <w:i/>
                <w:iCs/>
                <w:lang w:eastAsia="de-DE"/>
              </w:rPr>
            </w:pPr>
            <w:r w:rsidRPr="00B9104E">
              <w:rPr>
                <w:b/>
                <w:bCs/>
                <w:i/>
                <w:iCs/>
                <w:lang w:eastAsia="de-DE"/>
              </w:rPr>
              <w:t>BUT</w:t>
            </w:r>
          </w:p>
        </w:tc>
        <w:tc>
          <w:tcPr>
            <w:tcW w:w="720" w:type="dxa"/>
            <w:tcBorders>
              <w:top w:val="nil"/>
              <w:left w:val="nil"/>
              <w:bottom w:val="nil"/>
              <w:right w:val="single" w:sz="4" w:space="0" w:color="auto"/>
            </w:tcBorders>
            <w:shd w:val="clear" w:color="000000" w:fill="C0C0C0"/>
            <w:noWrap/>
            <w:vAlign w:val="bottom"/>
            <w:hideMark/>
          </w:tcPr>
          <w:p w14:paraId="4E467302" w14:textId="77777777" w:rsidR="000318FA" w:rsidRPr="00B9104E" w:rsidRDefault="000318FA" w:rsidP="000318FA">
            <w:pPr>
              <w:suppressAutoHyphens w:val="0"/>
              <w:jc w:val="center"/>
              <w:rPr>
                <w:b/>
                <w:bCs/>
                <w:i/>
                <w:iCs/>
                <w:color w:val="000000"/>
                <w:lang w:eastAsia="de-DE"/>
              </w:rPr>
            </w:pPr>
            <w:r w:rsidRPr="00B9104E">
              <w:rPr>
                <w:b/>
                <w:bCs/>
                <w:i/>
                <w:iCs/>
                <w:color w:val="000000"/>
                <w:lang w:eastAsia="de-DE"/>
              </w:rPr>
              <w:t xml:space="preserve">Water </w:t>
            </w:r>
          </w:p>
        </w:tc>
        <w:tc>
          <w:tcPr>
            <w:tcW w:w="996" w:type="dxa"/>
            <w:tcBorders>
              <w:top w:val="nil"/>
              <w:left w:val="nil"/>
              <w:bottom w:val="nil"/>
              <w:right w:val="single" w:sz="4" w:space="0" w:color="auto"/>
            </w:tcBorders>
            <w:shd w:val="clear" w:color="000000" w:fill="C0C0C0"/>
            <w:noWrap/>
            <w:vAlign w:val="bottom"/>
            <w:hideMark/>
          </w:tcPr>
          <w:p w14:paraId="7FB6E7DE" w14:textId="77777777" w:rsidR="000318FA" w:rsidRPr="00B9104E" w:rsidRDefault="000318FA" w:rsidP="000318FA">
            <w:pPr>
              <w:suppressAutoHyphens w:val="0"/>
              <w:jc w:val="center"/>
              <w:rPr>
                <w:b/>
                <w:bCs/>
                <w:i/>
                <w:iCs/>
                <w:color w:val="000000"/>
                <w:lang w:val="de-DE" w:eastAsia="de-DE"/>
              </w:rPr>
            </w:pPr>
            <w:r w:rsidRPr="00B9104E">
              <w:rPr>
                <w:b/>
                <w:bCs/>
                <w:i/>
                <w:iCs/>
                <w:color w:val="000000"/>
                <w:lang w:eastAsia="de-DE"/>
              </w:rPr>
              <w:t>N</w:t>
            </w:r>
            <w:r w:rsidRPr="00B9104E">
              <w:rPr>
                <w:b/>
                <w:bCs/>
                <w:i/>
                <w:iCs/>
                <w:color w:val="000000"/>
                <w:lang w:val="de-DE" w:eastAsia="de-DE"/>
              </w:rPr>
              <w:t xml:space="preserve">C-Chips with </w:t>
            </w:r>
          </w:p>
        </w:tc>
      </w:tr>
      <w:tr w:rsidR="000318FA" w:rsidRPr="00B9104E" w14:paraId="0A89D594" w14:textId="77777777" w:rsidTr="007A5319">
        <w:trPr>
          <w:trHeight w:val="270"/>
        </w:trPr>
        <w:tc>
          <w:tcPr>
            <w:tcW w:w="618" w:type="dxa"/>
            <w:tcBorders>
              <w:top w:val="nil"/>
              <w:left w:val="single" w:sz="8" w:space="0" w:color="auto"/>
              <w:bottom w:val="nil"/>
              <w:right w:val="nil"/>
            </w:tcBorders>
            <w:shd w:val="clear" w:color="000000" w:fill="C0C0C0"/>
            <w:noWrap/>
            <w:vAlign w:val="bottom"/>
            <w:hideMark/>
          </w:tcPr>
          <w:p w14:paraId="0120B12F"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14:paraId="5E3A17C3" w14:textId="77777777" w:rsidR="000318FA" w:rsidRPr="00B9104E" w:rsidRDefault="000318FA" w:rsidP="000318FA">
            <w:pPr>
              <w:suppressAutoHyphens w:val="0"/>
              <w:rPr>
                <w:b/>
                <w:bCs/>
                <w:i/>
                <w:iCs/>
                <w:color w:val="000000"/>
                <w:lang w:val="de-DE" w:eastAsia="de-DE"/>
              </w:rPr>
            </w:pPr>
            <w:r w:rsidRPr="00B9104E">
              <w:rPr>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14:paraId="75AE7CD0"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14:paraId="41F72F39"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14:paraId="42DB7AB1"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14:paraId="78FEC219" w14:textId="77777777" w:rsidR="000318FA" w:rsidRPr="00B9104E" w:rsidRDefault="000318FA" w:rsidP="000318FA">
            <w:pPr>
              <w:suppressAutoHyphens w:val="0"/>
              <w:jc w:val="center"/>
              <w:rPr>
                <w:b/>
                <w:bCs/>
                <w:i/>
                <w:iCs/>
                <w:lang w:val="de-DE" w:eastAsia="de-DE"/>
              </w:rPr>
            </w:pPr>
            <w:r w:rsidRPr="00B9104E">
              <w:rPr>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14:paraId="60692534" w14:textId="77777777" w:rsidR="000318FA" w:rsidRPr="00B9104E" w:rsidRDefault="000318FA" w:rsidP="000318FA">
            <w:pPr>
              <w:suppressAutoHyphens w:val="0"/>
              <w:jc w:val="center"/>
              <w:rPr>
                <w:b/>
                <w:bCs/>
                <w:i/>
                <w:iCs/>
                <w:lang w:val="de-DE" w:eastAsia="de-DE"/>
              </w:rPr>
            </w:pPr>
            <w:r w:rsidRPr="00B9104E">
              <w:rPr>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14:paraId="3CC519ED"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14:paraId="7080715C"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20 % Plasticizer</w:t>
            </w:r>
          </w:p>
        </w:tc>
      </w:tr>
      <w:tr w:rsidR="000318FA" w:rsidRPr="00B9104E" w14:paraId="5A93F838" w14:textId="77777777" w:rsidTr="007A5319">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34BAE" w14:textId="77777777" w:rsidR="000318FA" w:rsidRPr="00B9104E" w:rsidRDefault="000318FA" w:rsidP="000318FA">
            <w:pPr>
              <w:suppressAutoHyphens w:val="0"/>
              <w:jc w:val="center"/>
              <w:rPr>
                <w:lang w:val="de-DE" w:eastAsia="de-DE"/>
              </w:rPr>
            </w:pPr>
            <w:r w:rsidRPr="00B9104E">
              <w:rPr>
                <w:lang w:val="de-DE" w:eastAsia="de-DE"/>
              </w:rPr>
              <w:t xml:space="preserve">12M </w:t>
            </w:r>
          </w:p>
        </w:tc>
        <w:tc>
          <w:tcPr>
            <w:tcW w:w="1200" w:type="dxa"/>
            <w:tcBorders>
              <w:top w:val="nil"/>
              <w:left w:val="nil"/>
              <w:bottom w:val="single" w:sz="4" w:space="0" w:color="auto"/>
              <w:right w:val="single" w:sz="4" w:space="0" w:color="auto"/>
            </w:tcBorders>
            <w:shd w:val="clear" w:color="auto" w:fill="auto"/>
            <w:noWrap/>
            <w:vAlign w:val="bottom"/>
            <w:hideMark/>
          </w:tcPr>
          <w:p w14:paraId="190B45E7" w14:textId="77777777" w:rsidR="000318FA" w:rsidRPr="00B9104E" w:rsidRDefault="000318FA" w:rsidP="000318FA">
            <w:pPr>
              <w:suppressAutoHyphens w:val="0"/>
              <w:jc w:val="center"/>
              <w:rPr>
                <w:lang w:val="de-DE" w:eastAsia="de-DE"/>
              </w:rPr>
            </w:pPr>
          </w:p>
        </w:tc>
        <w:tc>
          <w:tcPr>
            <w:tcW w:w="1200" w:type="dxa"/>
            <w:tcBorders>
              <w:top w:val="nil"/>
              <w:left w:val="nil"/>
              <w:bottom w:val="single" w:sz="4" w:space="0" w:color="auto"/>
              <w:right w:val="single" w:sz="4" w:space="0" w:color="auto"/>
            </w:tcBorders>
            <w:shd w:val="clear" w:color="auto" w:fill="auto"/>
            <w:noWrap/>
            <w:vAlign w:val="bottom"/>
            <w:hideMark/>
          </w:tcPr>
          <w:p w14:paraId="608573C7"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AB7705B"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A5E55CE"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00EBEB1"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10B653A3"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DB344B2"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15F2826"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625C8C0F"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9A661F1" w14:textId="77777777" w:rsidR="000318FA" w:rsidRPr="00B9104E" w:rsidRDefault="000318FA" w:rsidP="000318FA">
            <w:pPr>
              <w:suppressAutoHyphens w:val="0"/>
              <w:jc w:val="center"/>
              <w:rPr>
                <w:lang w:val="de-DE" w:eastAsia="de-DE"/>
              </w:rPr>
            </w:pPr>
            <w:r w:rsidRPr="00B9104E">
              <w:rPr>
                <w:lang w:val="de-DE" w:eastAsia="de-DE"/>
              </w:rPr>
              <w:t xml:space="preserve">13M </w:t>
            </w:r>
          </w:p>
        </w:tc>
        <w:tc>
          <w:tcPr>
            <w:tcW w:w="1200" w:type="dxa"/>
            <w:tcBorders>
              <w:top w:val="nil"/>
              <w:left w:val="nil"/>
              <w:bottom w:val="single" w:sz="4" w:space="0" w:color="auto"/>
              <w:right w:val="single" w:sz="4" w:space="0" w:color="auto"/>
            </w:tcBorders>
            <w:shd w:val="clear" w:color="auto" w:fill="auto"/>
            <w:noWrap/>
            <w:vAlign w:val="bottom"/>
            <w:hideMark/>
          </w:tcPr>
          <w:p w14:paraId="7F086670"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4EDBB0"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C4EB24C"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21AF2C4"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EE0134E"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755189D3"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4215278"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D65B850"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62D60A9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37601BB" w14:textId="77777777" w:rsidR="000318FA" w:rsidRPr="00B9104E" w:rsidRDefault="000318FA" w:rsidP="000318FA">
            <w:pPr>
              <w:suppressAutoHyphens w:val="0"/>
              <w:jc w:val="center"/>
              <w:rPr>
                <w:lang w:val="de-DE" w:eastAsia="de-DE"/>
              </w:rPr>
            </w:pPr>
            <w:r w:rsidRPr="00B9104E">
              <w:rPr>
                <w:lang w:val="de-DE" w:eastAsia="de-DE"/>
              </w:rPr>
              <w:t xml:space="preserve">14M </w:t>
            </w:r>
          </w:p>
        </w:tc>
        <w:tc>
          <w:tcPr>
            <w:tcW w:w="1200" w:type="dxa"/>
            <w:tcBorders>
              <w:top w:val="nil"/>
              <w:left w:val="nil"/>
              <w:bottom w:val="single" w:sz="4" w:space="0" w:color="auto"/>
              <w:right w:val="single" w:sz="4" w:space="0" w:color="auto"/>
            </w:tcBorders>
            <w:shd w:val="clear" w:color="auto" w:fill="auto"/>
            <w:noWrap/>
            <w:vAlign w:val="bottom"/>
            <w:hideMark/>
          </w:tcPr>
          <w:p w14:paraId="312D1416" w14:textId="77777777" w:rsidR="000318FA" w:rsidRPr="00B9104E" w:rsidRDefault="000318FA" w:rsidP="000318FA">
            <w:pPr>
              <w:suppressAutoHyphens w:val="0"/>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29686FD4"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2696D7B5"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03DDFD5F"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64DC4FB"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208AB61D"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47943CA"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B2A5A46" w14:textId="77777777" w:rsidR="000318FA" w:rsidRPr="00B9104E" w:rsidRDefault="000318FA" w:rsidP="000318FA">
            <w:pPr>
              <w:suppressAutoHyphens w:val="0"/>
              <w:jc w:val="center"/>
              <w:rPr>
                <w:lang w:val="de-DE" w:eastAsia="de-DE"/>
              </w:rPr>
            </w:pPr>
            <w:r w:rsidRPr="00B9104E">
              <w:rPr>
                <w:lang w:val="de-DE" w:eastAsia="de-DE"/>
              </w:rPr>
              <w:t>1 (1115)</w:t>
            </w:r>
          </w:p>
        </w:tc>
      </w:tr>
      <w:tr w:rsidR="000318FA" w:rsidRPr="00B9104E" w14:paraId="2043A9C3"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8622B69" w14:textId="77777777" w:rsidR="000318FA" w:rsidRPr="00B9104E" w:rsidRDefault="000318FA" w:rsidP="000318FA">
            <w:pPr>
              <w:suppressAutoHyphens w:val="0"/>
              <w:jc w:val="center"/>
              <w:rPr>
                <w:lang w:val="de-DE" w:eastAsia="de-DE"/>
              </w:rPr>
            </w:pPr>
            <w:r w:rsidRPr="00B9104E">
              <w:rPr>
                <w:lang w:val="de-DE" w:eastAsia="de-DE"/>
              </w:rPr>
              <w:t xml:space="preserve">15M </w:t>
            </w:r>
          </w:p>
        </w:tc>
        <w:tc>
          <w:tcPr>
            <w:tcW w:w="1200" w:type="dxa"/>
            <w:tcBorders>
              <w:top w:val="nil"/>
              <w:left w:val="nil"/>
              <w:bottom w:val="single" w:sz="4" w:space="0" w:color="auto"/>
              <w:right w:val="single" w:sz="4" w:space="0" w:color="auto"/>
            </w:tcBorders>
            <w:shd w:val="clear" w:color="auto" w:fill="auto"/>
            <w:noWrap/>
            <w:vAlign w:val="bottom"/>
            <w:hideMark/>
          </w:tcPr>
          <w:p w14:paraId="79283714"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D5F59A"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93BC7D3"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756DA9F0"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B1D568D"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7F8E0429" w14:textId="77777777" w:rsidR="000318FA" w:rsidRPr="00B9104E" w:rsidRDefault="000318FA" w:rsidP="000318FA">
            <w:pPr>
              <w:suppressAutoHyphens w:val="0"/>
              <w:jc w:val="center"/>
              <w:rPr>
                <w:lang w:val="de-DE" w:eastAsia="de-DE"/>
              </w:rPr>
            </w:pPr>
            <w:r w:rsidRPr="00B9104E">
              <w:rPr>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14:paraId="064287CB"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16023A1"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3857A4AC"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ED4623F" w14:textId="77777777" w:rsidR="000318FA" w:rsidRPr="00B9104E" w:rsidRDefault="000318FA" w:rsidP="000318FA">
            <w:pPr>
              <w:suppressAutoHyphens w:val="0"/>
              <w:jc w:val="center"/>
              <w:rPr>
                <w:lang w:val="de-DE" w:eastAsia="de-DE"/>
              </w:rPr>
            </w:pPr>
            <w:r w:rsidRPr="00B9104E">
              <w:rPr>
                <w:lang w:val="de-DE" w:eastAsia="de-DE"/>
              </w:rPr>
              <w:t xml:space="preserve">16M </w:t>
            </w:r>
          </w:p>
        </w:tc>
        <w:tc>
          <w:tcPr>
            <w:tcW w:w="1200" w:type="dxa"/>
            <w:tcBorders>
              <w:top w:val="nil"/>
              <w:left w:val="nil"/>
              <w:bottom w:val="single" w:sz="4" w:space="0" w:color="auto"/>
              <w:right w:val="single" w:sz="4" w:space="0" w:color="auto"/>
            </w:tcBorders>
            <w:shd w:val="clear" w:color="auto" w:fill="auto"/>
            <w:noWrap/>
            <w:vAlign w:val="bottom"/>
            <w:hideMark/>
          </w:tcPr>
          <w:p w14:paraId="14CA04DF"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29ADC3"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AFBE802"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D006A38"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3F7C9D9"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64076C10"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BC980AD"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C5A1EAD"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22A2BB86"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5551B73" w14:textId="77777777" w:rsidR="000318FA" w:rsidRPr="00B9104E" w:rsidRDefault="000318FA" w:rsidP="000318FA">
            <w:pPr>
              <w:suppressAutoHyphens w:val="0"/>
              <w:jc w:val="center"/>
              <w:rPr>
                <w:lang w:val="de-DE" w:eastAsia="de-DE"/>
              </w:rPr>
            </w:pPr>
            <w:r w:rsidRPr="00B9104E">
              <w:rPr>
                <w:lang w:val="de-DE" w:eastAsia="de-DE"/>
              </w:rPr>
              <w:t xml:space="preserve">17M </w:t>
            </w:r>
          </w:p>
        </w:tc>
        <w:tc>
          <w:tcPr>
            <w:tcW w:w="1200" w:type="dxa"/>
            <w:tcBorders>
              <w:top w:val="nil"/>
              <w:left w:val="nil"/>
              <w:bottom w:val="single" w:sz="4" w:space="0" w:color="auto"/>
              <w:right w:val="single" w:sz="4" w:space="0" w:color="auto"/>
            </w:tcBorders>
            <w:shd w:val="clear" w:color="auto" w:fill="auto"/>
            <w:noWrap/>
            <w:vAlign w:val="bottom"/>
            <w:hideMark/>
          </w:tcPr>
          <w:p w14:paraId="7D0AD0C2" w14:textId="77777777" w:rsidR="000318FA" w:rsidRPr="00B9104E" w:rsidRDefault="000318FA" w:rsidP="000318FA">
            <w:pPr>
              <w:suppressAutoHyphens w:val="0"/>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22F79558"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0F2915FB"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63CFCD3"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5CBBFECC"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332AB146"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7DFAA1E" w14:textId="77777777" w:rsidR="000318FA" w:rsidRPr="00B9104E" w:rsidRDefault="000318FA" w:rsidP="000318FA">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2A8DF2A7" w14:textId="77777777" w:rsidR="000318FA" w:rsidRPr="00B9104E" w:rsidRDefault="000318FA" w:rsidP="000318FA">
            <w:pPr>
              <w:suppressAutoHyphens w:val="0"/>
              <w:jc w:val="center"/>
              <w:rPr>
                <w:lang w:val="de-DE" w:eastAsia="de-DE"/>
              </w:rPr>
            </w:pPr>
            <w:r w:rsidRPr="00B9104E">
              <w:rPr>
                <w:lang w:val="de-DE" w:eastAsia="de-DE"/>
              </w:rPr>
              <w:t>1 (1115)</w:t>
            </w:r>
          </w:p>
        </w:tc>
      </w:tr>
      <w:tr w:rsidR="000318FA" w:rsidRPr="00B9104E" w14:paraId="0C82B974"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800C8C3" w14:textId="77777777" w:rsidR="000318FA" w:rsidRPr="00B9104E" w:rsidRDefault="000318FA" w:rsidP="000318FA">
            <w:pPr>
              <w:suppressAutoHyphens w:val="0"/>
              <w:jc w:val="center"/>
              <w:rPr>
                <w:lang w:val="de-DE" w:eastAsia="de-DE"/>
              </w:rPr>
            </w:pPr>
            <w:r w:rsidRPr="00B9104E">
              <w:rPr>
                <w:lang w:val="de-DE" w:eastAsia="de-DE"/>
              </w:rPr>
              <w:t xml:space="preserve">18M </w:t>
            </w:r>
          </w:p>
        </w:tc>
        <w:tc>
          <w:tcPr>
            <w:tcW w:w="1200" w:type="dxa"/>
            <w:tcBorders>
              <w:top w:val="nil"/>
              <w:left w:val="nil"/>
              <w:bottom w:val="single" w:sz="4" w:space="0" w:color="auto"/>
              <w:right w:val="single" w:sz="4" w:space="0" w:color="auto"/>
            </w:tcBorders>
            <w:shd w:val="clear" w:color="auto" w:fill="auto"/>
            <w:noWrap/>
            <w:vAlign w:val="bottom"/>
            <w:hideMark/>
          </w:tcPr>
          <w:p w14:paraId="3122CCD0" w14:textId="77777777" w:rsidR="000318FA" w:rsidRPr="00B9104E" w:rsidRDefault="000318FA" w:rsidP="000318FA">
            <w:pPr>
              <w:suppressAutoHyphens w:val="0"/>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1F181797"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7A4DAF07"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140A212"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7965032"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5C8F8F30"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A751C8D"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9D50738" w14:textId="77777777" w:rsidR="000318FA" w:rsidRPr="00B9104E" w:rsidRDefault="000318FA" w:rsidP="000318FA">
            <w:pPr>
              <w:suppressAutoHyphens w:val="0"/>
              <w:rPr>
                <w:lang w:val="de-DE" w:eastAsia="de-DE"/>
              </w:rPr>
            </w:pPr>
            <w:r w:rsidRPr="00B9104E">
              <w:rPr>
                <w:lang w:val="de-DE" w:eastAsia="de-DE"/>
              </w:rPr>
              <w:t xml:space="preserve">  1 (1115)</w:t>
            </w:r>
          </w:p>
        </w:tc>
      </w:tr>
      <w:tr w:rsidR="000318FA" w:rsidRPr="00B9104E" w14:paraId="080868D4"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E113CE8" w14:textId="77777777" w:rsidR="000318FA" w:rsidRPr="00B9104E" w:rsidRDefault="000318FA" w:rsidP="000318FA">
            <w:pPr>
              <w:suppressAutoHyphens w:val="0"/>
              <w:jc w:val="center"/>
              <w:rPr>
                <w:lang w:val="de-DE" w:eastAsia="de-DE"/>
              </w:rPr>
            </w:pPr>
            <w:r w:rsidRPr="00B9104E">
              <w:rPr>
                <w:lang w:val="de-DE" w:eastAsia="de-DE"/>
              </w:rPr>
              <w:t xml:space="preserve">19M </w:t>
            </w:r>
          </w:p>
        </w:tc>
        <w:tc>
          <w:tcPr>
            <w:tcW w:w="1200" w:type="dxa"/>
            <w:tcBorders>
              <w:top w:val="nil"/>
              <w:left w:val="nil"/>
              <w:bottom w:val="single" w:sz="4" w:space="0" w:color="auto"/>
              <w:right w:val="single" w:sz="4" w:space="0" w:color="auto"/>
            </w:tcBorders>
            <w:shd w:val="clear" w:color="auto" w:fill="auto"/>
            <w:noWrap/>
            <w:vAlign w:val="bottom"/>
            <w:hideMark/>
          </w:tcPr>
          <w:p w14:paraId="465A58BD"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0B16F1"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B7BCB95"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73DD72A"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A743D67"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8645569"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C2D7170"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665BCCB"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284E1FE4"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5AA3F84" w14:textId="77777777" w:rsidR="000318FA" w:rsidRPr="00B9104E" w:rsidRDefault="000318FA" w:rsidP="000318FA">
            <w:pPr>
              <w:suppressAutoHyphens w:val="0"/>
              <w:jc w:val="center"/>
              <w:rPr>
                <w:lang w:val="de-DE" w:eastAsia="de-DE"/>
              </w:rPr>
            </w:pPr>
            <w:r w:rsidRPr="00B9104E">
              <w:rPr>
                <w:lang w:val="de-DE" w:eastAsia="de-DE"/>
              </w:rPr>
              <w:t xml:space="preserve">20M </w:t>
            </w:r>
          </w:p>
        </w:tc>
        <w:tc>
          <w:tcPr>
            <w:tcW w:w="1200" w:type="dxa"/>
            <w:tcBorders>
              <w:top w:val="nil"/>
              <w:left w:val="nil"/>
              <w:bottom w:val="single" w:sz="4" w:space="0" w:color="auto"/>
              <w:right w:val="single" w:sz="4" w:space="0" w:color="auto"/>
            </w:tcBorders>
            <w:shd w:val="clear" w:color="auto" w:fill="auto"/>
            <w:noWrap/>
            <w:vAlign w:val="bottom"/>
            <w:hideMark/>
          </w:tcPr>
          <w:p w14:paraId="2F539521"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8CD53A"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9DCDB6E"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8DAB7C5"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9C8CBDF"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741F28A"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80291BE"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59DF85E"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686DA190"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82A3D53" w14:textId="77777777" w:rsidR="000318FA" w:rsidRPr="00B9104E" w:rsidRDefault="000318FA" w:rsidP="000318FA">
            <w:pPr>
              <w:suppressAutoHyphens w:val="0"/>
              <w:jc w:val="center"/>
              <w:rPr>
                <w:lang w:val="de-DE" w:eastAsia="de-DE"/>
              </w:rPr>
            </w:pPr>
            <w:r w:rsidRPr="00B9104E">
              <w:rPr>
                <w:lang w:val="de-DE" w:eastAsia="de-DE"/>
              </w:rPr>
              <w:t xml:space="preserve">21M </w:t>
            </w:r>
          </w:p>
        </w:tc>
        <w:tc>
          <w:tcPr>
            <w:tcW w:w="1200" w:type="dxa"/>
            <w:tcBorders>
              <w:top w:val="nil"/>
              <w:left w:val="nil"/>
              <w:bottom w:val="single" w:sz="4" w:space="0" w:color="auto"/>
              <w:right w:val="single" w:sz="4" w:space="0" w:color="auto"/>
            </w:tcBorders>
            <w:shd w:val="clear" w:color="auto" w:fill="auto"/>
            <w:noWrap/>
            <w:vAlign w:val="bottom"/>
            <w:hideMark/>
          </w:tcPr>
          <w:p w14:paraId="677F8EA3" w14:textId="77777777" w:rsidR="000318FA" w:rsidRPr="00B9104E" w:rsidRDefault="000318FA" w:rsidP="000318FA">
            <w:pPr>
              <w:suppressAutoHyphens w:val="0"/>
              <w:jc w:val="center"/>
              <w:rPr>
                <w:lang w:val="de-DE" w:eastAsia="de-DE"/>
              </w:rPr>
            </w:pPr>
            <w:r w:rsidRPr="00B9104E">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238FFC3A"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65CBFDF5"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5DDA8561"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233BD13A"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48D662A1"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3929C0B"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A793EDF" w14:textId="77777777" w:rsidR="000318FA" w:rsidRPr="00B9104E" w:rsidRDefault="000318FA" w:rsidP="000318FA">
            <w:pPr>
              <w:suppressAutoHyphens w:val="0"/>
              <w:jc w:val="center"/>
              <w:rPr>
                <w:lang w:val="de-DE" w:eastAsia="de-DE"/>
              </w:rPr>
            </w:pPr>
            <w:r w:rsidRPr="00B9104E">
              <w:rPr>
                <w:lang w:val="de-DE" w:eastAsia="de-DE"/>
              </w:rPr>
              <w:t>1 (1115)</w:t>
            </w:r>
          </w:p>
        </w:tc>
      </w:tr>
      <w:tr w:rsidR="000318FA" w:rsidRPr="00B9104E" w14:paraId="45A8081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0DC0620" w14:textId="77777777" w:rsidR="000318FA" w:rsidRPr="00B9104E" w:rsidRDefault="000318FA" w:rsidP="000318FA">
            <w:pPr>
              <w:suppressAutoHyphens w:val="0"/>
              <w:jc w:val="center"/>
              <w:rPr>
                <w:lang w:val="de-DE" w:eastAsia="de-DE"/>
              </w:rPr>
            </w:pPr>
            <w:r w:rsidRPr="00B9104E">
              <w:rPr>
                <w:lang w:val="de-DE" w:eastAsia="de-DE"/>
              </w:rPr>
              <w:t xml:space="preserve">22M </w:t>
            </w:r>
          </w:p>
        </w:tc>
        <w:tc>
          <w:tcPr>
            <w:tcW w:w="1200" w:type="dxa"/>
            <w:tcBorders>
              <w:top w:val="nil"/>
              <w:left w:val="nil"/>
              <w:bottom w:val="single" w:sz="4" w:space="0" w:color="auto"/>
              <w:right w:val="single" w:sz="4" w:space="0" w:color="auto"/>
            </w:tcBorders>
            <w:shd w:val="clear" w:color="auto" w:fill="auto"/>
            <w:noWrap/>
            <w:vAlign w:val="bottom"/>
            <w:hideMark/>
          </w:tcPr>
          <w:p w14:paraId="23E3DA49"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39E221"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2A5145D"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20AD761"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4F5626E"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4CDFDAA"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D892538"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165B39A"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63F92FDC"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A4C3353" w14:textId="77777777" w:rsidR="000318FA" w:rsidRPr="00B9104E" w:rsidRDefault="000318FA" w:rsidP="000318FA">
            <w:pPr>
              <w:suppressAutoHyphens w:val="0"/>
              <w:jc w:val="center"/>
              <w:rPr>
                <w:lang w:val="de-DE" w:eastAsia="de-DE"/>
              </w:rPr>
            </w:pPr>
            <w:r w:rsidRPr="00B9104E">
              <w:rPr>
                <w:lang w:val="de-DE" w:eastAsia="de-DE"/>
              </w:rPr>
              <w:t xml:space="preserve">23M </w:t>
            </w:r>
          </w:p>
        </w:tc>
        <w:tc>
          <w:tcPr>
            <w:tcW w:w="1200" w:type="dxa"/>
            <w:tcBorders>
              <w:top w:val="nil"/>
              <w:left w:val="nil"/>
              <w:bottom w:val="single" w:sz="4" w:space="0" w:color="auto"/>
              <w:right w:val="single" w:sz="4" w:space="0" w:color="auto"/>
            </w:tcBorders>
            <w:shd w:val="clear" w:color="auto" w:fill="auto"/>
            <w:noWrap/>
            <w:vAlign w:val="bottom"/>
            <w:hideMark/>
          </w:tcPr>
          <w:p w14:paraId="3859DB7B"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45DFD6"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5A91300"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24A9CF4"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373E7B9"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08D8F0F"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1B5E6AC"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A5F4579"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260D6471"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9AE0341" w14:textId="77777777" w:rsidR="000318FA" w:rsidRPr="00B9104E" w:rsidRDefault="000318FA" w:rsidP="000318FA">
            <w:pPr>
              <w:suppressAutoHyphens w:val="0"/>
              <w:jc w:val="center"/>
              <w:rPr>
                <w:lang w:val="de-DE" w:eastAsia="de-DE"/>
              </w:rPr>
            </w:pPr>
            <w:r w:rsidRPr="00B9104E">
              <w:rPr>
                <w:lang w:val="de-DE" w:eastAsia="de-DE"/>
              </w:rPr>
              <w:t xml:space="preserve">24M </w:t>
            </w:r>
          </w:p>
        </w:tc>
        <w:tc>
          <w:tcPr>
            <w:tcW w:w="1200" w:type="dxa"/>
            <w:tcBorders>
              <w:top w:val="nil"/>
              <w:left w:val="nil"/>
              <w:bottom w:val="single" w:sz="4" w:space="0" w:color="auto"/>
              <w:right w:val="single" w:sz="4" w:space="0" w:color="auto"/>
            </w:tcBorders>
            <w:shd w:val="clear" w:color="auto" w:fill="auto"/>
            <w:noWrap/>
            <w:vAlign w:val="bottom"/>
            <w:hideMark/>
          </w:tcPr>
          <w:p w14:paraId="53BFC9E0"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07A7A"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0578DF0"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9ECEE28"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1793054"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213FB80C" w14:textId="77777777" w:rsidR="000318FA" w:rsidRPr="00B9104E" w:rsidRDefault="000318FA" w:rsidP="000318FA">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24845A50"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48965A7"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76E4946C"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AD2F7B0" w14:textId="77777777" w:rsidR="000318FA" w:rsidRPr="00B9104E" w:rsidRDefault="000318FA" w:rsidP="000318FA">
            <w:pPr>
              <w:suppressAutoHyphens w:val="0"/>
              <w:jc w:val="center"/>
              <w:rPr>
                <w:lang w:val="de-DE" w:eastAsia="de-DE"/>
              </w:rPr>
            </w:pPr>
            <w:r w:rsidRPr="00B9104E">
              <w:rPr>
                <w:lang w:val="de-DE" w:eastAsia="de-DE"/>
              </w:rPr>
              <w:t xml:space="preserve">25M </w:t>
            </w:r>
          </w:p>
        </w:tc>
        <w:tc>
          <w:tcPr>
            <w:tcW w:w="1200" w:type="dxa"/>
            <w:tcBorders>
              <w:top w:val="nil"/>
              <w:left w:val="nil"/>
              <w:bottom w:val="single" w:sz="4" w:space="0" w:color="auto"/>
              <w:right w:val="single" w:sz="4" w:space="0" w:color="auto"/>
            </w:tcBorders>
            <w:shd w:val="clear" w:color="auto" w:fill="auto"/>
            <w:noWrap/>
            <w:vAlign w:val="bottom"/>
            <w:hideMark/>
          </w:tcPr>
          <w:p w14:paraId="3A74F8B6"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763137"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54ACF51"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2002315"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A4E8923"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21EFD983" w14:textId="77777777" w:rsidR="000318FA" w:rsidRPr="00B9104E" w:rsidRDefault="000318FA" w:rsidP="000318FA">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0978293F"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1D30145"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17A4DC54"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A1EE3B4" w14:textId="77777777" w:rsidR="000318FA" w:rsidRPr="00B9104E" w:rsidRDefault="000318FA" w:rsidP="000318FA">
            <w:pPr>
              <w:suppressAutoHyphens w:val="0"/>
              <w:jc w:val="center"/>
              <w:rPr>
                <w:lang w:val="de-DE" w:eastAsia="de-DE"/>
              </w:rPr>
            </w:pPr>
            <w:r w:rsidRPr="00B9104E">
              <w:rPr>
                <w:lang w:val="de-DE" w:eastAsia="de-DE"/>
              </w:rPr>
              <w:t xml:space="preserve">26M </w:t>
            </w:r>
          </w:p>
        </w:tc>
        <w:tc>
          <w:tcPr>
            <w:tcW w:w="1200" w:type="dxa"/>
            <w:tcBorders>
              <w:top w:val="nil"/>
              <w:left w:val="nil"/>
              <w:bottom w:val="single" w:sz="4" w:space="0" w:color="auto"/>
              <w:right w:val="single" w:sz="4" w:space="0" w:color="auto"/>
            </w:tcBorders>
            <w:shd w:val="clear" w:color="auto" w:fill="auto"/>
            <w:noWrap/>
            <w:vAlign w:val="bottom"/>
            <w:hideMark/>
          </w:tcPr>
          <w:p w14:paraId="4E123C98"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AB62A5"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5F41C19"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0E6C1D9"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FA788B5"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93470A8"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BD29BE6"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9B3893E"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7E1BC9E9"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AA53CF6" w14:textId="77777777" w:rsidR="000318FA" w:rsidRPr="00B9104E" w:rsidRDefault="000318FA" w:rsidP="000318FA">
            <w:pPr>
              <w:suppressAutoHyphens w:val="0"/>
              <w:jc w:val="center"/>
              <w:rPr>
                <w:lang w:val="de-DE" w:eastAsia="de-DE"/>
              </w:rPr>
            </w:pPr>
            <w:r w:rsidRPr="00B9104E">
              <w:rPr>
                <w:lang w:val="de-DE" w:eastAsia="de-DE"/>
              </w:rPr>
              <w:t xml:space="preserve">27M </w:t>
            </w:r>
          </w:p>
        </w:tc>
        <w:tc>
          <w:tcPr>
            <w:tcW w:w="1200" w:type="dxa"/>
            <w:tcBorders>
              <w:top w:val="nil"/>
              <w:left w:val="nil"/>
              <w:bottom w:val="single" w:sz="4" w:space="0" w:color="auto"/>
              <w:right w:val="single" w:sz="4" w:space="0" w:color="auto"/>
            </w:tcBorders>
            <w:shd w:val="clear" w:color="auto" w:fill="auto"/>
            <w:noWrap/>
            <w:vAlign w:val="bottom"/>
            <w:hideMark/>
          </w:tcPr>
          <w:p w14:paraId="202076EC" w14:textId="77777777" w:rsidR="000318FA" w:rsidRPr="00B9104E" w:rsidRDefault="000318FA" w:rsidP="000318FA">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187EEF23"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58A8DC6B"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611CD261"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29BFC774"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3D537C6A" w14:textId="77777777" w:rsidR="000318FA" w:rsidRPr="00B9104E" w:rsidRDefault="000318FA" w:rsidP="000318FA">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46D8CF17" w14:textId="77777777" w:rsidR="000318FA" w:rsidRPr="00B9104E" w:rsidRDefault="000318FA" w:rsidP="000318FA">
            <w:pPr>
              <w:suppressAutoHyphens w:val="0"/>
              <w:jc w:val="center"/>
              <w:rPr>
                <w:lang w:val="de-DE" w:eastAsia="de-DE"/>
              </w:rPr>
            </w:pPr>
            <w:r w:rsidRPr="00B9104E">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068D845E" w14:textId="77777777" w:rsidR="000318FA" w:rsidRPr="00B9104E" w:rsidRDefault="000318FA" w:rsidP="000318FA">
            <w:pPr>
              <w:suppressAutoHyphens w:val="0"/>
              <w:jc w:val="center"/>
              <w:rPr>
                <w:lang w:val="de-DE" w:eastAsia="de-DE"/>
              </w:rPr>
            </w:pPr>
            <w:r w:rsidRPr="00B9104E">
              <w:rPr>
                <w:lang w:val="de-DE" w:eastAsia="de-DE"/>
              </w:rPr>
              <w:t>1 (1115)</w:t>
            </w:r>
          </w:p>
        </w:tc>
      </w:tr>
      <w:tr w:rsidR="000318FA" w:rsidRPr="00B9104E" w14:paraId="0C2E95D9"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B1DDF97" w14:textId="77777777" w:rsidR="000318FA" w:rsidRPr="00B9104E" w:rsidRDefault="000318FA" w:rsidP="000318FA">
            <w:pPr>
              <w:suppressAutoHyphens w:val="0"/>
              <w:jc w:val="center"/>
              <w:rPr>
                <w:lang w:val="de-DE" w:eastAsia="de-DE"/>
              </w:rPr>
            </w:pPr>
            <w:r w:rsidRPr="00B9104E">
              <w:rPr>
                <w:lang w:val="de-DE" w:eastAsia="de-DE"/>
              </w:rPr>
              <w:t xml:space="preserve">28M </w:t>
            </w:r>
          </w:p>
        </w:tc>
        <w:tc>
          <w:tcPr>
            <w:tcW w:w="1200" w:type="dxa"/>
            <w:tcBorders>
              <w:top w:val="nil"/>
              <w:left w:val="nil"/>
              <w:bottom w:val="single" w:sz="4" w:space="0" w:color="auto"/>
              <w:right w:val="single" w:sz="4" w:space="0" w:color="auto"/>
            </w:tcBorders>
            <w:shd w:val="clear" w:color="auto" w:fill="auto"/>
            <w:noWrap/>
            <w:vAlign w:val="bottom"/>
            <w:hideMark/>
          </w:tcPr>
          <w:p w14:paraId="141765B8"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A610B8"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5DDC4A9E"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7277F30"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14754F0"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89268BB"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3C8BD5B"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715035B"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2A655A70"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2376CDC" w14:textId="77777777" w:rsidR="000318FA" w:rsidRPr="00B9104E" w:rsidRDefault="000318FA" w:rsidP="000318FA">
            <w:pPr>
              <w:suppressAutoHyphens w:val="0"/>
              <w:jc w:val="center"/>
              <w:rPr>
                <w:lang w:val="de-DE" w:eastAsia="de-DE"/>
              </w:rPr>
            </w:pPr>
            <w:r w:rsidRPr="00B9104E">
              <w:rPr>
                <w:lang w:val="de-DE" w:eastAsia="de-DE"/>
              </w:rPr>
              <w:t xml:space="preserve">29M </w:t>
            </w:r>
          </w:p>
        </w:tc>
        <w:tc>
          <w:tcPr>
            <w:tcW w:w="1200" w:type="dxa"/>
            <w:tcBorders>
              <w:top w:val="nil"/>
              <w:left w:val="nil"/>
              <w:bottom w:val="single" w:sz="4" w:space="0" w:color="auto"/>
              <w:right w:val="single" w:sz="4" w:space="0" w:color="auto"/>
            </w:tcBorders>
            <w:shd w:val="clear" w:color="auto" w:fill="auto"/>
            <w:noWrap/>
            <w:vAlign w:val="bottom"/>
            <w:hideMark/>
          </w:tcPr>
          <w:p w14:paraId="53583B9E"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F3F470"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BF556EF"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E14FE8C"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675EDBE"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52E644C"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FCA7C04"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6049F6F"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42ED6BD9"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D4B50EF" w14:textId="77777777" w:rsidR="000318FA" w:rsidRPr="00B9104E" w:rsidRDefault="000318FA" w:rsidP="000318FA">
            <w:pPr>
              <w:suppressAutoHyphens w:val="0"/>
              <w:jc w:val="center"/>
              <w:rPr>
                <w:lang w:val="de-DE" w:eastAsia="de-DE"/>
              </w:rPr>
            </w:pPr>
            <w:r w:rsidRPr="00B9104E">
              <w:rPr>
                <w:lang w:val="de-DE" w:eastAsia="de-DE"/>
              </w:rPr>
              <w:t xml:space="preserve">30M </w:t>
            </w:r>
          </w:p>
        </w:tc>
        <w:tc>
          <w:tcPr>
            <w:tcW w:w="1200" w:type="dxa"/>
            <w:tcBorders>
              <w:top w:val="nil"/>
              <w:left w:val="nil"/>
              <w:bottom w:val="single" w:sz="4" w:space="0" w:color="auto"/>
              <w:right w:val="single" w:sz="4" w:space="0" w:color="auto"/>
            </w:tcBorders>
            <w:shd w:val="clear" w:color="auto" w:fill="auto"/>
            <w:noWrap/>
            <w:vAlign w:val="bottom"/>
            <w:hideMark/>
          </w:tcPr>
          <w:p w14:paraId="1D6C96ED"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E6BB1E"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53A55081"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80E4034"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5C1CE7A"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71AF205" w14:textId="77777777" w:rsidR="000318FA" w:rsidRPr="00B9104E" w:rsidRDefault="000318FA" w:rsidP="000318FA">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FC3592B"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440BF09"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205EA910"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94F4AC9" w14:textId="77777777" w:rsidR="000318FA" w:rsidRPr="00B9104E" w:rsidRDefault="000318FA" w:rsidP="000318FA">
            <w:pPr>
              <w:suppressAutoHyphens w:val="0"/>
              <w:jc w:val="center"/>
              <w:rPr>
                <w:lang w:val="de-DE" w:eastAsia="de-DE"/>
              </w:rPr>
            </w:pPr>
            <w:r w:rsidRPr="00B9104E">
              <w:rPr>
                <w:lang w:val="de-DE" w:eastAsia="de-DE"/>
              </w:rPr>
              <w:t xml:space="preserve">31M </w:t>
            </w:r>
          </w:p>
        </w:tc>
        <w:tc>
          <w:tcPr>
            <w:tcW w:w="1200" w:type="dxa"/>
            <w:tcBorders>
              <w:top w:val="nil"/>
              <w:left w:val="nil"/>
              <w:bottom w:val="single" w:sz="4" w:space="0" w:color="auto"/>
              <w:right w:val="single" w:sz="4" w:space="0" w:color="auto"/>
            </w:tcBorders>
            <w:shd w:val="clear" w:color="auto" w:fill="auto"/>
            <w:noWrap/>
            <w:vAlign w:val="bottom"/>
            <w:hideMark/>
          </w:tcPr>
          <w:p w14:paraId="61F4CA86"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0A57CA"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2D6A372"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F4915B1"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1D219DD"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4372925"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33265ED"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F7D2E1C"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6EA6F005"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A8889D3" w14:textId="77777777" w:rsidR="000318FA" w:rsidRPr="00B9104E" w:rsidRDefault="000318FA" w:rsidP="000318FA">
            <w:pPr>
              <w:suppressAutoHyphens w:val="0"/>
              <w:jc w:val="center"/>
              <w:rPr>
                <w:lang w:val="de-DE" w:eastAsia="de-DE"/>
              </w:rPr>
            </w:pPr>
            <w:r w:rsidRPr="00B9104E">
              <w:rPr>
                <w:lang w:val="de-DE" w:eastAsia="de-DE"/>
              </w:rPr>
              <w:t xml:space="preserve">32M </w:t>
            </w:r>
          </w:p>
        </w:tc>
        <w:tc>
          <w:tcPr>
            <w:tcW w:w="1200" w:type="dxa"/>
            <w:tcBorders>
              <w:top w:val="nil"/>
              <w:left w:val="nil"/>
              <w:bottom w:val="single" w:sz="4" w:space="0" w:color="auto"/>
              <w:right w:val="single" w:sz="4" w:space="0" w:color="auto"/>
            </w:tcBorders>
            <w:shd w:val="clear" w:color="auto" w:fill="auto"/>
            <w:noWrap/>
            <w:vAlign w:val="bottom"/>
            <w:hideMark/>
          </w:tcPr>
          <w:p w14:paraId="131C5AA4"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CE0A23"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867C246"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F94BDF0"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847771A"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8B11543" w14:textId="77777777" w:rsidR="000318FA" w:rsidRPr="00B9104E" w:rsidRDefault="000318FA" w:rsidP="000318FA">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5C8965A2"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E0CDDD5"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09FBE3EA"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552E023" w14:textId="77777777" w:rsidR="000318FA" w:rsidRPr="00B9104E" w:rsidRDefault="000318FA" w:rsidP="000318FA">
            <w:pPr>
              <w:suppressAutoHyphens w:val="0"/>
              <w:jc w:val="center"/>
              <w:rPr>
                <w:lang w:val="de-DE" w:eastAsia="de-DE"/>
              </w:rPr>
            </w:pPr>
            <w:r w:rsidRPr="00B9104E">
              <w:rPr>
                <w:lang w:val="de-DE" w:eastAsia="de-DE"/>
              </w:rPr>
              <w:t xml:space="preserve">33M </w:t>
            </w:r>
          </w:p>
        </w:tc>
        <w:tc>
          <w:tcPr>
            <w:tcW w:w="1200" w:type="dxa"/>
            <w:tcBorders>
              <w:top w:val="nil"/>
              <w:left w:val="nil"/>
              <w:bottom w:val="single" w:sz="4" w:space="0" w:color="auto"/>
              <w:right w:val="single" w:sz="4" w:space="0" w:color="auto"/>
            </w:tcBorders>
            <w:shd w:val="clear" w:color="auto" w:fill="auto"/>
            <w:noWrap/>
            <w:vAlign w:val="bottom"/>
            <w:hideMark/>
          </w:tcPr>
          <w:p w14:paraId="276D5CFB"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94E0DA"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F82D29A"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8D63BC1"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DBF44D5"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DC0AAE6"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368F56C"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C9C0F17"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61D62D33"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F63338B" w14:textId="77777777" w:rsidR="000318FA" w:rsidRPr="00B9104E" w:rsidRDefault="000318FA" w:rsidP="000318FA">
            <w:pPr>
              <w:suppressAutoHyphens w:val="0"/>
              <w:jc w:val="center"/>
              <w:rPr>
                <w:lang w:val="de-DE" w:eastAsia="de-DE"/>
              </w:rPr>
            </w:pPr>
            <w:r w:rsidRPr="00B9104E">
              <w:rPr>
                <w:lang w:val="de-DE" w:eastAsia="de-DE"/>
              </w:rPr>
              <w:t xml:space="preserve">34M </w:t>
            </w:r>
          </w:p>
        </w:tc>
        <w:tc>
          <w:tcPr>
            <w:tcW w:w="1200" w:type="dxa"/>
            <w:tcBorders>
              <w:top w:val="nil"/>
              <w:left w:val="nil"/>
              <w:bottom w:val="single" w:sz="4" w:space="0" w:color="auto"/>
              <w:right w:val="single" w:sz="4" w:space="0" w:color="auto"/>
            </w:tcBorders>
            <w:shd w:val="clear" w:color="auto" w:fill="auto"/>
            <w:noWrap/>
            <w:vAlign w:val="bottom"/>
            <w:hideMark/>
          </w:tcPr>
          <w:p w14:paraId="3BBD236E" w14:textId="77777777" w:rsidR="000318FA" w:rsidRPr="00B9104E" w:rsidRDefault="000318FA" w:rsidP="000318FA">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6204F4D2"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73310F87"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C2D95D2"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3BD962CB"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1DAFE6DB"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03822A0"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494F70C" w14:textId="77777777" w:rsidR="000318FA" w:rsidRPr="00B9104E" w:rsidRDefault="000318FA" w:rsidP="000318FA">
            <w:pPr>
              <w:suppressAutoHyphens w:val="0"/>
              <w:jc w:val="center"/>
              <w:rPr>
                <w:lang w:val="de-DE" w:eastAsia="de-DE"/>
              </w:rPr>
            </w:pPr>
            <w:r w:rsidRPr="00B9104E">
              <w:rPr>
                <w:lang w:val="de-DE" w:eastAsia="de-DE"/>
              </w:rPr>
              <w:t>1 (1115)</w:t>
            </w:r>
          </w:p>
        </w:tc>
      </w:tr>
    </w:tbl>
    <w:p w14:paraId="3C07A7DF" w14:textId="77777777" w:rsidR="000318FA" w:rsidRDefault="000318FA" w:rsidP="000318FA">
      <w:pPr>
        <w:suppressAutoHyphens w:val="0"/>
        <w:spacing w:line="240" w:lineRule="auto"/>
        <w:rPr>
          <w:lang w:val="fr-CH"/>
        </w:rPr>
      </w:pPr>
      <w:r>
        <w:rPr>
          <w:lang w:val="fr-CH"/>
        </w:rPr>
        <w:br w:type="page"/>
      </w:r>
    </w:p>
    <w:p w14:paraId="0CBFF254" w14:textId="77777777" w:rsidR="000318FA" w:rsidRPr="004114BB" w:rsidRDefault="000318FA" w:rsidP="000318FA">
      <w:pPr>
        <w:pStyle w:val="SingleTxtG"/>
        <w:rPr>
          <w:b/>
          <w:bCs/>
          <w:i/>
        </w:rPr>
      </w:pPr>
      <w:r w:rsidRPr="004114BB">
        <w:rPr>
          <w:b/>
          <w:bCs/>
        </w:rPr>
        <w:lastRenderedPageBreak/>
        <w:t xml:space="preserve">Compilation of category classifications  for NC-Norm grades according to </w:t>
      </w:r>
      <w:r>
        <w:rPr>
          <w:b/>
          <w:bCs/>
        </w:rPr>
        <w:t xml:space="preserve">GHS </w:t>
      </w:r>
      <w:r w:rsidRPr="004114BB">
        <w:rPr>
          <w:b/>
          <w:bCs/>
        </w:rPr>
        <w:t xml:space="preserve">chapter 2.17 desensitized explosives (Tests  made by BAM in the years from 1981 to 2011 </w:t>
      </w:r>
      <w:r w:rsidRPr="004114BB">
        <w:rPr>
          <w:b/>
          <w:bCs/>
          <w:i/>
        </w:rPr>
        <w:t>(continued)</w:t>
      </w:r>
    </w:p>
    <w:p w14:paraId="3AC02B9A" w14:textId="77777777" w:rsidR="000318FA" w:rsidRDefault="000318FA" w:rsidP="000318FA">
      <w:pPr>
        <w:pStyle w:val="SingleTxtG"/>
        <w:jc w:val="left"/>
        <w:rPr>
          <w:b/>
          <w:lang w:val="fr-CH"/>
        </w:rPr>
      </w:pPr>
      <w:r w:rsidRPr="00287671">
        <w:rPr>
          <w:b/>
          <w:lang w:val="fr-CH"/>
        </w:rPr>
        <w:t>IPA = Isopropanol, ETH = Ethanol, BUT = Butanol</w:t>
      </w:r>
    </w:p>
    <w:p w14:paraId="7955776D" w14:textId="77777777" w:rsidR="000318FA" w:rsidRPr="000A2C71" w:rsidRDefault="000318FA" w:rsidP="000318FA">
      <w:pPr>
        <w:pStyle w:val="SingleTxtG"/>
        <w:jc w:val="left"/>
      </w:pPr>
      <w:r>
        <w:t>(c)</w:t>
      </w:r>
      <w:r>
        <w:tab/>
      </w:r>
      <w:r w:rsidRPr="000A2C71">
        <w:t>Part Alcohol-soluble A-grades with a Nitrogen content of 10.7 to 11.3 %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0318FA" w:rsidRPr="00B9104E" w14:paraId="1D296925" w14:textId="77777777" w:rsidTr="007A5319">
        <w:trPr>
          <w:trHeight w:val="270"/>
        </w:trPr>
        <w:tc>
          <w:tcPr>
            <w:tcW w:w="618" w:type="dxa"/>
            <w:tcBorders>
              <w:top w:val="nil"/>
              <w:left w:val="single" w:sz="8" w:space="0" w:color="auto"/>
              <w:bottom w:val="nil"/>
              <w:right w:val="nil"/>
            </w:tcBorders>
            <w:shd w:val="clear" w:color="000000" w:fill="C0C0C0"/>
            <w:noWrap/>
            <w:vAlign w:val="bottom"/>
            <w:hideMark/>
          </w:tcPr>
          <w:p w14:paraId="5ED3918C"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14:paraId="758398EC"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14:paraId="548E999B"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14:paraId="7DA7C385"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14:paraId="2804BAF5"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14:paraId="5885035F" w14:textId="77777777" w:rsidR="000318FA" w:rsidRPr="00B9104E" w:rsidRDefault="000318FA" w:rsidP="000318FA">
            <w:pPr>
              <w:suppressAutoHyphens w:val="0"/>
              <w:jc w:val="center"/>
              <w:rPr>
                <w:b/>
                <w:bCs/>
                <w:i/>
                <w:iCs/>
                <w:lang w:val="de-DE" w:eastAsia="de-DE"/>
              </w:rPr>
            </w:pPr>
            <w:r w:rsidRPr="00B9104E">
              <w:rPr>
                <w:b/>
                <w:bCs/>
                <w:i/>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14:paraId="01DF4076" w14:textId="77777777" w:rsidR="000318FA" w:rsidRPr="00B9104E" w:rsidRDefault="000318FA" w:rsidP="000318FA">
            <w:pPr>
              <w:suppressAutoHyphens w:val="0"/>
              <w:jc w:val="center"/>
              <w:rPr>
                <w:b/>
                <w:bCs/>
                <w:i/>
                <w:iCs/>
                <w:lang w:val="de-DE" w:eastAsia="de-DE"/>
              </w:rPr>
            </w:pPr>
            <w:r w:rsidRPr="00B9104E">
              <w:rPr>
                <w:b/>
                <w:bCs/>
                <w:i/>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14:paraId="6CB8A663"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 xml:space="preserve">Water </w:t>
            </w:r>
          </w:p>
        </w:tc>
        <w:tc>
          <w:tcPr>
            <w:tcW w:w="996" w:type="dxa"/>
            <w:tcBorders>
              <w:top w:val="nil"/>
              <w:left w:val="nil"/>
              <w:bottom w:val="nil"/>
              <w:right w:val="single" w:sz="4" w:space="0" w:color="auto"/>
            </w:tcBorders>
            <w:shd w:val="clear" w:color="000000" w:fill="C0C0C0"/>
            <w:noWrap/>
            <w:vAlign w:val="bottom"/>
            <w:hideMark/>
          </w:tcPr>
          <w:p w14:paraId="02D414AA"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 xml:space="preserve">NC-Chips with </w:t>
            </w:r>
          </w:p>
        </w:tc>
      </w:tr>
      <w:tr w:rsidR="000318FA" w:rsidRPr="00B9104E" w14:paraId="7ED6067A" w14:textId="77777777" w:rsidTr="007A5319">
        <w:trPr>
          <w:trHeight w:val="270"/>
        </w:trPr>
        <w:tc>
          <w:tcPr>
            <w:tcW w:w="618" w:type="dxa"/>
            <w:tcBorders>
              <w:top w:val="nil"/>
              <w:left w:val="single" w:sz="8" w:space="0" w:color="auto"/>
              <w:bottom w:val="nil"/>
              <w:right w:val="nil"/>
            </w:tcBorders>
            <w:shd w:val="clear" w:color="000000" w:fill="C0C0C0"/>
            <w:noWrap/>
            <w:vAlign w:val="bottom"/>
            <w:hideMark/>
          </w:tcPr>
          <w:p w14:paraId="58B36A70"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14:paraId="76072BCB" w14:textId="77777777" w:rsidR="000318FA" w:rsidRPr="00B9104E" w:rsidRDefault="000318FA" w:rsidP="000318FA">
            <w:pPr>
              <w:suppressAutoHyphens w:val="0"/>
              <w:rPr>
                <w:b/>
                <w:bCs/>
                <w:i/>
                <w:iCs/>
                <w:color w:val="000000"/>
                <w:lang w:val="de-DE" w:eastAsia="de-DE"/>
              </w:rPr>
            </w:pPr>
            <w:r w:rsidRPr="00B9104E">
              <w:rPr>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14:paraId="0C27F42C"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14:paraId="73CF0556"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14:paraId="680CADC6"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14:paraId="497376BF" w14:textId="77777777" w:rsidR="000318FA" w:rsidRPr="00B9104E" w:rsidRDefault="000318FA" w:rsidP="000318FA">
            <w:pPr>
              <w:suppressAutoHyphens w:val="0"/>
              <w:jc w:val="center"/>
              <w:rPr>
                <w:b/>
                <w:bCs/>
                <w:i/>
                <w:iCs/>
                <w:lang w:val="de-DE" w:eastAsia="de-DE"/>
              </w:rPr>
            </w:pPr>
            <w:r w:rsidRPr="00B9104E">
              <w:rPr>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14:paraId="6D9F53DA" w14:textId="77777777" w:rsidR="000318FA" w:rsidRPr="00B9104E" w:rsidRDefault="000318FA" w:rsidP="000318FA">
            <w:pPr>
              <w:suppressAutoHyphens w:val="0"/>
              <w:jc w:val="center"/>
              <w:rPr>
                <w:b/>
                <w:bCs/>
                <w:i/>
                <w:iCs/>
                <w:lang w:val="de-DE" w:eastAsia="de-DE"/>
              </w:rPr>
            </w:pPr>
            <w:r w:rsidRPr="00B9104E">
              <w:rPr>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14:paraId="1460C391"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14:paraId="5F3B3E68" w14:textId="77777777" w:rsidR="000318FA" w:rsidRPr="00B9104E" w:rsidRDefault="000318FA" w:rsidP="000318FA">
            <w:pPr>
              <w:suppressAutoHyphens w:val="0"/>
              <w:jc w:val="center"/>
              <w:rPr>
                <w:b/>
                <w:bCs/>
                <w:i/>
                <w:iCs/>
                <w:color w:val="000000"/>
                <w:lang w:val="de-DE" w:eastAsia="de-DE"/>
              </w:rPr>
            </w:pPr>
            <w:r w:rsidRPr="00B9104E">
              <w:rPr>
                <w:b/>
                <w:bCs/>
                <w:i/>
                <w:iCs/>
                <w:color w:val="000000"/>
                <w:lang w:val="de-DE" w:eastAsia="de-DE"/>
              </w:rPr>
              <w:t>20 % Plasticizer</w:t>
            </w:r>
          </w:p>
        </w:tc>
      </w:tr>
      <w:tr w:rsidR="000318FA" w:rsidRPr="00B9104E" w14:paraId="58219AAC" w14:textId="77777777" w:rsidTr="007A5319">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36955" w14:textId="77777777" w:rsidR="000318FA" w:rsidRPr="00B9104E" w:rsidRDefault="000318FA" w:rsidP="000318FA">
            <w:pPr>
              <w:suppressAutoHyphens w:val="0"/>
              <w:jc w:val="center"/>
              <w:rPr>
                <w:lang w:val="de-DE" w:eastAsia="de-DE"/>
              </w:rPr>
            </w:pPr>
            <w:r w:rsidRPr="00B9104E">
              <w:rPr>
                <w:lang w:val="de-DE" w:eastAsia="de-DE"/>
              </w:rPr>
              <w:t xml:space="preserve">7A </w:t>
            </w:r>
          </w:p>
        </w:tc>
        <w:tc>
          <w:tcPr>
            <w:tcW w:w="1200" w:type="dxa"/>
            <w:tcBorders>
              <w:top w:val="nil"/>
              <w:left w:val="nil"/>
              <w:bottom w:val="single" w:sz="4" w:space="0" w:color="auto"/>
              <w:right w:val="single" w:sz="4" w:space="0" w:color="auto"/>
            </w:tcBorders>
            <w:shd w:val="clear" w:color="auto" w:fill="auto"/>
            <w:noWrap/>
            <w:vAlign w:val="bottom"/>
            <w:hideMark/>
          </w:tcPr>
          <w:p w14:paraId="2AACDB30"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619D46"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FDB624A"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E56A53F"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D0E3F2C"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69A5A4B"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A86CAE1"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0221F90"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1D98AAF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C379DA4" w14:textId="77777777" w:rsidR="000318FA" w:rsidRPr="00B9104E" w:rsidRDefault="000318FA" w:rsidP="000318FA">
            <w:pPr>
              <w:suppressAutoHyphens w:val="0"/>
              <w:jc w:val="center"/>
              <w:rPr>
                <w:lang w:val="de-DE" w:eastAsia="de-DE"/>
              </w:rPr>
            </w:pPr>
            <w:r w:rsidRPr="00B9104E">
              <w:rPr>
                <w:lang w:val="de-DE" w:eastAsia="de-DE"/>
              </w:rPr>
              <w:t xml:space="preserve">8A </w:t>
            </w:r>
          </w:p>
        </w:tc>
        <w:tc>
          <w:tcPr>
            <w:tcW w:w="1200" w:type="dxa"/>
            <w:tcBorders>
              <w:top w:val="nil"/>
              <w:left w:val="nil"/>
              <w:bottom w:val="single" w:sz="4" w:space="0" w:color="auto"/>
              <w:right w:val="single" w:sz="4" w:space="0" w:color="auto"/>
            </w:tcBorders>
            <w:shd w:val="clear" w:color="auto" w:fill="auto"/>
            <w:noWrap/>
            <w:vAlign w:val="bottom"/>
            <w:hideMark/>
          </w:tcPr>
          <w:p w14:paraId="1CA7584C"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F32C88"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E003DD7"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A51322E"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7FED6B9"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68019AC"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B65CA9B"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B1A5E18"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52492200"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4E497D0" w14:textId="77777777" w:rsidR="000318FA" w:rsidRPr="00B9104E" w:rsidRDefault="000318FA" w:rsidP="000318FA">
            <w:pPr>
              <w:suppressAutoHyphens w:val="0"/>
              <w:jc w:val="center"/>
              <w:rPr>
                <w:lang w:val="de-DE" w:eastAsia="de-DE"/>
              </w:rPr>
            </w:pPr>
            <w:r w:rsidRPr="00B9104E">
              <w:rPr>
                <w:lang w:val="de-DE" w:eastAsia="de-DE"/>
              </w:rPr>
              <w:t xml:space="preserve">9A </w:t>
            </w:r>
          </w:p>
        </w:tc>
        <w:tc>
          <w:tcPr>
            <w:tcW w:w="1200" w:type="dxa"/>
            <w:tcBorders>
              <w:top w:val="nil"/>
              <w:left w:val="nil"/>
              <w:bottom w:val="single" w:sz="4" w:space="0" w:color="auto"/>
              <w:right w:val="single" w:sz="4" w:space="0" w:color="auto"/>
            </w:tcBorders>
            <w:shd w:val="clear" w:color="auto" w:fill="auto"/>
            <w:noWrap/>
            <w:vAlign w:val="bottom"/>
            <w:hideMark/>
          </w:tcPr>
          <w:p w14:paraId="50A0A941" w14:textId="77777777" w:rsidR="000318FA" w:rsidRPr="00B9104E" w:rsidRDefault="000318FA" w:rsidP="000318FA">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3E8A0046"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F395937"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66208060"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07E9C436"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2E18FD39"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FB730A1"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1D13775" w14:textId="77777777" w:rsidR="000318FA" w:rsidRPr="00B9104E" w:rsidRDefault="000318FA" w:rsidP="000318FA">
            <w:pPr>
              <w:suppressAutoHyphens w:val="0"/>
              <w:jc w:val="center"/>
              <w:rPr>
                <w:lang w:val="de-DE" w:eastAsia="de-DE"/>
              </w:rPr>
            </w:pPr>
            <w:r w:rsidRPr="00B9104E">
              <w:rPr>
                <w:lang w:val="de-DE" w:eastAsia="de-DE"/>
              </w:rPr>
              <w:t>1 (1115)</w:t>
            </w:r>
          </w:p>
        </w:tc>
      </w:tr>
      <w:tr w:rsidR="000318FA" w:rsidRPr="00B9104E" w14:paraId="05215314"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AAA3111" w14:textId="77777777" w:rsidR="000318FA" w:rsidRPr="00B9104E" w:rsidRDefault="000318FA" w:rsidP="000318FA">
            <w:pPr>
              <w:suppressAutoHyphens w:val="0"/>
              <w:jc w:val="center"/>
              <w:rPr>
                <w:lang w:val="de-DE" w:eastAsia="de-DE"/>
              </w:rPr>
            </w:pPr>
            <w:r w:rsidRPr="00B9104E">
              <w:rPr>
                <w:lang w:val="de-DE" w:eastAsia="de-DE"/>
              </w:rPr>
              <w:t xml:space="preserve">10A </w:t>
            </w:r>
          </w:p>
        </w:tc>
        <w:tc>
          <w:tcPr>
            <w:tcW w:w="1200" w:type="dxa"/>
            <w:tcBorders>
              <w:top w:val="nil"/>
              <w:left w:val="nil"/>
              <w:bottom w:val="single" w:sz="4" w:space="0" w:color="auto"/>
              <w:right w:val="single" w:sz="4" w:space="0" w:color="auto"/>
            </w:tcBorders>
            <w:shd w:val="clear" w:color="auto" w:fill="auto"/>
            <w:noWrap/>
            <w:vAlign w:val="bottom"/>
            <w:hideMark/>
          </w:tcPr>
          <w:p w14:paraId="4E294C91"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6B2607"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69E9BBC"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DC92FD3"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A3C71CB"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BE63ECE"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B04384E"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BF0EF84"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230B421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A7CDB9D" w14:textId="77777777" w:rsidR="000318FA" w:rsidRPr="00B9104E" w:rsidRDefault="000318FA" w:rsidP="000318FA">
            <w:pPr>
              <w:suppressAutoHyphens w:val="0"/>
              <w:jc w:val="center"/>
              <w:rPr>
                <w:lang w:val="de-DE" w:eastAsia="de-DE"/>
              </w:rPr>
            </w:pPr>
            <w:r w:rsidRPr="00B9104E">
              <w:rPr>
                <w:lang w:val="de-DE" w:eastAsia="de-DE"/>
              </w:rPr>
              <w:t xml:space="preserve">11A </w:t>
            </w:r>
          </w:p>
        </w:tc>
        <w:tc>
          <w:tcPr>
            <w:tcW w:w="1200" w:type="dxa"/>
            <w:tcBorders>
              <w:top w:val="nil"/>
              <w:left w:val="nil"/>
              <w:bottom w:val="single" w:sz="4" w:space="0" w:color="auto"/>
              <w:right w:val="single" w:sz="4" w:space="0" w:color="auto"/>
            </w:tcBorders>
            <w:shd w:val="clear" w:color="auto" w:fill="auto"/>
            <w:noWrap/>
            <w:vAlign w:val="bottom"/>
            <w:hideMark/>
          </w:tcPr>
          <w:p w14:paraId="5301FC76"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3F2053" w14:textId="77777777" w:rsidR="000318FA" w:rsidRPr="00B9104E" w:rsidRDefault="000318FA" w:rsidP="000318FA">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26C7C162" w14:textId="77777777" w:rsidR="000318FA" w:rsidRPr="00B9104E" w:rsidRDefault="000318FA" w:rsidP="000318FA">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58528D0A" w14:textId="77777777" w:rsidR="000318FA" w:rsidRPr="00B9104E" w:rsidRDefault="000318FA" w:rsidP="000318FA">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71F99A90" w14:textId="77777777" w:rsidR="000318FA" w:rsidRPr="00B9104E" w:rsidRDefault="000318FA" w:rsidP="000318FA">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0FAB6FAA" w14:textId="77777777" w:rsidR="000318FA" w:rsidRPr="00B9104E" w:rsidRDefault="000318FA" w:rsidP="000318FA">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3EE78F38" w14:textId="77777777" w:rsidR="000318FA" w:rsidRPr="00B9104E" w:rsidRDefault="000318FA" w:rsidP="000318FA">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546E359A" w14:textId="77777777" w:rsidR="000318FA" w:rsidRPr="00B9104E" w:rsidRDefault="000318FA" w:rsidP="000318FA">
            <w:pPr>
              <w:suppressAutoHyphens w:val="0"/>
              <w:jc w:val="center"/>
              <w:rPr>
                <w:lang w:val="de-DE" w:eastAsia="de-DE"/>
              </w:rPr>
            </w:pPr>
          </w:p>
        </w:tc>
      </w:tr>
      <w:tr w:rsidR="000318FA" w:rsidRPr="00B9104E" w14:paraId="2A4F3293"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1F44554" w14:textId="77777777" w:rsidR="000318FA" w:rsidRPr="00B9104E" w:rsidRDefault="000318FA" w:rsidP="000318FA">
            <w:pPr>
              <w:suppressAutoHyphens w:val="0"/>
              <w:jc w:val="center"/>
              <w:rPr>
                <w:lang w:val="de-DE" w:eastAsia="de-DE"/>
              </w:rPr>
            </w:pPr>
            <w:r w:rsidRPr="00B9104E">
              <w:rPr>
                <w:lang w:val="de-DE" w:eastAsia="de-DE"/>
              </w:rPr>
              <w:t xml:space="preserve">12A </w:t>
            </w:r>
          </w:p>
        </w:tc>
        <w:tc>
          <w:tcPr>
            <w:tcW w:w="1200" w:type="dxa"/>
            <w:tcBorders>
              <w:top w:val="nil"/>
              <w:left w:val="nil"/>
              <w:bottom w:val="single" w:sz="4" w:space="0" w:color="auto"/>
              <w:right w:val="single" w:sz="4" w:space="0" w:color="auto"/>
            </w:tcBorders>
            <w:shd w:val="clear" w:color="auto" w:fill="auto"/>
            <w:noWrap/>
            <w:vAlign w:val="bottom"/>
            <w:hideMark/>
          </w:tcPr>
          <w:p w14:paraId="1314657C"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8601D8"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0018401"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531C73F"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1B58E28"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D1B8D2A"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5036F2F"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FCD1944"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725E47E2"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B540865" w14:textId="77777777" w:rsidR="000318FA" w:rsidRPr="00B9104E" w:rsidRDefault="000318FA" w:rsidP="000318FA">
            <w:pPr>
              <w:suppressAutoHyphens w:val="0"/>
              <w:jc w:val="center"/>
              <w:rPr>
                <w:lang w:val="de-DE" w:eastAsia="de-DE"/>
              </w:rPr>
            </w:pPr>
            <w:r w:rsidRPr="00B9104E">
              <w:rPr>
                <w:lang w:val="de-DE" w:eastAsia="de-DE"/>
              </w:rPr>
              <w:t xml:space="preserve">13A </w:t>
            </w:r>
          </w:p>
        </w:tc>
        <w:tc>
          <w:tcPr>
            <w:tcW w:w="1200" w:type="dxa"/>
            <w:tcBorders>
              <w:top w:val="nil"/>
              <w:left w:val="nil"/>
              <w:bottom w:val="single" w:sz="4" w:space="0" w:color="auto"/>
              <w:right w:val="single" w:sz="4" w:space="0" w:color="auto"/>
            </w:tcBorders>
            <w:shd w:val="clear" w:color="auto" w:fill="auto"/>
            <w:noWrap/>
            <w:vAlign w:val="bottom"/>
            <w:hideMark/>
          </w:tcPr>
          <w:p w14:paraId="21D2E01D"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1EC6EB6"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565FFC1B"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B57764B"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561F6F6"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A4BFB6E"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FF9906B"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4260A19"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7D67857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5F88B09" w14:textId="77777777" w:rsidR="000318FA" w:rsidRPr="00B9104E" w:rsidRDefault="000318FA" w:rsidP="000318FA">
            <w:pPr>
              <w:suppressAutoHyphens w:val="0"/>
              <w:jc w:val="center"/>
              <w:rPr>
                <w:lang w:val="de-DE" w:eastAsia="de-DE"/>
              </w:rPr>
            </w:pPr>
            <w:r w:rsidRPr="00B9104E">
              <w:rPr>
                <w:lang w:val="de-DE" w:eastAsia="de-DE"/>
              </w:rPr>
              <w:t xml:space="preserve">14A </w:t>
            </w:r>
          </w:p>
        </w:tc>
        <w:tc>
          <w:tcPr>
            <w:tcW w:w="1200" w:type="dxa"/>
            <w:tcBorders>
              <w:top w:val="nil"/>
              <w:left w:val="nil"/>
              <w:bottom w:val="single" w:sz="4" w:space="0" w:color="auto"/>
              <w:right w:val="single" w:sz="4" w:space="0" w:color="auto"/>
            </w:tcBorders>
            <w:shd w:val="clear" w:color="auto" w:fill="auto"/>
            <w:noWrap/>
            <w:vAlign w:val="bottom"/>
            <w:hideMark/>
          </w:tcPr>
          <w:p w14:paraId="4AFA9B54"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25D52A" w14:textId="77777777" w:rsidR="000318FA" w:rsidRPr="00B9104E" w:rsidRDefault="000318FA" w:rsidP="000318FA">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456F5219" w14:textId="77777777" w:rsidR="000318FA" w:rsidRPr="00B9104E" w:rsidRDefault="000318FA" w:rsidP="000318FA">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5AAD5881" w14:textId="77777777" w:rsidR="000318FA" w:rsidRPr="00B9104E" w:rsidRDefault="000318FA" w:rsidP="000318FA">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47293B62" w14:textId="77777777" w:rsidR="000318FA" w:rsidRPr="00B9104E" w:rsidRDefault="000318FA" w:rsidP="000318FA">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13D7F55F" w14:textId="77777777" w:rsidR="000318FA" w:rsidRPr="00B9104E" w:rsidRDefault="000318FA" w:rsidP="000318FA">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5EECFE06" w14:textId="77777777" w:rsidR="000318FA" w:rsidRPr="00B9104E" w:rsidRDefault="000318FA" w:rsidP="000318FA">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44DA1514" w14:textId="77777777" w:rsidR="000318FA" w:rsidRPr="00B9104E" w:rsidRDefault="000318FA" w:rsidP="000318FA">
            <w:pPr>
              <w:suppressAutoHyphens w:val="0"/>
              <w:jc w:val="center"/>
              <w:rPr>
                <w:lang w:val="de-DE" w:eastAsia="de-DE"/>
              </w:rPr>
            </w:pPr>
          </w:p>
        </w:tc>
      </w:tr>
      <w:tr w:rsidR="000318FA" w:rsidRPr="00B9104E" w14:paraId="11A0FF5A"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7791BD4" w14:textId="77777777" w:rsidR="000318FA" w:rsidRPr="00B9104E" w:rsidRDefault="000318FA" w:rsidP="000318FA">
            <w:pPr>
              <w:suppressAutoHyphens w:val="0"/>
              <w:jc w:val="center"/>
              <w:rPr>
                <w:lang w:val="de-DE" w:eastAsia="de-DE"/>
              </w:rPr>
            </w:pPr>
            <w:r w:rsidRPr="00B9104E">
              <w:rPr>
                <w:lang w:val="de-DE" w:eastAsia="de-DE"/>
              </w:rPr>
              <w:t xml:space="preserve">15A </w:t>
            </w:r>
          </w:p>
        </w:tc>
        <w:tc>
          <w:tcPr>
            <w:tcW w:w="1200" w:type="dxa"/>
            <w:tcBorders>
              <w:top w:val="nil"/>
              <w:left w:val="nil"/>
              <w:bottom w:val="single" w:sz="4" w:space="0" w:color="auto"/>
              <w:right w:val="single" w:sz="4" w:space="0" w:color="auto"/>
            </w:tcBorders>
            <w:shd w:val="clear" w:color="auto" w:fill="auto"/>
            <w:noWrap/>
            <w:vAlign w:val="bottom"/>
            <w:hideMark/>
          </w:tcPr>
          <w:p w14:paraId="4C2D3A9A" w14:textId="77777777" w:rsidR="000318FA" w:rsidRPr="00B9104E" w:rsidRDefault="000318FA" w:rsidP="000318FA">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7E2E14B0"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8DC8F9C"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507E2E42" w14:textId="77777777" w:rsidR="000318FA" w:rsidRPr="00B9104E" w:rsidRDefault="000318FA" w:rsidP="000318FA">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3C18AF9"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02FD22A4" w14:textId="77777777" w:rsidR="000318FA" w:rsidRPr="00B9104E" w:rsidRDefault="000318FA" w:rsidP="000318FA">
            <w:pPr>
              <w:suppressAutoHyphens w:val="0"/>
              <w:jc w:val="center"/>
              <w:rPr>
                <w:lang w:val="de-DE" w:eastAsia="de-DE"/>
              </w:rPr>
            </w:pPr>
            <w:r w:rsidRPr="00B9104E">
              <w:rPr>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14:paraId="44269930"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7CF9558" w14:textId="77777777" w:rsidR="000318FA" w:rsidRPr="00B9104E" w:rsidRDefault="000318FA" w:rsidP="000318FA">
            <w:pPr>
              <w:suppressAutoHyphens w:val="0"/>
              <w:jc w:val="center"/>
              <w:rPr>
                <w:lang w:val="de-DE" w:eastAsia="de-DE"/>
              </w:rPr>
            </w:pPr>
            <w:r w:rsidRPr="00B9104E">
              <w:rPr>
                <w:lang w:val="de-DE" w:eastAsia="de-DE"/>
              </w:rPr>
              <w:t>1 (1115)</w:t>
            </w:r>
          </w:p>
        </w:tc>
      </w:tr>
      <w:tr w:rsidR="000318FA" w:rsidRPr="00B9104E" w14:paraId="1B76DD6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870E3E1" w14:textId="77777777" w:rsidR="000318FA" w:rsidRPr="00B9104E" w:rsidRDefault="000318FA" w:rsidP="000318FA">
            <w:pPr>
              <w:suppressAutoHyphens w:val="0"/>
              <w:jc w:val="center"/>
              <w:rPr>
                <w:lang w:val="de-DE" w:eastAsia="de-DE"/>
              </w:rPr>
            </w:pPr>
            <w:r w:rsidRPr="00B9104E">
              <w:rPr>
                <w:lang w:val="de-DE" w:eastAsia="de-DE"/>
              </w:rPr>
              <w:t xml:space="preserve">16A </w:t>
            </w:r>
          </w:p>
        </w:tc>
        <w:tc>
          <w:tcPr>
            <w:tcW w:w="1200" w:type="dxa"/>
            <w:tcBorders>
              <w:top w:val="nil"/>
              <w:left w:val="nil"/>
              <w:bottom w:val="single" w:sz="4" w:space="0" w:color="auto"/>
              <w:right w:val="single" w:sz="4" w:space="0" w:color="auto"/>
            </w:tcBorders>
            <w:shd w:val="clear" w:color="auto" w:fill="auto"/>
            <w:noWrap/>
            <w:vAlign w:val="bottom"/>
            <w:hideMark/>
          </w:tcPr>
          <w:p w14:paraId="4DE313D1"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7C140B" w14:textId="77777777" w:rsidR="000318FA" w:rsidRPr="00B9104E" w:rsidRDefault="000318FA" w:rsidP="000318FA">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021998AE" w14:textId="77777777" w:rsidR="000318FA" w:rsidRPr="00B9104E" w:rsidRDefault="000318FA" w:rsidP="000318FA">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2B0304E8" w14:textId="77777777" w:rsidR="000318FA" w:rsidRPr="00B9104E" w:rsidRDefault="000318FA" w:rsidP="000318FA">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2DE00CE1" w14:textId="77777777" w:rsidR="000318FA" w:rsidRPr="00B9104E" w:rsidRDefault="000318FA" w:rsidP="000318FA">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075AE0FE" w14:textId="77777777" w:rsidR="000318FA" w:rsidRPr="00B9104E" w:rsidRDefault="000318FA" w:rsidP="000318FA">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44762E2A" w14:textId="77777777" w:rsidR="000318FA" w:rsidRPr="00B9104E" w:rsidRDefault="000318FA" w:rsidP="000318FA">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04D5DC73" w14:textId="77777777" w:rsidR="000318FA" w:rsidRPr="00B9104E" w:rsidRDefault="000318FA" w:rsidP="000318FA">
            <w:pPr>
              <w:suppressAutoHyphens w:val="0"/>
              <w:jc w:val="center"/>
              <w:rPr>
                <w:lang w:val="de-DE" w:eastAsia="de-DE"/>
              </w:rPr>
            </w:pPr>
          </w:p>
        </w:tc>
      </w:tr>
      <w:tr w:rsidR="000318FA" w:rsidRPr="00B9104E" w14:paraId="05B78D0C"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A197A89" w14:textId="77777777" w:rsidR="000318FA" w:rsidRPr="00B9104E" w:rsidRDefault="000318FA" w:rsidP="000318FA">
            <w:pPr>
              <w:suppressAutoHyphens w:val="0"/>
              <w:jc w:val="center"/>
              <w:rPr>
                <w:lang w:val="de-DE" w:eastAsia="de-DE"/>
              </w:rPr>
            </w:pPr>
            <w:r w:rsidRPr="00B9104E">
              <w:rPr>
                <w:lang w:val="de-DE" w:eastAsia="de-DE"/>
              </w:rPr>
              <w:t xml:space="preserve">17A </w:t>
            </w:r>
          </w:p>
        </w:tc>
        <w:tc>
          <w:tcPr>
            <w:tcW w:w="1200" w:type="dxa"/>
            <w:tcBorders>
              <w:top w:val="nil"/>
              <w:left w:val="nil"/>
              <w:bottom w:val="single" w:sz="4" w:space="0" w:color="auto"/>
              <w:right w:val="single" w:sz="4" w:space="0" w:color="auto"/>
            </w:tcBorders>
            <w:shd w:val="clear" w:color="auto" w:fill="auto"/>
            <w:noWrap/>
            <w:vAlign w:val="bottom"/>
            <w:hideMark/>
          </w:tcPr>
          <w:p w14:paraId="7E7EAEBC"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0261C0"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F6CDB8A"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E2F2056"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0F86FF8"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5EC1FB6"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E895FCF"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72D7392"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40CA4AE2"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DAAB323" w14:textId="77777777" w:rsidR="000318FA" w:rsidRPr="00B9104E" w:rsidRDefault="000318FA" w:rsidP="000318FA">
            <w:pPr>
              <w:suppressAutoHyphens w:val="0"/>
              <w:jc w:val="center"/>
              <w:rPr>
                <w:lang w:val="de-DE" w:eastAsia="de-DE"/>
              </w:rPr>
            </w:pPr>
            <w:r w:rsidRPr="00B9104E">
              <w:rPr>
                <w:lang w:val="de-DE" w:eastAsia="de-DE"/>
              </w:rPr>
              <w:t xml:space="preserve">18A </w:t>
            </w:r>
          </w:p>
        </w:tc>
        <w:tc>
          <w:tcPr>
            <w:tcW w:w="1200" w:type="dxa"/>
            <w:tcBorders>
              <w:top w:val="nil"/>
              <w:left w:val="nil"/>
              <w:bottom w:val="single" w:sz="4" w:space="0" w:color="auto"/>
              <w:right w:val="single" w:sz="4" w:space="0" w:color="auto"/>
            </w:tcBorders>
            <w:shd w:val="clear" w:color="auto" w:fill="auto"/>
            <w:noWrap/>
            <w:vAlign w:val="bottom"/>
            <w:hideMark/>
          </w:tcPr>
          <w:p w14:paraId="48A7453E"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183B5B"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0A9F81C"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3A03325"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3D6FEA3"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9F39825"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120909F"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958DAAF"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086EF781"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BA7A734" w14:textId="77777777" w:rsidR="000318FA" w:rsidRPr="00B9104E" w:rsidRDefault="000318FA" w:rsidP="000318FA">
            <w:pPr>
              <w:suppressAutoHyphens w:val="0"/>
              <w:jc w:val="center"/>
              <w:rPr>
                <w:lang w:val="de-DE" w:eastAsia="de-DE"/>
              </w:rPr>
            </w:pPr>
            <w:r w:rsidRPr="00B9104E">
              <w:rPr>
                <w:lang w:val="de-DE" w:eastAsia="de-DE"/>
              </w:rPr>
              <w:t xml:space="preserve">19A </w:t>
            </w:r>
          </w:p>
        </w:tc>
        <w:tc>
          <w:tcPr>
            <w:tcW w:w="1200" w:type="dxa"/>
            <w:tcBorders>
              <w:top w:val="nil"/>
              <w:left w:val="nil"/>
              <w:bottom w:val="single" w:sz="4" w:space="0" w:color="auto"/>
              <w:right w:val="single" w:sz="4" w:space="0" w:color="auto"/>
            </w:tcBorders>
            <w:shd w:val="clear" w:color="auto" w:fill="auto"/>
            <w:noWrap/>
            <w:vAlign w:val="bottom"/>
            <w:hideMark/>
          </w:tcPr>
          <w:p w14:paraId="59C64D55"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918EBF"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61DF933"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6EDDBC4"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E14B78F"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BD2BC1F"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E87BC91"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859CF35"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48ED2D17"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419BBC6" w14:textId="77777777" w:rsidR="000318FA" w:rsidRPr="00B9104E" w:rsidRDefault="000318FA" w:rsidP="000318FA">
            <w:pPr>
              <w:suppressAutoHyphens w:val="0"/>
              <w:jc w:val="center"/>
              <w:rPr>
                <w:lang w:val="de-DE" w:eastAsia="de-DE"/>
              </w:rPr>
            </w:pPr>
            <w:r w:rsidRPr="00B9104E">
              <w:rPr>
                <w:lang w:val="de-DE" w:eastAsia="de-DE"/>
              </w:rPr>
              <w:t xml:space="preserve">20A </w:t>
            </w:r>
          </w:p>
        </w:tc>
        <w:tc>
          <w:tcPr>
            <w:tcW w:w="1200" w:type="dxa"/>
            <w:tcBorders>
              <w:top w:val="nil"/>
              <w:left w:val="nil"/>
              <w:bottom w:val="single" w:sz="4" w:space="0" w:color="auto"/>
              <w:right w:val="single" w:sz="4" w:space="0" w:color="auto"/>
            </w:tcBorders>
            <w:shd w:val="clear" w:color="auto" w:fill="auto"/>
            <w:noWrap/>
            <w:vAlign w:val="bottom"/>
            <w:hideMark/>
          </w:tcPr>
          <w:p w14:paraId="0A455F58"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67603A"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2E35FD1"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7DFD176"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0734B27"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216BBE2"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D32A718"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B41086E"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0E98B28D"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DE7AFFC" w14:textId="77777777" w:rsidR="000318FA" w:rsidRPr="00B9104E" w:rsidRDefault="000318FA" w:rsidP="000318FA">
            <w:pPr>
              <w:suppressAutoHyphens w:val="0"/>
              <w:jc w:val="center"/>
              <w:rPr>
                <w:lang w:val="de-DE" w:eastAsia="de-DE"/>
              </w:rPr>
            </w:pPr>
            <w:r w:rsidRPr="00B9104E">
              <w:rPr>
                <w:lang w:val="de-DE" w:eastAsia="de-DE"/>
              </w:rPr>
              <w:t xml:space="preserve">21A </w:t>
            </w:r>
          </w:p>
        </w:tc>
        <w:tc>
          <w:tcPr>
            <w:tcW w:w="1200" w:type="dxa"/>
            <w:tcBorders>
              <w:top w:val="nil"/>
              <w:left w:val="nil"/>
              <w:bottom w:val="single" w:sz="4" w:space="0" w:color="auto"/>
              <w:right w:val="single" w:sz="4" w:space="0" w:color="auto"/>
            </w:tcBorders>
            <w:shd w:val="clear" w:color="auto" w:fill="auto"/>
            <w:noWrap/>
            <w:vAlign w:val="bottom"/>
            <w:hideMark/>
          </w:tcPr>
          <w:p w14:paraId="4C572E36"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94BB63" w14:textId="77777777" w:rsidR="000318FA" w:rsidRPr="00B9104E" w:rsidRDefault="000318FA" w:rsidP="000318FA">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2FE5A2C7" w14:textId="77777777" w:rsidR="000318FA" w:rsidRPr="00B9104E" w:rsidRDefault="000318FA" w:rsidP="000318FA">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17A26FA8" w14:textId="77777777" w:rsidR="000318FA" w:rsidRPr="00B9104E" w:rsidRDefault="000318FA" w:rsidP="000318FA">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4DA23ED2" w14:textId="77777777" w:rsidR="000318FA" w:rsidRPr="00B9104E" w:rsidRDefault="000318FA" w:rsidP="000318FA">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6450E05E" w14:textId="77777777" w:rsidR="000318FA" w:rsidRPr="00B9104E" w:rsidRDefault="000318FA" w:rsidP="000318FA">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0DBC6D70" w14:textId="77777777" w:rsidR="000318FA" w:rsidRPr="00B9104E" w:rsidRDefault="000318FA" w:rsidP="000318FA">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10BF1BC3" w14:textId="77777777" w:rsidR="000318FA" w:rsidRPr="00B9104E" w:rsidRDefault="000318FA" w:rsidP="000318FA">
            <w:pPr>
              <w:suppressAutoHyphens w:val="0"/>
              <w:jc w:val="center"/>
              <w:rPr>
                <w:lang w:val="de-DE" w:eastAsia="de-DE"/>
              </w:rPr>
            </w:pPr>
          </w:p>
        </w:tc>
      </w:tr>
      <w:tr w:rsidR="000318FA" w:rsidRPr="00B9104E" w14:paraId="02CB1480"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306933B" w14:textId="77777777" w:rsidR="000318FA" w:rsidRPr="00B9104E" w:rsidRDefault="000318FA" w:rsidP="000318FA">
            <w:pPr>
              <w:suppressAutoHyphens w:val="0"/>
              <w:jc w:val="center"/>
              <w:rPr>
                <w:lang w:val="de-DE" w:eastAsia="de-DE"/>
              </w:rPr>
            </w:pPr>
            <w:r w:rsidRPr="00B9104E">
              <w:rPr>
                <w:lang w:val="de-DE" w:eastAsia="de-DE"/>
              </w:rPr>
              <w:t xml:space="preserve">22A </w:t>
            </w:r>
          </w:p>
        </w:tc>
        <w:tc>
          <w:tcPr>
            <w:tcW w:w="1200" w:type="dxa"/>
            <w:tcBorders>
              <w:top w:val="nil"/>
              <w:left w:val="nil"/>
              <w:bottom w:val="single" w:sz="4" w:space="0" w:color="auto"/>
              <w:right w:val="single" w:sz="4" w:space="0" w:color="auto"/>
            </w:tcBorders>
            <w:shd w:val="clear" w:color="auto" w:fill="auto"/>
            <w:noWrap/>
            <w:vAlign w:val="bottom"/>
            <w:hideMark/>
          </w:tcPr>
          <w:p w14:paraId="7E4B0743"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628476"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18064BB"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5A526CF"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BCEBAFA"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4E7D241"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C79BB63"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516B282"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3E20A76F"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3DE1BEF" w14:textId="77777777" w:rsidR="000318FA" w:rsidRPr="00B9104E" w:rsidRDefault="000318FA" w:rsidP="000318FA">
            <w:pPr>
              <w:suppressAutoHyphens w:val="0"/>
              <w:jc w:val="center"/>
              <w:rPr>
                <w:lang w:val="de-DE" w:eastAsia="de-DE"/>
              </w:rPr>
            </w:pPr>
            <w:r w:rsidRPr="00B9104E">
              <w:rPr>
                <w:lang w:val="de-DE" w:eastAsia="de-DE"/>
              </w:rPr>
              <w:t xml:space="preserve">23A </w:t>
            </w:r>
          </w:p>
        </w:tc>
        <w:tc>
          <w:tcPr>
            <w:tcW w:w="1200" w:type="dxa"/>
            <w:tcBorders>
              <w:top w:val="nil"/>
              <w:left w:val="nil"/>
              <w:bottom w:val="single" w:sz="4" w:space="0" w:color="auto"/>
              <w:right w:val="single" w:sz="4" w:space="0" w:color="auto"/>
            </w:tcBorders>
            <w:shd w:val="clear" w:color="auto" w:fill="auto"/>
            <w:noWrap/>
            <w:vAlign w:val="bottom"/>
            <w:hideMark/>
          </w:tcPr>
          <w:p w14:paraId="3AE28AD3" w14:textId="77777777" w:rsidR="000318FA" w:rsidRPr="00B9104E" w:rsidRDefault="000318FA" w:rsidP="000318FA">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1FF499D2"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05BDC69D"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5C7926C9"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2ED1DE3D"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44478F3E"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84F2980"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FF7BD29" w14:textId="77777777" w:rsidR="000318FA" w:rsidRPr="00B9104E" w:rsidRDefault="000318FA" w:rsidP="000318FA">
            <w:pPr>
              <w:suppressAutoHyphens w:val="0"/>
              <w:jc w:val="center"/>
              <w:rPr>
                <w:lang w:val="de-DE" w:eastAsia="de-DE"/>
              </w:rPr>
            </w:pPr>
            <w:r w:rsidRPr="00B9104E">
              <w:rPr>
                <w:lang w:val="de-DE" w:eastAsia="de-DE"/>
              </w:rPr>
              <w:t>1 (1115)</w:t>
            </w:r>
          </w:p>
        </w:tc>
      </w:tr>
      <w:tr w:rsidR="000318FA" w:rsidRPr="00B9104E" w14:paraId="395E7720"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5C4297D" w14:textId="77777777" w:rsidR="000318FA" w:rsidRPr="00B9104E" w:rsidRDefault="000318FA" w:rsidP="000318FA">
            <w:pPr>
              <w:suppressAutoHyphens w:val="0"/>
              <w:jc w:val="center"/>
              <w:rPr>
                <w:lang w:val="de-DE" w:eastAsia="de-DE"/>
              </w:rPr>
            </w:pPr>
            <w:r w:rsidRPr="00B9104E">
              <w:rPr>
                <w:lang w:val="de-DE" w:eastAsia="de-DE"/>
              </w:rPr>
              <w:t xml:space="preserve">24A </w:t>
            </w:r>
          </w:p>
        </w:tc>
        <w:tc>
          <w:tcPr>
            <w:tcW w:w="1200" w:type="dxa"/>
            <w:tcBorders>
              <w:top w:val="nil"/>
              <w:left w:val="nil"/>
              <w:bottom w:val="single" w:sz="4" w:space="0" w:color="auto"/>
              <w:right w:val="single" w:sz="4" w:space="0" w:color="auto"/>
            </w:tcBorders>
            <w:shd w:val="clear" w:color="auto" w:fill="auto"/>
            <w:noWrap/>
            <w:vAlign w:val="bottom"/>
            <w:hideMark/>
          </w:tcPr>
          <w:p w14:paraId="517863EB"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9E2177"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577685B5"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78F4426C"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DA528FD"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54224036" w14:textId="77777777" w:rsidR="000318FA" w:rsidRPr="00B9104E" w:rsidRDefault="000318FA" w:rsidP="000318FA">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41062A57"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4931377"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67BB56A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80CD79F" w14:textId="77777777" w:rsidR="000318FA" w:rsidRPr="00B9104E" w:rsidRDefault="000318FA" w:rsidP="000318FA">
            <w:pPr>
              <w:suppressAutoHyphens w:val="0"/>
              <w:jc w:val="center"/>
              <w:rPr>
                <w:lang w:val="de-DE" w:eastAsia="de-DE"/>
              </w:rPr>
            </w:pPr>
            <w:r w:rsidRPr="00B9104E">
              <w:rPr>
                <w:lang w:val="de-DE" w:eastAsia="de-DE"/>
              </w:rPr>
              <w:t xml:space="preserve">25A </w:t>
            </w:r>
          </w:p>
        </w:tc>
        <w:tc>
          <w:tcPr>
            <w:tcW w:w="1200" w:type="dxa"/>
            <w:tcBorders>
              <w:top w:val="nil"/>
              <w:left w:val="nil"/>
              <w:bottom w:val="single" w:sz="4" w:space="0" w:color="auto"/>
              <w:right w:val="single" w:sz="4" w:space="0" w:color="auto"/>
            </w:tcBorders>
            <w:shd w:val="clear" w:color="auto" w:fill="auto"/>
            <w:noWrap/>
            <w:vAlign w:val="bottom"/>
            <w:hideMark/>
          </w:tcPr>
          <w:p w14:paraId="1FB8D62A"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FCD636"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EB29DFF"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5642B4F"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EDE5036"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11B811A5" w14:textId="77777777" w:rsidR="000318FA" w:rsidRPr="00B9104E" w:rsidRDefault="000318FA" w:rsidP="000318FA">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5D899B3D"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3156B20"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46CBB9D3"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8F949ED" w14:textId="77777777" w:rsidR="000318FA" w:rsidRPr="00B9104E" w:rsidRDefault="000318FA" w:rsidP="000318FA">
            <w:pPr>
              <w:suppressAutoHyphens w:val="0"/>
              <w:jc w:val="center"/>
              <w:rPr>
                <w:lang w:val="de-DE" w:eastAsia="de-DE"/>
              </w:rPr>
            </w:pPr>
            <w:r w:rsidRPr="00B9104E">
              <w:rPr>
                <w:lang w:val="de-DE" w:eastAsia="de-DE"/>
              </w:rPr>
              <w:t xml:space="preserve">26A </w:t>
            </w:r>
          </w:p>
        </w:tc>
        <w:tc>
          <w:tcPr>
            <w:tcW w:w="1200" w:type="dxa"/>
            <w:tcBorders>
              <w:top w:val="nil"/>
              <w:left w:val="nil"/>
              <w:bottom w:val="single" w:sz="4" w:space="0" w:color="auto"/>
              <w:right w:val="single" w:sz="4" w:space="0" w:color="auto"/>
            </w:tcBorders>
            <w:shd w:val="clear" w:color="auto" w:fill="auto"/>
            <w:noWrap/>
            <w:vAlign w:val="bottom"/>
            <w:hideMark/>
          </w:tcPr>
          <w:p w14:paraId="2E95C51E"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B7D655"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1A64AD4"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3917997"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EF24FC6"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0EB486E"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D467435"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2E503B3"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4A11C411"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0A4BEA7" w14:textId="77777777" w:rsidR="000318FA" w:rsidRPr="00B9104E" w:rsidRDefault="000318FA" w:rsidP="000318FA">
            <w:pPr>
              <w:suppressAutoHyphens w:val="0"/>
              <w:jc w:val="center"/>
              <w:rPr>
                <w:lang w:val="de-DE" w:eastAsia="de-DE"/>
              </w:rPr>
            </w:pPr>
            <w:r w:rsidRPr="00B9104E">
              <w:rPr>
                <w:lang w:val="de-DE" w:eastAsia="de-DE"/>
              </w:rPr>
              <w:t xml:space="preserve">27A </w:t>
            </w:r>
          </w:p>
        </w:tc>
        <w:tc>
          <w:tcPr>
            <w:tcW w:w="1200" w:type="dxa"/>
            <w:tcBorders>
              <w:top w:val="nil"/>
              <w:left w:val="nil"/>
              <w:bottom w:val="single" w:sz="4" w:space="0" w:color="auto"/>
              <w:right w:val="single" w:sz="4" w:space="0" w:color="auto"/>
            </w:tcBorders>
            <w:shd w:val="clear" w:color="auto" w:fill="auto"/>
            <w:noWrap/>
            <w:vAlign w:val="bottom"/>
            <w:hideMark/>
          </w:tcPr>
          <w:p w14:paraId="1B32CED5" w14:textId="77777777" w:rsidR="000318FA" w:rsidRPr="00B9104E" w:rsidRDefault="000318FA" w:rsidP="000318FA">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073583C5"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2B0CCD7F"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5344C11"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6256F43A"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3CE43CEC" w14:textId="77777777" w:rsidR="000318FA" w:rsidRPr="00B9104E" w:rsidRDefault="000318FA" w:rsidP="000318FA">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1B01FA23"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5E5C05F" w14:textId="77777777" w:rsidR="000318FA" w:rsidRPr="00B9104E" w:rsidRDefault="000318FA" w:rsidP="000318FA">
            <w:pPr>
              <w:suppressAutoHyphens w:val="0"/>
              <w:jc w:val="center"/>
              <w:rPr>
                <w:lang w:val="de-DE" w:eastAsia="de-DE"/>
              </w:rPr>
            </w:pPr>
            <w:r w:rsidRPr="00B9104E">
              <w:rPr>
                <w:lang w:val="de-DE" w:eastAsia="de-DE"/>
              </w:rPr>
              <w:t>1 (1115)</w:t>
            </w:r>
          </w:p>
        </w:tc>
      </w:tr>
      <w:tr w:rsidR="000318FA" w:rsidRPr="00B9104E" w14:paraId="33511129"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69BABED" w14:textId="77777777" w:rsidR="000318FA" w:rsidRPr="00B9104E" w:rsidRDefault="000318FA" w:rsidP="000318FA">
            <w:pPr>
              <w:suppressAutoHyphens w:val="0"/>
              <w:jc w:val="center"/>
              <w:rPr>
                <w:lang w:val="de-DE" w:eastAsia="de-DE"/>
              </w:rPr>
            </w:pPr>
            <w:r w:rsidRPr="00B9104E">
              <w:rPr>
                <w:lang w:val="de-DE" w:eastAsia="de-DE"/>
              </w:rPr>
              <w:t xml:space="preserve">28A </w:t>
            </w:r>
          </w:p>
        </w:tc>
        <w:tc>
          <w:tcPr>
            <w:tcW w:w="1200" w:type="dxa"/>
            <w:tcBorders>
              <w:top w:val="nil"/>
              <w:left w:val="nil"/>
              <w:bottom w:val="single" w:sz="4" w:space="0" w:color="auto"/>
              <w:right w:val="single" w:sz="4" w:space="0" w:color="auto"/>
            </w:tcBorders>
            <w:shd w:val="clear" w:color="auto" w:fill="auto"/>
            <w:noWrap/>
            <w:vAlign w:val="bottom"/>
            <w:hideMark/>
          </w:tcPr>
          <w:p w14:paraId="3D1F5E37"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6E49E1"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5D153E23"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2FDB93B"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AB7D138"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8E22171"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629CC8F"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C9961FD"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077FFDEF"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80C1B19" w14:textId="77777777" w:rsidR="000318FA" w:rsidRPr="00B9104E" w:rsidRDefault="000318FA" w:rsidP="000318FA">
            <w:pPr>
              <w:suppressAutoHyphens w:val="0"/>
              <w:jc w:val="center"/>
              <w:rPr>
                <w:lang w:val="de-DE" w:eastAsia="de-DE"/>
              </w:rPr>
            </w:pPr>
            <w:r w:rsidRPr="00B9104E">
              <w:rPr>
                <w:lang w:val="de-DE" w:eastAsia="de-DE"/>
              </w:rPr>
              <w:t xml:space="preserve">29A </w:t>
            </w:r>
          </w:p>
        </w:tc>
        <w:tc>
          <w:tcPr>
            <w:tcW w:w="1200" w:type="dxa"/>
            <w:tcBorders>
              <w:top w:val="nil"/>
              <w:left w:val="nil"/>
              <w:bottom w:val="single" w:sz="4" w:space="0" w:color="auto"/>
              <w:right w:val="single" w:sz="4" w:space="0" w:color="auto"/>
            </w:tcBorders>
            <w:shd w:val="clear" w:color="auto" w:fill="auto"/>
            <w:noWrap/>
            <w:vAlign w:val="bottom"/>
            <w:hideMark/>
          </w:tcPr>
          <w:p w14:paraId="137879AF"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E0DBC2"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05B6942"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DE1E345"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DD87CD3"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5396B50"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6D6D2E6"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A659E8A"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4E28EFAE"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43D7F95" w14:textId="77777777" w:rsidR="000318FA" w:rsidRPr="00B9104E" w:rsidRDefault="000318FA" w:rsidP="000318FA">
            <w:pPr>
              <w:suppressAutoHyphens w:val="0"/>
              <w:jc w:val="center"/>
              <w:rPr>
                <w:lang w:val="de-DE" w:eastAsia="de-DE"/>
              </w:rPr>
            </w:pPr>
            <w:r w:rsidRPr="00B9104E">
              <w:rPr>
                <w:lang w:val="de-DE" w:eastAsia="de-DE"/>
              </w:rPr>
              <w:t xml:space="preserve">30A </w:t>
            </w:r>
          </w:p>
        </w:tc>
        <w:tc>
          <w:tcPr>
            <w:tcW w:w="1200" w:type="dxa"/>
            <w:tcBorders>
              <w:top w:val="nil"/>
              <w:left w:val="nil"/>
              <w:bottom w:val="single" w:sz="4" w:space="0" w:color="auto"/>
              <w:right w:val="single" w:sz="4" w:space="0" w:color="auto"/>
            </w:tcBorders>
            <w:shd w:val="clear" w:color="auto" w:fill="auto"/>
            <w:noWrap/>
            <w:vAlign w:val="bottom"/>
            <w:hideMark/>
          </w:tcPr>
          <w:p w14:paraId="56545517" w14:textId="77777777" w:rsidR="000318FA" w:rsidRPr="00B9104E" w:rsidRDefault="000318FA" w:rsidP="000318FA">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7C5124A6"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FF7F794"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76E1CB98"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4F4C7676"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43696A9A" w14:textId="77777777" w:rsidR="000318FA" w:rsidRPr="00B9104E" w:rsidRDefault="000318FA" w:rsidP="000318FA">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3E2B78B4" w14:textId="77777777" w:rsidR="000318FA" w:rsidRPr="00B9104E" w:rsidRDefault="000318FA" w:rsidP="000318FA">
            <w:pPr>
              <w:suppressAutoHyphens w:val="0"/>
              <w:jc w:val="center"/>
              <w:rPr>
                <w:lang w:val="de-DE" w:eastAsia="de-DE"/>
              </w:rPr>
            </w:pPr>
            <w:r w:rsidRPr="00B9104E">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24C2544E" w14:textId="77777777" w:rsidR="000318FA" w:rsidRPr="00B9104E" w:rsidRDefault="000318FA" w:rsidP="000318FA">
            <w:pPr>
              <w:suppressAutoHyphens w:val="0"/>
              <w:jc w:val="center"/>
              <w:rPr>
                <w:lang w:val="de-DE" w:eastAsia="de-DE"/>
              </w:rPr>
            </w:pPr>
            <w:r w:rsidRPr="00B9104E">
              <w:rPr>
                <w:lang w:val="de-DE" w:eastAsia="de-DE"/>
              </w:rPr>
              <w:t>1 (1115)</w:t>
            </w:r>
          </w:p>
        </w:tc>
      </w:tr>
      <w:tr w:rsidR="000318FA" w:rsidRPr="00B9104E" w14:paraId="2DA5282A"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37FBAA8" w14:textId="77777777" w:rsidR="000318FA" w:rsidRPr="00B9104E" w:rsidRDefault="000318FA" w:rsidP="000318FA">
            <w:pPr>
              <w:suppressAutoHyphens w:val="0"/>
              <w:jc w:val="center"/>
              <w:rPr>
                <w:lang w:val="de-DE" w:eastAsia="de-DE"/>
              </w:rPr>
            </w:pPr>
            <w:r w:rsidRPr="00B9104E">
              <w:rPr>
                <w:lang w:val="de-DE" w:eastAsia="de-DE"/>
              </w:rPr>
              <w:t xml:space="preserve">31A </w:t>
            </w:r>
          </w:p>
        </w:tc>
        <w:tc>
          <w:tcPr>
            <w:tcW w:w="1200" w:type="dxa"/>
            <w:tcBorders>
              <w:top w:val="nil"/>
              <w:left w:val="nil"/>
              <w:bottom w:val="single" w:sz="4" w:space="0" w:color="auto"/>
              <w:right w:val="single" w:sz="4" w:space="0" w:color="auto"/>
            </w:tcBorders>
            <w:shd w:val="clear" w:color="auto" w:fill="auto"/>
            <w:noWrap/>
            <w:vAlign w:val="bottom"/>
            <w:hideMark/>
          </w:tcPr>
          <w:p w14:paraId="26288DB5" w14:textId="77777777" w:rsidR="000318FA" w:rsidRPr="00B9104E" w:rsidRDefault="000318FA" w:rsidP="000318FA">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7CD127F3"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7EF69540"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54C8C1BE"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34BD7BDA"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4452E43"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D0CB8E6"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C1E335B" w14:textId="77777777" w:rsidR="000318FA" w:rsidRPr="00B9104E" w:rsidRDefault="000318FA" w:rsidP="000318FA">
            <w:pPr>
              <w:suppressAutoHyphens w:val="0"/>
              <w:jc w:val="center"/>
              <w:rPr>
                <w:lang w:val="de-DE" w:eastAsia="de-DE"/>
              </w:rPr>
            </w:pPr>
            <w:r w:rsidRPr="00B9104E">
              <w:rPr>
                <w:lang w:val="de-DE" w:eastAsia="de-DE"/>
              </w:rPr>
              <w:t>1 (1115)</w:t>
            </w:r>
          </w:p>
        </w:tc>
      </w:tr>
      <w:tr w:rsidR="000318FA" w:rsidRPr="00B9104E" w14:paraId="21CBB383"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402A1B5" w14:textId="77777777" w:rsidR="000318FA" w:rsidRPr="00B9104E" w:rsidRDefault="000318FA" w:rsidP="000318FA">
            <w:pPr>
              <w:suppressAutoHyphens w:val="0"/>
              <w:jc w:val="center"/>
              <w:rPr>
                <w:lang w:val="de-DE" w:eastAsia="de-DE"/>
              </w:rPr>
            </w:pPr>
            <w:r w:rsidRPr="00B9104E">
              <w:rPr>
                <w:lang w:val="de-DE" w:eastAsia="de-DE"/>
              </w:rPr>
              <w:t xml:space="preserve">32A </w:t>
            </w:r>
          </w:p>
        </w:tc>
        <w:tc>
          <w:tcPr>
            <w:tcW w:w="1200" w:type="dxa"/>
            <w:tcBorders>
              <w:top w:val="nil"/>
              <w:left w:val="nil"/>
              <w:bottom w:val="single" w:sz="4" w:space="0" w:color="auto"/>
              <w:right w:val="single" w:sz="4" w:space="0" w:color="auto"/>
            </w:tcBorders>
            <w:shd w:val="clear" w:color="auto" w:fill="auto"/>
            <w:noWrap/>
            <w:vAlign w:val="bottom"/>
            <w:hideMark/>
          </w:tcPr>
          <w:p w14:paraId="64027D69" w14:textId="77777777" w:rsidR="000318FA" w:rsidRPr="00B9104E" w:rsidRDefault="000318FA" w:rsidP="000318FA">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4E920B1F"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53C18644"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4248CF05"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7E3AD75E" w14:textId="77777777" w:rsidR="000318FA" w:rsidRPr="00B9104E" w:rsidRDefault="000318FA" w:rsidP="000318FA">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32652836" w14:textId="77777777" w:rsidR="000318FA" w:rsidRPr="00B9104E" w:rsidRDefault="000318FA" w:rsidP="000318FA">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6DC46B38"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35227C0"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2FEBD021"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EB27C5D" w14:textId="77777777" w:rsidR="000318FA" w:rsidRPr="00B9104E" w:rsidRDefault="000318FA" w:rsidP="000318FA">
            <w:pPr>
              <w:suppressAutoHyphens w:val="0"/>
              <w:jc w:val="center"/>
              <w:rPr>
                <w:lang w:val="de-DE" w:eastAsia="de-DE"/>
              </w:rPr>
            </w:pPr>
            <w:r w:rsidRPr="00B9104E">
              <w:rPr>
                <w:lang w:val="de-DE" w:eastAsia="de-DE"/>
              </w:rPr>
              <w:t xml:space="preserve">33A </w:t>
            </w:r>
          </w:p>
        </w:tc>
        <w:tc>
          <w:tcPr>
            <w:tcW w:w="1200" w:type="dxa"/>
            <w:tcBorders>
              <w:top w:val="nil"/>
              <w:left w:val="nil"/>
              <w:bottom w:val="single" w:sz="4" w:space="0" w:color="auto"/>
              <w:right w:val="single" w:sz="4" w:space="0" w:color="auto"/>
            </w:tcBorders>
            <w:shd w:val="clear" w:color="auto" w:fill="auto"/>
            <w:noWrap/>
            <w:vAlign w:val="bottom"/>
            <w:hideMark/>
          </w:tcPr>
          <w:p w14:paraId="4059B21C" w14:textId="77777777" w:rsidR="000318FA" w:rsidRPr="00B9104E" w:rsidRDefault="000318FA" w:rsidP="000318FA">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12AA19" w14:textId="77777777" w:rsidR="000318FA" w:rsidRPr="00B9104E" w:rsidRDefault="000318FA" w:rsidP="000318FA">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03145754" w14:textId="77777777" w:rsidR="000318FA" w:rsidRPr="00B9104E" w:rsidRDefault="000318FA" w:rsidP="000318FA">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E66E79D"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CD0516D"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ED06F7B"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D5193F5"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DA5E26B" w14:textId="77777777" w:rsidR="000318FA" w:rsidRPr="00B9104E" w:rsidRDefault="000318FA" w:rsidP="000318FA">
            <w:pPr>
              <w:suppressAutoHyphens w:val="0"/>
              <w:jc w:val="center"/>
              <w:rPr>
                <w:lang w:val="de-DE" w:eastAsia="de-DE"/>
              </w:rPr>
            </w:pPr>
            <w:r w:rsidRPr="00B9104E">
              <w:rPr>
                <w:lang w:val="de-DE" w:eastAsia="de-DE"/>
              </w:rPr>
              <w:t>1 (1115)</w:t>
            </w:r>
          </w:p>
        </w:tc>
      </w:tr>
      <w:tr w:rsidR="000318FA" w:rsidRPr="00B9104E" w14:paraId="0A1B94FD"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49C50BE" w14:textId="77777777" w:rsidR="000318FA" w:rsidRPr="00B9104E" w:rsidRDefault="000318FA" w:rsidP="000318FA">
            <w:pPr>
              <w:suppressAutoHyphens w:val="0"/>
              <w:jc w:val="center"/>
              <w:rPr>
                <w:lang w:val="de-DE" w:eastAsia="de-DE"/>
              </w:rPr>
            </w:pPr>
            <w:r w:rsidRPr="00B9104E">
              <w:rPr>
                <w:lang w:val="de-DE" w:eastAsia="de-DE"/>
              </w:rPr>
              <w:t xml:space="preserve">34A </w:t>
            </w:r>
          </w:p>
        </w:tc>
        <w:tc>
          <w:tcPr>
            <w:tcW w:w="1200" w:type="dxa"/>
            <w:tcBorders>
              <w:top w:val="nil"/>
              <w:left w:val="nil"/>
              <w:bottom w:val="single" w:sz="4" w:space="0" w:color="auto"/>
              <w:right w:val="single" w:sz="4" w:space="0" w:color="auto"/>
            </w:tcBorders>
            <w:shd w:val="clear" w:color="auto" w:fill="auto"/>
            <w:noWrap/>
            <w:vAlign w:val="bottom"/>
            <w:hideMark/>
          </w:tcPr>
          <w:p w14:paraId="7BD238D3"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DAF282"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C9648CE"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C73F009"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6CC6402"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A25794B"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AAB008B"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D40CD95" w14:textId="77777777" w:rsidR="000318FA" w:rsidRPr="00B9104E" w:rsidRDefault="000318FA" w:rsidP="000318FA">
            <w:pPr>
              <w:suppressAutoHyphens w:val="0"/>
              <w:jc w:val="center"/>
              <w:rPr>
                <w:lang w:val="de-DE" w:eastAsia="de-DE"/>
              </w:rPr>
            </w:pPr>
            <w:r w:rsidRPr="00B9104E">
              <w:rPr>
                <w:lang w:val="de-DE" w:eastAsia="de-DE"/>
              </w:rPr>
              <w:t> </w:t>
            </w:r>
          </w:p>
        </w:tc>
      </w:tr>
      <w:tr w:rsidR="000318FA" w:rsidRPr="00B9104E" w14:paraId="6C94BD14" w14:textId="77777777" w:rsidTr="007A531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F2F68CD" w14:textId="77777777" w:rsidR="000318FA" w:rsidRPr="00B9104E" w:rsidRDefault="000318FA" w:rsidP="000318FA">
            <w:pPr>
              <w:suppressAutoHyphens w:val="0"/>
              <w:jc w:val="center"/>
              <w:rPr>
                <w:lang w:val="de-DE" w:eastAsia="de-DE"/>
              </w:rPr>
            </w:pPr>
            <w:r w:rsidRPr="00B9104E">
              <w:rPr>
                <w:lang w:val="de-DE" w:eastAsia="de-DE"/>
              </w:rPr>
              <w:t xml:space="preserve">35A </w:t>
            </w:r>
          </w:p>
        </w:tc>
        <w:tc>
          <w:tcPr>
            <w:tcW w:w="1200" w:type="dxa"/>
            <w:tcBorders>
              <w:top w:val="nil"/>
              <w:left w:val="nil"/>
              <w:bottom w:val="single" w:sz="4" w:space="0" w:color="auto"/>
              <w:right w:val="single" w:sz="4" w:space="0" w:color="auto"/>
            </w:tcBorders>
            <w:shd w:val="clear" w:color="auto" w:fill="auto"/>
            <w:noWrap/>
            <w:vAlign w:val="bottom"/>
            <w:hideMark/>
          </w:tcPr>
          <w:p w14:paraId="38D477D6" w14:textId="77777777" w:rsidR="000318FA" w:rsidRPr="00B9104E" w:rsidRDefault="000318FA" w:rsidP="000318FA">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060DC8" w14:textId="77777777" w:rsidR="000318FA" w:rsidRPr="00B9104E" w:rsidRDefault="000318FA" w:rsidP="000318FA">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54B7E9B" w14:textId="77777777" w:rsidR="000318FA" w:rsidRPr="00B9104E" w:rsidRDefault="000318FA" w:rsidP="000318FA">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C44EF0E"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B93B166" w14:textId="77777777" w:rsidR="000318FA" w:rsidRPr="00B9104E" w:rsidRDefault="000318FA" w:rsidP="000318FA">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C094A35" w14:textId="77777777" w:rsidR="000318FA" w:rsidRPr="00B9104E" w:rsidRDefault="000318FA" w:rsidP="000318FA">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B7096EA" w14:textId="77777777" w:rsidR="000318FA" w:rsidRPr="00B9104E" w:rsidRDefault="000318FA" w:rsidP="000318FA">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95A69AD" w14:textId="77777777" w:rsidR="000318FA" w:rsidRPr="00B9104E" w:rsidRDefault="000318FA" w:rsidP="000318FA">
            <w:pPr>
              <w:suppressAutoHyphens w:val="0"/>
              <w:jc w:val="center"/>
              <w:rPr>
                <w:lang w:val="de-DE" w:eastAsia="de-DE"/>
              </w:rPr>
            </w:pPr>
            <w:r w:rsidRPr="00B9104E">
              <w:rPr>
                <w:lang w:val="de-DE" w:eastAsia="de-DE"/>
              </w:rPr>
              <w:t> </w:t>
            </w:r>
          </w:p>
        </w:tc>
      </w:tr>
    </w:tbl>
    <w:p w14:paraId="4BDC77EB" w14:textId="4BB79EA3" w:rsidR="000318FA" w:rsidRDefault="000318FA" w:rsidP="000318FA">
      <w:pPr>
        <w:suppressAutoHyphens w:val="0"/>
        <w:spacing w:line="240" w:lineRule="auto"/>
        <w:rPr>
          <w:lang w:val="fr-CH"/>
        </w:rPr>
      </w:pPr>
    </w:p>
    <w:p w14:paraId="507497DD" w14:textId="497D92B1" w:rsidR="000318FA" w:rsidRDefault="000318FA" w:rsidP="000318FA">
      <w:pPr>
        <w:pStyle w:val="SingleTxtG"/>
        <w:widowControl w:val="0"/>
        <w:suppressAutoHyphens w:val="0"/>
        <w:spacing w:line="240" w:lineRule="auto"/>
        <w:ind w:left="0" w:right="39"/>
        <w:rPr>
          <w:i/>
        </w:rPr>
      </w:pPr>
      <w:r w:rsidRPr="009979EA">
        <w:rPr>
          <w:i/>
        </w:rPr>
        <w:t xml:space="preserve">Source:  </w:t>
      </w:r>
      <w:r w:rsidRPr="000C3D2C">
        <w:rPr>
          <w:i/>
          <w:iCs/>
        </w:rPr>
        <w:t>UN/SCETDG/53/INF.7</w:t>
      </w:r>
      <w:r>
        <w:rPr>
          <w:i/>
          <w:iCs/>
        </w:rPr>
        <w:t xml:space="preserve"> – </w:t>
      </w:r>
      <w:r w:rsidRPr="000C3D2C">
        <w:rPr>
          <w:i/>
          <w:iCs/>
        </w:rPr>
        <w:t>UN/SCEGHS/35/INF.6</w:t>
      </w:r>
      <w:r w:rsidRPr="009979EA">
        <w:rPr>
          <w:i/>
        </w:rPr>
        <w:t xml:space="preserve">, </w:t>
      </w:r>
      <w:r>
        <w:rPr>
          <w:i/>
        </w:rPr>
        <w:t>Annex</w:t>
      </w:r>
      <w:r w:rsidR="00931F74">
        <w:rPr>
          <w:i/>
        </w:rPr>
        <w:t>,</w:t>
      </w:r>
      <w:r>
        <w:rPr>
          <w:i/>
        </w:rPr>
        <w:t xml:space="preserve"> </w:t>
      </w:r>
      <w:r w:rsidRPr="009979EA">
        <w:rPr>
          <w:i/>
        </w:rPr>
        <w:t xml:space="preserve">and Para. </w:t>
      </w:r>
      <w:r>
        <w:rPr>
          <w:i/>
        </w:rPr>
        <w:t>8</w:t>
      </w:r>
      <w:r w:rsidRPr="009979EA">
        <w:rPr>
          <w:i/>
        </w:rPr>
        <w:t xml:space="preserve"> of this report.</w:t>
      </w:r>
    </w:p>
    <w:p w14:paraId="56363740" w14:textId="77777777" w:rsidR="00A86275" w:rsidRPr="009979EA" w:rsidRDefault="00A86275" w:rsidP="000318FA">
      <w:pPr>
        <w:pStyle w:val="SingleTxtG"/>
        <w:pBdr>
          <w:bottom w:val="single" w:sz="4" w:space="1" w:color="auto"/>
        </w:pBdr>
        <w:spacing w:line="240" w:lineRule="auto"/>
        <w:ind w:left="0" w:right="39"/>
        <w:rPr>
          <w:i/>
        </w:rPr>
      </w:pPr>
    </w:p>
    <w:p w14:paraId="6E9F86A3" w14:textId="05D2A5A1" w:rsidR="00044F8B" w:rsidRPr="009979EA" w:rsidRDefault="00044F8B" w:rsidP="00AC2252">
      <w:pPr>
        <w:pStyle w:val="SingleTxtG"/>
        <w:keepNext/>
        <w:keepLines/>
        <w:numPr>
          <w:ilvl w:val="0"/>
          <w:numId w:val="20"/>
        </w:numPr>
        <w:spacing w:line="240" w:lineRule="auto"/>
        <w:ind w:right="39"/>
      </w:pPr>
      <w:bookmarkStart w:id="18" w:name="_Hlk517977583"/>
      <w:r>
        <w:rPr>
          <w:b/>
          <w:u w:val="single"/>
        </w:rPr>
        <w:lastRenderedPageBreak/>
        <w:t>Throughout the MTC</w:t>
      </w:r>
      <w:r w:rsidRPr="009979EA">
        <w:rPr>
          <w:b/>
        </w:rPr>
        <w:t xml:space="preserve"> </w:t>
      </w:r>
      <w:r w:rsidRPr="009979EA">
        <w:t xml:space="preserve">– </w:t>
      </w:r>
      <w:r>
        <w:t xml:space="preserve">Amend the Manual of Tests and Criteria as shown on pages 2 - 28 of </w:t>
      </w:r>
      <w:r w:rsidRPr="00FE3BFA">
        <w:t>ST/SG/AC.10/C.3/2018/</w:t>
      </w:r>
      <w:r>
        <w:t xml:space="preserve">1 – </w:t>
      </w:r>
      <w:r w:rsidRPr="00FE3BFA">
        <w:t>ST/SG/AC.10/C.</w:t>
      </w:r>
      <w:r>
        <w:t>4</w:t>
      </w:r>
      <w:r w:rsidRPr="00FE3BFA">
        <w:t>/2018/</w:t>
      </w:r>
      <w:r>
        <w:t>1.</w:t>
      </w:r>
    </w:p>
    <w:p w14:paraId="21C9A158" w14:textId="285FEDB3" w:rsidR="00044F8B" w:rsidRPr="009979EA" w:rsidRDefault="00044F8B" w:rsidP="00AC2252">
      <w:pPr>
        <w:pStyle w:val="SingleTxtG"/>
        <w:keepNext/>
        <w:keepLines/>
        <w:pBdr>
          <w:bottom w:val="single" w:sz="4" w:space="1" w:color="auto"/>
        </w:pBdr>
        <w:spacing w:line="240" w:lineRule="auto"/>
        <w:ind w:left="0" w:right="39"/>
        <w:rPr>
          <w:i/>
        </w:rPr>
      </w:pPr>
      <w:r w:rsidRPr="009979EA">
        <w:rPr>
          <w:i/>
        </w:rPr>
        <w:t xml:space="preserve">Source:  </w:t>
      </w:r>
      <w:r w:rsidRPr="00044F8B">
        <w:rPr>
          <w:i/>
        </w:rPr>
        <w:t>ST/SG/AC.10/C.3/2018/1 – ST/SG/AC.10/C.4/2018/1</w:t>
      </w:r>
      <w:r>
        <w:rPr>
          <w:i/>
        </w:rPr>
        <w:t xml:space="preserve"> pages 2 – 28</w:t>
      </w:r>
      <w:r w:rsidRPr="009979EA">
        <w:rPr>
          <w:i/>
        </w:rPr>
        <w:t xml:space="preserve"> and Para. </w:t>
      </w:r>
      <w:r>
        <w:rPr>
          <w:i/>
        </w:rPr>
        <w:t>17</w:t>
      </w:r>
      <w:r w:rsidRPr="009979EA">
        <w:rPr>
          <w:i/>
        </w:rPr>
        <w:t xml:space="preserve"> of this report.</w:t>
      </w:r>
    </w:p>
    <w:p w14:paraId="524F7CB0" w14:textId="513C71DB" w:rsidR="00044F8B" w:rsidRPr="009979EA" w:rsidRDefault="00044F8B" w:rsidP="00AC2252">
      <w:pPr>
        <w:pStyle w:val="SingleTxtG"/>
        <w:keepNext/>
        <w:keepLines/>
        <w:numPr>
          <w:ilvl w:val="0"/>
          <w:numId w:val="20"/>
        </w:numPr>
        <w:spacing w:line="240" w:lineRule="auto"/>
        <w:ind w:right="39"/>
      </w:pPr>
      <w:r>
        <w:rPr>
          <w:b/>
          <w:u w:val="single"/>
        </w:rPr>
        <w:t>Section 1.1.1</w:t>
      </w:r>
      <w:r w:rsidRPr="009979EA">
        <w:rPr>
          <w:b/>
        </w:rPr>
        <w:t xml:space="preserve"> </w:t>
      </w:r>
      <w:r w:rsidRPr="009979EA">
        <w:t xml:space="preserve">– </w:t>
      </w:r>
      <w:r>
        <w:t>Revise section 1.1.1 of the Manual of Tests and Criteria as shown below:</w:t>
      </w:r>
    </w:p>
    <w:p w14:paraId="0483CFE0" w14:textId="584171CB" w:rsidR="00044F8B" w:rsidRDefault="00223A63" w:rsidP="00AC2252">
      <w:pPr>
        <w:pStyle w:val="SingleTxtG"/>
        <w:keepNext/>
        <w:keepLines/>
        <w:numPr>
          <w:ilvl w:val="0"/>
          <w:numId w:val="26"/>
        </w:numPr>
        <w:spacing w:after="240" w:line="240" w:lineRule="auto"/>
        <w:ind w:right="43"/>
      </w:pPr>
      <w:r>
        <w:t>I</w:t>
      </w:r>
      <w:r w:rsidR="00044F8B" w:rsidRPr="00044F8B">
        <w:t xml:space="preserve">n the seventh line: replace “competent authorities and manufacturers and suppliers” with “classifiers”. </w:t>
      </w:r>
    </w:p>
    <w:p w14:paraId="4E6F5B9C" w14:textId="421D9903" w:rsidR="00044F8B" w:rsidRDefault="00044F8B" w:rsidP="00AC2252">
      <w:pPr>
        <w:pStyle w:val="SingleTxtG"/>
        <w:keepNext/>
        <w:keepLines/>
        <w:numPr>
          <w:ilvl w:val="0"/>
          <w:numId w:val="26"/>
        </w:numPr>
        <w:spacing w:after="240" w:line="240" w:lineRule="auto"/>
        <w:ind w:right="43"/>
      </w:pPr>
      <w:r w:rsidRPr="00044F8B">
        <w:t>Add a new last sentence to read: “Although the term “classifier(s)” is used generically throughout the manual to indicate the entity providing the classification, in some sectors this may be limited specifically to a competent authority or designated testing authority, whereas in others it may allow for self-classification by manufacturers or suppliers.  The sector for classification should be taken into account for each occurrence of this term to correctly identify the entity responsible for classification.”</w:t>
      </w:r>
    </w:p>
    <w:p w14:paraId="211A434B" w14:textId="0D4CA0CA" w:rsidR="00044F8B" w:rsidRPr="009979EA" w:rsidRDefault="00044F8B" w:rsidP="00AC2252">
      <w:pPr>
        <w:pStyle w:val="SingleTxtG"/>
        <w:keepNext/>
        <w:keepLines/>
        <w:pBdr>
          <w:bottom w:val="single" w:sz="4" w:space="1" w:color="auto"/>
        </w:pBdr>
        <w:spacing w:line="240" w:lineRule="auto"/>
        <w:ind w:left="0" w:right="39"/>
        <w:rPr>
          <w:i/>
        </w:rPr>
      </w:pPr>
      <w:r w:rsidRPr="009979EA">
        <w:rPr>
          <w:i/>
        </w:rPr>
        <w:t xml:space="preserve">Source:  Para. </w:t>
      </w:r>
      <w:r w:rsidR="00284197">
        <w:rPr>
          <w:i/>
        </w:rPr>
        <w:t>1</w:t>
      </w:r>
      <w:r>
        <w:rPr>
          <w:i/>
        </w:rPr>
        <w:t>7</w:t>
      </w:r>
      <w:r w:rsidRPr="009979EA">
        <w:rPr>
          <w:i/>
        </w:rPr>
        <w:t xml:space="preserve"> of this report.</w:t>
      </w:r>
    </w:p>
    <w:p w14:paraId="43CFFDE7" w14:textId="383DF63C" w:rsidR="00284197" w:rsidRPr="009979EA" w:rsidRDefault="00284197" w:rsidP="005C593C">
      <w:pPr>
        <w:pStyle w:val="SingleTxtG"/>
        <w:numPr>
          <w:ilvl w:val="0"/>
          <w:numId w:val="20"/>
        </w:numPr>
        <w:spacing w:line="240" w:lineRule="auto"/>
        <w:ind w:right="39"/>
      </w:pPr>
      <w:r>
        <w:rPr>
          <w:b/>
          <w:u w:val="single"/>
        </w:rPr>
        <w:t>Section 1.1.</w:t>
      </w:r>
      <w:r w:rsidR="00223A63">
        <w:rPr>
          <w:b/>
          <w:u w:val="single"/>
        </w:rPr>
        <w:t>9</w:t>
      </w:r>
      <w:r w:rsidRPr="009979EA">
        <w:rPr>
          <w:b/>
        </w:rPr>
        <w:t xml:space="preserve"> </w:t>
      </w:r>
      <w:r w:rsidRPr="009979EA">
        <w:t xml:space="preserve">– </w:t>
      </w:r>
      <w:r w:rsidR="00223A63" w:rsidRPr="00223A63">
        <w:t>in the first line: replace “manual” with “Manual”.</w:t>
      </w:r>
    </w:p>
    <w:p w14:paraId="450AAB74" w14:textId="77777777" w:rsidR="00284197" w:rsidRPr="009979EA" w:rsidRDefault="00284197" w:rsidP="000318FA">
      <w:pPr>
        <w:pStyle w:val="SingleTxtG"/>
        <w:pBdr>
          <w:bottom w:val="single" w:sz="4" w:space="1" w:color="auto"/>
        </w:pBdr>
        <w:spacing w:line="240" w:lineRule="auto"/>
        <w:ind w:left="0" w:right="39"/>
        <w:rPr>
          <w:i/>
        </w:rPr>
      </w:pPr>
      <w:r w:rsidRPr="009979EA">
        <w:rPr>
          <w:i/>
        </w:rPr>
        <w:t xml:space="preserve">Source:  Para. </w:t>
      </w:r>
      <w:r>
        <w:rPr>
          <w:i/>
        </w:rPr>
        <w:t>17</w:t>
      </w:r>
      <w:r w:rsidRPr="009979EA">
        <w:rPr>
          <w:i/>
        </w:rPr>
        <w:t xml:space="preserve"> of this report.</w:t>
      </w:r>
    </w:p>
    <w:p w14:paraId="1A1C1DDC" w14:textId="4C71A41F" w:rsidR="00223A63" w:rsidRPr="009979EA" w:rsidRDefault="00223A63" w:rsidP="005C593C">
      <w:pPr>
        <w:pStyle w:val="SingleTxtG"/>
        <w:numPr>
          <w:ilvl w:val="0"/>
          <w:numId w:val="20"/>
        </w:numPr>
        <w:spacing w:line="240" w:lineRule="auto"/>
        <w:ind w:right="39"/>
      </w:pPr>
      <w:r>
        <w:rPr>
          <w:b/>
          <w:u w:val="single"/>
        </w:rPr>
        <w:t>Section 1.2.1.4.3</w:t>
      </w:r>
      <w:r w:rsidRPr="009979EA">
        <w:rPr>
          <w:b/>
        </w:rPr>
        <w:t xml:space="preserve"> </w:t>
      </w:r>
      <w:r w:rsidRPr="009979EA">
        <w:t xml:space="preserve">– </w:t>
      </w:r>
      <w:r>
        <w:t>Revise section 1.2.1.4.3 of the Manual of Tests and Criteria as shown below:</w:t>
      </w:r>
    </w:p>
    <w:p w14:paraId="43B233CC" w14:textId="218BB37A" w:rsidR="00223A63" w:rsidRDefault="00223A63" w:rsidP="005C593C">
      <w:pPr>
        <w:pStyle w:val="SingleTxtG"/>
        <w:numPr>
          <w:ilvl w:val="0"/>
          <w:numId w:val="27"/>
        </w:numPr>
        <w:spacing w:after="240" w:line="240" w:lineRule="auto"/>
        <w:ind w:right="43"/>
      </w:pPr>
      <w:r>
        <w:t>I</w:t>
      </w:r>
      <w:r w:rsidRPr="00223A63">
        <w:t>n the first line: replace “except for” by “Type A to “and replace the rest of the sentence by “should not be tested in the self-heating test N.4, as the test result will give a false positive result (i.e</w:t>
      </w:r>
      <w:r w:rsidR="00532E68">
        <w:t>.</w:t>
      </w:r>
      <w:r w:rsidRPr="00223A63">
        <w:t xml:space="preserve"> temperature increase due to thermal decomposition rather than oxidative self-heating).” </w:t>
      </w:r>
      <w:r w:rsidRPr="00044F8B">
        <w:t xml:space="preserve"> </w:t>
      </w:r>
    </w:p>
    <w:p w14:paraId="2679FFC3" w14:textId="2B277D22" w:rsidR="00223A63" w:rsidRDefault="00223A63" w:rsidP="005C593C">
      <w:pPr>
        <w:pStyle w:val="SingleTxtG"/>
        <w:numPr>
          <w:ilvl w:val="0"/>
          <w:numId w:val="27"/>
        </w:numPr>
        <w:spacing w:after="240" w:line="240" w:lineRule="auto"/>
        <w:ind w:right="43"/>
      </w:pPr>
      <w:r w:rsidRPr="00223A63">
        <w:t>In the second sentence: insert at the beginning “Self-reactive substances of type G and” and change the capital “O” to lower case in “Organic”.</w:t>
      </w:r>
    </w:p>
    <w:p w14:paraId="3155AFD6" w14:textId="77777777" w:rsidR="00223A63" w:rsidRPr="009979EA" w:rsidRDefault="00223A63" w:rsidP="000318FA">
      <w:pPr>
        <w:pStyle w:val="SingleTxtG"/>
        <w:pBdr>
          <w:bottom w:val="single" w:sz="4" w:space="1" w:color="auto"/>
        </w:pBdr>
        <w:spacing w:line="240" w:lineRule="auto"/>
        <w:ind w:left="0" w:right="39"/>
        <w:rPr>
          <w:i/>
        </w:rPr>
      </w:pPr>
      <w:r w:rsidRPr="009979EA">
        <w:rPr>
          <w:i/>
        </w:rPr>
        <w:t xml:space="preserve">Source:  Para. </w:t>
      </w:r>
      <w:r>
        <w:rPr>
          <w:i/>
        </w:rPr>
        <w:t>17</w:t>
      </w:r>
      <w:r w:rsidRPr="009979EA">
        <w:rPr>
          <w:i/>
        </w:rPr>
        <w:t xml:space="preserve"> of this report.</w:t>
      </w:r>
    </w:p>
    <w:p w14:paraId="3F476FF8" w14:textId="16B36CF9" w:rsidR="00223A63" w:rsidRPr="009979EA" w:rsidRDefault="00223A63" w:rsidP="005C593C">
      <w:pPr>
        <w:pStyle w:val="SingleTxtG"/>
        <w:numPr>
          <w:ilvl w:val="0"/>
          <w:numId w:val="20"/>
        </w:numPr>
        <w:spacing w:line="240" w:lineRule="auto"/>
        <w:ind w:right="39"/>
      </w:pPr>
      <w:r>
        <w:rPr>
          <w:b/>
          <w:u w:val="single"/>
        </w:rPr>
        <w:t xml:space="preserve">Section </w:t>
      </w:r>
      <w:r w:rsidR="008D01B6">
        <w:rPr>
          <w:b/>
          <w:u w:val="single"/>
        </w:rPr>
        <w:t>10</w:t>
      </w:r>
      <w:r>
        <w:rPr>
          <w:b/>
          <w:u w:val="single"/>
        </w:rPr>
        <w:t>.1.</w:t>
      </w:r>
      <w:r w:rsidR="008D01B6">
        <w:rPr>
          <w:b/>
          <w:u w:val="single"/>
        </w:rPr>
        <w:t>2</w:t>
      </w:r>
      <w:r w:rsidRPr="009979EA">
        <w:rPr>
          <w:b/>
        </w:rPr>
        <w:t xml:space="preserve"> </w:t>
      </w:r>
      <w:r w:rsidRPr="009979EA">
        <w:t xml:space="preserve">– </w:t>
      </w:r>
      <w:r w:rsidR="008D01B6" w:rsidRPr="008D01B6">
        <w:t>in the sixth sentence: replace “competent authorities” with “classifiers”</w:t>
      </w:r>
    </w:p>
    <w:p w14:paraId="3B2504F9" w14:textId="77777777" w:rsidR="00223A63" w:rsidRPr="009979EA" w:rsidRDefault="00223A63" w:rsidP="000318FA">
      <w:pPr>
        <w:pStyle w:val="SingleTxtG"/>
        <w:pBdr>
          <w:bottom w:val="single" w:sz="4" w:space="1" w:color="auto"/>
        </w:pBdr>
        <w:spacing w:line="240" w:lineRule="auto"/>
        <w:ind w:left="0" w:right="39"/>
        <w:rPr>
          <w:i/>
        </w:rPr>
      </w:pPr>
      <w:r w:rsidRPr="009979EA">
        <w:rPr>
          <w:i/>
        </w:rPr>
        <w:t xml:space="preserve">Source:  Para. </w:t>
      </w:r>
      <w:r>
        <w:rPr>
          <w:i/>
        </w:rPr>
        <w:t>17</w:t>
      </w:r>
      <w:r w:rsidRPr="009979EA">
        <w:rPr>
          <w:i/>
        </w:rPr>
        <w:t xml:space="preserve"> of this report.</w:t>
      </w:r>
    </w:p>
    <w:p w14:paraId="163C8C64" w14:textId="23F24EC9" w:rsidR="00223A63" w:rsidRPr="009979EA" w:rsidRDefault="00223A63" w:rsidP="005C593C">
      <w:pPr>
        <w:pStyle w:val="SingleTxtG"/>
        <w:numPr>
          <w:ilvl w:val="0"/>
          <w:numId w:val="20"/>
        </w:numPr>
        <w:spacing w:line="240" w:lineRule="auto"/>
        <w:ind w:right="39"/>
      </w:pPr>
      <w:r>
        <w:rPr>
          <w:b/>
          <w:u w:val="single"/>
        </w:rPr>
        <w:t>Section 1</w:t>
      </w:r>
      <w:r w:rsidR="008D01B6">
        <w:rPr>
          <w:b/>
          <w:u w:val="single"/>
        </w:rPr>
        <w:t>0</w:t>
      </w:r>
      <w:r>
        <w:rPr>
          <w:b/>
          <w:u w:val="single"/>
        </w:rPr>
        <w:t>.</w:t>
      </w:r>
      <w:r w:rsidR="008D01B6">
        <w:rPr>
          <w:b/>
          <w:u w:val="single"/>
        </w:rPr>
        <w:t>2</w:t>
      </w:r>
      <w:r>
        <w:rPr>
          <w:b/>
          <w:u w:val="single"/>
        </w:rPr>
        <w:t>.</w:t>
      </w:r>
      <w:r w:rsidR="008D01B6">
        <w:rPr>
          <w:b/>
          <w:u w:val="single"/>
        </w:rPr>
        <w:t>2</w:t>
      </w:r>
      <w:r w:rsidRPr="009979EA">
        <w:rPr>
          <w:b/>
        </w:rPr>
        <w:t xml:space="preserve"> </w:t>
      </w:r>
      <w:r w:rsidRPr="009979EA">
        <w:t xml:space="preserve">– </w:t>
      </w:r>
      <w:r w:rsidR="008D01B6" w:rsidRPr="008D01B6">
        <w:t xml:space="preserve">document …/2018/1 does not give amendments to paragraph 10.2.2 but the working </w:t>
      </w:r>
      <w:r w:rsidR="008D01B6">
        <w:t xml:space="preserve">group </w:t>
      </w:r>
      <w:r w:rsidR="008D01B6" w:rsidRPr="008D01B6">
        <w:t>felt that some amendments were necessary. Amend the paragraph to read</w:t>
      </w:r>
      <w:r w:rsidR="008D01B6">
        <w:t xml:space="preserve"> as shown below:</w:t>
      </w:r>
    </w:p>
    <w:p w14:paraId="2F4216AE" w14:textId="261A08DE" w:rsidR="00223A63" w:rsidRDefault="008D01B6" w:rsidP="000318FA">
      <w:pPr>
        <w:pStyle w:val="SingleTxtG"/>
        <w:spacing w:after="240" w:line="240" w:lineRule="auto"/>
        <w:ind w:left="567" w:right="43"/>
      </w:pPr>
      <w:r w:rsidRPr="00D31530">
        <w:t xml:space="preserve">The producer, </w:t>
      </w:r>
      <w:r w:rsidRPr="00D31530">
        <w:rPr>
          <w:color w:val="0070C0"/>
        </w:rPr>
        <w:t xml:space="preserve">distributor </w:t>
      </w:r>
      <w:r w:rsidRPr="00D31530">
        <w:t xml:space="preserve">or </w:t>
      </w:r>
      <w:r w:rsidRPr="00D31530">
        <w:rPr>
          <w:color w:val="0070C0"/>
        </w:rPr>
        <w:t>their agent</w:t>
      </w:r>
      <w:r w:rsidRPr="00D31530">
        <w:rPr>
          <w:strike/>
          <w:color w:val="FF0000"/>
        </w:rPr>
        <w:t>other applicant</w:t>
      </w:r>
      <w:r w:rsidRPr="00D31530">
        <w:t xml:space="preserve"> for the classification of a new product, should </w:t>
      </w:r>
      <w:r w:rsidRPr="00D31530">
        <w:rPr>
          <w:strike/>
          <w:color w:val="FF0000"/>
        </w:rPr>
        <w:t>provide</w:t>
      </w:r>
      <w:r w:rsidRPr="00D31530">
        <w:rPr>
          <w:color w:val="FF0000"/>
        </w:rPr>
        <w:t xml:space="preserve"> </w:t>
      </w:r>
      <w:r w:rsidRPr="00D31530">
        <w:rPr>
          <w:color w:val="0070C0"/>
        </w:rPr>
        <w:t>document</w:t>
      </w:r>
      <w:r w:rsidRPr="00D31530">
        <w:t xml:space="preserve"> adequate information concerning the names and characteristics of all explosive substances in the product and </w:t>
      </w:r>
      <w:r w:rsidRPr="00D31530">
        <w:rPr>
          <w:strike/>
          <w:color w:val="FF0000"/>
        </w:rPr>
        <w:t>should furnish the results of</w:t>
      </w:r>
      <w:r w:rsidRPr="00D31530">
        <w:rPr>
          <w:color w:val="FF0000"/>
        </w:rPr>
        <w:t xml:space="preserve"> </w:t>
      </w:r>
      <w:r w:rsidRPr="00D31530">
        <w:t xml:space="preserve">all relevant tests which have been done. </w:t>
      </w:r>
      <w:r w:rsidRPr="00D31530">
        <w:rPr>
          <w:color w:val="0070C0"/>
        </w:rPr>
        <w:t>This information should be furnished to the classifier, if required</w:t>
      </w:r>
      <w:r w:rsidRPr="00D31530">
        <w:t>.</w:t>
      </w:r>
    </w:p>
    <w:p w14:paraId="156CD2A0" w14:textId="77777777" w:rsidR="00223A63" w:rsidRPr="009979EA" w:rsidRDefault="00223A63" w:rsidP="000318FA">
      <w:pPr>
        <w:pStyle w:val="SingleTxtG"/>
        <w:pBdr>
          <w:bottom w:val="single" w:sz="4" w:space="1" w:color="auto"/>
        </w:pBdr>
        <w:spacing w:line="240" w:lineRule="auto"/>
        <w:ind w:left="0" w:right="39"/>
        <w:rPr>
          <w:i/>
        </w:rPr>
      </w:pPr>
      <w:r w:rsidRPr="009979EA">
        <w:rPr>
          <w:i/>
        </w:rPr>
        <w:t xml:space="preserve">Source:  Para. </w:t>
      </w:r>
      <w:r>
        <w:rPr>
          <w:i/>
        </w:rPr>
        <w:t>17</w:t>
      </w:r>
      <w:r w:rsidRPr="009979EA">
        <w:rPr>
          <w:i/>
        </w:rPr>
        <w:t xml:space="preserve"> of this report.</w:t>
      </w:r>
    </w:p>
    <w:p w14:paraId="33A0F25C" w14:textId="77777777" w:rsidR="00E80AF6" w:rsidRPr="00E80AF6" w:rsidRDefault="00E80AF6" w:rsidP="00E80AF6">
      <w:pPr>
        <w:pStyle w:val="SingleTxtG"/>
        <w:keepNext/>
        <w:keepLines/>
        <w:spacing w:line="240" w:lineRule="auto"/>
        <w:ind w:left="0" w:right="43"/>
        <w:jc w:val="left"/>
        <w:rPr>
          <w:rFonts w:eastAsia="MS Mincho"/>
          <w:b/>
          <w:sz w:val="28"/>
          <w:lang w:eastAsia="ja-JP"/>
        </w:rPr>
      </w:pPr>
      <w:bookmarkStart w:id="19" w:name="Annex4"/>
      <w:bookmarkEnd w:id="18"/>
      <w:bookmarkEnd w:id="19"/>
    </w:p>
    <w:sectPr w:rsidR="00E80AF6" w:rsidRPr="00E80AF6" w:rsidSect="005F01ED">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BD359" w14:textId="77777777" w:rsidR="00210041" w:rsidRDefault="00210041"/>
  </w:endnote>
  <w:endnote w:type="continuationSeparator" w:id="0">
    <w:p w14:paraId="2E5DEB32" w14:textId="77777777" w:rsidR="00210041" w:rsidRDefault="00210041"/>
  </w:endnote>
  <w:endnote w:type="continuationNotice" w:id="1">
    <w:p w14:paraId="09BD730A" w14:textId="77777777" w:rsidR="00210041" w:rsidRDefault="00210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4594" w14:textId="6D7BC4F1" w:rsidR="00872449" w:rsidRPr="0099001C" w:rsidRDefault="00872449" w:rsidP="0099001C">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D8738D">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9454" w14:textId="1E9C10C4" w:rsidR="00872449" w:rsidRPr="0099001C" w:rsidRDefault="00872449"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D8738D">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703BE" w14:textId="77777777" w:rsidR="00210041" w:rsidRPr="000B175B" w:rsidRDefault="00210041" w:rsidP="000B175B">
      <w:pPr>
        <w:tabs>
          <w:tab w:val="right" w:pos="2155"/>
        </w:tabs>
        <w:spacing w:after="80"/>
        <w:ind w:left="680"/>
        <w:rPr>
          <w:u w:val="single"/>
        </w:rPr>
      </w:pPr>
      <w:r>
        <w:rPr>
          <w:u w:val="single"/>
        </w:rPr>
        <w:tab/>
      </w:r>
    </w:p>
  </w:footnote>
  <w:footnote w:type="continuationSeparator" w:id="0">
    <w:p w14:paraId="76ED4AD3" w14:textId="77777777" w:rsidR="00210041" w:rsidRPr="00FC68B7" w:rsidRDefault="00210041" w:rsidP="00FC68B7">
      <w:pPr>
        <w:tabs>
          <w:tab w:val="left" w:pos="2155"/>
        </w:tabs>
        <w:spacing w:after="80"/>
        <w:ind w:left="680"/>
        <w:rPr>
          <w:u w:val="single"/>
        </w:rPr>
      </w:pPr>
      <w:r>
        <w:rPr>
          <w:u w:val="single"/>
        </w:rPr>
        <w:tab/>
      </w:r>
    </w:p>
  </w:footnote>
  <w:footnote w:type="continuationNotice" w:id="1">
    <w:p w14:paraId="5F5248AE" w14:textId="77777777" w:rsidR="00210041" w:rsidRDefault="00210041"/>
  </w:footnote>
  <w:footnote w:id="2">
    <w:p w14:paraId="2E89251A" w14:textId="117C624E" w:rsidR="00872449" w:rsidRDefault="00872449">
      <w:pPr>
        <w:pStyle w:val="FootnoteText"/>
      </w:pPr>
      <w:r>
        <w:rPr>
          <w:rStyle w:val="FootnoteReference"/>
        </w:rPr>
        <w:footnoteRef/>
      </w:r>
      <w:r>
        <w:t xml:space="preserve"> </w:t>
      </w:r>
      <w:r w:rsidRPr="004A3BB2">
        <w:t>UN/SCETDG/52/INF.53</w:t>
      </w:r>
      <w:r>
        <w:t>, para. 9</w:t>
      </w:r>
    </w:p>
  </w:footnote>
  <w:footnote w:id="3">
    <w:p w14:paraId="5956BEC1" w14:textId="23C77C4A" w:rsidR="00872449" w:rsidRDefault="00872449">
      <w:pPr>
        <w:pStyle w:val="FootnoteText"/>
      </w:pPr>
      <w:r>
        <w:rPr>
          <w:rStyle w:val="FootnoteReference"/>
        </w:rPr>
        <w:footnoteRef/>
      </w:r>
      <w:r>
        <w:t xml:space="preserve"> </w:t>
      </w:r>
      <w:r w:rsidRPr="004A3BB2">
        <w:t>UN/SCETDG/52/INF.10</w:t>
      </w:r>
    </w:p>
  </w:footnote>
  <w:footnote w:id="4">
    <w:p w14:paraId="20F63F10" w14:textId="437DE0E8" w:rsidR="00872449" w:rsidRDefault="00872449">
      <w:pPr>
        <w:pStyle w:val="FootnoteText"/>
      </w:pPr>
      <w:r>
        <w:rPr>
          <w:rStyle w:val="FootnoteReference"/>
        </w:rPr>
        <w:footnoteRef/>
      </w:r>
      <w:r>
        <w:t xml:space="preserve"> Many members of the EWG are also members of the ICG</w:t>
      </w:r>
    </w:p>
  </w:footnote>
  <w:footnote w:id="5">
    <w:p w14:paraId="067D85D6" w14:textId="16E074B8" w:rsidR="00872449" w:rsidRDefault="00872449">
      <w:pPr>
        <w:pStyle w:val="FootnoteText"/>
      </w:pPr>
      <w:r>
        <w:rPr>
          <w:rStyle w:val="FootnoteReference"/>
        </w:rPr>
        <w:footnoteRef/>
      </w:r>
      <w:r>
        <w:t xml:space="preserve"> All of the listed criteria must be met to be accepted into sub-category 2B</w:t>
      </w:r>
    </w:p>
  </w:footnote>
  <w:footnote w:id="6">
    <w:p w14:paraId="000AB579" w14:textId="66109C8D" w:rsidR="00872449" w:rsidRDefault="00872449" w:rsidP="00A17D48">
      <w:pPr>
        <w:pStyle w:val="FootnoteText"/>
      </w:pPr>
      <w:r>
        <w:rPr>
          <w:rStyle w:val="FootnoteReference"/>
        </w:rPr>
        <w:footnoteRef/>
      </w:r>
      <w:r>
        <w:t xml:space="preserve"> All of the listed criteria must be met to be accepted into sub-category 2C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8BB9" w14:textId="08FF9E6D" w:rsidR="00872449" w:rsidRPr="00FA5CA3" w:rsidRDefault="00872449" w:rsidP="00940685">
    <w:pPr>
      <w:pStyle w:val="Header"/>
      <w:rPr>
        <w:lang w:val="fr-CH"/>
      </w:rPr>
    </w:pPr>
    <w:r>
      <w:rPr>
        <w:lang w:val="fr-CH"/>
      </w:rPr>
      <w:t>UN/SCETDG/53/INF.</w:t>
    </w:r>
    <w:r w:rsidRPr="00D90CA3">
      <w:rPr>
        <w:lang w:val="fr-CH"/>
      </w:rPr>
      <w:t>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C08E" w14:textId="516D8241" w:rsidR="00872449" w:rsidRPr="001E4813" w:rsidRDefault="00872449" w:rsidP="001E4813">
    <w:pPr>
      <w:pStyle w:val="Header"/>
      <w:jc w:val="right"/>
      <w:rPr>
        <w:lang w:val="fr-CH"/>
      </w:rPr>
    </w:pPr>
    <w:r>
      <w:rPr>
        <w:lang w:val="fr-CH"/>
      </w:rPr>
      <w:t>UN/SCETDG/53/INF.</w:t>
    </w:r>
    <w:r w:rsidRPr="00D90CA3">
      <w:rPr>
        <w:lang w:val="fr-CH"/>
      </w:rPr>
      <w:t>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6C223D"/>
    <w:multiLevelType w:val="hybridMultilevel"/>
    <w:tmpl w:val="894800B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D7E38"/>
    <w:multiLevelType w:val="hybridMultilevel"/>
    <w:tmpl w:val="207A438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34BF34D3"/>
    <w:multiLevelType w:val="hybridMultilevel"/>
    <w:tmpl w:val="6BC601E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7" w15:restartNumberingAfterBreak="0">
    <w:nsid w:val="36EB0293"/>
    <w:multiLevelType w:val="multilevel"/>
    <w:tmpl w:val="E424F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84E5930"/>
    <w:multiLevelType w:val="hybridMultilevel"/>
    <w:tmpl w:val="B91E32A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EB1521F"/>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C4B2E13"/>
    <w:multiLevelType w:val="hybridMultilevel"/>
    <w:tmpl w:val="5C00F566"/>
    <w:lvl w:ilvl="0" w:tplc="67ACBFEA">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7E4475"/>
    <w:multiLevelType w:val="hybridMultilevel"/>
    <w:tmpl w:val="CE24CDA8"/>
    <w:lvl w:ilvl="0" w:tplc="B622BD7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16086B"/>
    <w:multiLevelType w:val="hybridMultilevel"/>
    <w:tmpl w:val="75E2DA70"/>
    <w:lvl w:ilvl="0" w:tplc="04090001">
      <w:start w:val="1"/>
      <w:numFmt w:val="bullet"/>
      <w:lvlText w:val=""/>
      <w:lvlJc w:val="left"/>
      <w:pPr>
        <w:ind w:left="1858" w:hanging="360"/>
      </w:pPr>
      <w:rPr>
        <w:rFonts w:ascii="Symbol" w:hAnsi="Symbol" w:hint="default"/>
      </w:rPr>
    </w:lvl>
    <w:lvl w:ilvl="1" w:tplc="B7420D52">
      <w:numFmt w:val="bullet"/>
      <w:lvlText w:val="•"/>
      <w:lvlJc w:val="left"/>
      <w:pPr>
        <w:ind w:left="2782" w:hanging="564"/>
      </w:pPr>
      <w:rPr>
        <w:rFonts w:ascii="Times New Roman" w:eastAsia="Times New Roman" w:hAnsi="Times New Roman" w:cs="Times New Roman"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570BB"/>
    <w:multiLevelType w:val="hybridMultilevel"/>
    <w:tmpl w:val="5306688A"/>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8862366"/>
    <w:multiLevelType w:val="hybridMultilevel"/>
    <w:tmpl w:val="523E6D94"/>
    <w:lvl w:ilvl="0" w:tplc="9B22E34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E56ACF6" w:tentative="1">
      <w:start w:val="1"/>
      <w:numFmt w:val="bullet"/>
      <w:lvlText w:val="o"/>
      <w:lvlJc w:val="left"/>
      <w:pPr>
        <w:tabs>
          <w:tab w:val="num" w:pos="1440"/>
        </w:tabs>
        <w:ind w:left="1440" w:hanging="360"/>
      </w:pPr>
      <w:rPr>
        <w:rFonts w:ascii="Courier New" w:hAnsi="Courier New" w:cs="Courier New" w:hint="default"/>
      </w:rPr>
    </w:lvl>
    <w:lvl w:ilvl="2" w:tplc="081C6DDE" w:tentative="1">
      <w:start w:val="1"/>
      <w:numFmt w:val="bullet"/>
      <w:lvlText w:val=""/>
      <w:lvlJc w:val="left"/>
      <w:pPr>
        <w:tabs>
          <w:tab w:val="num" w:pos="2160"/>
        </w:tabs>
        <w:ind w:left="2160" w:hanging="360"/>
      </w:pPr>
      <w:rPr>
        <w:rFonts w:ascii="Wingdings" w:hAnsi="Wingdings" w:hint="default"/>
      </w:rPr>
    </w:lvl>
    <w:lvl w:ilvl="3" w:tplc="571055DA" w:tentative="1">
      <w:start w:val="1"/>
      <w:numFmt w:val="bullet"/>
      <w:lvlText w:val=""/>
      <w:lvlJc w:val="left"/>
      <w:pPr>
        <w:tabs>
          <w:tab w:val="num" w:pos="2880"/>
        </w:tabs>
        <w:ind w:left="2880" w:hanging="360"/>
      </w:pPr>
      <w:rPr>
        <w:rFonts w:ascii="Symbol" w:hAnsi="Symbol" w:hint="default"/>
      </w:rPr>
    </w:lvl>
    <w:lvl w:ilvl="4" w:tplc="21842D42" w:tentative="1">
      <w:start w:val="1"/>
      <w:numFmt w:val="bullet"/>
      <w:lvlText w:val="o"/>
      <w:lvlJc w:val="left"/>
      <w:pPr>
        <w:tabs>
          <w:tab w:val="num" w:pos="3600"/>
        </w:tabs>
        <w:ind w:left="3600" w:hanging="360"/>
      </w:pPr>
      <w:rPr>
        <w:rFonts w:ascii="Courier New" w:hAnsi="Courier New" w:cs="Courier New" w:hint="default"/>
      </w:rPr>
    </w:lvl>
    <w:lvl w:ilvl="5" w:tplc="8A4AA632" w:tentative="1">
      <w:start w:val="1"/>
      <w:numFmt w:val="bullet"/>
      <w:lvlText w:val=""/>
      <w:lvlJc w:val="left"/>
      <w:pPr>
        <w:tabs>
          <w:tab w:val="num" w:pos="4320"/>
        </w:tabs>
        <w:ind w:left="4320" w:hanging="360"/>
      </w:pPr>
      <w:rPr>
        <w:rFonts w:ascii="Wingdings" w:hAnsi="Wingdings" w:hint="default"/>
      </w:rPr>
    </w:lvl>
    <w:lvl w:ilvl="6" w:tplc="70A284E0" w:tentative="1">
      <w:start w:val="1"/>
      <w:numFmt w:val="bullet"/>
      <w:lvlText w:val=""/>
      <w:lvlJc w:val="left"/>
      <w:pPr>
        <w:tabs>
          <w:tab w:val="num" w:pos="5040"/>
        </w:tabs>
        <w:ind w:left="5040" w:hanging="360"/>
      </w:pPr>
      <w:rPr>
        <w:rFonts w:ascii="Symbol" w:hAnsi="Symbol" w:hint="default"/>
      </w:rPr>
    </w:lvl>
    <w:lvl w:ilvl="7" w:tplc="1B4EDA52" w:tentative="1">
      <w:start w:val="1"/>
      <w:numFmt w:val="bullet"/>
      <w:lvlText w:val="o"/>
      <w:lvlJc w:val="left"/>
      <w:pPr>
        <w:tabs>
          <w:tab w:val="num" w:pos="5760"/>
        </w:tabs>
        <w:ind w:left="5760" w:hanging="360"/>
      </w:pPr>
      <w:rPr>
        <w:rFonts w:ascii="Courier New" w:hAnsi="Courier New" w:cs="Courier New" w:hint="default"/>
      </w:rPr>
    </w:lvl>
    <w:lvl w:ilvl="8" w:tplc="0FD6CA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A7FBD"/>
    <w:multiLevelType w:val="hybridMultilevel"/>
    <w:tmpl w:val="93303C5C"/>
    <w:lvl w:ilvl="0" w:tplc="04090001">
      <w:start w:val="1"/>
      <w:numFmt w:val="bullet"/>
      <w:lvlText w:val=""/>
      <w:lvlJc w:val="left"/>
      <w:pPr>
        <w:ind w:left="2474" w:hanging="360"/>
      </w:pPr>
      <w:rPr>
        <w:rFonts w:ascii="Symbol" w:hAnsi="Symbol" w:hint="default"/>
      </w:rPr>
    </w:lvl>
    <w:lvl w:ilvl="1" w:tplc="04090003" w:tentative="1">
      <w:start w:val="1"/>
      <w:numFmt w:val="bullet"/>
      <w:lvlText w:val="o"/>
      <w:lvlJc w:val="left"/>
      <w:pPr>
        <w:ind w:left="3194" w:hanging="360"/>
      </w:pPr>
      <w:rPr>
        <w:rFonts w:ascii="Courier New" w:hAnsi="Courier New" w:cs="Courier New" w:hint="default"/>
      </w:rPr>
    </w:lvl>
    <w:lvl w:ilvl="2" w:tplc="04090005" w:tentative="1">
      <w:start w:val="1"/>
      <w:numFmt w:val="bullet"/>
      <w:lvlText w:val=""/>
      <w:lvlJc w:val="left"/>
      <w:pPr>
        <w:ind w:left="3914" w:hanging="360"/>
      </w:pPr>
      <w:rPr>
        <w:rFonts w:ascii="Wingdings" w:hAnsi="Wingdings" w:hint="default"/>
      </w:rPr>
    </w:lvl>
    <w:lvl w:ilvl="3" w:tplc="04090001" w:tentative="1">
      <w:start w:val="1"/>
      <w:numFmt w:val="bullet"/>
      <w:lvlText w:val=""/>
      <w:lvlJc w:val="left"/>
      <w:pPr>
        <w:ind w:left="4634" w:hanging="360"/>
      </w:pPr>
      <w:rPr>
        <w:rFonts w:ascii="Symbol" w:hAnsi="Symbol" w:hint="default"/>
      </w:rPr>
    </w:lvl>
    <w:lvl w:ilvl="4" w:tplc="04090003" w:tentative="1">
      <w:start w:val="1"/>
      <w:numFmt w:val="bullet"/>
      <w:lvlText w:val="o"/>
      <w:lvlJc w:val="left"/>
      <w:pPr>
        <w:ind w:left="5354" w:hanging="360"/>
      </w:pPr>
      <w:rPr>
        <w:rFonts w:ascii="Courier New" w:hAnsi="Courier New" w:cs="Courier New" w:hint="default"/>
      </w:rPr>
    </w:lvl>
    <w:lvl w:ilvl="5" w:tplc="04090005" w:tentative="1">
      <w:start w:val="1"/>
      <w:numFmt w:val="bullet"/>
      <w:lvlText w:val=""/>
      <w:lvlJc w:val="left"/>
      <w:pPr>
        <w:ind w:left="6074" w:hanging="360"/>
      </w:pPr>
      <w:rPr>
        <w:rFonts w:ascii="Wingdings" w:hAnsi="Wingdings" w:hint="default"/>
      </w:rPr>
    </w:lvl>
    <w:lvl w:ilvl="6" w:tplc="04090001" w:tentative="1">
      <w:start w:val="1"/>
      <w:numFmt w:val="bullet"/>
      <w:lvlText w:val=""/>
      <w:lvlJc w:val="left"/>
      <w:pPr>
        <w:ind w:left="6794" w:hanging="360"/>
      </w:pPr>
      <w:rPr>
        <w:rFonts w:ascii="Symbol" w:hAnsi="Symbol" w:hint="default"/>
      </w:rPr>
    </w:lvl>
    <w:lvl w:ilvl="7" w:tplc="04090003" w:tentative="1">
      <w:start w:val="1"/>
      <w:numFmt w:val="bullet"/>
      <w:lvlText w:val="o"/>
      <w:lvlJc w:val="left"/>
      <w:pPr>
        <w:ind w:left="7514" w:hanging="360"/>
      </w:pPr>
      <w:rPr>
        <w:rFonts w:ascii="Courier New" w:hAnsi="Courier New" w:cs="Courier New" w:hint="default"/>
      </w:rPr>
    </w:lvl>
    <w:lvl w:ilvl="8" w:tplc="04090005" w:tentative="1">
      <w:start w:val="1"/>
      <w:numFmt w:val="bullet"/>
      <w:lvlText w:val=""/>
      <w:lvlJc w:val="left"/>
      <w:pPr>
        <w:ind w:left="8234" w:hanging="360"/>
      </w:pPr>
      <w:rPr>
        <w:rFonts w:ascii="Wingdings" w:hAnsi="Wingdings" w:hint="default"/>
      </w:rPr>
    </w:lvl>
  </w:abstractNum>
  <w:abstractNum w:abstractNumId="29"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0"/>
  </w:num>
  <w:num w:numId="2">
    <w:abstractNumId w:val="27"/>
  </w:num>
  <w:num w:numId="3">
    <w:abstractNumId w:val="29"/>
  </w:num>
  <w:num w:numId="4">
    <w:abstractNumId w:val="20"/>
  </w:num>
  <w:num w:numId="5">
    <w:abstractNumId w:val="26"/>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3"/>
  </w:num>
  <w:num w:numId="18">
    <w:abstractNumId w:val="11"/>
  </w:num>
  <w:num w:numId="19">
    <w:abstractNumId w:val="24"/>
  </w:num>
  <w:num w:numId="20">
    <w:abstractNumId w:val="21"/>
  </w:num>
  <w:num w:numId="21">
    <w:abstractNumId w:val="18"/>
  </w:num>
  <w:num w:numId="22">
    <w:abstractNumId w:val="28"/>
  </w:num>
  <w:num w:numId="23">
    <w:abstractNumId w:val="16"/>
  </w:num>
  <w:num w:numId="24">
    <w:abstractNumId w:val="12"/>
  </w:num>
  <w:num w:numId="25">
    <w:abstractNumId w:val="22"/>
  </w:num>
  <w:num w:numId="26">
    <w:abstractNumId w:val="14"/>
  </w:num>
  <w:num w:numId="27">
    <w:abstractNumId w:val="19"/>
  </w:num>
  <w:num w:numId="28">
    <w:abstractNumId w:val="25"/>
  </w:num>
  <w:num w:numId="29">
    <w:abstractNumId w:val="15"/>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fr-CH"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n-CA" w:vendorID="64" w:dllVersion="0" w:nlCheck="1" w:checkStyle="0"/>
  <w:activeWritingStyle w:appName="MSWord" w:lang="es-ES" w:vendorID="64" w:dllVersion="6" w:nlCheck="1" w:checkStyle="0"/>
  <w:activeWritingStyle w:appName="MSWord" w:lang="en-CA"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0055"/>
    <w:rsid w:val="00001807"/>
    <w:rsid w:val="00002EFA"/>
    <w:rsid w:val="00003332"/>
    <w:rsid w:val="00003376"/>
    <w:rsid w:val="00003F51"/>
    <w:rsid w:val="000046A8"/>
    <w:rsid w:val="00005B68"/>
    <w:rsid w:val="000075A4"/>
    <w:rsid w:val="00007F4F"/>
    <w:rsid w:val="00011265"/>
    <w:rsid w:val="000112F8"/>
    <w:rsid w:val="00011F18"/>
    <w:rsid w:val="0001235D"/>
    <w:rsid w:val="00013612"/>
    <w:rsid w:val="00013CD7"/>
    <w:rsid w:val="00015902"/>
    <w:rsid w:val="00016F3E"/>
    <w:rsid w:val="00017DB1"/>
    <w:rsid w:val="0002197C"/>
    <w:rsid w:val="000222FC"/>
    <w:rsid w:val="00022AFF"/>
    <w:rsid w:val="00022FD2"/>
    <w:rsid w:val="00023E13"/>
    <w:rsid w:val="000240D9"/>
    <w:rsid w:val="00025C10"/>
    <w:rsid w:val="00025F35"/>
    <w:rsid w:val="0003147F"/>
    <w:rsid w:val="000318FA"/>
    <w:rsid w:val="000328AB"/>
    <w:rsid w:val="00033A5E"/>
    <w:rsid w:val="00034899"/>
    <w:rsid w:val="00037066"/>
    <w:rsid w:val="00037C4D"/>
    <w:rsid w:val="000401B0"/>
    <w:rsid w:val="00040A6D"/>
    <w:rsid w:val="0004197D"/>
    <w:rsid w:val="00042188"/>
    <w:rsid w:val="000426AF"/>
    <w:rsid w:val="00042E81"/>
    <w:rsid w:val="00044485"/>
    <w:rsid w:val="00044F8B"/>
    <w:rsid w:val="0004698A"/>
    <w:rsid w:val="00050F6B"/>
    <w:rsid w:val="0005144A"/>
    <w:rsid w:val="00052920"/>
    <w:rsid w:val="000534A8"/>
    <w:rsid w:val="00053EE5"/>
    <w:rsid w:val="00054BC8"/>
    <w:rsid w:val="00057960"/>
    <w:rsid w:val="0006081D"/>
    <w:rsid w:val="000653F4"/>
    <w:rsid w:val="00067115"/>
    <w:rsid w:val="0006784B"/>
    <w:rsid w:val="00071D6B"/>
    <w:rsid w:val="00071F17"/>
    <w:rsid w:val="00072C8C"/>
    <w:rsid w:val="0007325A"/>
    <w:rsid w:val="0007499B"/>
    <w:rsid w:val="0007794B"/>
    <w:rsid w:val="00080C9D"/>
    <w:rsid w:val="00081798"/>
    <w:rsid w:val="0008207F"/>
    <w:rsid w:val="000821BC"/>
    <w:rsid w:val="00083162"/>
    <w:rsid w:val="00083A74"/>
    <w:rsid w:val="00083FA3"/>
    <w:rsid w:val="0008593D"/>
    <w:rsid w:val="000875ED"/>
    <w:rsid w:val="000877E2"/>
    <w:rsid w:val="00092735"/>
    <w:rsid w:val="000931C0"/>
    <w:rsid w:val="00093709"/>
    <w:rsid w:val="00093C92"/>
    <w:rsid w:val="00094053"/>
    <w:rsid w:val="000951DC"/>
    <w:rsid w:val="00095258"/>
    <w:rsid w:val="000959D9"/>
    <w:rsid w:val="000A1758"/>
    <w:rsid w:val="000A22C6"/>
    <w:rsid w:val="000A2968"/>
    <w:rsid w:val="000A2AD3"/>
    <w:rsid w:val="000A3F27"/>
    <w:rsid w:val="000A4125"/>
    <w:rsid w:val="000A5634"/>
    <w:rsid w:val="000A6C18"/>
    <w:rsid w:val="000A6FAD"/>
    <w:rsid w:val="000B07D5"/>
    <w:rsid w:val="000B12CA"/>
    <w:rsid w:val="000B175B"/>
    <w:rsid w:val="000B2F27"/>
    <w:rsid w:val="000B3A0F"/>
    <w:rsid w:val="000B4D7E"/>
    <w:rsid w:val="000B6CAA"/>
    <w:rsid w:val="000C2F38"/>
    <w:rsid w:val="000C34C4"/>
    <w:rsid w:val="000C3D2C"/>
    <w:rsid w:val="000C4AB5"/>
    <w:rsid w:val="000C573A"/>
    <w:rsid w:val="000C588A"/>
    <w:rsid w:val="000C64FF"/>
    <w:rsid w:val="000D0AF2"/>
    <w:rsid w:val="000D13B5"/>
    <w:rsid w:val="000D3582"/>
    <w:rsid w:val="000D752A"/>
    <w:rsid w:val="000E0415"/>
    <w:rsid w:val="000E08BC"/>
    <w:rsid w:val="000E2262"/>
    <w:rsid w:val="000E28BB"/>
    <w:rsid w:val="000E2FEC"/>
    <w:rsid w:val="000E41FF"/>
    <w:rsid w:val="000E60A4"/>
    <w:rsid w:val="000E701A"/>
    <w:rsid w:val="000F0840"/>
    <w:rsid w:val="000F0BFC"/>
    <w:rsid w:val="000F1A03"/>
    <w:rsid w:val="000F59F0"/>
    <w:rsid w:val="000F5C18"/>
    <w:rsid w:val="000F7B95"/>
    <w:rsid w:val="00102941"/>
    <w:rsid w:val="00102D15"/>
    <w:rsid w:val="00102F38"/>
    <w:rsid w:val="00110639"/>
    <w:rsid w:val="00110B1B"/>
    <w:rsid w:val="00111085"/>
    <w:rsid w:val="00111287"/>
    <w:rsid w:val="00113810"/>
    <w:rsid w:val="00115214"/>
    <w:rsid w:val="0011529F"/>
    <w:rsid w:val="001156AA"/>
    <w:rsid w:val="001165F3"/>
    <w:rsid w:val="00116F08"/>
    <w:rsid w:val="001174C1"/>
    <w:rsid w:val="001220B8"/>
    <w:rsid w:val="00122348"/>
    <w:rsid w:val="001267AB"/>
    <w:rsid w:val="001268F8"/>
    <w:rsid w:val="00126EA1"/>
    <w:rsid w:val="001300BA"/>
    <w:rsid w:val="001309A4"/>
    <w:rsid w:val="00130E4C"/>
    <w:rsid w:val="0013209E"/>
    <w:rsid w:val="00133C7A"/>
    <w:rsid w:val="001344C8"/>
    <w:rsid w:val="00135288"/>
    <w:rsid w:val="001358AC"/>
    <w:rsid w:val="0013624F"/>
    <w:rsid w:val="0013673C"/>
    <w:rsid w:val="00136F56"/>
    <w:rsid w:val="00137553"/>
    <w:rsid w:val="00140BE1"/>
    <w:rsid w:val="0014286F"/>
    <w:rsid w:val="00143635"/>
    <w:rsid w:val="00145C80"/>
    <w:rsid w:val="001504EE"/>
    <w:rsid w:val="001506FD"/>
    <w:rsid w:val="0015114A"/>
    <w:rsid w:val="00152372"/>
    <w:rsid w:val="00153FEE"/>
    <w:rsid w:val="001548CB"/>
    <w:rsid w:val="0015663F"/>
    <w:rsid w:val="00161478"/>
    <w:rsid w:val="0016197D"/>
    <w:rsid w:val="00162157"/>
    <w:rsid w:val="001627E7"/>
    <w:rsid w:val="0016300E"/>
    <w:rsid w:val="001632D0"/>
    <w:rsid w:val="001637A8"/>
    <w:rsid w:val="001676E4"/>
    <w:rsid w:val="00170AD1"/>
    <w:rsid w:val="00171D19"/>
    <w:rsid w:val="00172A5D"/>
    <w:rsid w:val="0017360B"/>
    <w:rsid w:val="00173C41"/>
    <w:rsid w:val="00173E97"/>
    <w:rsid w:val="00174656"/>
    <w:rsid w:val="00177BAC"/>
    <w:rsid w:val="00177CC0"/>
    <w:rsid w:val="001811F3"/>
    <w:rsid w:val="0018231A"/>
    <w:rsid w:val="001832CD"/>
    <w:rsid w:val="001832E3"/>
    <w:rsid w:val="001840B9"/>
    <w:rsid w:val="00184A68"/>
    <w:rsid w:val="00184B17"/>
    <w:rsid w:val="00187B09"/>
    <w:rsid w:val="001906C3"/>
    <w:rsid w:val="00192EC3"/>
    <w:rsid w:val="001945BD"/>
    <w:rsid w:val="00195F43"/>
    <w:rsid w:val="0019664D"/>
    <w:rsid w:val="001A34A2"/>
    <w:rsid w:val="001A4330"/>
    <w:rsid w:val="001A5F93"/>
    <w:rsid w:val="001A66E9"/>
    <w:rsid w:val="001A6A80"/>
    <w:rsid w:val="001A6F28"/>
    <w:rsid w:val="001B0BC0"/>
    <w:rsid w:val="001B4B04"/>
    <w:rsid w:val="001B500D"/>
    <w:rsid w:val="001B6DE7"/>
    <w:rsid w:val="001B7022"/>
    <w:rsid w:val="001B7229"/>
    <w:rsid w:val="001B7F2B"/>
    <w:rsid w:val="001C01C2"/>
    <w:rsid w:val="001C0BC7"/>
    <w:rsid w:val="001C2437"/>
    <w:rsid w:val="001C2651"/>
    <w:rsid w:val="001C3644"/>
    <w:rsid w:val="001C41D9"/>
    <w:rsid w:val="001C43E4"/>
    <w:rsid w:val="001C6663"/>
    <w:rsid w:val="001C7895"/>
    <w:rsid w:val="001C7B1C"/>
    <w:rsid w:val="001D0280"/>
    <w:rsid w:val="001D2523"/>
    <w:rsid w:val="001D26DF"/>
    <w:rsid w:val="001D2AE3"/>
    <w:rsid w:val="001D2BAF"/>
    <w:rsid w:val="001D3183"/>
    <w:rsid w:val="001D4437"/>
    <w:rsid w:val="001E0EC3"/>
    <w:rsid w:val="001E2993"/>
    <w:rsid w:val="001E2A42"/>
    <w:rsid w:val="001E428B"/>
    <w:rsid w:val="001E4813"/>
    <w:rsid w:val="001E4EAF"/>
    <w:rsid w:val="001E575F"/>
    <w:rsid w:val="001E5F90"/>
    <w:rsid w:val="001E6F05"/>
    <w:rsid w:val="001E7A4B"/>
    <w:rsid w:val="001F6130"/>
    <w:rsid w:val="001F640D"/>
    <w:rsid w:val="001F6778"/>
    <w:rsid w:val="00200AD8"/>
    <w:rsid w:val="00203188"/>
    <w:rsid w:val="00206A72"/>
    <w:rsid w:val="00210041"/>
    <w:rsid w:val="00211E0B"/>
    <w:rsid w:val="00212A0B"/>
    <w:rsid w:val="0021319E"/>
    <w:rsid w:val="00215462"/>
    <w:rsid w:val="00216B65"/>
    <w:rsid w:val="00217D1D"/>
    <w:rsid w:val="002200BC"/>
    <w:rsid w:val="0022045D"/>
    <w:rsid w:val="00222DA8"/>
    <w:rsid w:val="00222EB0"/>
    <w:rsid w:val="00223A63"/>
    <w:rsid w:val="00224360"/>
    <w:rsid w:val="00227E2D"/>
    <w:rsid w:val="00227F84"/>
    <w:rsid w:val="00231C93"/>
    <w:rsid w:val="00232E70"/>
    <w:rsid w:val="0023424F"/>
    <w:rsid w:val="0023495F"/>
    <w:rsid w:val="0023637A"/>
    <w:rsid w:val="0023698C"/>
    <w:rsid w:val="002405A7"/>
    <w:rsid w:val="00240C33"/>
    <w:rsid w:val="00241101"/>
    <w:rsid w:val="0024164A"/>
    <w:rsid w:val="0024371C"/>
    <w:rsid w:val="00246F3E"/>
    <w:rsid w:val="002474C6"/>
    <w:rsid w:val="002476D8"/>
    <w:rsid w:val="00253157"/>
    <w:rsid w:val="0025383D"/>
    <w:rsid w:val="00253ADD"/>
    <w:rsid w:val="00260DAB"/>
    <w:rsid w:val="0026133D"/>
    <w:rsid w:val="0026141F"/>
    <w:rsid w:val="00263068"/>
    <w:rsid w:val="00264C68"/>
    <w:rsid w:val="00267F1A"/>
    <w:rsid w:val="00270621"/>
    <w:rsid w:val="002711EB"/>
    <w:rsid w:val="00275328"/>
    <w:rsid w:val="002775FB"/>
    <w:rsid w:val="00277624"/>
    <w:rsid w:val="00277D58"/>
    <w:rsid w:val="00280144"/>
    <w:rsid w:val="00280C9A"/>
    <w:rsid w:val="002820B1"/>
    <w:rsid w:val="00282F52"/>
    <w:rsid w:val="00283ACD"/>
    <w:rsid w:val="00283CA8"/>
    <w:rsid w:val="0028411C"/>
    <w:rsid w:val="00284197"/>
    <w:rsid w:val="00285368"/>
    <w:rsid w:val="00285CD3"/>
    <w:rsid w:val="002873FB"/>
    <w:rsid w:val="00287864"/>
    <w:rsid w:val="00287C0E"/>
    <w:rsid w:val="00291560"/>
    <w:rsid w:val="00292772"/>
    <w:rsid w:val="00293470"/>
    <w:rsid w:val="0029372B"/>
    <w:rsid w:val="00294FD2"/>
    <w:rsid w:val="00295088"/>
    <w:rsid w:val="0029649E"/>
    <w:rsid w:val="0029653B"/>
    <w:rsid w:val="002A00F7"/>
    <w:rsid w:val="002A1180"/>
    <w:rsid w:val="002A1295"/>
    <w:rsid w:val="002A1A5C"/>
    <w:rsid w:val="002A21B2"/>
    <w:rsid w:val="002A3844"/>
    <w:rsid w:val="002A50DD"/>
    <w:rsid w:val="002A62B6"/>
    <w:rsid w:val="002A6607"/>
    <w:rsid w:val="002A6C31"/>
    <w:rsid w:val="002B0957"/>
    <w:rsid w:val="002B1C3B"/>
    <w:rsid w:val="002B20E7"/>
    <w:rsid w:val="002B245D"/>
    <w:rsid w:val="002B2FA9"/>
    <w:rsid w:val="002B34DF"/>
    <w:rsid w:val="002B4232"/>
    <w:rsid w:val="002B56D9"/>
    <w:rsid w:val="002B6F2B"/>
    <w:rsid w:val="002C06DF"/>
    <w:rsid w:val="002C196E"/>
    <w:rsid w:val="002C3A91"/>
    <w:rsid w:val="002C3AB6"/>
    <w:rsid w:val="002C4B2F"/>
    <w:rsid w:val="002C7357"/>
    <w:rsid w:val="002D0553"/>
    <w:rsid w:val="002D32AB"/>
    <w:rsid w:val="002D3EF1"/>
    <w:rsid w:val="002D441E"/>
    <w:rsid w:val="002D5D4F"/>
    <w:rsid w:val="002D6C5D"/>
    <w:rsid w:val="002D7FE1"/>
    <w:rsid w:val="002E0E4C"/>
    <w:rsid w:val="002E237A"/>
    <w:rsid w:val="002E3A4D"/>
    <w:rsid w:val="002E3D24"/>
    <w:rsid w:val="002E42C4"/>
    <w:rsid w:val="002E45A0"/>
    <w:rsid w:val="002E5FA5"/>
    <w:rsid w:val="002E62FA"/>
    <w:rsid w:val="002E655C"/>
    <w:rsid w:val="002E69D4"/>
    <w:rsid w:val="002E6BDF"/>
    <w:rsid w:val="002F0B18"/>
    <w:rsid w:val="002F18C8"/>
    <w:rsid w:val="002F2244"/>
    <w:rsid w:val="002F2B2E"/>
    <w:rsid w:val="002F2FFF"/>
    <w:rsid w:val="002F3388"/>
    <w:rsid w:val="002F3EDE"/>
    <w:rsid w:val="002F6148"/>
    <w:rsid w:val="002F62AC"/>
    <w:rsid w:val="002F6E0F"/>
    <w:rsid w:val="002F777C"/>
    <w:rsid w:val="00300967"/>
    <w:rsid w:val="0030114A"/>
    <w:rsid w:val="00302DD8"/>
    <w:rsid w:val="00302FC2"/>
    <w:rsid w:val="003050A7"/>
    <w:rsid w:val="003071BE"/>
    <w:rsid w:val="0031078E"/>
    <w:rsid w:val="003107FA"/>
    <w:rsid w:val="00311728"/>
    <w:rsid w:val="00311C15"/>
    <w:rsid w:val="00311CC1"/>
    <w:rsid w:val="003135B5"/>
    <w:rsid w:val="003160CC"/>
    <w:rsid w:val="0031661E"/>
    <w:rsid w:val="00317109"/>
    <w:rsid w:val="0032099D"/>
    <w:rsid w:val="00320BFF"/>
    <w:rsid w:val="003212D7"/>
    <w:rsid w:val="003215FD"/>
    <w:rsid w:val="003229D8"/>
    <w:rsid w:val="00324A00"/>
    <w:rsid w:val="00326949"/>
    <w:rsid w:val="0033003D"/>
    <w:rsid w:val="003307F1"/>
    <w:rsid w:val="00330A10"/>
    <w:rsid w:val="00330D86"/>
    <w:rsid w:val="00331822"/>
    <w:rsid w:val="00334664"/>
    <w:rsid w:val="00334D6A"/>
    <w:rsid w:val="00336DD9"/>
    <w:rsid w:val="0033740F"/>
    <w:rsid w:val="0033745A"/>
    <w:rsid w:val="00345339"/>
    <w:rsid w:val="00346B5E"/>
    <w:rsid w:val="00346DFC"/>
    <w:rsid w:val="0035560F"/>
    <w:rsid w:val="00356018"/>
    <w:rsid w:val="00356334"/>
    <w:rsid w:val="003564A2"/>
    <w:rsid w:val="00357848"/>
    <w:rsid w:val="00361552"/>
    <w:rsid w:val="003633AF"/>
    <w:rsid w:val="0036347F"/>
    <w:rsid w:val="00363C49"/>
    <w:rsid w:val="00363D79"/>
    <w:rsid w:val="00364B94"/>
    <w:rsid w:val="00365502"/>
    <w:rsid w:val="00366922"/>
    <w:rsid w:val="00366B19"/>
    <w:rsid w:val="00370AB6"/>
    <w:rsid w:val="003710CB"/>
    <w:rsid w:val="00372316"/>
    <w:rsid w:val="00373B27"/>
    <w:rsid w:val="00374D9D"/>
    <w:rsid w:val="00374F72"/>
    <w:rsid w:val="00375851"/>
    <w:rsid w:val="003758B0"/>
    <w:rsid w:val="003776C6"/>
    <w:rsid w:val="003801C2"/>
    <w:rsid w:val="00381359"/>
    <w:rsid w:val="00381C62"/>
    <w:rsid w:val="00382159"/>
    <w:rsid w:val="00382DF0"/>
    <w:rsid w:val="00383F18"/>
    <w:rsid w:val="003843EA"/>
    <w:rsid w:val="0038565C"/>
    <w:rsid w:val="0038638E"/>
    <w:rsid w:val="00386D55"/>
    <w:rsid w:val="003873BA"/>
    <w:rsid w:val="00390CDD"/>
    <w:rsid w:val="0039199C"/>
    <w:rsid w:val="00391E28"/>
    <w:rsid w:val="0039277A"/>
    <w:rsid w:val="00394911"/>
    <w:rsid w:val="003953CC"/>
    <w:rsid w:val="00396450"/>
    <w:rsid w:val="00397075"/>
    <w:rsid w:val="003972E0"/>
    <w:rsid w:val="003A2B2B"/>
    <w:rsid w:val="003A4AF5"/>
    <w:rsid w:val="003A748E"/>
    <w:rsid w:val="003A7F0D"/>
    <w:rsid w:val="003B0037"/>
    <w:rsid w:val="003B01B2"/>
    <w:rsid w:val="003B0518"/>
    <w:rsid w:val="003B128F"/>
    <w:rsid w:val="003B17EB"/>
    <w:rsid w:val="003B2F99"/>
    <w:rsid w:val="003B3E94"/>
    <w:rsid w:val="003B3F0D"/>
    <w:rsid w:val="003B4525"/>
    <w:rsid w:val="003C0287"/>
    <w:rsid w:val="003C20EF"/>
    <w:rsid w:val="003C2CC4"/>
    <w:rsid w:val="003C3580"/>
    <w:rsid w:val="003C3936"/>
    <w:rsid w:val="003C7871"/>
    <w:rsid w:val="003D035E"/>
    <w:rsid w:val="003D2487"/>
    <w:rsid w:val="003D2AA1"/>
    <w:rsid w:val="003D33B2"/>
    <w:rsid w:val="003D4420"/>
    <w:rsid w:val="003D4B23"/>
    <w:rsid w:val="003D56F4"/>
    <w:rsid w:val="003D5BA1"/>
    <w:rsid w:val="003D661E"/>
    <w:rsid w:val="003D6B97"/>
    <w:rsid w:val="003E151C"/>
    <w:rsid w:val="003E2062"/>
    <w:rsid w:val="003E23A6"/>
    <w:rsid w:val="003E26A1"/>
    <w:rsid w:val="003E2DCB"/>
    <w:rsid w:val="003E360D"/>
    <w:rsid w:val="003E3829"/>
    <w:rsid w:val="003E3F7F"/>
    <w:rsid w:val="003E43CC"/>
    <w:rsid w:val="003E631C"/>
    <w:rsid w:val="003E6E1A"/>
    <w:rsid w:val="003E7507"/>
    <w:rsid w:val="003F0907"/>
    <w:rsid w:val="003F0969"/>
    <w:rsid w:val="003F1ED3"/>
    <w:rsid w:val="003F27BF"/>
    <w:rsid w:val="003F32D9"/>
    <w:rsid w:val="003F6406"/>
    <w:rsid w:val="003F6500"/>
    <w:rsid w:val="00400589"/>
    <w:rsid w:val="0040099B"/>
    <w:rsid w:val="00402F47"/>
    <w:rsid w:val="00403098"/>
    <w:rsid w:val="00403B38"/>
    <w:rsid w:val="00404482"/>
    <w:rsid w:val="00404E45"/>
    <w:rsid w:val="004056A6"/>
    <w:rsid w:val="004064DF"/>
    <w:rsid w:val="00407150"/>
    <w:rsid w:val="004143A7"/>
    <w:rsid w:val="00414F51"/>
    <w:rsid w:val="00417A8F"/>
    <w:rsid w:val="00420CED"/>
    <w:rsid w:val="004213F7"/>
    <w:rsid w:val="00424A40"/>
    <w:rsid w:val="00425645"/>
    <w:rsid w:val="00427E01"/>
    <w:rsid w:val="0043235B"/>
    <w:rsid w:val="004325CB"/>
    <w:rsid w:val="00433888"/>
    <w:rsid w:val="004346DE"/>
    <w:rsid w:val="00437736"/>
    <w:rsid w:val="0043790E"/>
    <w:rsid w:val="00437CE4"/>
    <w:rsid w:val="00440802"/>
    <w:rsid w:val="00440D10"/>
    <w:rsid w:val="0044192F"/>
    <w:rsid w:val="00442C3F"/>
    <w:rsid w:val="00443785"/>
    <w:rsid w:val="00443B75"/>
    <w:rsid w:val="0044444C"/>
    <w:rsid w:val="004450D6"/>
    <w:rsid w:val="004452C9"/>
    <w:rsid w:val="00446DE4"/>
    <w:rsid w:val="00446E64"/>
    <w:rsid w:val="00447ACD"/>
    <w:rsid w:val="0045008F"/>
    <w:rsid w:val="004501A7"/>
    <w:rsid w:val="0045083F"/>
    <w:rsid w:val="00451C1A"/>
    <w:rsid w:val="00453DC3"/>
    <w:rsid w:val="00454210"/>
    <w:rsid w:val="00455103"/>
    <w:rsid w:val="00456400"/>
    <w:rsid w:val="00457CB9"/>
    <w:rsid w:val="00457DF1"/>
    <w:rsid w:val="00461377"/>
    <w:rsid w:val="004616E1"/>
    <w:rsid w:val="004634D3"/>
    <w:rsid w:val="00464217"/>
    <w:rsid w:val="00466823"/>
    <w:rsid w:val="00466E68"/>
    <w:rsid w:val="00471193"/>
    <w:rsid w:val="00471657"/>
    <w:rsid w:val="00472408"/>
    <w:rsid w:val="00474450"/>
    <w:rsid w:val="00477113"/>
    <w:rsid w:val="0047798C"/>
    <w:rsid w:val="00477A02"/>
    <w:rsid w:val="00482392"/>
    <w:rsid w:val="00482B84"/>
    <w:rsid w:val="00484CD7"/>
    <w:rsid w:val="00484F4E"/>
    <w:rsid w:val="00485727"/>
    <w:rsid w:val="00492039"/>
    <w:rsid w:val="00492799"/>
    <w:rsid w:val="004936EA"/>
    <w:rsid w:val="004940A7"/>
    <w:rsid w:val="004964DE"/>
    <w:rsid w:val="00496E7B"/>
    <w:rsid w:val="004978F9"/>
    <w:rsid w:val="004A072E"/>
    <w:rsid w:val="004A0F33"/>
    <w:rsid w:val="004A146E"/>
    <w:rsid w:val="004A27A4"/>
    <w:rsid w:val="004A27DC"/>
    <w:rsid w:val="004A3BB2"/>
    <w:rsid w:val="004A41CA"/>
    <w:rsid w:val="004A5F3E"/>
    <w:rsid w:val="004A7FFD"/>
    <w:rsid w:val="004B1385"/>
    <w:rsid w:val="004B24B2"/>
    <w:rsid w:val="004B2AC9"/>
    <w:rsid w:val="004B40B2"/>
    <w:rsid w:val="004B512B"/>
    <w:rsid w:val="004B5A54"/>
    <w:rsid w:val="004B6000"/>
    <w:rsid w:val="004B6427"/>
    <w:rsid w:val="004B6D8C"/>
    <w:rsid w:val="004B752D"/>
    <w:rsid w:val="004B7BBF"/>
    <w:rsid w:val="004C09D5"/>
    <w:rsid w:val="004C0C62"/>
    <w:rsid w:val="004C0F93"/>
    <w:rsid w:val="004C11E3"/>
    <w:rsid w:val="004C2C79"/>
    <w:rsid w:val="004C3AC1"/>
    <w:rsid w:val="004C415D"/>
    <w:rsid w:val="004C5988"/>
    <w:rsid w:val="004C6E49"/>
    <w:rsid w:val="004C7717"/>
    <w:rsid w:val="004D1174"/>
    <w:rsid w:val="004D2AEB"/>
    <w:rsid w:val="004D2CE9"/>
    <w:rsid w:val="004D2DA2"/>
    <w:rsid w:val="004D2FEC"/>
    <w:rsid w:val="004D49C5"/>
    <w:rsid w:val="004D5C20"/>
    <w:rsid w:val="004D6280"/>
    <w:rsid w:val="004D6A30"/>
    <w:rsid w:val="004D794B"/>
    <w:rsid w:val="004E0E90"/>
    <w:rsid w:val="004E13D5"/>
    <w:rsid w:val="004E3C76"/>
    <w:rsid w:val="004E5951"/>
    <w:rsid w:val="004E6A74"/>
    <w:rsid w:val="004E773A"/>
    <w:rsid w:val="004F1453"/>
    <w:rsid w:val="004F1A52"/>
    <w:rsid w:val="004F46ED"/>
    <w:rsid w:val="004F6664"/>
    <w:rsid w:val="004F721F"/>
    <w:rsid w:val="005004E3"/>
    <w:rsid w:val="005006DD"/>
    <w:rsid w:val="00501C4A"/>
    <w:rsid w:val="0050220D"/>
    <w:rsid w:val="0050256E"/>
    <w:rsid w:val="00503228"/>
    <w:rsid w:val="0050349D"/>
    <w:rsid w:val="00503E0D"/>
    <w:rsid w:val="00505191"/>
    <w:rsid w:val="00505384"/>
    <w:rsid w:val="0050568D"/>
    <w:rsid w:val="00505D73"/>
    <w:rsid w:val="00507399"/>
    <w:rsid w:val="00507A2B"/>
    <w:rsid w:val="0051084B"/>
    <w:rsid w:val="00512AD1"/>
    <w:rsid w:val="0051374C"/>
    <w:rsid w:val="00515F6E"/>
    <w:rsid w:val="0052297F"/>
    <w:rsid w:val="00523F9B"/>
    <w:rsid w:val="00525E41"/>
    <w:rsid w:val="005276AF"/>
    <w:rsid w:val="005303FA"/>
    <w:rsid w:val="0053255D"/>
    <w:rsid w:val="0053290B"/>
    <w:rsid w:val="00532E68"/>
    <w:rsid w:val="00536099"/>
    <w:rsid w:val="00540F13"/>
    <w:rsid w:val="00541E40"/>
    <w:rsid w:val="005420F2"/>
    <w:rsid w:val="005454DE"/>
    <w:rsid w:val="00550D15"/>
    <w:rsid w:val="0055125F"/>
    <w:rsid w:val="005516E9"/>
    <w:rsid w:val="005521F9"/>
    <w:rsid w:val="00552D98"/>
    <w:rsid w:val="0055616D"/>
    <w:rsid w:val="00556CA4"/>
    <w:rsid w:val="0055703D"/>
    <w:rsid w:val="00557BBE"/>
    <w:rsid w:val="00557D2E"/>
    <w:rsid w:val="00564A8C"/>
    <w:rsid w:val="005666E1"/>
    <w:rsid w:val="00567492"/>
    <w:rsid w:val="00570A1E"/>
    <w:rsid w:val="00571C58"/>
    <w:rsid w:val="00572319"/>
    <w:rsid w:val="00573B20"/>
    <w:rsid w:val="00573D35"/>
    <w:rsid w:val="00574049"/>
    <w:rsid w:val="00574489"/>
    <w:rsid w:val="00575487"/>
    <w:rsid w:val="00575F87"/>
    <w:rsid w:val="005762CE"/>
    <w:rsid w:val="00577C7B"/>
    <w:rsid w:val="00577F27"/>
    <w:rsid w:val="0058037A"/>
    <w:rsid w:val="00580BEA"/>
    <w:rsid w:val="00580D1A"/>
    <w:rsid w:val="00581B3F"/>
    <w:rsid w:val="00585094"/>
    <w:rsid w:val="005857B9"/>
    <w:rsid w:val="00585C4E"/>
    <w:rsid w:val="00585C8C"/>
    <w:rsid w:val="005902B4"/>
    <w:rsid w:val="005903E6"/>
    <w:rsid w:val="00591C6D"/>
    <w:rsid w:val="00591E7F"/>
    <w:rsid w:val="005928D8"/>
    <w:rsid w:val="00592B8C"/>
    <w:rsid w:val="00592E3F"/>
    <w:rsid w:val="005931DD"/>
    <w:rsid w:val="005935CA"/>
    <w:rsid w:val="00593850"/>
    <w:rsid w:val="00593F42"/>
    <w:rsid w:val="005945F3"/>
    <w:rsid w:val="0059485B"/>
    <w:rsid w:val="00595C5B"/>
    <w:rsid w:val="005962E3"/>
    <w:rsid w:val="005964D7"/>
    <w:rsid w:val="00596C8D"/>
    <w:rsid w:val="005A1ED5"/>
    <w:rsid w:val="005A4ED3"/>
    <w:rsid w:val="005A5DFF"/>
    <w:rsid w:val="005A6006"/>
    <w:rsid w:val="005A6C11"/>
    <w:rsid w:val="005A7B0A"/>
    <w:rsid w:val="005B12DD"/>
    <w:rsid w:val="005B1C88"/>
    <w:rsid w:val="005B29EA"/>
    <w:rsid w:val="005B3DB3"/>
    <w:rsid w:val="005B675E"/>
    <w:rsid w:val="005C2D67"/>
    <w:rsid w:val="005C4347"/>
    <w:rsid w:val="005C4762"/>
    <w:rsid w:val="005C593C"/>
    <w:rsid w:val="005C75E8"/>
    <w:rsid w:val="005C78E7"/>
    <w:rsid w:val="005D01BA"/>
    <w:rsid w:val="005D0B36"/>
    <w:rsid w:val="005D2095"/>
    <w:rsid w:val="005D243B"/>
    <w:rsid w:val="005D3180"/>
    <w:rsid w:val="005D5325"/>
    <w:rsid w:val="005D5DE3"/>
    <w:rsid w:val="005D7818"/>
    <w:rsid w:val="005E2FC0"/>
    <w:rsid w:val="005E3584"/>
    <w:rsid w:val="005E3DA0"/>
    <w:rsid w:val="005E5CA9"/>
    <w:rsid w:val="005E7B4B"/>
    <w:rsid w:val="005F00FF"/>
    <w:rsid w:val="005F01ED"/>
    <w:rsid w:val="005F0BE0"/>
    <w:rsid w:val="005F245B"/>
    <w:rsid w:val="005F3191"/>
    <w:rsid w:val="005F3501"/>
    <w:rsid w:val="005F4509"/>
    <w:rsid w:val="005F52C5"/>
    <w:rsid w:val="005F57B5"/>
    <w:rsid w:val="005F5939"/>
    <w:rsid w:val="006004AF"/>
    <w:rsid w:val="006012B0"/>
    <w:rsid w:val="00601B5D"/>
    <w:rsid w:val="00601EA7"/>
    <w:rsid w:val="00603776"/>
    <w:rsid w:val="00604154"/>
    <w:rsid w:val="006043DD"/>
    <w:rsid w:val="006045CC"/>
    <w:rsid w:val="00606802"/>
    <w:rsid w:val="00607FF1"/>
    <w:rsid w:val="00610339"/>
    <w:rsid w:val="006117E2"/>
    <w:rsid w:val="00611FB1"/>
    <w:rsid w:val="00611FC4"/>
    <w:rsid w:val="00612AA4"/>
    <w:rsid w:val="00613135"/>
    <w:rsid w:val="00615181"/>
    <w:rsid w:val="0061588C"/>
    <w:rsid w:val="006176CB"/>
    <w:rsid w:val="006176FB"/>
    <w:rsid w:val="00620417"/>
    <w:rsid w:val="00623E10"/>
    <w:rsid w:val="00624A20"/>
    <w:rsid w:val="00627BA3"/>
    <w:rsid w:val="00627ED0"/>
    <w:rsid w:val="006308F0"/>
    <w:rsid w:val="00631A12"/>
    <w:rsid w:val="00631B9F"/>
    <w:rsid w:val="0063315A"/>
    <w:rsid w:val="0063390F"/>
    <w:rsid w:val="00633F2A"/>
    <w:rsid w:val="00640B26"/>
    <w:rsid w:val="00641419"/>
    <w:rsid w:val="00641B53"/>
    <w:rsid w:val="00642AAB"/>
    <w:rsid w:val="0064551B"/>
    <w:rsid w:val="00645ABF"/>
    <w:rsid w:val="00650B3D"/>
    <w:rsid w:val="00651EB1"/>
    <w:rsid w:val="00652520"/>
    <w:rsid w:val="006528FC"/>
    <w:rsid w:val="00654A33"/>
    <w:rsid w:val="00655740"/>
    <w:rsid w:val="00657299"/>
    <w:rsid w:val="006628B7"/>
    <w:rsid w:val="00662CD4"/>
    <w:rsid w:val="00662CE3"/>
    <w:rsid w:val="006632E0"/>
    <w:rsid w:val="00664803"/>
    <w:rsid w:val="00665173"/>
    <w:rsid w:val="00665595"/>
    <w:rsid w:val="00667602"/>
    <w:rsid w:val="00670C58"/>
    <w:rsid w:val="00673DCA"/>
    <w:rsid w:val="00680C7A"/>
    <w:rsid w:val="00680EFA"/>
    <w:rsid w:val="00681947"/>
    <w:rsid w:val="00681A21"/>
    <w:rsid w:val="00682F77"/>
    <w:rsid w:val="006849D8"/>
    <w:rsid w:val="00685CE0"/>
    <w:rsid w:val="006869F8"/>
    <w:rsid w:val="00687ACB"/>
    <w:rsid w:val="00687EFF"/>
    <w:rsid w:val="00690061"/>
    <w:rsid w:val="0069104F"/>
    <w:rsid w:val="00691259"/>
    <w:rsid w:val="006912D1"/>
    <w:rsid w:val="00691984"/>
    <w:rsid w:val="00694774"/>
    <w:rsid w:val="0069524B"/>
    <w:rsid w:val="00695957"/>
    <w:rsid w:val="00695A9B"/>
    <w:rsid w:val="00695B78"/>
    <w:rsid w:val="00695CB1"/>
    <w:rsid w:val="00696DF7"/>
    <w:rsid w:val="00696F16"/>
    <w:rsid w:val="006A11BE"/>
    <w:rsid w:val="006A475E"/>
    <w:rsid w:val="006A5220"/>
    <w:rsid w:val="006A557F"/>
    <w:rsid w:val="006A55CF"/>
    <w:rsid w:val="006A5BF5"/>
    <w:rsid w:val="006A5DEA"/>
    <w:rsid w:val="006A5E85"/>
    <w:rsid w:val="006A7392"/>
    <w:rsid w:val="006B0262"/>
    <w:rsid w:val="006B0BD7"/>
    <w:rsid w:val="006B129F"/>
    <w:rsid w:val="006B1398"/>
    <w:rsid w:val="006B1BAB"/>
    <w:rsid w:val="006B203F"/>
    <w:rsid w:val="006B2460"/>
    <w:rsid w:val="006B2623"/>
    <w:rsid w:val="006B30D0"/>
    <w:rsid w:val="006B49E9"/>
    <w:rsid w:val="006B4ADA"/>
    <w:rsid w:val="006B5B95"/>
    <w:rsid w:val="006B6785"/>
    <w:rsid w:val="006B6EF7"/>
    <w:rsid w:val="006B7A7D"/>
    <w:rsid w:val="006C089F"/>
    <w:rsid w:val="006C09E3"/>
    <w:rsid w:val="006C1C7B"/>
    <w:rsid w:val="006C487B"/>
    <w:rsid w:val="006C5D3C"/>
    <w:rsid w:val="006C7C6E"/>
    <w:rsid w:val="006D0A4C"/>
    <w:rsid w:val="006D2C6D"/>
    <w:rsid w:val="006D2D94"/>
    <w:rsid w:val="006D3B86"/>
    <w:rsid w:val="006D48AA"/>
    <w:rsid w:val="006D5429"/>
    <w:rsid w:val="006D55BE"/>
    <w:rsid w:val="006D5CD3"/>
    <w:rsid w:val="006D5CDB"/>
    <w:rsid w:val="006D6B90"/>
    <w:rsid w:val="006D749D"/>
    <w:rsid w:val="006E0244"/>
    <w:rsid w:val="006E0290"/>
    <w:rsid w:val="006E259C"/>
    <w:rsid w:val="006E29C9"/>
    <w:rsid w:val="006E425B"/>
    <w:rsid w:val="006E564B"/>
    <w:rsid w:val="006E6624"/>
    <w:rsid w:val="006F0009"/>
    <w:rsid w:val="006F0949"/>
    <w:rsid w:val="006F15A6"/>
    <w:rsid w:val="006F1EFF"/>
    <w:rsid w:val="006F5B4C"/>
    <w:rsid w:val="006F5F42"/>
    <w:rsid w:val="006F7A31"/>
    <w:rsid w:val="007011DE"/>
    <w:rsid w:val="00701402"/>
    <w:rsid w:val="007018AE"/>
    <w:rsid w:val="0070557D"/>
    <w:rsid w:val="00705631"/>
    <w:rsid w:val="00707FA5"/>
    <w:rsid w:val="00711831"/>
    <w:rsid w:val="00715679"/>
    <w:rsid w:val="00715DA2"/>
    <w:rsid w:val="00716B53"/>
    <w:rsid w:val="007218CD"/>
    <w:rsid w:val="0072259E"/>
    <w:rsid w:val="0072414C"/>
    <w:rsid w:val="007241DE"/>
    <w:rsid w:val="0072593A"/>
    <w:rsid w:val="0072632A"/>
    <w:rsid w:val="0072652C"/>
    <w:rsid w:val="00726833"/>
    <w:rsid w:val="0073078C"/>
    <w:rsid w:val="0073129A"/>
    <w:rsid w:val="007312B1"/>
    <w:rsid w:val="00732F77"/>
    <w:rsid w:val="00733AAE"/>
    <w:rsid w:val="00734488"/>
    <w:rsid w:val="00734999"/>
    <w:rsid w:val="00734CD1"/>
    <w:rsid w:val="00736920"/>
    <w:rsid w:val="00742472"/>
    <w:rsid w:val="007424B4"/>
    <w:rsid w:val="00742A11"/>
    <w:rsid w:val="00743568"/>
    <w:rsid w:val="007439B7"/>
    <w:rsid w:val="00743CB6"/>
    <w:rsid w:val="00747C2B"/>
    <w:rsid w:val="00747CE3"/>
    <w:rsid w:val="007508F9"/>
    <w:rsid w:val="00750DFE"/>
    <w:rsid w:val="0075204D"/>
    <w:rsid w:val="007536AA"/>
    <w:rsid w:val="00753A55"/>
    <w:rsid w:val="00755CE3"/>
    <w:rsid w:val="007618E9"/>
    <w:rsid w:val="00763C7A"/>
    <w:rsid w:val="00764793"/>
    <w:rsid w:val="007667C0"/>
    <w:rsid w:val="00766E56"/>
    <w:rsid w:val="007713E6"/>
    <w:rsid w:val="00771810"/>
    <w:rsid w:val="00771D8B"/>
    <w:rsid w:val="00772712"/>
    <w:rsid w:val="0077271F"/>
    <w:rsid w:val="00772BD6"/>
    <w:rsid w:val="00773288"/>
    <w:rsid w:val="00773354"/>
    <w:rsid w:val="007734F1"/>
    <w:rsid w:val="007735A0"/>
    <w:rsid w:val="007758BA"/>
    <w:rsid w:val="00775EB2"/>
    <w:rsid w:val="007800D0"/>
    <w:rsid w:val="00781949"/>
    <w:rsid w:val="00783C66"/>
    <w:rsid w:val="007852E2"/>
    <w:rsid w:val="00786E97"/>
    <w:rsid w:val="007878B1"/>
    <w:rsid w:val="007910B7"/>
    <w:rsid w:val="007912A6"/>
    <w:rsid w:val="00791D02"/>
    <w:rsid w:val="00791ED2"/>
    <w:rsid w:val="007920B3"/>
    <w:rsid w:val="00792C85"/>
    <w:rsid w:val="00792E1C"/>
    <w:rsid w:val="0079333F"/>
    <w:rsid w:val="0079439B"/>
    <w:rsid w:val="00796E0D"/>
    <w:rsid w:val="007A13C4"/>
    <w:rsid w:val="007A16E3"/>
    <w:rsid w:val="007A1923"/>
    <w:rsid w:val="007A238E"/>
    <w:rsid w:val="007A4656"/>
    <w:rsid w:val="007A5319"/>
    <w:rsid w:val="007A58A8"/>
    <w:rsid w:val="007A614D"/>
    <w:rsid w:val="007A694A"/>
    <w:rsid w:val="007A7169"/>
    <w:rsid w:val="007A72CE"/>
    <w:rsid w:val="007B26C4"/>
    <w:rsid w:val="007B2AA1"/>
    <w:rsid w:val="007B30EB"/>
    <w:rsid w:val="007B3DB8"/>
    <w:rsid w:val="007B5103"/>
    <w:rsid w:val="007B6BA5"/>
    <w:rsid w:val="007B6D49"/>
    <w:rsid w:val="007C0F0D"/>
    <w:rsid w:val="007C120F"/>
    <w:rsid w:val="007C19BE"/>
    <w:rsid w:val="007C239A"/>
    <w:rsid w:val="007C3384"/>
    <w:rsid w:val="007C3390"/>
    <w:rsid w:val="007C4482"/>
    <w:rsid w:val="007C4F4B"/>
    <w:rsid w:val="007C566F"/>
    <w:rsid w:val="007C587C"/>
    <w:rsid w:val="007C5A66"/>
    <w:rsid w:val="007C75C0"/>
    <w:rsid w:val="007D2D31"/>
    <w:rsid w:val="007D3ADF"/>
    <w:rsid w:val="007D4ADB"/>
    <w:rsid w:val="007D4DE2"/>
    <w:rsid w:val="007D66A4"/>
    <w:rsid w:val="007D712E"/>
    <w:rsid w:val="007D729D"/>
    <w:rsid w:val="007D73F1"/>
    <w:rsid w:val="007E0778"/>
    <w:rsid w:val="007E135D"/>
    <w:rsid w:val="007E1D14"/>
    <w:rsid w:val="007E3F61"/>
    <w:rsid w:val="007E6069"/>
    <w:rsid w:val="007F0B83"/>
    <w:rsid w:val="007F272B"/>
    <w:rsid w:val="007F4693"/>
    <w:rsid w:val="007F4FCD"/>
    <w:rsid w:val="007F60C4"/>
    <w:rsid w:val="007F6611"/>
    <w:rsid w:val="007F684E"/>
    <w:rsid w:val="007F6B9F"/>
    <w:rsid w:val="007F7710"/>
    <w:rsid w:val="00800B6D"/>
    <w:rsid w:val="00803D3D"/>
    <w:rsid w:val="00804908"/>
    <w:rsid w:val="008054C1"/>
    <w:rsid w:val="00805AD1"/>
    <w:rsid w:val="00805C53"/>
    <w:rsid w:val="00806E2D"/>
    <w:rsid w:val="00806F4D"/>
    <w:rsid w:val="00807F7C"/>
    <w:rsid w:val="00811326"/>
    <w:rsid w:val="008117A1"/>
    <w:rsid w:val="00811940"/>
    <w:rsid w:val="00811D4E"/>
    <w:rsid w:val="008132C0"/>
    <w:rsid w:val="008175E9"/>
    <w:rsid w:val="008202DE"/>
    <w:rsid w:val="00820C5A"/>
    <w:rsid w:val="00821639"/>
    <w:rsid w:val="0082207E"/>
    <w:rsid w:val="00822606"/>
    <w:rsid w:val="008227D6"/>
    <w:rsid w:val="00822CB8"/>
    <w:rsid w:val="00823228"/>
    <w:rsid w:val="008242D7"/>
    <w:rsid w:val="00827E05"/>
    <w:rsid w:val="00827E97"/>
    <w:rsid w:val="00830A1C"/>
    <w:rsid w:val="008311A3"/>
    <w:rsid w:val="008318DB"/>
    <w:rsid w:val="00833934"/>
    <w:rsid w:val="00836EDC"/>
    <w:rsid w:val="008413B4"/>
    <w:rsid w:val="00841B86"/>
    <w:rsid w:val="00842120"/>
    <w:rsid w:val="008423EE"/>
    <w:rsid w:val="0084510B"/>
    <w:rsid w:val="00845A1E"/>
    <w:rsid w:val="00847D06"/>
    <w:rsid w:val="00850952"/>
    <w:rsid w:val="008517BE"/>
    <w:rsid w:val="00856775"/>
    <w:rsid w:val="00856CFD"/>
    <w:rsid w:val="008577F2"/>
    <w:rsid w:val="00860739"/>
    <w:rsid w:val="008609E0"/>
    <w:rsid w:val="00861561"/>
    <w:rsid w:val="0086423F"/>
    <w:rsid w:val="008666A3"/>
    <w:rsid w:val="00867114"/>
    <w:rsid w:val="00867C36"/>
    <w:rsid w:val="0087043F"/>
    <w:rsid w:val="00870845"/>
    <w:rsid w:val="00870D67"/>
    <w:rsid w:val="008715EA"/>
    <w:rsid w:val="00871657"/>
    <w:rsid w:val="00871F08"/>
    <w:rsid w:val="00871FD5"/>
    <w:rsid w:val="00872449"/>
    <w:rsid w:val="00872C11"/>
    <w:rsid w:val="00876554"/>
    <w:rsid w:val="00876710"/>
    <w:rsid w:val="008818DF"/>
    <w:rsid w:val="008823B5"/>
    <w:rsid w:val="00884634"/>
    <w:rsid w:val="00884D20"/>
    <w:rsid w:val="0089162F"/>
    <w:rsid w:val="00891FAD"/>
    <w:rsid w:val="00892032"/>
    <w:rsid w:val="00893354"/>
    <w:rsid w:val="00893453"/>
    <w:rsid w:val="00893AFD"/>
    <w:rsid w:val="008950CF"/>
    <w:rsid w:val="00897457"/>
    <w:rsid w:val="008979A0"/>
    <w:rsid w:val="008979B1"/>
    <w:rsid w:val="008A03BA"/>
    <w:rsid w:val="008A0A0F"/>
    <w:rsid w:val="008A3A54"/>
    <w:rsid w:val="008A49B7"/>
    <w:rsid w:val="008A49CF"/>
    <w:rsid w:val="008A5FC7"/>
    <w:rsid w:val="008A6B25"/>
    <w:rsid w:val="008A6C4F"/>
    <w:rsid w:val="008B01F9"/>
    <w:rsid w:val="008B236B"/>
    <w:rsid w:val="008B2B23"/>
    <w:rsid w:val="008B3806"/>
    <w:rsid w:val="008B4628"/>
    <w:rsid w:val="008B46EF"/>
    <w:rsid w:val="008B7318"/>
    <w:rsid w:val="008B7BE9"/>
    <w:rsid w:val="008C03FF"/>
    <w:rsid w:val="008C3283"/>
    <w:rsid w:val="008C346D"/>
    <w:rsid w:val="008C5304"/>
    <w:rsid w:val="008C5707"/>
    <w:rsid w:val="008C7438"/>
    <w:rsid w:val="008C7A72"/>
    <w:rsid w:val="008C7ABF"/>
    <w:rsid w:val="008D01B6"/>
    <w:rsid w:val="008D05EB"/>
    <w:rsid w:val="008D0734"/>
    <w:rsid w:val="008D2440"/>
    <w:rsid w:val="008D29DE"/>
    <w:rsid w:val="008D54CD"/>
    <w:rsid w:val="008D766E"/>
    <w:rsid w:val="008E09AC"/>
    <w:rsid w:val="008E0E46"/>
    <w:rsid w:val="008E22F5"/>
    <w:rsid w:val="008E2540"/>
    <w:rsid w:val="008E3D2D"/>
    <w:rsid w:val="008E491B"/>
    <w:rsid w:val="008E74B8"/>
    <w:rsid w:val="008F1F69"/>
    <w:rsid w:val="008F47CA"/>
    <w:rsid w:val="008F4AB2"/>
    <w:rsid w:val="008F4F12"/>
    <w:rsid w:val="008F5476"/>
    <w:rsid w:val="008F6303"/>
    <w:rsid w:val="008F72BF"/>
    <w:rsid w:val="00900806"/>
    <w:rsid w:val="0090220B"/>
    <w:rsid w:val="00902530"/>
    <w:rsid w:val="00903311"/>
    <w:rsid w:val="00903E58"/>
    <w:rsid w:val="009057B7"/>
    <w:rsid w:val="00905FB0"/>
    <w:rsid w:val="009063F3"/>
    <w:rsid w:val="00906E93"/>
    <w:rsid w:val="00907AD2"/>
    <w:rsid w:val="009104B2"/>
    <w:rsid w:val="009105B2"/>
    <w:rsid w:val="00910684"/>
    <w:rsid w:val="0091085A"/>
    <w:rsid w:val="009108DD"/>
    <w:rsid w:val="009111C7"/>
    <w:rsid w:val="009119C9"/>
    <w:rsid w:val="0091240B"/>
    <w:rsid w:val="009133C6"/>
    <w:rsid w:val="00913ABC"/>
    <w:rsid w:val="00914A39"/>
    <w:rsid w:val="009155B2"/>
    <w:rsid w:val="00921B66"/>
    <w:rsid w:val="00921EBD"/>
    <w:rsid w:val="0092221D"/>
    <w:rsid w:val="00922876"/>
    <w:rsid w:val="0092321B"/>
    <w:rsid w:val="009248C3"/>
    <w:rsid w:val="00924DF7"/>
    <w:rsid w:val="00925353"/>
    <w:rsid w:val="009267D0"/>
    <w:rsid w:val="009276D0"/>
    <w:rsid w:val="00931870"/>
    <w:rsid w:val="00931D20"/>
    <w:rsid w:val="00931F74"/>
    <w:rsid w:val="009326F6"/>
    <w:rsid w:val="00935B43"/>
    <w:rsid w:val="0093690F"/>
    <w:rsid w:val="009400E2"/>
    <w:rsid w:val="009402C2"/>
    <w:rsid w:val="00940685"/>
    <w:rsid w:val="00944445"/>
    <w:rsid w:val="00944D5C"/>
    <w:rsid w:val="00945A1C"/>
    <w:rsid w:val="00946098"/>
    <w:rsid w:val="0094623A"/>
    <w:rsid w:val="00946979"/>
    <w:rsid w:val="00950D47"/>
    <w:rsid w:val="00951741"/>
    <w:rsid w:val="00956895"/>
    <w:rsid w:val="009568BC"/>
    <w:rsid w:val="0095757D"/>
    <w:rsid w:val="00960337"/>
    <w:rsid w:val="009619F2"/>
    <w:rsid w:val="009630C1"/>
    <w:rsid w:val="00963CBA"/>
    <w:rsid w:val="009647D9"/>
    <w:rsid w:val="00964B7B"/>
    <w:rsid w:val="00965171"/>
    <w:rsid w:val="00965292"/>
    <w:rsid w:val="00965457"/>
    <w:rsid w:val="00965BDA"/>
    <w:rsid w:val="00965FB2"/>
    <w:rsid w:val="00966A45"/>
    <w:rsid w:val="00967C51"/>
    <w:rsid w:val="009708F2"/>
    <w:rsid w:val="009714E0"/>
    <w:rsid w:val="00971C5D"/>
    <w:rsid w:val="00973E4F"/>
    <w:rsid w:val="009744B1"/>
    <w:rsid w:val="00974A5D"/>
    <w:rsid w:val="00974A8D"/>
    <w:rsid w:val="00977178"/>
    <w:rsid w:val="009772DC"/>
    <w:rsid w:val="00977375"/>
    <w:rsid w:val="0097794A"/>
    <w:rsid w:val="00980605"/>
    <w:rsid w:val="00981CD3"/>
    <w:rsid w:val="00982DE4"/>
    <w:rsid w:val="0098592F"/>
    <w:rsid w:val="00986393"/>
    <w:rsid w:val="0099001C"/>
    <w:rsid w:val="00991261"/>
    <w:rsid w:val="00994A75"/>
    <w:rsid w:val="009963F5"/>
    <w:rsid w:val="009979EA"/>
    <w:rsid w:val="009A06C5"/>
    <w:rsid w:val="009A1C35"/>
    <w:rsid w:val="009A20E4"/>
    <w:rsid w:val="009A34AF"/>
    <w:rsid w:val="009A3B26"/>
    <w:rsid w:val="009A3BA9"/>
    <w:rsid w:val="009A4EB0"/>
    <w:rsid w:val="009A57B9"/>
    <w:rsid w:val="009A6041"/>
    <w:rsid w:val="009A690D"/>
    <w:rsid w:val="009B2010"/>
    <w:rsid w:val="009B3505"/>
    <w:rsid w:val="009B4ACF"/>
    <w:rsid w:val="009B5CF8"/>
    <w:rsid w:val="009B7689"/>
    <w:rsid w:val="009C0B17"/>
    <w:rsid w:val="009C2117"/>
    <w:rsid w:val="009C249A"/>
    <w:rsid w:val="009C3067"/>
    <w:rsid w:val="009C4B2E"/>
    <w:rsid w:val="009C4F40"/>
    <w:rsid w:val="009C6EF8"/>
    <w:rsid w:val="009C7372"/>
    <w:rsid w:val="009D09AD"/>
    <w:rsid w:val="009D0F3E"/>
    <w:rsid w:val="009D1720"/>
    <w:rsid w:val="009D3BD0"/>
    <w:rsid w:val="009D4F54"/>
    <w:rsid w:val="009D507E"/>
    <w:rsid w:val="009D609A"/>
    <w:rsid w:val="009D79CE"/>
    <w:rsid w:val="009E1C80"/>
    <w:rsid w:val="009E377A"/>
    <w:rsid w:val="009E4C45"/>
    <w:rsid w:val="009E4CF5"/>
    <w:rsid w:val="009E4FF5"/>
    <w:rsid w:val="009F160E"/>
    <w:rsid w:val="009F24D1"/>
    <w:rsid w:val="009F3A17"/>
    <w:rsid w:val="009F5BBE"/>
    <w:rsid w:val="009F6B5F"/>
    <w:rsid w:val="009F6B60"/>
    <w:rsid w:val="00A03D29"/>
    <w:rsid w:val="00A04E7E"/>
    <w:rsid w:val="00A05FDE"/>
    <w:rsid w:val="00A06332"/>
    <w:rsid w:val="00A07994"/>
    <w:rsid w:val="00A11C1F"/>
    <w:rsid w:val="00A13323"/>
    <w:rsid w:val="00A1427D"/>
    <w:rsid w:val="00A1451D"/>
    <w:rsid w:val="00A14ED0"/>
    <w:rsid w:val="00A1540E"/>
    <w:rsid w:val="00A1616D"/>
    <w:rsid w:val="00A17D48"/>
    <w:rsid w:val="00A2049F"/>
    <w:rsid w:val="00A20A1A"/>
    <w:rsid w:val="00A20EF4"/>
    <w:rsid w:val="00A21A51"/>
    <w:rsid w:val="00A21D5D"/>
    <w:rsid w:val="00A22463"/>
    <w:rsid w:val="00A24952"/>
    <w:rsid w:val="00A2533B"/>
    <w:rsid w:val="00A2579F"/>
    <w:rsid w:val="00A278F3"/>
    <w:rsid w:val="00A30B03"/>
    <w:rsid w:val="00A30BF2"/>
    <w:rsid w:val="00A30CF0"/>
    <w:rsid w:val="00A31429"/>
    <w:rsid w:val="00A3239E"/>
    <w:rsid w:val="00A323ED"/>
    <w:rsid w:val="00A33628"/>
    <w:rsid w:val="00A35A85"/>
    <w:rsid w:val="00A37C0A"/>
    <w:rsid w:val="00A37E96"/>
    <w:rsid w:val="00A40DF5"/>
    <w:rsid w:val="00A40ECA"/>
    <w:rsid w:val="00A42E66"/>
    <w:rsid w:val="00A50AA8"/>
    <w:rsid w:val="00A51BA2"/>
    <w:rsid w:val="00A5213D"/>
    <w:rsid w:val="00A5216A"/>
    <w:rsid w:val="00A52DF9"/>
    <w:rsid w:val="00A5374F"/>
    <w:rsid w:val="00A53A03"/>
    <w:rsid w:val="00A5457C"/>
    <w:rsid w:val="00A54CC8"/>
    <w:rsid w:val="00A5564E"/>
    <w:rsid w:val="00A562ED"/>
    <w:rsid w:val="00A56853"/>
    <w:rsid w:val="00A56DDF"/>
    <w:rsid w:val="00A57B5A"/>
    <w:rsid w:val="00A622F3"/>
    <w:rsid w:val="00A62541"/>
    <w:rsid w:val="00A63260"/>
    <w:rsid w:val="00A6391C"/>
    <w:rsid w:val="00A63BC5"/>
    <w:rsid w:val="00A66AB0"/>
    <w:rsid w:val="00A66D27"/>
    <w:rsid w:val="00A71789"/>
    <w:rsid w:val="00A71BFF"/>
    <w:rsid w:val="00A71CE2"/>
    <w:rsid w:val="00A72F22"/>
    <w:rsid w:val="00A748A6"/>
    <w:rsid w:val="00A74ECA"/>
    <w:rsid w:val="00A77A1C"/>
    <w:rsid w:val="00A805EB"/>
    <w:rsid w:val="00A830B4"/>
    <w:rsid w:val="00A849CC"/>
    <w:rsid w:val="00A854F1"/>
    <w:rsid w:val="00A85F44"/>
    <w:rsid w:val="00A86275"/>
    <w:rsid w:val="00A86D37"/>
    <w:rsid w:val="00A878BE"/>
    <w:rsid w:val="00A879A4"/>
    <w:rsid w:val="00A90075"/>
    <w:rsid w:val="00A90344"/>
    <w:rsid w:val="00A90EAE"/>
    <w:rsid w:val="00A90EE5"/>
    <w:rsid w:val="00A95350"/>
    <w:rsid w:val="00AA05C4"/>
    <w:rsid w:val="00AA24CC"/>
    <w:rsid w:val="00AA5EF3"/>
    <w:rsid w:val="00AA7BCA"/>
    <w:rsid w:val="00AB01B7"/>
    <w:rsid w:val="00AB0D9F"/>
    <w:rsid w:val="00AB5057"/>
    <w:rsid w:val="00AB5D6E"/>
    <w:rsid w:val="00AB5FF8"/>
    <w:rsid w:val="00AC0759"/>
    <w:rsid w:val="00AC1676"/>
    <w:rsid w:val="00AC1C49"/>
    <w:rsid w:val="00AC1EBC"/>
    <w:rsid w:val="00AC2252"/>
    <w:rsid w:val="00AC53C7"/>
    <w:rsid w:val="00AD1619"/>
    <w:rsid w:val="00AD2A82"/>
    <w:rsid w:val="00AD3965"/>
    <w:rsid w:val="00AD4805"/>
    <w:rsid w:val="00AD4D61"/>
    <w:rsid w:val="00AD4DBE"/>
    <w:rsid w:val="00AD5B61"/>
    <w:rsid w:val="00AD5D98"/>
    <w:rsid w:val="00AD7C47"/>
    <w:rsid w:val="00AE1E62"/>
    <w:rsid w:val="00AE277D"/>
    <w:rsid w:val="00AE30F1"/>
    <w:rsid w:val="00AE4E6F"/>
    <w:rsid w:val="00AE4EDB"/>
    <w:rsid w:val="00AE52B5"/>
    <w:rsid w:val="00AE6107"/>
    <w:rsid w:val="00AE728F"/>
    <w:rsid w:val="00AE752F"/>
    <w:rsid w:val="00AF33E9"/>
    <w:rsid w:val="00AF35B2"/>
    <w:rsid w:val="00AF4799"/>
    <w:rsid w:val="00AF5B84"/>
    <w:rsid w:val="00B00422"/>
    <w:rsid w:val="00B015DA"/>
    <w:rsid w:val="00B01D60"/>
    <w:rsid w:val="00B02FF7"/>
    <w:rsid w:val="00B03A91"/>
    <w:rsid w:val="00B03DA2"/>
    <w:rsid w:val="00B05B49"/>
    <w:rsid w:val="00B0606E"/>
    <w:rsid w:val="00B106E2"/>
    <w:rsid w:val="00B109BD"/>
    <w:rsid w:val="00B114B7"/>
    <w:rsid w:val="00B11B76"/>
    <w:rsid w:val="00B11D31"/>
    <w:rsid w:val="00B13096"/>
    <w:rsid w:val="00B1474F"/>
    <w:rsid w:val="00B17CEC"/>
    <w:rsid w:val="00B22A5E"/>
    <w:rsid w:val="00B23E6D"/>
    <w:rsid w:val="00B25217"/>
    <w:rsid w:val="00B26681"/>
    <w:rsid w:val="00B30179"/>
    <w:rsid w:val="00B3228C"/>
    <w:rsid w:val="00B32BED"/>
    <w:rsid w:val="00B33334"/>
    <w:rsid w:val="00B334FD"/>
    <w:rsid w:val="00B339B6"/>
    <w:rsid w:val="00B33D93"/>
    <w:rsid w:val="00B33EC0"/>
    <w:rsid w:val="00B356B8"/>
    <w:rsid w:val="00B36282"/>
    <w:rsid w:val="00B37A59"/>
    <w:rsid w:val="00B41C48"/>
    <w:rsid w:val="00B41D3B"/>
    <w:rsid w:val="00B42AAC"/>
    <w:rsid w:val="00B43C1D"/>
    <w:rsid w:val="00B453E3"/>
    <w:rsid w:val="00B47034"/>
    <w:rsid w:val="00B50843"/>
    <w:rsid w:val="00B52A3E"/>
    <w:rsid w:val="00B5388E"/>
    <w:rsid w:val="00B53F5D"/>
    <w:rsid w:val="00B55182"/>
    <w:rsid w:val="00B567C0"/>
    <w:rsid w:val="00B56AF4"/>
    <w:rsid w:val="00B61CC3"/>
    <w:rsid w:val="00B629A5"/>
    <w:rsid w:val="00B63E6A"/>
    <w:rsid w:val="00B6505E"/>
    <w:rsid w:val="00B654DF"/>
    <w:rsid w:val="00B6571F"/>
    <w:rsid w:val="00B65CED"/>
    <w:rsid w:val="00B66094"/>
    <w:rsid w:val="00B712CD"/>
    <w:rsid w:val="00B72327"/>
    <w:rsid w:val="00B72447"/>
    <w:rsid w:val="00B73367"/>
    <w:rsid w:val="00B74A20"/>
    <w:rsid w:val="00B74B92"/>
    <w:rsid w:val="00B74E96"/>
    <w:rsid w:val="00B76427"/>
    <w:rsid w:val="00B774A0"/>
    <w:rsid w:val="00B8059D"/>
    <w:rsid w:val="00B80982"/>
    <w:rsid w:val="00B80B14"/>
    <w:rsid w:val="00B81183"/>
    <w:rsid w:val="00B81E12"/>
    <w:rsid w:val="00B8252C"/>
    <w:rsid w:val="00B854D7"/>
    <w:rsid w:val="00B85628"/>
    <w:rsid w:val="00B864C6"/>
    <w:rsid w:val="00B87700"/>
    <w:rsid w:val="00B87EC3"/>
    <w:rsid w:val="00B90314"/>
    <w:rsid w:val="00B91128"/>
    <w:rsid w:val="00B91D48"/>
    <w:rsid w:val="00B91E17"/>
    <w:rsid w:val="00B9689A"/>
    <w:rsid w:val="00B970B8"/>
    <w:rsid w:val="00BA0EA4"/>
    <w:rsid w:val="00BA1337"/>
    <w:rsid w:val="00BA2174"/>
    <w:rsid w:val="00BA4736"/>
    <w:rsid w:val="00BA4EDA"/>
    <w:rsid w:val="00BA5149"/>
    <w:rsid w:val="00BA5AE6"/>
    <w:rsid w:val="00BA6971"/>
    <w:rsid w:val="00BB0327"/>
    <w:rsid w:val="00BB119E"/>
    <w:rsid w:val="00BB1E13"/>
    <w:rsid w:val="00BB2543"/>
    <w:rsid w:val="00BB2914"/>
    <w:rsid w:val="00BB4E92"/>
    <w:rsid w:val="00BB55C3"/>
    <w:rsid w:val="00BB6E52"/>
    <w:rsid w:val="00BC34D6"/>
    <w:rsid w:val="00BC4D46"/>
    <w:rsid w:val="00BC4D5E"/>
    <w:rsid w:val="00BC74E9"/>
    <w:rsid w:val="00BD0BB7"/>
    <w:rsid w:val="00BD14E2"/>
    <w:rsid w:val="00BD1ACD"/>
    <w:rsid w:val="00BD2146"/>
    <w:rsid w:val="00BD21BF"/>
    <w:rsid w:val="00BD3B1C"/>
    <w:rsid w:val="00BD4EDF"/>
    <w:rsid w:val="00BD63AC"/>
    <w:rsid w:val="00BD747D"/>
    <w:rsid w:val="00BD7C7B"/>
    <w:rsid w:val="00BD7CBB"/>
    <w:rsid w:val="00BE0F14"/>
    <w:rsid w:val="00BE1AA5"/>
    <w:rsid w:val="00BE3001"/>
    <w:rsid w:val="00BE337E"/>
    <w:rsid w:val="00BE3C7D"/>
    <w:rsid w:val="00BE4F74"/>
    <w:rsid w:val="00BE53F8"/>
    <w:rsid w:val="00BE618E"/>
    <w:rsid w:val="00BE679B"/>
    <w:rsid w:val="00BE73ED"/>
    <w:rsid w:val="00BF1466"/>
    <w:rsid w:val="00BF18F5"/>
    <w:rsid w:val="00BF3900"/>
    <w:rsid w:val="00BF41DD"/>
    <w:rsid w:val="00BF548D"/>
    <w:rsid w:val="00BF660E"/>
    <w:rsid w:val="00C00AE9"/>
    <w:rsid w:val="00C02EFF"/>
    <w:rsid w:val="00C03542"/>
    <w:rsid w:val="00C03CAF"/>
    <w:rsid w:val="00C04153"/>
    <w:rsid w:val="00C04C7D"/>
    <w:rsid w:val="00C05999"/>
    <w:rsid w:val="00C059D6"/>
    <w:rsid w:val="00C0670C"/>
    <w:rsid w:val="00C068FA"/>
    <w:rsid w:val="00C07276"/>
    <w:rsid w:val="00C11764"/>
    <w:rsid w:val="00C11A4C"/>
    <w:rsid w:val="00C11D29"/>
    <w:rsid w:val="00C12C7C"/>
    <w:rsid w:val="00C143B4"/>
    <w:rsid w:val="00C14D26"/>
    <w:rsid w:val="00C1613C"/>
    <w:rsid w:val="00C16D56"/>
    <w:rsid w:val="00C172A8"/>
    <w:rsid w:val="00C17699"/>
    <w:rsid w:val="00C20CE6"/>
    <w:rsid w:val="00C2346D"/>
    <w:rsid w:val="00C234AF"/>
    <w:rsid w:val="00C24A7D"/>
    <w:rsid w:val="00C24BDC"/>
    <w:rsid w:val="00C2609F"/>
    <w:rsid w:val="00C260FE"/>
    <w:rsid w:val="00C26146"/>
    <w:rsid w:val="00C2626D"/>
    <w:rsid w:val="00C27434"/>
    <w:rsid w:val="00C27F1E"/>
    <w:rsid w:val="00C309A6"/>
    <w:rsid w:val="00C3184B"/>
    <w:rsid w:val="00C31B61"/>
    <w:rsid w:val="00C32906"/>
    <w:rsid w:val="00C34CA3"/>
    <w:rsid w:val="00C36CBD"/>
    <w:rsid w:val="00C40740"/>
    <w:rsid w:val="00C407EE"/>
    <w:rsid w:val="00C416E5"/>
    <w:rsid w:val="00C41A28"/>
    <w:rsid w:val="00C4424E"/>
    <w:rsid w:val="00C4443A"/>
    <w:rsid w:val="00C45639"/>
    <w:rsid w:val="00C463DD"/>
    <w:rsid w:val="00C5010C"/>
    <w:rsid w:val="00C5192B"/>
    <w:rsid w:val="00C5285E"/>
    <w:rsid w:val="00C5378D"/>
    <w:rsid w:val="00C55C44"/>
    <w:rsid w:val="00C57704"/>
    <w:rsid w:val="00C579DC"/>
    <w:rsid w:val="00C61374"/>
    <w:rsid w:val="00C645B7"/>
    <w:rsid w:val="00C65812"/>
    <w:rsid w:val="00C65A76"/>
    <w:rsid w:val="00C67357"/>
    <w:rsid w:val="00C67661"/>
    <w:rsid w:val="00C70D56"/>
    <w:rsid w:val="00C71FD3"/>
    <w:rsid w:val="00C7369C"/>
    <w:rsid w:val="00C73C64"/>
    <w:rsid w:val="00C745C3"/>
    <w:rsid w:val="00C74C91"/>
    <w:rsid w:val="00C755F8"/>
    <w:rsid w:val="00C756ED"/>
    <w:rsid w:val="00C75EBE"/>
    <w:rsid w:val="00C7644A"/>
    <w:rsid w:val="00C77C40"/>
    <w:rsid w:val="00C81A02"/>
    <w:rsid w:val="00C825EB"/>
    <w:rsid w:val="00C8436C"/>
    <w:rsid w:val="00C845BE"/>
    <w:rsid w:val="00C87F47"/>
    <w:rsid w:val="00C90AC5"/>
    <w:rsid w:val="00C94465"/>
    <w:rsid w:val="00C94A03"/>
    <w:rsid w:val="00C95C7F"/>
    <w:rsid w:val="00C9627A"/>
    <w:rsid w:val="00C9787A"/>
    <w:rsid w:val="00CA25B7"/>
    <w:rsid w:val="00CA261B"/>
    <w:rsid w:val="00CA27AE"/>
    <w:rsid w:val="00CA3B4C"/>
    <w:rsid w:val="00CA3DA0"/>
    <w:rsid w:val="00CA4B0E"/>
    <w:rsid w:val="00CA5B67"/>
    <w:rsid w:val="00CA69F2"/>
    <w:rsid w:val="00CA749B"/>
    <w:rsid w:val="00CA74F0"/>
    <w:rsid w:val="00CB1DE8"/>
    <w:rsid w:val="00CB3C2E"/>
    <w:rsid w:val="00CB3CAA"/>
    <w:rsid w:val="00CB508F"/>
    <w:rsid w:val="00CB575B"/>
    <w:rsid w:val="00CB74AC"/>
    <w:rsid w:val="00CC010A"/>
    <w:rsid w:val="00CC176D"/>
    <w:rsid w:val="00CC3435"/>
    <w:rsid w:val="00CC3AF8"/>
    <w:rsid w:val="00CC43E8"/>
    <w:rsid w:val="00CC43FD"/>
    <w:rsid w:val="00CC515F"/>
    <w:rsid w:val="00CC51ED"/>
    <w:rsid w:val="00CC7C4C"/>
    <w:rsid w:val="00CD1709"/>
    <w:rsid w:val="00CD1C1A"/>
    <w:rsid w:val="00CD2617"/>
    <w:rsid w:val="00CD33BD"/>
    <w:rsid w:val="00CD455E"/>
    <w:rsid w:val="00CE0D48"/>
    <w:rsid w:val="00CE22EA"/>
    <w:rsid w:val="00CE2BC5"/>
    <w:rsid w:val="00CE3368"/>
    <w:rsid w:val="00CE3C1C"/>
    <w:rsid w:val="00CE459A"/>
    <w:rsid w:val="00CE4A8F"/>
    <w:rsid w:val="00CE7A00"/>
    <w:rsid w:val="00CF06CB"/>
    <w:rsid w:val="00CF1156"/>
    <w:rsid w:val="00CF1B91"/>
    <w:rsid w:val="00CF229E"/>
    <w:rsid w:val="00CF30E8"/>
    <w:rsid w:val="00CF353C"/>
    <w:rsid w:val="00CF41EA"/>
    <w:rsid w:val="00CF55AD"/>
    <w:rsid w:val="00CF58FD"/>
    <w:rsid w:val="00CF5B31"/>
    <w:rsid w:val="00CF69C2"/>
    <w:rsid w:val="00CF7F48"/>
    <w:rsid w:val="00D00622"/>
    <w:rsid w:val="00D0099B"/>
    <w:rsid w:val="00D01403"/>
    <w:rsid w:val="00D02166"/>
    <w:rsid w:val="00D02762"/>
    <w:rsid w:val="00D070F0"/>
    <w:rsid w:val="00D1173F"/>
    <w:rsid w:val="00D118F1"/>
    <w:rsid w:val="00D12966"/>
    <w:rsid w:val="00D143B0"/>
    <w:rsid w:val="00D1553E"/>
    <w:rsid w:val="00D17005"/>
    <w:rsid w:val="00D17803"/>
    <w:rsid w:val="00D17D9D"/>
    <w:rsid w:val="00D2031B"/>
    <w:rsid w:val="00D218AD"/>
    <w:rsid w:val="00D21931"/>
    <w:rsid w:val="00D21DD5"/>
    <w:rsid w:val="00D22293"/>
    <w:rsid w:val="00D222E2"/>
    <w:rsid w:val="00D22506"/>
    <w:rsid w:val="00D228C0"/>
    <w:rsid w:val="00D23796"/>
    <w:rsid w:val="00D23B41"/>
    <w:rsid w:val="00D23D71"/>
    <w:rsid w:val="00D25F0B"/>
    <w:rsid w:val="00D25FE2"/>
    <w:rsid w:val="00D27527"/>
    <w:rsid w:val="00D2776F"/>
    <w:rsid w:val="00D30206"/>
    <w:rsid w:val="00D3070E"/>
    <w:rsid w:val="00D30C58"/>
    <w:rsid w:val="00D30CCF"/>
    <w:rsid w:val="00D317BB"/>
    <w:rsid w:val="00D3202F"/>
    <w:rsid w:val="00D32502"/>
    <w:rsid w:val="00D33063"/>
    <w:rsid w:val="00D3317E"/>
    <w:rsid w:val="00D3319A"/>
    <w:rsid w:val="00D3344B"/>
    <w:rsid w:val="00D3468A"/>
    <w:rsid w:val="00D35071"/>
    <w:rsid w:val="00D359FA"/>
    <w:rsid w:val="00D36923"/>
    <w:rsid w:val="00D37754"/>
    <w:rsid w:val="00D4137D"/>
    <w:rsid w:val="00D41964"/>
    <w:rsid w:val="00D41990"/>
    <w:rsid w:val="00D42198"/>
    <w:rsid w:val="00D43252"/>
    <w:rsid w:val="00D432F3"/>
    <w:rsid w:val="00D43A2C"/>
    <w:rsid w:val="00D44D36"/>
    <w:rsid w:val="00D44EAE"/>
    <w:rsid w:val="00D46947"/>
    <w:rsid w:val="00D50371"/>
    <w:rsid w:val="00D510C8"/>
    <w:rsid w:val="00D53B88"/>
    <w:rsid w:val="00D54E36"/>
    <w:rsid w:val="00D55BD6"/>
    <w:rsid w:val="00D56BB2"/>
    <w:rsid w:val="00D57FDE"/>
    <w:rsid w:val="00D609F2"/>
    <w:rsid w:val="00D6203B"/>
    <w:rsid w:val="00D636D2"/>
    <w:rsid w:val="00D64415"/>
    <w:rsid w:val="00D65A51"/>
    <w:rsid w:val="00D701DA"/>
    <w:rsid w:val="00D703A3"/>
    <w:rsid w:val="00D7124C"/>
    <w:rsid w:val="00D744FB"/>
    <w:rsid w:val="00D7476B"/>
    <w:rsid w:val="00D74C0E"/>
    <w:rsid w:val="00D774F9"/>
    <w:rsid w:val="00D8025B"/>
    <w:rsid w:val="00D822C3"/>
    <w:rsid w:val="00D83402"/>
    <w:rsid w:val="00D83412"/>
    <w:rsid w:val="00D83454"/>
    <w:rsid w:val="00D839AE"/>
    <w:rsid w:val="00D84CB3"/>
    <w:rsid w:val="00D851D6"/>
    <w:rsid w:val="00D8520F"/>
    <w:rsid w:val="00D86491"/>
    <w:rsid w:val="00D8668D"/>
    <w:rsid w:val="00D86D6D"/>
    <w:rsid w:val="00D87150"/>
    <w:rsid w:val="00D8738D"/>
    <w:rsid w:val="00D87AA8"/>
    <w:rsid w:val="00D87E7B"/>
    <w:rsid w:val="00D90CA3"/>
    <w:rsid w:val="00D925E5"/>
    <w:rsid w:val="00D9389E"/>
    <w:rsid w:val="00D953FB"/>
    <w:rsid w:val="00D95A67"/>
    <w:rsid w:val="00D969F6"/>
    <w:rsid w:val="00D9744A"/>
    <w:rsid w:val="00D978C6"/>
    <w:rsid w:val="00D978F3"/>
    <w:rsid w:val="00DA28D2"/>
    <w:rsid w:val="00DA2BC9"/>
    <w:rsid w:val="00DA2DEE"/>
    <w:rsid w:val="00DA32B9"/>
    <w:rsid w:val="00DA3AEC"/>
    <w:rsid w:val="00DA460C"/>
    <w:rsid w:val="00DA5364"/>
    <w:rsid w:val="00DA5440"/>
    <w:rsid w:val="00DA67AD"/>
    <w:rsid w:val="00DA6901"/>
    <w:rsid w:val="00DA741C"/>
    <w:rsid w:val="00DB2A09"/>
    <w:rsid w:val="00DB3038"/>
    <w:rsid w:val="00DB501B"/>
    <w:rsid w:val="00DB5D0F"/>
    <w:rsid w:val="00DB7657"/>
    <w:rsid w:val="00DB7925"/>
    <w:rsid w:val="00DC0AB9"/>
    <w:rsid w:val="00DC1A84"/>
    <w:rsid w:val="00DC1FA3"/>
    <w:rsid w:val="00DC2C31"/>
    <w:rsid w:val="00DC3242"/>
    <w:rsid w:val="00DC5B69"/>
    <w:rsid w:val="00DC69A4"/>
    <w:rsid w:val="00DC6BEB"/>
    <w:rsid w:val="00DC6D81"/>
    <w:rsid w:val="00DC6DF1"/>
    <w:rsid w:val="00DC78E1"/>
    <w:rsid w:val="00DD020F"/>
    <w:rsid w:val="00DD078D"/>
    <w:rsid w:val="00DD2128"/>
    <w:rsid w:val="00DD2768"/>
    <w:rsid w:val="00DD3B4A"/>
    <w:rsid w:val="00DD4BEF"/>
    <w:rsid w:val="00DD55EC"/>
    <w:rsid w:val="00DD57E1"/>
    <w:rsid w:val="00DD5C2F"/>
    <w:rsid w:val="00DE04CE"/>
    <w:rsid w:val="00DE05F4"/>
    <w:rsid w:val="00DE1066"/>
    <w:rsid w:val="00DE33BE"/>
    <w:rsid w:val="00DE370D"/>
    <w:rsid w:val="00DE38F3"/>
    <w:rsid w:val="00DE3A0C"/>
    <w:rsid w:val="00DE3B26"/>
    <w:rsid w:val="00DE415E"/>
    <w:rsid w:val="00DE5F68"/>
    <w:rsid w:val="00DE6DAD"/>
    <w:rsid w:val="00DE7779"/>
    <w:rsid w:val="00DE78DA"/>
    <w:rsid w:val="00DE7924"/>
    <w:rsid w:val="00DF12F7"/>
    <w:rsid w:val="00DF5D84"/>
    <w:rsid w:val="00DF7DEB"/>
    <w:rsid w:val="00E01E01"/>
    <w:rsid w:val="00E0285B"/>
    <w:rsid w:val="00E02C81"/>
    <w:rsid w:val="00E02E18"/>
    <w:rsid w:val="00E04484"/>
    <w:rsid w:val="00E044D8"/>
    <w:rsid w:val="00E0465A"/>
    <w:rsid w:val="00E04809"/>
    <w:rsid w:val="00E06978"/>
    <w:rsid w:val="00E07E09"/>
    <w:rsid w:val="00E1064A"/>
    <w:rsid w:val="00E11176"/>
    <w:rsid w:val="00E125B9"/>
    <w:rsid w:val="00E130AB"/>
    <w:rsid w:val="00E1310A"/>
    <w:rsid w:val="00E140FE"/>
    <w:rsid w:val="00E14AC8"/>
    <w:rsid w:val="00E15F76"/>
    <w:rsid w:val="00E16005"/>
    <w:rsid w:val="00E16D74"/>
    <w:rsid w:val="00E170CF"/>
    <w:rsid w:val="00E175E4"/>
    <w:rsid w:val="00E201CB"/>
    <w:rsid w:val="00E215BE"/>
    <w:rsid w:val="00E21BF5"/>
    <w:rsid w:val="00E22F81"/>
    <w:rsid w:val="00E25A11"/>
    <w:rsid w:val="00E25EE6"/>
    <w:rsid w:val="00E2667E"/>
    <w:rsid w:val="00E26A58"/>
    <w:rsid w:val="00E339EF"/>
    <w:rsid w:val="00E34BE2"/>
    <w:rsid w:val="00E356E0"/>
    <w:rsid w:val="00E402EF"/>
    <w:rsid w:val="00E40560"/>
    <w:rsid w:val="00E405AF"/>
    <w:rsid w:val="00E40664"/>
    <w:rsid w:val="00E40862"/>
    <w:rsid w:val="00E40D63"/>
    <w:rsid w:val="00E40F44"/>
    <w:rsid w:val="00E410E2"/>
    <w:rsid w:val="00E4169B"/>
    <w:rsid w:val="00E41868"/>
    <w:rsid w:val="00E42025"/>
    <w:rsid w:val="00E42808"/>
    <w:rsid w:val="00E42C3D"/>
    <w:rsid w:val="00E43A2D"/>
    <w:rsid w:val="00E45052"/>
    <w:rsid w:val="00E46C1E"/>
    <w:rsid w:val="00E470C5"/>
    <w:rsid w:val="00E515DB"/>
    <w:rsid w:val="00E53D5A"/>
    <w:rsid w:val="00E578CB"/>
    <w:rsid w:val="00E6216C"/>
    <w:rsid w:val="00E65CB4"/>
    <w:rsid w:val="00E66263"/>
    <w:rsid w:val="00E7260F"/>
    <w:rsid w:val="00E73200"/>
    <w:rsid w:val="00E744EE"/>
    <w:rsid w:val="00E74A11"/>
    <w:rsid w:val="00E7572D"/>
    <w:rsid w:val="00E76D3A"/>
    <w:rsid w:val="00E7733E"/>
    <w:rsid w:val="00E77BD1"/>
    <w:rsid w:val="00E80AF6"/>
    <w:rsid w:val="00E81040"/>
    <w:rsid w:val="00E8135F"/>
    <w:rsid w:val="00E82E8E"/>
    <w:rsid w:val="00E83C88"/>
    <w:rsid w:val="00E87402"/>
    <w:rsid w:val="00E87921"/>
    <w:rsid w:val="00E879C5"/>
    <w:rsid w:val="00E87AE4"/>
    <w:rsid w:val="00E90082"/>
    <w:rsid w:val="00E90202"/>
    <w:rsid w:val="00E91462"/>
    <w:rsid w:val="00E91D03"/>
    <w:rsid w:val="00E92155"/>
    <w:rsid w:val="00E92D02"/>
    <w:rsid w:val="00E92EF5"/>
    <w:rsid w:val="00E95106"/>
    <w:rsid w:val="00E95938"/>
    <w:rsid w:val="00E96630"/>
    <w:rsid w:val="00E968DC"/>
    <w:rsid w:val="00E96BC7"/>
    <w:rsid w:val="00E97AD0"/>
    <w:rsid w:val="00EA264E"/>
    <w:rsid w:val="00EA3524"/>
    <w:rsid w:val="00EA4E49"/>
    <w:rsid w:val="00EA5690"/>
    <w:rsid w:val="00EA680A"/>
    <w:rsid w:val="00EA79EB"/>
    <w:rsid w:val="00EA7D9C"/>
    <w:rsid w:val="00EB08F5"/>
    <w:rsid w:val="00EB0D14"/>
    <w:rsid w:val="00EB100F"/>
    <w:rsid w:val="00EB1330"/>
    <w:rsid w:val="00EB31E8"/>
    <w:rsid w:val="00EB3B8B"/>
    <w:rsid w:val="00EC0B24"/>
    <w:rsid w:val="00EC2099"/>
    <w:rsid w:val="00EC3D7E"/>
    <w:rsid w:val="00EC4233"/>
    <w:rsid w:val="00EC512C"/>
    <w:rsid w:val="00EC5A8A"/>
    <w:rsid w:val="00EC61B3"/>
    <w:rsid w:val="00EC6707"/>
    <w:rsid w:val="00ED0BE3"/>
    <w:rsid w:val="00ED2C3F"/>
    <w:rsid w:val="00ED33B5"/>
    <w:rsid w:val="00ED3C73"/>
    <w:rsid w:val="00ED5556"/>
    <w:rsid w:val="00ED66CD"/>
    <w:rsid w:val="00ED692D"/>
    <w:rsid w:val="00ED7A2A"/>
    <w:rsid w:val="00ED7E78"/>
    <w:rsid w:val="00EE05E1"/>
    <w:rsid w:val="00EE0764"/>
    <w:rsid w:val="00EE195A"/>
    <w:rsid w:val="00EE2307"/>
    <w:rsid w:val="00EE2983"/>
    <w:rsid w:val="00EE6D04"/>
    <w:rsid w:val="00EF13F9"/>
    <w:rsid w:val="00EF1D7F"/>
    <w:rsid w:val="00EF1F77"/>
    <w:rsid w:val="00EF352F"/>
    <w:rsid w:val="00EF381F"/>
    <w:rsid w:val="00EF4097"/>
    <w:rsid w:val="00EF48CA"/>
    <w:rsid w:val="00F0058A"/>
    <w:rsid w:val="00F012B8"/>
    <w:rsid w:val="00F0444A"/>
    <w:rsid w:val="00F04D38"/>
    <w:rsid w:val="00F05945"/>
    <w:rsid w:val="00F06485"/>
    <w:rsid w:val="00F065D0"/>
    <w:rsid w:val="00F06BE8"/>
    <w:rsid w:val="00F10CCD"/>
    <w:rsid w:val="00F10D72"/>
    <w:rsid w:val="00F10EF9"/>
    <w:rsid w:val="00F1141E"/>
    <w:rsid w:val="00F11A73"/>
    <w:rsid w:val="00F11F66"/>
    <w:rsid w:val="00F12DEC"/>
    <w:rsid w:val="00F13FE3"/>
    <w:rsid w:val="00F143F9"/>
    <w:rsid w:val="00F14BEF"/>
    <w:rsid w:val="00F14C89"/>
    <w:rsid w:val="00F171BD"/>
    <w:rsid w:val="00F174DD"/>
    <w:rsid w:val="00F205F9"/>
    <w:rsid w:val="00F22775"/>
    <w:rsid w:val="00F24CDF"/>
    <w:rsid w:val="00F27965"/>
    <w:rsid w:val="00F30C48"/>
    <w:rsid w:val="00F30E6B"/>
    <w:rsid w:val="00F3177A"/>
    <w:rsid w:val="00F33C91"/>
    <w:rsid w:val="00F35876"/>
    <w:rsid w:val="00F360AE"/>
    <w:rsid w:val="00F36420"/>
    <w:rsid w:val="00F37701"/>
    <w:rsid w:val="00F37E50"/>
    <w:rsid w:val="00F40C38"/>
    <w:rsid w:val="00F41C61"/>
    <w:rsid w:val="00F429AF"/>
    <w:rsid w:val="00F43AE6"/>
    <w:rsid w:val="00F43E63"/>
    <w:rsid w:val="00F454E4"/>
    <w:rsid w:val="00F4559F"/>
    <w:rsid w:val="00F45F48"/>
    <w:rsid w:val="00F52488"/>
    <w:rsid w:val="00F52906"/>
    <w:rsid w:val="00F52CEF"/>
    <w:rsid w:val="00F53EDA"/>
    <w:rsid w:val="00F550C4"/>
    <w:rsid w:val="00F563A3"/>
    <w:rsid w:val="00F565FA"/>
    <w:rsid w:val="00F566D9"/>
    <w:rsid w:val="00F56BFE"/>
    <w:rsid w:val="00F570B4"/>
    <w:rsid w:val="00F57507"/>
    <w:rsid w:val="00F60950"/>
    <w:rsid w:val="00F60D6B"/>
    <w:rsid w:val="00F629D4"/>
    <w:rsid w:val="00F6413C"/>
    <w:rsid w:val="00F6469D"/>
    <w:rsid w:val="00F66348"/>
    <w:rsid w:val="00F67585"/>
    <w:rsid w:val="00F70B99"/>
    <w:rsid w:val="00F719A2"/>
    <w:rsid w:val="00F7753D"/>
    <w:rsid w:val="00F77750"/>
    <w:rsid w:val="00F825BD"/>
    <w:rsid w:val="00F825F4"/>
    <w:rsid w:val="00F83478"/>
    <w:rsid w:val="00F85F34"/>
    <w:rsid w:val="00F86F9E"/>
    <w:rsid w:val="00F91AA8"/>
    <w:rsid w:val="00F91CEF"/>
    <w:rsid w:val="00F938DA"/>
    <w:rsid w:val="00F967C0"/>
    <w:rsid w:val="00F97805"/>
    <w:rsid w:val="00FA06F7"/>
    <w:rsid w:val="00FA1FC3"/>
    <w:rsid w:val="00FA48EA"/>
    <w:rsid w:val="00FA4B64"/>
    <w:rsid w:val="00FA5C04"/>
    <w:rsid w:val="00FA5CA3"/>
    <w:rsid w:val="00FB0A8C"/>
    <w:rsid w:val="00FB0C97"/>
    <w:rsid w:val="00FB171A"/>
    <w:rsid w:val="00FB17E3"/>
    <w:rsid w:val="00FB1817"/>
    <w:rsid w:val="00FB1941"/>
    <w:rsid w:val="00FB2EE6"/>
    <w:rsid w:val="00FB2F54"/>
    <w:rsid w:val="00FB3859"/>
    <w:rsid w:val="00FB41A0"/>
    <w:rsid w:val="00FB796A"/>
    <w:rsid w:val="00FC1813"/>
    <w:rsid w:val="00FC24D4"/>
    <w:rsid w:val="00FC3302"/>
    <w:rsid w:val="00FC37BD"/>
    <w:rsid w:val="00FC5E00"/>
    <w:rsid w:val="00FC68B7"/>
    <w:rsid w:val="00FC6F14"/>
    <w:rsid w:val="00FD0E1B"/>
    <w:rsid w:val="00FD162E"/>
    <w:rsid w:val="00FD2B74"/>
    <w:rsid w:val="00FD3CD5"/>
    <w:rsid w:val="00FD3F13"/>
    <w:rsid w:val="00FD4CDA"/>
    <w:rsid w:val="00FD6E9D"/>
    <w:rsid w:val="00FD7BF6"/>
    <w:rsid w:val="00FE0054"/>
    <w:rsid w:val="00FE138B"/>
    <w:rsid w:val="00FE13F7"/>
    <w:rsid w:val="00FE223B"/>
    <w:rsid w:val="00FE2337"/>
    <w:rsid w:val="00FE2488"/>
    <w:rsid w:val="00FE2AF2"/>
    <w:rsid w:val="00FE36EC"/>
    <w:rsid w:val="00FE3BFA"/>
    <w:rsid w:val="00FE4A7F"/>
    <w:rsid w:val="00FE4FFC"/>
    <w:rsid w:val="00FF0158"/>
    <w:rsid w:val="00FF0197"/>
    <w:rsid w:val="00FF0563"/>
    <w:rsid w:val="00FF1CF3"/>
    <w:rsid w:val="00FF2577"/>
    <w:rsid w:val="00FF27EF"/>
    <w:rsid w:val="00FF2859"/>
    <w:rsid w:val="00FF3AE9"/>
    <w:rsid w:val="00FF44DA"/>
    <w:rsid w:val="00FF4C06"/>
    <w:rsid w:val="00FF5C6D"/>
    <w:rsid w:val="00FF6403"/>
    <w:rsid w:val="00FF68C8"/>
    <w:rsid w:val="00FF7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18B46"/>
  <w15:chartTrackingRefBased/>
  <w15:docId w15:val="{2FE77F8C-587B-46AD-B278-38155297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8"/>
      </w:numPr>
      <w:spacing w:line="240" w:lineRule="auto"/>
      <w:outlineLvl w:val="1"/>
    </w:pPr>
  </w:style>
  <w:style w:type="paragraph" w:styleId="Heading3">
    <w:name w:val="heading 3"/>
    <w:basedOn w:val="Normal"/>
    <w:next w:val="Normal"/>
    <w:qFormat/>
    <w:rsid w:val="00503228"/>
    <w:pPr>
      <w:numPr>
        <w:ilvl w:val="2"/>
        <w:numId w:val="8"/>
      </w:numPr>
      <w:spacing w:line="240" w:lineRule="auto"/>
      <w:outlineLvl w:val="2"/>
    </w:pPr>
  </w:style>
  <w:style w:type="paragraph" w:styleId="Heading4">
    <w:name w:val="heading 4"/>
    <w:basedOn w:val="Normal"/>
    <w:next w:val="Normal"/>
    <w:qFormat/>
    <w:rsid w:val="00503228"/>
    <w:pPr>
      <w:numPr>
        <w:ilvl w:val="3"/>
        <w:numId w:val="8"/>
      </w:numPr>
      <w:spacing w:line="240" w:lineRule="auto"/>
      <w:outlineLvl w:val="3"/>
    </w:pPr>
  </w:style>
  <w:style w:type="paragraph" w:styleId="Heading5">
    <w:name w:val="heading 5"/>
    <w:basedOn w:val="Normal"/>
    <w:next w:val="Normal"/>
    <w:qFormat/>
    <w:rsid w:val="00503228"/>
    <w:pPr>
      <w:numPr>
        <w:ilvl w:val="4"/>
        <w:numId w:val="8"/>
      </w:numPr>
      <w:spacing w:line="240" w:lineRule="auto"/>
      <w:outlineLvl w:val="4"/>
    </w:pPr>
  </w:style>
  <w:style w:type="paragraph" w:styleId="Heading6">
    <w:name w:val="heading 6"/>
    <w:basedOn w:val="Normal"/>
    <w:next w:val="Normal"/>
    <w:qFormat/>
    <w:rsid w:val="00503228"/>
    <w:pPr>
      <w:numPr>
        <w:ilvl w:val="5"/>
        <w:numId w:val="8"/>
      </w:numPr>
      <w:spacing w:line="240" w:lineRule="auto"/>
      <w:outlineLvl w:val="5"/>
    </w:pPr>
  </w:style>
  <w:style w:type="paragraph" w:styleId="Heading7">
    <w:name w:val="heading 7"/>
    <w:basedOn w:val="Normal"/>
    <w:next w:val="Normal"/>
    <w:link w:val="Heading7Char"/>
    <w:qFormat/>
    <w:rsid w:val="00503228"/>
    <w:pPr>
      <w:numPr>
        <w:ilvl w:val="6"/>
        <w:numId w:val="8"/>
      </w:numPr>
      <w:spacing w:line="240" w:lineRule="auto"/>
      <w:outlineLvl w:val="6"/>
    </w:pPr>
  </w:style>
  <w:style w:type="paragraph" w:styleId="Heading8">
    <w:name w:val="heading 8"/>
    <w:basedOn w:val="Normal"/>
    <w:next w:val="Normal"/>
    <w:qFormat/>
    <w:rsid w:val="00503228"/>
    <w:pPr>
      <w:numPr>
        <w:ilvl w:val="7"/>
        <w:numId w:val="8"/>
      </w:numPr>
      <w:spacing w:line="240" w:lineRule="auto"/>
      <w:outlineLvl w:val="7"/>
    </w:pPr>
  </w:style>
  <w:style w:type="paragraph" w:styleId="Heading9">
    <w:name w:val="heading 9"/>
    <w:basedOn w:val="Normal"/>
    <w:next w:val="Normal"/>
    <w:qFormat/>
    <w:rsid w:val="00503228"/>
    <w:pPr>
      <w:numPr>
        <w:ilvl w:val="8"/>
        <w:numId w:val="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styleId="BodyText">
    <w:name w:val="Body Text"/>
    <w:basedOn w:val="Normal"/>
    <w:link w:val="BodyTextChar"/>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link w:val="BodyText3Char"/>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uiPriority w:val="99"/>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link w:val="CommentTextChar"/>
    <w:uiPriority w:val="99"/>
    <w:semiHidden/>
    <w:rsid w:val="00792E1C"/>
  </w:style>
  <w:style w:type="paragraph" w:styleId="CommentSubject">
    <w:name w:val="annotation subject"/>
    <w:basedOn w:val="CommentText"/>
    <w:next w:val="CommentText"/>
    <w:link w:val="CommentSubjectChar"/>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character" w:customStyle="1" w:styleId="CommentTextChar">
    <w:name w:val="Comment Text Char"/>
    <w:basedOn w:val="DefaultParagraphFont"/>
    <w:link w:val="CommentText"/>
    <w:uiPriority w:val="99"/>
    <w:semiHidden/>
    <w:rsid w:val="00B33334"/>
    <w:rPr>
      <w:lang w:val="en-GB"/>
    </w:rPr>
  </w:style>
  <w:style w:type="paragraph" w:styleId="Revision">
    <w:name w:val="Revision"/>
    <w:hidden/>
    <w:uiPriority w:val="99"/>
    <w:semiHidden/>
    <w:rsid w:val="00FF2859"/>
    <w:rPr>
      <w:lang w:val="en-GB"/>
    </w:rPr>
  </w:style>
  <w:style w:type="paragraph" w:customStyle="1" w:styleId="TableParagraph">
    <w:name w:val="Table Paragraph"/>
    <w:basedOn w:val="Normal"/>
    <w:uiPriority w:val="1"/>
    <w:qFormat/>
    <w:rsid w:val="009979EA"/>
    <w:pPr>
      <w:widowControl w:val="0"/>
      <w:suppressAutoHyphens w:val="0"/>
      <w:autoSpaceDE w:val="0"/>
      <w:autoSpaceDN w:val="0"/>
      <w:spacing w:line="240" w:lineRule="auto"/>
      <w:jc w:val="center"/>
    </w:pPr>
    <w:rPr>
      <w:sz w:val="22"/>
      <w:szCs w:val="22"/>
    </w:rPr>
  </w:style>
  <w:style w:type="character" w:customStyle="1" w:styleId="H1GChar">
    <w:name w:val="_ H_1_G Char"/>
    <w:link w:val="H1G"/>
    <w:locked/>
    <w:rsid w:val="00BB1E13"/>
    <w:rPr>
      <w:b/>
      <w:sz w:val="24"/>
    </w:rPr>
  </w:style>
  <w:style w:type="paragraph" w:customStyle="1" w:styleId="p1">
    <w:name w:val="p1"/>
    <w:basedOn w:val="Normal"/>
    <w:rsid w:val="00BB1E13"/>
    <w:pPr>
      <w:suppressAutoHyphens w:val="0"/>
      <w:spacing w:line="240" w:lineRule="auto"/>
    </w:pPr>
    <w:rPr>
      <w:rFonts w:eastAsiaTheme="minorHAnsi"/>
      <w:sz w:val="17"/>
      <w:szCs w:val="17"/>
    </w:rPr>
  </w:style>
  <w:style w:type="character" w:customStyle="1" w:styleId="apple-converted-space">
    <w:name w:val="apple-converted-space"/>
    <w:basedOn w:val="DefaultParagraphFont"/>
    <w:rsid w:val="00BB1E13"/>
  </w:style>
  <w:style w:type="paragraph" w:customStyle="1" w:styleId="Default">
    <w:name w:val="Default"/>
    <w:rsid w:val="00A37E96"/>
    <w:pPr>
      <w:autoSpaceDE w:val="0"/>
      <w:autoSpaceDN w:val="0"/>
      <w:adjustRightInd w:val="0"/>
    </w:pPr>
    <w:rPr>
      <w:color w:val="000000"/>
      <w:sz w:val="24"/>
      <w:szCs w:val="24"/>
    </w:rPr>
  </w:style>
  <w:style w:type="paragraph" w:styleId="PlainText">
    <w:name w:val="Plain Text"/>
    <w:basedOn w:val="Normal"/>
    <w:link w:val="PlainTextChar"/>
    <w:rsid w:val="0044192F"/>
    <w:rPr>
      <w:rFonts w:cs="Courier New"/>
      <w:lang w:val="en-GB"/>
    </w:rPr>
  </w:style>
  <w:style w:type="character" w:customStyle="1" w:styleId="PlainTextChar">
    <w:name w:val="Plain Text Char"/>
    <w:basedOn w:val="DefaultParagraphFont"/>
    <w:link w:val="PlainText"/>
    <w:rsid w:val="0044192F"/>
    <w:rPr>
      <w:rFonts w:cs="Courier New"/>
      <w:lang w:val="en-GB"/>
    </w:rPr>
  </w:style>
  <w:style w:type="character" w:styleId="LineNumber">
    <w:name w:val="line number"/>
    <w:rsid w:val="0044192F"/>
    <w:rPr>
      <w:sz w:val="14"/>
    </w:rPr>
  </w:style>
  <w:style w:type="numbering" w:styleId="111111">
    <w:name w:val="Outline List 2"/>
    <w:basedOn w:val="NoList"/>
    <w:semiHidden/>
    <w:rsid w:val="0044192F"/>
    <w:pPr>
      <w:numPr>
        <w:numId w:val="16"/>
      </w:numPr>
    </w:pPr>
  </w:style>
  <w:style w:type="numbering" w:styleId="1ai">
    <w:name w:val="Outline List 1"/>
    <w:basedOn w:val="NoList"/>
    <w:semiHidden/>
    <w:rsid w:val="0044192F"/>
    <w:pPr>
      <w:numPr>
        <w:numId w:val="17"/>
      </w:numPr>
    </w:pPr>
  </w:style>
  <w:style w:type="numbering" w:styleId="ArticleSection">
    <w:name w:val="Outline List 3"/>
    <w:basedOn w:val="NoList"/>
    <w:semiHidden/>
    <w:rsid w:val="0044192F"/>
    <w:pPr>
      <w:numPr>
        <w:numId w:val="18"/>
      </w:numPr>
    </w:pPr>
  </w:style>
  <w:style w:type="paragraph" w:styleId="BodyTextFirstIndent">
    <w:name w:val="Body Text First Indent"/>
    <w:basedOn w:val="BodyText"/>
    <w:link w:val="BodyTextFirstIndentChar"/>
    <w:rsid w:val="0044192F"/>
    <w:pPr>
      <w:tabs>
        <w:tab w:val="clear" w:pos="1418"/>
        <w:tab w:val="clear" w:pos="1985"/>
        <w:tab w:val="clear" w:pos="2552"/>
        <w:tab w:val="clear" w:pos="3119"/>
        <w:tab w:val="clear" w:pos="3686"/>
        <w:tab w:val="clear" w:pos="4253"/>
        <w:tab w:val="clear" w:pos="4820"/>
      </w:tabs>
      <w:suppressAutoHyphens/>
      <w:spacing w:after="120" w:line="240" w:lineRule="atLeast"/>
      <w:ind w:firstLine="210"/>
      <w:jc w:val="left"/>
    </w:pPr>
    <w:rPr>
      <w:sz w:val="20"/>
      <w:lang w:val="en-GB"/>
    </w:rPr>
  </w:style>
  <w:style w:type="character" w:customStyle="1" w:styleId="BodyTextChar">
    <w:name w:val="Body Text Char"/>
    <w:basedOn w:val="DefaultParagraphFont"/>
    <w:link w:val="BodyText"/>
    <w:rsid w:val="0044192F"/>
    <w:rPr>
      <w:sz w:val="22"/>
    </w:rPr>
  </w:style>
  <w:style w:type="character" w:customStyle="1" w:styleId="BodyTextFirstIndentChar">
    <w:name w:val="Body Text First Indent Char"/>
    <w:basedOn w:val="BodyTextChar"/>
    <w:link w:val="BodyTextFirstIndent"/>
    <w:rsid w:val="0044192F"/>
    <w:rPr>
      <w:sz w:val="22"/>
      <w:lang w:val="en-GB"/>
    </w:rPr>
  </w:style>
  <w:style w:type="paragraph" w:styleId="BodyTextFirstIndent2">
    <w:name w:val="Body Text First Indent 2"/>
    <w:basedOn w:val="BodyTextIndent"/>
    <w:link w:val="BodyTextFirstIndent2Char"/>
    <w:rsid w:val="0044192F"/>
    <w:pPr>
      <w:tabs>
        <w:tab w:val="clear" w:pos="1418"/>
        <w:tab w:val="clear" w:pos="1985"/>
        <w:tab w:val="clear" w:pos="2552"/>
        <w:tab w:val="clear" w:pos="3119"/>
        <w:tab w:val="clear" w:pos="3686"/>
        <w:tab w:val="clear" w:pos="4253"/>
        <w:tab w:val="clear" w:pos="4820"/>
      </w:tabs>
      <w:suppressAutoHyphens/>
      <w:spacing w:after="120" w:line="240" w:lineRule="atLeast"/>
      <w:ind w:left="283" w:firstLine="210"/>
      <w:jc w:val="left"/>
    </w:pPr>
    <w:rPr>
      <w:sz w:val="20"/>
      <w:lang w:val="en-GB"/>
    </w:rPr>
  </w:style>
  <w:style w:type="character" w:customStyle="1" w:styleId="BodyTextIndentChar">
    <w:name w:val="Body Text Indent Char"/>
    <w:basedOn w:val="DefaultParagraphFont"/>
    <w:link w:val="BodyTextIndent"/>
    <w:rsid w:val="0044192F"/>
    <w:rPr>
      <w:sz w:val="22"/>
    </w:rPr>
  </w:style>
  <w:style w:type="character" w:customStyle="1" w:styleId="BodyTextFirstIndent2Char">
    <w:name w:val="Body Text First Indent 2 Char"/>
    <w:basedOn w:val="BodyTextIndentChar"/>
    <w:link w:val="BodyTextFirstIndent2"/>
    <w:rsid w:val="0044192F"/>
    <w:rPr>
      <w:sz w:val="22"/>
      <w:lang w:val="en-GB"/>
    </w:rPr>
  </w:style>
  <w:style w:type="paragraph" w:styleId="Closing">
    <w:name w:val="Closing"/>
    <w:basedOn w:val="Normal"/>
    <w:link w:val="ClosingChar"/>
    <w:rsid w:val="0044192F"/>
    <w:pPr>
      <w:ind w:left="4252"/>
    </w:pPr>
    <w:rPr>
      <w:lang w:val="en-GB"/>
    </w:rPr>
  </w:style>
  <w:style w:type="character" w:customStyle="1" w:styleId="ClosingChar">
    <w:name w:val="Closing Char"/>
    <w:basedOn w:val="DefaultParagraphFont"/>
    <w:link w:val="Closing"/>
    <w:rsid w:val="0044192F"/>
    <w:rPr>
      <w:lang w:val="en-GB"/>
    </w:rPr>
  </w:style>
  <w:style w:type="paragraph" w:styleId="Date">
    <w:name w:val="Date"/>
    <w:basedOn w:val="Normal"/>
    <w:next w:val="Normal"/>
    <w:link w:val="DateChar"/>
    <w:rsid w:val="0044192F"/>
    <w:rPr>
      <w:lang w:val="en-GB"/>
    </w:rPr>
  </w:style>
  <w:style w:type="character" w:customStyle="1" w:styleId="DateChar">
    <w:name w:val="Date Char"/>
    <w:basedOn w:val="DefaultParagraphFont"/>
    <w:link w:val="Date"/>
    <w:rsid w:val="0044192F"/>
    <w:rPr>
      <w:lang w:val="en-GB"/>
    </w:rPr>
  </w:style>
  <w:style w:type="paragraph" w:styleId="E-mailSignature">
    <w:name w:val="E-mail Signature"/>
    <w:basedOn w:val="Normal"/>
    <w:link w:val="E-mailSignatureChar"/>
    <w:rsid w:val="0044192F"/>
    <w:rPr>
      <w:lang w:val="en-GB"/>
    </w:rPr>
  </w:style>
  <w:style w:type="character" w:customStyle="1" w:styleId="E-mailSignatureChar">
    <w:name w:val="E-mail Signature Char"/>
    <w:basedOn w:val="DefaultParagraphFont"/>
    <w:link w:val="E-mailSignature"/>
    <w:rsid w:val="0044192F"/>
    <w:rPr>
      <w:lang w:val="en-GB"/>
    </w:rPr>
  </w:style>
  <w:style w:type="character" w:styleId="Emphasis">
    <w:name w:val="Emphasis"/>
    <w:qFormat/>
    <w:rsid w:val="0044192F"/>
    <w:rPr>
      <w:i/>
      <w:iCs/>
    </w:rPr>
  </w:style>
  <w:style w:type="paragraph" w:styleId="EnvelopeReturn">
    <w:name w:val="envelope return"/>
    <w:basedOn w:val="Normal"/>
    <w:rsid w:val="0044192F"/>
    <w:rPr>
      <w:rFonts w:ascii="Arial" w:hAnsi="Arial" w:cs="Arial"/>
      <w:lang w:val="en-GB"/>
    </w:rPr>
  </w:style>
  <w:style w:type="character" w:styleId="HTMLAcronym">
    <w:name w:val="HTML Acronym"/>
    <w:basedOn w:val="DefaultParagraphFont"/>
    <w:rsid w:val="0044192F"/>
  </w:style>
  <w:style w:type="paragraph" w:styleId="HTMLAddress">
    <w:name w:val="HTML Address"/>
    <w:basedOn w:val="Normal"/>
    <w:link w:val="HTMLAddressChar"/>
    <w:rsid w:val="0044192F"/>
    <w:rPr>
      <w:i/>
      <w:iCs/>
      <w:lang w:val="en-GB"/>
    </w:rPr>
  </w:style>
  <w:style w:type="character" w:customStyle="1" w:styleId="HTMLAddressChar">
    <w:name w:val="HTML Address Char"/>
    <w:basedOn w:val="DefaultParagraphFont"/>
    <w:link w:val="HTMLAddress"/>
    <w:rsid w:val="0044192F"/>
    <w:rPr>
      <w:i/>
      <w:iCs/>
      <w:lang w:val="en-GB"/>
    </w:rPr>
  </w:style>
  <w:style w:type="character" w:styleId="HTMLCite">
    <w:name w:val="HTML Cite"/>
    <w:rsid w:val="0044192F"/>
    <w:rPr>
      <w:i/>
      <w:iCs/>
    </w:rPr>
  </w:style>
  <w:style w:type="character" w:styleId="HTMLCode">
    <w:name w:val="HTML Code"/>
    <w:rsid w:val="0044192F"/>
    <w:rPr>
      <w:rFonts w:ascii="Courier New" w:hAnsi="Courier New" w:cs="Courier New"/>
      <w:sz w:val="20"/>
      <w:szCs w:val="20"/>
    </w:rPr>
  </w:style>
  <w:style w:type="character" w:styleId="HTMLDefinition">
    <w:name w:val="HTML Definition"/>
    <w:rsid w:val="0044192F"/>
    <w:rPr>
      <w:i/>
      <w:iCs/>
    </w:rPr>
  </w:style>
  <w:style w:type="character" w:styleId="HTMLKeyboard">
    <w:name w:val="HTML Keyboard"/>
    <w:rsid w:val="0044192F"/>
    <w:rPr>
      <w:rFonts w:ascii="Courier New" w:hAnsi="Courier New" w:cs="Courier New"/>
      <w:sz w:val="20"/>
      <w:szCs w:val="20"/>
    </w:rPr>
  </w:style>
  <w:style w:type="paragraph" w:styleId="HTMLPreformatted">
    <w:name w:val="HTML Preformatted"/>
    <w:basedOn w:val="Normal"/>
    <w:link w:val="HTMLPreformattedChar"/>
    <w:semiHidden/>
    <w:rsid w:val="0044192F"/>
    <w:rPr>
      <w:rFonts w:ascii="Courier New" w:hAnsi="Courier New" w:cs="Courier New"/>
      <w:lang w:val="en-GB"/>
    </w:rPr>
  </w:style>
  <w:style w:type="character" w:customStyle="1" w:styleId="HTMLPreformattedChar">
    <w:name w:val="HTML Preformatted Char"/>
    <w:basedOn w:val="DefaultParagraphFont"/>
    <w:link w:val="HTMLPreformatted"/>
    <w:semiHidden/>
    <w:rsid w:val="0044192F"/>
    <w:rPr>
      <w:rFonts w:ascii="Courier New" w:hAnsi="Courier New" w:cs="Courier New"/>
      <w:lang w:val="en-GB"/>
    </w:rPr>
  </w:style>
  <w:style w:type="character" w:styleId="HTMLSample">
    <w:name w:val="HTML Sample"/>
    <w:rsid w:val="0044192F"/>
    <w:rPr>
      <w:rFonts w:ascii="Courier New" w:hAnsi="Courier New" w:cs="Courier New"/>
    </w:rPr>
  </w:style>
  <w:style w:type="character" w:styleId="HTMLTypewriter">
    <w:name w:val="HTML Typewriter"/>
    <w:rsid w:val="0044192F"/>
    <w:rPr>
      <w:rFonts w:ascii="Courier New" w:hAnsi="Courier New" w:cs="Courier New"/>
      <w:sz w:val="20"/>
      <w:szCs w:val="20"/>
    </w:rPr>
  </w:style>
  <w:style w:type="character" w:styleId="HTMLVariable">
    <w:name w:val="HTML Variable"/>
    <w:rsid w:val="0044192F"/>
    <w:rPr>
      <w:i/>
      <w:iCs/>
    </w:rPr>
  </w:style>
  <w:style w:type="paragraph" w:styleId="List">
    <w:name w:val="List"/>
    <w:basedOn w:val="Normal"/>
    <w:rsid w:val="0044192F"/>
    <w:pPr>
      <w:ind w:left="283" w:hanging="283"/>
    </w:pPr>
    <w:rPr>
      <w:lang w:val="en-GB"/>
    </w:rPr>
  </w:style>
  <w:style w:type="paragraph" w:styleId="List2">
    <w:name w:val="List 2"/>
    <w:basedOn w:val="Normal"/>
    <w:rsid w:val="0044192F"/>
    <w:pPr>
      <w:ind w:left="566" w:hanging="283"/>
    </w:pPr>
    <w:rPr>
      <w:lang w:val="en-GB"/>
    </w:rPr>
  </w:style>
  <w:style w:type="paragraph" w:styleId="List3">
    <w:name w:val="List 3"/>
    <w:basedOn w:val="Normal"/>
    <w:rsid w:val="0044192F"/>
    <w:pPr>
      <w:ind w:left="849" w:hanging="283"/>
    </w:pPr>
    <w:rPr>
      <w:lang w:val="en-GB"/>
    </w:rPr>
  </w:style>
  <w:style w:type="paragraph" w:styleId="List4">
    <w:name w:val="List 4"/>
    <w:basedOn w:val="Normal"/>
    <w:rsid w:val="0044192F"/>
    <w:pPr>
      <w:ind w:left="1132" w:hanging="283"/>
    </w:pPr>
    <w:rPr>
      <w:lang w:val="en-GB"/>
    </w:rPr>
  </w:style>
  <w:style w:type="paragraph" w:styleId="List5">
    <w:name w:val="List 5"/>
    <w:basedOn w:val="Normal"/>
    <w:rsid w:val="0044192F"/>
    <w:pPr>
      <w:ind w:left="1415" w:hanging="283"/>
    </w:pPr>
    <w:rPr>
      <w:lang w:val="en-GB"/>
    </w:rPr>
  </w:style>
  <w:style w:type="paragraph" w:styleId="ListBullet">
    <w:name w:val="List Bullet"/>
    <w:basedOn w:val="Normal"/>
    <w:rsid w:val="0044192F"/>
    <w:pPr>
      <w:numPr>
        <w:numId w:val="11"/>
      </w:numPr>
    </w:pPr>
    <w:rPr>
      <w:lang w:val="en-GB"/>
    </w:rPr>
  </w:style>
  <w:style w:type="paragraph" w:styleId="ListBullet2">
    <w:name w:val="List Bullet 2"/>
    <w:basedOn w:val="Normal"/>
    <w:rsid w:val="0044192F"/>
    <w:pPr>
      <w:numPr>
        <w:numId w:val="12"/>
      </w:numPr>
    </w:pPr>
    <w:rPr>
      <w:lang w:val="en-GB"/>
    </w:rPr>
  </w:style>
  <w:style w:type="paragraph" w:styleId="ListBullet3">
    <w:name w:val="List Bullet 3"/>
    <w:basedOn w:val="Normal"/>
    <w:rsid w:val="0044192F"/>
    <w:pPr>
      <w:numPr>
        <w:numId w:val="13"/>
      </w:numPr>
    </w:pPr>
    <w:rPr>
      <w:lang w:val="en-GB"/>
    </w:rPr>
  </w:style>
  <w:style w:type="paragraph" w:styleId="ListBullet4">
    <w:name w:val="List Bullet 4"/>
    <w:basedOn w:val="Normal"/>
    <w:rsid w:val="0044192F"/>
    <w:pPr>
      <w:numPr>
        <w:numId w:val="14"/>
      </w:numPr>
    </w:pPr>
    <w:rPr>
      <w:lang w:val="en-GB"/>
    </w:rPr>
  </w:style>
  <w:style w:type="paragraph" w:styleId="ListBullet5">
    <w:name w:val="List Bullet 5"/>
    <w:basedOn w:val="Normal"/>
    <w:rsid w:val="0044192F"/>
    <w:pPr>
      <w:numPr>
        <w:numId w:val="15"/>
      </w:numPr>
    </w:pPr>
    <w:rPr>
      <w:lang w:val="en-GB"/>
    </w:rPr>
  </w:style>
  <w:style w:type="paragraph" w:styleId="ListContinue">
    <w:name w:val="List Continue"/>
    <w:basedOn w:val="Normal"/>
    <w:rsid w:val="0044192F"/>
    <w:pPr>
      <w:spacing w:after="120"/>
      <w:ind w:left="283"/>
    </w:pPr>
    <w:rPr>
      <w:lang w:val="en-GB"/>
    </w:rPr>
  </w:style>
  <w:style w:type="paragraph" w:styleId="ListContinue2">
    <w:name w:val="List Continue 2"/>
    <w:basedOn w:val="Normal"/>
    <w:rsid w:val="0044192F"/>
    <w:pPr>
      <w:spacing w:after="120"/>
      <w:ind w:left="566"/>
    </w:pPr>
    <w:rPr>
      <w:lang w:val="en-GB"/>
    </w:rPr>
  </w:style>
  <w:style w:type="paragraph" w:styleId="ListContinue3">
    <w:name w:val="List Continue 3"/>
    <w:basedOn w:val="Normal"/>
    <w:rsid w:val="0044192F"/>
    <w:pPr>
      <w:spacing w:after="120"/>
      <w:ind w:left="849"/>
    </w:pPr>
    <w:rPr>
      <w:lang w:val="en-GB"/>
    </w:rPr>
  </w:style>
  <w:style w:type="paragraph" w:styleId="ListContinue4">
    <w:name w:val="List Continue 4"/>
    <w:basedOn w:val="Normal"/>
    <w:rsid w:val="0044192F"/>
    <w:pPr>
      <w:spacing w:after="120"/>
      <w:ind w:left="1132"/>
    </w:pPr>
    <w:rPr>
      <w:lang w:val="en-GB"/>
    </w:rPr>
  </w:style>
  <w:style w:type="paragraph" w:styleId="ListContinue5">
    <w:name w:val="List Continue 5"/>
    <w:basedOn w:val="Normal"/>
    <w:rsid w:val="0044192F"/>
    <w:pPr>
      <w:spacing w:after="120"/>
      <w:ind w:left="1415"/>
    </w:pPr>
    <w:rPr>
      <w:lang w:val="en-GB"/>
    </w:rPr>
  </w:style>
  <w:style w:type="paragraph" w:styleId="ListNumber">
    <w:name w:val="List Number"/>
    <w:basedOn w:val="Normal"/>
    <w:rsid w:val="0044192F"/>
    <w:pPr>
      <w:numPr>
        <w:numId w:val="10"/>
      </w:numPr>
    </w:pPr>
    <w:rPr>
      <w:lang w:val="en-GB"/>
    </w:rPr>
  </w:style>
  <w:style w:type="paragraph" w:styleId="ListNumber2">
    <w:name w:val="List Number 2"/>
    <w:basedOn w:val="Normal"/>
    <w:rsid w:val="0044192F"/>
    <w:pPr>
      <w:numPr>
        <w:numId w:val="9"/>
      </w:numPr>
    </w:pPr>
    <w:rPr>
      <w:lang w:val="en-GB"/>
    </w:rPr>
  </w:style>
  <w:style w:type="paragraph" w:styleId="ListNumber3">
    <w:name w:val="List Number 3"/>
    <w:basedOn w:val="Normal"/>
    <w:rsid w:val="0044192F"/>
    <w:pPr>
      <w:tabs>
        <w:tab w:val="num" w:pos="926"/>
      </w:tabs>
      <w:ind w:left="926" w:hanging="360"/>
    </w:pPr>
    <w:rPr>
      <w:lang w:val="en-GB"/>
    </w:rPr>
  </w:style>
  <w:style w:type="paragraph" w:styleId="ListNumber4">
    <w:name w:val="List Number 4"/>
    <w:basedOn w:val="Normal"/>
    <w:rsid w:val="0044192F"/>
    <w:pPr>
      <w:numPr>
        <w:numId w:val="6"/>
      </w:numPr>
    </w:pPr>
    <w:rPr>
      <w:lang w:val="en-GB"/>
    </w:rPr>
  </w:style>
  <w:style w:type="paragraph" w:styleId="ListNumber5">
    <w:name w:val="List Number 5"/>
    <w:basedOn w:val="Normal"/>
    <w:rsid w:val="0044192F"/>
    <w:pPr>
      <w:numPr>
        <w:numId w:val="7"/>
      </w:numPr>
    </w:pPr>
    <w:rPr>
      <w:lang w:val="en-GB"/>
    </w:rPr>
  </w:style>
  <w:style w:type="paragraph" w:styleId="MessageHeader">
    <w:name w:val="Message Header"/>
    <w:basedOn w:val="Normal"/>
    <w:link w:val="MessageHeaderChar"/>
    <w:rsid w:val="00441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44192F"/>
    <w:rPr>
      <w:rFonts w:ascii="Arial" w:hAnsi="Arial" w:cs="Arial"/>
      <w:sz w:val="24"/>
      <w:szCs w:val="24"/>
      <w:shd w:val="pct20" w:color="auto" w:fill="auto"/>
      <w:lang w:val="en-GB"/>
    </w:rPr>
  </w:style>
  <w:style w:type="paragraph" w:styleId="NormalIndent">
    <w:name w:val="Normal Indent"/>
    <w:basedOn w:val="Normal"/>
    <w:rsid w:val="0044192F"/>
    <w:pPr>
      <w:ind w:left="567"/>
    </w:pPr>
    <w:rPr>
      <w:lang w:val="en-GB"/>
    </w:rPr>
  </w:style>
  <w:style w:type="paragraph" w:styleId="NoteHeading">
    <w:name w:val="Note Heading"/>
    <w:basedOn w:val="Normal"/>
    <w:next w:val="Normal"/>
    <w:link w:val="NoteHeadingChar"/>
    <w:rsid w:val="0044192F"/>
    <w:rPr>
      <w:lang w:val="en-GB"/>
    </w:rPr>
  </w:style>
  <w:style w:type="character" w:customStyle="1" w:styleId="NoteHeadingChar">
    <w:name w:val="Note Heading Char"/>
    <w:basedOn w:val="DefaultParagraphFont"/>
    <w:link w:val="NoteHeading"/>
    <w:rsid w:val="0044192F"/>
    <w:rPr>
      <w:lang w:val="en-GB"/>
    </w:rPr>
  </w:style>
  <w:style w:type="paragraph" w:styleId="Salutation">
    <w:name w:val="Salutation"/>
    <w:basedOn w:val="Normal"/>
    <w:next w:val="Normal"/>
    <w:link w:val="SalutationChar"/>
    <w:rsid w:val="0044192F"/>
    <w:rPr>
      <w:lang w:val="en-GB"/>
    </w:rPr>
  </w:style>
  <w:style w:type="character" w:customStyle="1" w:styleId="SalutationChar">
    <w:name w:val="Salutation Char"/>
    <w:basedOn w:val="DefaultParagraphFont"/>
    <w:link w:val="Salutation"/>
    <w:rsid w:val="0044192F"/>
    <w:rPr>
      <w:lang w:val="en-GB"/>
    </w:rPr>
  </w:style>
  <w:style w:type="paragraph" w:styleId="Signature">
    <w:name w:val="Signature"/>
    <w:basedOn w:val="Normal"/>
    <w:link w:val="SignatureChar"/>
    <w:rsid w:val="0044192F"/>
    <w:pPr>
      <w:ind w:left="4252"/>
    </w:pPr>
    <w:rPr>
      <w:lang w:val="en-GB"/>
    </w:rPr>
  </w:style>
  <w:style w:type="character" w:customStyle="1" w:styleId="SignatureChar">
    <w:name w:val="Signature Char"/>
    <w:basedOn w:val="DefaultParagraphFont"/>
    <w:link w:val="Signature"/>
    <w:rsid w:val="0044192F"/>
    <w:rPr>
      <w:lang w:val="en-GB"/>
    </w:rPr>
  </w:style>
  <w:style w:type="character" w:styleId="Strong">
    <w:name w:val="Strong"/>
    <w:qFormat/>
    <w:rsid w:val="0044192F"/>
    <w:rPr>
      <w:b/>
      <w:bCs/>
    </w:rPr>
  </w:style>
  <w:style w:type="paragraph" w:styleId="Subtitle">
    <w:name w:val="Subtitle"/>
    <w:basedOn w:val="Normal"/>
    <w:link w:val="SubtitleChar"/>
    <w:qFormat/>
    <w:rsid w:val="0044192F"/>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44192F"/>
    <w:rPr>
      <w:rFonts w:ascii="Arial" w:hAnsi="Arial" w:cs="Arial"/>
      <w:sz w:val="24"/>
      <w:szCs w:val="24"/>
      <w:lang w:val="en-GB"/>
    </w:rPr>
  </w:style>
  <w:style w:type="table" w:styleId="Table3Deffects1">
    <w:name w:val="Table 3D effects 1"/>
    <w:basedOn w:val="TableNormal"/>
    <w:semiHidden/>
    <w:rsid w:val="0044192F"/>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4192F"/>
    <w:pPr>
      <w:suppressAutoHyphens/>
      <w:spacing w:line="24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4192F"/>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4192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4192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4192F"/>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4192F"/>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4192F"/>
    <w:pPr>
      <w:suppressAutoHyphens/>
      <w:spacing w:line="24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4192F"/>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4192F"/>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4192F"/>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4192F"/>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4192F"/>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4192F"/>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4192F"/>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4192F"/>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4192F"/>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4192F"/>
    <w:pPr>
      <w:suppressAutoHyphens/>
      <w:spacing w:line="24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4192F"/>
    <w:pPr>
      <w:suppressAutoHyphens/>
      <w:spacing w:line="24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4192F"/>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4192F"/>
    <w:pPr>
      <w:suppressAutoHyphens/>
      <w:spacing w:line="24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4192F"/>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4192F"/>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4192F"/>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4192F"/>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4192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4192F"/>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4192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4192F"/>
    <w:pPr>
      <w:suppressAutoHyphens/>
      <w:spacing w:line="24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4192F"/>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4192F"/>
    <w:pPr>
      <w:suppressAutoHyphens/>
      <w:spacing w:line="24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4192F"/>
    <w:pPr>
      <w:suppressAutoHyphens/>
      <w:spacing w:line="24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4192F"/>
    <w:pPr>
      <w:suppressAutoHyphens/>
      <w:spacing w:line="24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4192F"/>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4192F"/>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4192F"/>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4192F"/>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44192F"/>
    <w:rPr>
      <w:rFonts w:ascii="Arial" w:hAnsi="Arial" w:cs="Arial"/>
      <w:b/>
      <w:bCs/>
      <w:kern w:val="28"/>
      <w:sz w:val="32"/>
      <w:szCs w:val="32"/>
      <w:lang w:val="en-GB"/>
    </w:rPr>
  </w:style>
  <w:style w:type="paragraph" w:styleId="EnvelopeAddress">
    <w:name w:val="envelope address"/>
    <w:basedOn w:val="Normal"/>
    <w:rsid w:val="0044192F"/>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44192F"/>
    <w:rPr>
      <w:rFonts w:ascii="Tahoma" w:hAnsi="Tahoma" w:cs="Tahoma"/>
      <w:sz w:val="16"/>
      <w:szCs w:val="16"/>
    </w:rPr>
  </w:style>
  <w:style w:type="character" w:customStyle="1" w:styleId="BodyText3Char">
    <w:name w:val="Body Text 3 Char"/>
    <w:link w:val="BodyText3"/>
    <w:rsid w:val="0044192F"/>
    <w:rPr>
      <w:sz w:val="22"/>
    </w:rPr>
  </w:style>
  <w:style w:type="character" w:customStyle="1" w:styleId="Heading2Char">
    <w:name w:val="Heading 2 Char"/>
    <w:link w:val="Heading2"/>
    <w:rsid w:val="0044192F"/>
  </w:style>
  <w:style w:type="character" w:customStyle="1" w:styleId="Heading7Char">
    <w:name w:val="Heading 7 Char"/>
    <w:link w:val="Heading7"/>
    <w:rsid w:val="0044192F"/>
  </w:style>
  <w:style w:type="table" w:customStyle="1" w:styleId="Tabellenraster1">
    <w:name w:val="Tabellenraster1"/>
    <w:basedOn w:val="TableNormal"/>
    <w:next w:val="TableGrid"/>
    <w:uiPriority w:val="59"/>
    <w:rsid w:val="0044192F"/>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44192F"/>
    <w:rPr>
      <w:b/>
      <w:bCs/>
      <w:lang w:val="en-GB"/>
    </w:rPr>
  </w:style>
  <w:style w:type="character" w:styleId="UnresolvedMention">
    <w:name w:val="Unresolved Mention"/>
    <w:basedOn w:val="DefaultParagraphFont"/>
    <w:uiPriority w:val="99"/>
    <w:semiHidden/>
    <w:unhideWhenUsed/>
    <w:rsid w:val="008715EA"/>
    <w:rPr>
      <w:color w:val="605E5C"/>
      <w:shd w:val="clear" w:color="auto" w:fill="E1DFDD"/>
    </w:rPr>
  </w:style>
  <w:style w:type="table" w:customStyle="1" w:styleId="TableGrid10">
    <w:name w:val="Table Grid1"/>
    <w:basedOn w:val="TableNormal"/>
    <w:next w:val="TableGrid"/>
    <w:uiPriority w:val="39"/>
    <w:rsid w:val="00EE195A"/>
    <w:rPr>
      <w:rFonts w:asciiTheme="minorHAnsi" w:eastAsiaTheme="minorHAnsi" w:hAnsiTheme="minorHAnsi" w:cstheme="minorBidi"/>
      <w:sz w:val="22"/>
      <w:szCs w:val="22"/>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80AF6"/>
    <w:pPr>
      <w:spacing w:after="200" w:line="240" w:lineRule="auto"/>
    </w:pPr>
    <w:rPr>
      <w:i/>
      <w:iCs/>
      <w:color w:val="44546A" w:themeColor="text2"/>
      <w:sz w:val="18"/>
      <w:szCs w:val="18"/>
    </w:rPr>
  </w:style>
  <w:style w:type="character" w:customStyle="1" w:styleId="H23GChar">
    <w:name w:val="_ H_2/3_G Char"/>
    <w:link w:val="H23G"/>
    <w:rsid w:val="000318F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40833534">
      <w:bodyDiv w:val="1"/>
      <w:marLeft w:val="0"/>
      <w:marRight w:val="0"/>
      <w:marTop w:val="0"/>
      <w:marBottom w:val="0"/>
      <w:divBdr>
        <w:top w:val="none" w:sz="0" w:space="0" w:color="auto"/>
        <w:left w:val="none" w:sz="0" w:space="0" w:color="auto"/>
        <w:bottom w:val="none" w:sz="0" w:space="0" w:color="auto"/>
        <w:right w:val="none" w:sz="0" w:space="0" w:color="auto"/>
      </w:divBdr>
    </w:div>
    <w:div w:id="76677220">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345332833">
      <w:bodyDiv w:val="1"/>
      <w:marLeft w:val="0"/>
      <w:marRight w:val="0"/>
      <w:marTop w:val="0"/>
      <w:marBottom w:val="0"/>
      <w:divBdr>
        <w:top w:val="none" w:sz="0" w:space="0" w:color="auto"/>
        <w:left w:val="none" w:sz="0" w:space="0" w:color="auto"/>
        <w:bottom w:val="none" w:sz="0" w:space="0" w:color="auto"/>
        <w:right w:val="none" w:sz="0" w:space="0" w:color="auto"/>
      </w:divBdr>
    </w:div>
    <w:div w:id="417798752">
      <w:bodyDiv w:val="1"/>
      <w:marLeft w:val="0"/>
      <w:marRight w:val="0"/>
      <w:marTop w:val="0"/>
      <w:marBottom w:val="0"/>
      <w:divBdr>
        <w:top w:val="none" w:sz="0" w:space="0" w:color="auto"/>
        <w:left w:val="none" w:sz="0" w:space="0" w:color="auto"/>
        <w:bottom w:val="none" w:sz="0" w:space="0" w:color="auto"/>
        <w:right w:val="none" w:sz="0" w:space="0" w:color="auto"/>
      </w:divBdr>
    </w:div>
    <w:div w:id="544030685">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701436624">
      <w:bodyDiv w:val="1"/>
      <w:marLeft w:val="0"/>
      <w:marRight w:val="0"/>
      <w:marTop w:val="0"/>
      <w:marBottom w:val="0"/>
      <w:divBdr>
        <w:top w:val="none" w:sz="0" w:space="0" w:color="auto"/>
        <w:left w:val="none" w:sz="0" w:space="0" w:color="auto"/>
        <w:bottom w:val="none" w:sz="0" w:space="0" w:color="auto"/>
        <w:right w:val="none" w:sz="0" w:space="0" w:color="auto"/>
      </w:divBdr>
    </w:div>
    <w:div w:id="804155173">
      <w:bodyDiv w:val="1"/>
      <w:marLeft w:val="0"/>
      <w:marRight w:val="0"/>
      <w:marTop w:val="0"/>
      <w:marBottom w:val="0"/>
      <w:divBdr>
        <w:top w:val="none" w:sz="0" w:space="0" w:color="auto"/>
        <w:left w:val="none" w:sz="0" w:space="0" w:color="auto"/>
        <w:bottom w:val="none" w:sz="0" w:space="0" w:color="auto"/>
        <w:right w:val="none" w:sz="0" w:space="0" w:color="auto"/>
      </w:divBdr>
    </w:div>
    <w:div w:id="816990900">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291983829">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417482858">
      <w:bodyDiv w:val="1"/>
      <w:marLeft w:val="0"/>
      <w:marRight w:val="0"/>
      <w:marTop w:val="0"/>
      <w:marBottom w:val="0"/>
      <w:divBdr>
        <w:top w:val="none" w:sz="0" w:space="0" w:color="auto"/>
        <w:left w:val="none" w:sz="0" w:space="0" w:color="auto"/>
        <w:bottom w:val="none" w:sz="0" w:space="0" w:color="auto"/>
        <w:right w:val="none" w:sz="0" w:space="0" w:color="auto"/>
      </w:divBdr>
    </w:div>
    <w:div w:id="1465659721">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478259243">
      <w:bodyDiv w:val="1"/>
      <w:marLeft w:val="0"/>
      <w:marRight w:val="0"/>
      <w:marTop w:val="0"/>
      <w:marBottom w:val="0"/>
      <w:divBdr>
        <w:top w:val="none" w:sz="0" w:space="0" w:color="auto"/>
        <w:left w:val="none" w:sz="0" w:space="0" w:color="auto"/>
        <w:bottom w:val="none" w:sz="0" w:space="0" w:color="auto"/>
        <w:right w:val="none" w:sz="0" w:space="0" w:color="auto"/>
      </w:divBdr>
    </w:div>
    <w:div w:id="1517114934">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 w:id="18194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D715-A174-4AB2-AF41-8D1B80FB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TotalTime>
  <Pages>20</Pages>
  <Words>6802</Words>
  <Characters>38776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EWG Report (53rd Session)</vt:lpstr>
    </vt:vector>
  </TitlesOfParts>
  <Company>IME</Company>
  <LinksUpToDate>false</LinksUpToDate>
  <CharactersWithSpaces>45488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Report (53rd Session)</dc:title>
  <dc:subject>EWG Report (53rd Session)</dc:subject>
  <dc:creator>IME (D Boston)</dc:creator>
  <cp:keywords/>
  <dc:description/>
  <cp:lastModifiedBy>Laurence Berthet</cp:lastModifiedBy>
  <cp:revision>3</cp:revision>
  <cp:lastPrinted>2018-06-29T11:39:00Z</cp:lastPrinted>
  <dcterms:created xsi:type="dcterms:W3CDTF">2018-06-29T11:39:00Z</dcterms:created>
  <dcterms:modified xsi:type="dcterms:W3CDTF">2018-06-29T11:40:00Z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