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C5D43" w:rsidRPr="00BA7425" w14:paraId="049910FB" w14:textId="77777777" w:rsidTr="007057A1">
        <w:trPr>
          <w:trHeight w:val="851"/>
        </w:trPr>
        <w:tc>
          <w:tcPr>
            <w:tcW w:w="1259" w:type="dxa"/>
            <w:tcBorders>
              <w:top w:val="nil"/>
              <w:left w:val="nil"/>
              <w:bottom w:val="single" w:sz="4" w:space="0" w:color="auto"/>
              <w:right w:val="nil"/>
            </w:tcBorders>
            <w:shd w:val="clear" w:color="auto" w:fill="auto"/>
          </w:tcPr>
          <w:p w14:paraId="7D6D1FCD" w14:textId="77777777" w:rsidR="009C5D43" w:rsidRPr="00BA7425" w:rsidRDefault="009C5D43" w:rsidP="009C5D43">
            <w:pPr>
              <w:spacing w:after="80" w:line="340" w:lineRule="exact"/>
            </w:pPr>
          </w:p>
        </w:tc>
        <w:tc>
          <w:tcPr>
            <w:tcW w:w="2236" w:type="dxa"/>
            <w:tcBorders>
              <w:top w:val="nil"/>
              <w:left w:val="nil"/>
              <w:bottom w:val="single" w:sz="4" w:space="0" w:color="auto"/>
              <w:right w:val="nil"/>
            </w:tcBorders>
            <w:shd w:val="clear" w:color="auto" w:fill="auto"/>
            <w:vAlign w:val="bottom"/>
          </w:tcPr>
          <w:p w14:paraId="5E69F920" w14:textId="77777777" w:rsidR="009C5D43" w:rsidRPr="00BA7425" w:rsidRDefault="009C5D43" w:rsidP="009C5D43">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228731FE" w14:textId="22916E29" w:rsidR="009C5D43" w:rsidRPr="00BA7425" w:rsidRDefault="009C5D43" w:rsidP="009C5D43">
            <w:pPr>
              <w:jc w:val="right"/>
              <w:rPr>
                <w:b/>
                <w:color w:val="FF0000"/>
                <w:sz w:val="40"/>
                <w:szCs w:val="40"/>
              </w:rPr>
            </w:pPr>
            <w:r w:rsidRPr="00BA7425">
              <w:rPr>
                <w:b/>
                <w:sz w:val="40"/>
                <w:szCs w:val="40"/>
              </w:rPr>
              <w:t>UN/SCETDG/53/INF.</w:t>
            </w:r>
            <w:r w:rsidR="00236300">
              <w:rPr>
                <w:b/>
                <w:sz w:val="40"/>
                <w:szCs w:val="40"/>
              </w:rPr>
              <w:t>4</w:t>
            </w:r>
            <w:r w:rsidR="001234FC">
              <w:rPr>
                <w:b/>
                <w:sz w:val="40"/>
                <w:szCs w:val="40"/>
              </w:rPr>
              <w:t>3</w:t>
            </w:r>
          </w:p>
          <w:p w14:paraId="3795B04B" w14:textId="77777777" w:rsidR="009C5D43" w:rsidRPr="00BA7425" w:rsidRDefault="009C5D43" w:rsidP="009C5D43">
            <w:pPr>
              <w:jc w:val="right"/>
              <w:rPr>
                <w:highlight w:val="yellow"/>
              </w:rPr>
            </w:pPr>
          </w:p>
        </w:tc>
      </w:tr>
    </w:tbl>
    <w:tbl>
      <w:tblPr>
        <w:tblW w:w="9645" w:type="dxa"/>
        <w:tblInd w:w="108" w:type="dxa"/>
        <w:tblLayout w:type="fixed"/>
        <w:tblLook w:val="04A0" w:firstRow="1" w:lastRow="0" w:firstColumn="1" w:lastColumn="0" w:noHBand="0" w:noVBand="1"/>
      </w:tblPr>
      <w:tblGrid>
        <w:gridCol w:w="9645"/>
      </w:tblGrid>
      <w:tr w:rsidR="008714BD" w:rsidRPr="00BA7425" w14:paraId="3C5E4793" w14:textId="77777777" w:rsidTr="007057A1">
        <w:tc>
          <w:tcPr>
            <w:tcW w:w="9645" w:type="dxa"/>
            <w:tcMar>
              <w:top w:w="142" w:type="dxa"/>
              <w:left w:w="108" w:type="dxa"/>
              <w:bottom w:w="142" w:type="dxa"/>
              <w:right w:w="108" w:type="dxa"/>
            </w:tcMar>
          </w:tcPr>
          <w:p w14:paraId="02D18EC2" w14:textId="45212897" w:rsidR="008714BD" w:rsidRPr="00BA7425" w:rsidRDefault="008714BD" w:rsidP="00903A5E">
            <w:pPr>
              <w:tabs>
                <w:tab w:val="right" w:pos="9214"/>
              </w:tabs>
            </w:pPr>
            <w:r w:rsidRPr="00BA7425">
              <w:rPr>
                <w:b/>
                <w:sz w:val="24"/>
                <w:szCs w:val="24"/>
              </w:rPr>
              <w:t>Committee of Experts on the Transport of Dangerous Goods</w:t>
            </w:r>
            <w:r w:rsidRPr="00BA7425">
              <w:rPr>
                <w:b/>
                <w:sz w:val="24"/>
                <w:szCs w:val="24"/>
              </w:rPr>
              <w:tab/>
            </w:r>
            <w:r w:rsidRPr="00BA7425">
              <w:rPr>
                <w:b/>
                <w:sz w:val="24"/>
                <w:szCs w:val="24"/>
              </w:rPr>
              <w:br/>
              <w:t>and on the Globally Harmonized System of Classification</w:t>
            </w:r>
            <w:r w:rsidRPr="00BA7425">
              <w:rPr>
                <w:b/>
                <w:sz w:val="24"/>
                <w:szCs w:val="24"/>
              </w:rPr>
              <w:br/>
              <w:t>and Labelling of Chemicals</w:t>
            </w:r>
            <w:r w:rsidRPr="00BA7425">
              <w:rPr>
                <w:b/>
              </w:rPr>
              <w:tab/>
            </w:r>
            <w:r w:rsidR="00236300">
              <w:rPr>
                <w:b/>
              </w:rPr>
              <w:t>18</w:t>
            </w:r>
            <w:r w:rsidRPr="00BA7425">
              <w:rPr>
                <w:b/>
              </w:rPr>
              <w:t xml:space="preserve"> </w:t>
            </w:r>
            <w:r w:rsidR="00903A5E" w:rsidRPr="00BA7425">
              <w:rPr>
                <w:b/>
              </w:rPr>
              <w:t>June</w:t>
            </w:r>
            <w:r w:rsidRPr="00BA7425">
              <w:rPr>
                <w:b/>
              </w:rPr>
              <w:t xml:space="preserve"> 2018</w:t>
            </w:r>
          </w:p>
        </w:tc>
      </w:tr>
      <w:tr w:rsidR="008714BD" w:rsidRPr="00BA7425" w14:paraId="1E5A5F6C" w14:textId="77777777" w:rsidTr="007057A1">
        <w:trPr>
          <w:trHeight w:val="1569"/>
        </w:trPr>
        <w:tc>
          <w:tcPr>
            <w:tcW w:w="9645" w:type="dxa"/>
            <w:tcMar>
              <w:top w:w="57" w:type="dxa"/>
              <w:left w:w="108" w:type="dxa"/>
              <w:bottom w:w="0" w:type="dxa"/>
              <w:right w:w="108" w:type="dxa"/>
            </w:tcMar>
            <w:vAlign w:val="center"/>
          </w:tcPr>
          <w:p w14:paraId="07EC947F" w14:textId="77777777" w:rsidR="008714BD" w:rsidRPr="00BA7425" w:rsidRDefault="008714BD" w:rsidP="007057A1">
            <w:pPr>
              <w:rPr>
                <w:b/>
              </w:rPr>
            </w:pPr>
            <w:r w:rsidRPr="00BA7425">
              <w:rPr>
                <w:b/>
              </w:rPr>
              <w:t>Sub-Committee of Experts on the Transport of Dangerous Goods</w:t>
            </w:r>
          </w:p>
          <w:p w14:paraId="1A097832" w14:textId="77777777" w:rsidR="008714BD" w:rsidRPr="00BA7425" w:rsidRDefault="008714BD" w:rsidP="007057A1">
            <w:pPr>
              <w:spacing w:before="120"/>
              <w:ind w:left="34" w:hanging="34"/>
              <w:rPr>
                <w:b/>
              </w:rPr>
            </w:pPr>
            <w:r w:rsidRPr="00BA7425">
              <w:rPr>
                <w:b/>
              </w:rPr>
              <w:t>Fifty-third session</w:t>
            </w:r>
          </w:p>
          <w:p w14:paraId="7854E882" w14:textId="77777777" w:rsidR="008714BD" w:rsidRPr="00BA7425" w:rsidRDefault="008714BD" w:rsidP="007057A1">
            <w:pPr>
              <w:tabs>
                <w:tab w:val="left" w:pos="6361"/>
                <w:tab w:val="left" w:pos="6939"/>
              </w:tabs>
              <w:spacing w:before="40"/>
              <w:outlineLvl w:val="0"/>
              <w:rPr>
                <w:bCs/>
              </w:rPr>
            </w:pPr>
            <w:r w:rsidRPr="00BA7425">
              <w:t>Geneva, 25 June-4 July 2018</w:t>
            </w:r>
          </w:p>
          <w:p w14:paraId="611BFDC7" w14:textId="18892F1F" w:rsidR="008714BD" w:rsidRPr="00BA7425" w:rsidRDefault="008714BD" w:rsidP="008714BD">
            <w:r w:rsidRPr="00BA7425">
              <w:t xml:space="preserve">Item </w:t>
            </w:r>
            <w:r w:rsidR="001234FC">
              <w:t>2 (j</w:t>
            </w:r>
            <w:r w:rsidRPr="00BA7425">
              <w:t>) of the provisional agenda</w:t>
            </w:r>
          </w:p>
          <w:p w14:paraId="07F35D99" w14:textId="6BAF2A6D" w:rsidR="008714BD" w:rsidRPr="001234FC" w:rsidRDefault="001234FC" w:rsidP="008714BD">
            <w:pPr>
              <w:rPr>
                <w:b/>
                <w:bCs/>
              </w:rPr>
            </w:pPr>
            <w:r w:rsidRPr="001234FC">
              <w:rPr>
                <w:b/>
                <w:bCs/>
              </w:rPr>
              <w:t>Explosives and related matters: miscellaneous</w:t>
            </w:r>
          </w:p>
        </w:tc>
      </w:tr>
    </w:tbl>
    <w:p w14:paraId="72719029" w14:textId="3D394805" w:rsidR="001234FC" w:rsidRPr="00151AEE" w:rsidRDefault="0017302C" w:rsidP="001234FC">
      <w:pPr>
        <w:pStyle w:val="HChG"/>
      </w:pPr>
      <w:r w:rsidRPr="00BA7425">
        <w:rPr>
          <w:lang w:val="en-GB"/>
        </w:rPr>
        <w:tab/>
      </w:r>
      <w:r w:rsidR="001234FC" w:rsidRPr="00151AEE">
        <w:tab/>
        <w:t>A method for transporting controlled shipments of explosives that are not classified (</w:t>
      </w:r>
      <w:r w:rsidR="001234FC" w:rsidRPr="00151AEE">
        <w:sym w:font="Symbol" w:char="F0A3"/>
      </w:r>
      <w:r w:rsidR="001234FC" w:rsidRPr="00151AEE">
        <w:t xml:space="preserve"> 25 grams)</w:t>
      </w:r>
    </w:p>
    <w:p w14:paraId="09B45E3F" w14:textId="6C3F1051" w:rsidR="001234FC" w:rsidRPr="00151AEE" w:rsidRDefault="001234FC" w:rsidP="001234FC">
      <w:pPr>
        <w:pStyle w:val="H1G"/>
      </w:pPr>
      <w:r w:rsidRPr="00151AEE">
        <w:tab/>
      </w:r>
      <w:r w:rsidRPr="00151AEE">
        <w:tab/>
        <w:t>Transmitted by the Sporting Arms and Ammunition Manufacturers’ Institute (SAAMI)</w:t>
      </w:r>
    </w:p>
    <w:p w14:paraId="67905959" w14:textId="77777777" w:rsidR="001234FC" w:rsidRPr="00151AEE" w:rsidRDefault="001234FC" w:rsidP="001234FC">
      <w:pPr>
        <w:pStyle w:val="HChG"/>
      </w:pPr>
      <w:r w:rsidRPr="00151AEE">
        <w:tab/>
      </w:r>
      <w:r w:rsidRPr="00151AEE">
        <w:tab/>
        <w:t>Introduction</w:t>
      </w:r>
    </w:p>
    <w:p w14:paraId="27C08998" w14:textId="654FF44C" w:rsidR="001234FC" w:rsidRPr="00151AEE" w:rsidRDefault="001234FC" w:rsidP="001234FC">
      <w:pPr>
        <w:pStyle w:val="SingleTxtG"/>
        <w:numPr>
          <w:ilvl w:val="0"/>
          <w:numId w:val="34"/>
        </w:numPr>
        <w:ind w:left="1124" w:firstLine="10"/>
      </w:pPr>
      <w:r w:rsidRPr="00151AEE">
        <w:t xml:space="preserve">This </w:t>
      </w:r>
      <w:r>
        <w:t>i</w:t>
      </w:r>
      <w:r w:rsidRPr="00151AEE">
        <w:t xml:space="preserve">nformal </w:t>
      </w:r>
      <w:r>
        <w:t>p</w:t>
      </w:r>
      <w:r w:rsidRPr="00151AEE">
        <w:t>aper is supplemental to working paper ST/SG/AC.10/C.3/2018/53</w:t>
      </w:r>
      <w:r>
        <w:t>.</w:t>
      </w:r>
      <w:r w:rsidRPr="00151AEE">
        <w:t xml:space="preserve"> This paper provides the proposals for including this special shipping container and the associated provisions/specifications into the various applicable sections of the UN Model Regulations. All recommendations previously offered by the </w:t>
      </w:r>
      <w:r w:rsidR="00ED3030">
        <w:rPr>
          <w:lang w:val="fr-CH"/>
        </w:rPr>
        <w:t xml:space="preserve">Explosives </w:t>
      </w:r>
      <w:proofErr w:type="spellStart"/>
      <w:r w:rsidR="00ED3030">
        <w:rPr>
          <w:lang w:val="fr-CH"/>
        </w:rPr>
        <w:t>Working</w:t>
      </w:r>
      <w:proofErr w:type="spellEnd"/>
      <w:r w:rsidR="00ED3030">
        <w:rPr>
          <w:lang w:val="fr-CH"/>
        </w:rPr>
        <w:t xml:space="preserve"> Group</w:t>
      </w:r>
      <w:r w:rsidRPr="00151AEE">
        <w:t xml:space="preserve"> are addressed in this proposal.</w:t>
      </w:r>
      <w:r>
        <w:t xml:space="preserve"> </w:t>
      </w:r>
    </w:p>
    <w:p w14:paraId="206B5307" w14:textId="77777777" w:rsidR="001234FC" w:rsidRPr="00151AEE" w:rsidRDefault="001234FC" w:rsidP="001234FC">
      <w:pPr>
        <w:pStyle w:val="HChG"/>
      </w:pPr>
      <w:r w:rsidRPr="00151AEE">
        <w:tab/>
      </w:r>
      <w:r w:rsidRPr="00151AEE">
        <w:tab/>
        <w:t>Proposal</w:t>
      </w:r>
    </w:p>
    <w:p w14:paraId="505CFFF8" w14:textId="1EBEB98E" w:rsidR="001234FC" w:rsidRDefault="001234FC" w:rsidP="001234FC">
      <w:pPr>
        <w:pStyle w:val="SingleTxtG"/>
        <w:numPr>
          <w:ilvl w:val="0"/>
          <w:numId w:val="34"/>
        </w:numPr>
      </w:pPr>
      <w:r w:rsidRPr="00151AEE">
        <w:t>Modify 2.1.3.4 “</w:t>
      </w:r>
      <w:r w:rsidRPr="001234FC">
        <w:t>Assignment</w:t>
      </w:r>
      <w:r w:rsidRPr="00151AEE">
        <w:t xml:space="preserve"> to hazard division” to include </w:t>
      </w:r>
      <w:r>
        <w:t xml:space="preserve">a new </w:t>
      </w:r>
      <w:r w:rsidRPr="00151AEE">
        <w:t>paragraph</w:t>
      </w:r>
      <w:r>
        <w:t xml:space="preserve"> at the end</w:t>
      </w:r>
      <w:r w:rsidRPr="00151AEE">
        <w:t>:</w:t>
      </w:r>
    </w:p>
    <w:p w14:paraId="1AD4B16D" w14:textId="77777777" w:rsidR="001234FC" w:rsidRDefault="001234FC" w:rsidP="001234FC">
      <w:pPr>
        <w:pStyle w:val="SingleTxtG"/>
        <w:ind w:left="1674"/>
      </w:pPr>
      <w:r>
        <w:t>“</w:t>
      </w:r>
      <w:r w:rsidRPr="00AD07D0">
        <w:rPr>
          <w:u w:val="single"/>
        </w:rPr>
        <w:t xml:space="preserve">2.1.3.4.4  The competent authority may waive the tests for small amounts of explosives not exceeding 25 grams PETN or equivalent energy, and assign them to UN XXXX for solids or UN YYYY for liquids. The competent authority approval is based on </w:t>
      </w:r>
      <w:r>
        <w:rPr>
          <w:u w:val="single"/>
        </w:rPr>
        <w:t xml:space="preserve">the </w:t>
      </w:r>
      <w:r w:rsidRPr="00AD07D0">
        <w:rPr>
          <w:u w:val="single"/>
        </w:rPr>
        <w:t>specialized packing instruction PXXX or PYYY and is not specific to the type of explosive.</w:t>
      </w:r>
      <w:r>
        <w:t>”</w:t>
      </w:r>
    </w:p>
    <w:p w14:paraId="6CA75E63" w14:textId="56D0A519" w:rsidR="001234FC" w:rsidRDefault="001234FC" w:rsidP="001234FC">
      <w:pPr>
        <w:pStyle w:val="SingleTxtG"/>
        <w:numPr>
          <w:ilvl w:val="0"/>
          <w:numId w:val="34"/>
        </w:numPr>
      </w:pPr>
      <w:r w:rsidRPr="00151AEE">
        <w:t xml:space="preserve">Create </w:t>
      </w:r>
      <w:r>
        <w:t>two</w:t>
      </w:r>
      <w:r w:rsidRPr="00151AEE">
        <w:t xml:space="preserve"> new UN Number</w:t>
      </w:r>
      <w:r>
        <w:t>s:</w:t>
      </w:r>
    </w:p>
    <w:p w14:paraId="3CA66ED7" w14:textId="77777777" w:rsidR="001234FC" w:rsidRDefault="001234FC" w:rsidP="001234FC">
      <w:pPr>
        <w:pStyle w:val="SingleTxtG"/>
        <w:spacing w:before="120"/>
        <w:ind w:left="1077"/>
        <w:jc w:val="left"/>
        <w:rPr>
          <w:lang w:val="fr-CH"/>
        </w:rPr>
      </w:pPr>
      <w:r>
        <w:rPr>
          <w:noProof/>
          <w:lang w:val="en-US"/>
        </w:rPr>
        <w:drawing>
          <wp:inline distT="0" distB="0" distL="0" distR="0" wp14:anchorId="6AAAFF11" wp14:editId="3D080E2F">
            <wp:extent cx="5370099" cy="13042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ecializ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54074" cy="1324686"/>
                    </a:xfrm>
                    <a:prstGeom prst="rect">
                      <a:avLst/>
                    </a:prstGeom>
                  </pic:spPr>
                </pic:pic>
              </a:graphicData>
            </a:graphic>
          </wp:inline>
        </w:drawing>
      </w:r>
      <w:r>
        <w:br/>
      </w:r>
    </w:p>
    <w:p w14:paraId="177812BC" w14:textId="428574B3" w:rsidR="001234FC" w:rsidRDefault="001234FC" w:rsidP="001234FC">
      <w:pPr>
        <w:pStyle w:val="SingleTxtG"/>
        <w:spacing w:before="120"/>
        <w:ind w:left="1077"/>
        <w:jc w:val="left"/>
      </w:pPr>
      <w:r>
        <w:rPr>
          <w:lang w:val="fr-CH"/>
        </w:rPr>
        <w:t>4.</w:t>
      </w:r>
      <w:r>
        <w:rPr>
          <w:lang w:val="fr-CH"/>
        </w:rPr>
        <w:tab/>
      </w:r>
      <w:r w:rsidRPr="001234FC">
        <w:t>Create</w:t>
      </w:r>
      <w:r w:rsidR="00ED3030">
        <w:t xml:space="preserve"> a new </w:t>
      </w:r>
      <w:r w:rsidR="00ED3030">
        <w:rPr>
          <w:lang w:val="fr-CH"/>
        </w:rPr>
        <w:t>s</w:t>
      </w:r>
      <w:proofErr w:type="spellStart"/>
      <w:r w:rsidR="00ED3030">
        <w:t>pecial</w:t>
      </w:r>
      <w:proofErr w:type="spellEnd"/>
      <w:r w:rsidR="00ED3030">
        <w:t xml:space="preserve"> </w:t>
      </w:r>
      <w:r w:rsidR="00ED3030">
        <w:rPr>
          <w:lang w:val="fr-CH"/>
        </w:rPr>
        <w:t>p</w:t>
      </w:r>
      <w:proofErr w:type="spellStart"/>
      <w:r>
        <w:t>rovision</w:t>
      </w:r>
      <w:proofErr w:type="spellEnd"/>
      <w:r>
        <w:t xml:space="preserve"> </w:t>
      </w:r>
      <w:proofErr w:type="gramStart"/>
      <w:r>
        <w:t>ZZZ:</w:t>
      </w:r>
      <w:proofErr w:type="gramEnd"/>
      <w:r>
        <w:t xml:space="preserve"> “</w:t>
      </w:r>
      <w:r w:rsidRPr="001234FC">
        <w:rPr>
          <w:u w:val="single"/>
        </w:rPr>
        <w:t>This designation shall only be used with the approval of the competent authority of the country of origin.</w:t>
      </w:r>
      <w:r>
        <w:t>”</w:t>
      </w:r>
    </w:p>
    <w:p w14:paraId="7F1055BE" w14:textId="77777777" w:rsidR="00ED3030" w:rsidRDefault="00ED3030">
      <w:pPr>
        <w:suppressAutoHyphens w:val="0"/>
        <w:spacing w:line="240" w:lineRule="auto"/>
        <w:rPr>
          <w:lang w:val="fr-CH"/>
        </w:rPr>
      </w:pPr>
      <w:r>
        <w:rPr>
          <w:lang w:val="fr-CH"/>
        </w:rPr>
        <w:br w:type="page"/>
      </w:r>
    </w:p>
    <w:p w14:paraId="7473686C" w14:textId="4057B039" w:rsidR="001234FC" w:rsidRPr="00ED3030" w:rsidRDefault="001234FC" w:rsidP="001234FC">
      <w:pPr>
        <w:pStyle w:val="SingleTxtG"/>
        <w:rPr>
          <w:lang w:val="fr-CH"/>
        </w:rPr>
      </w:pPr>
      <w:r>
        <w:rPr>
          <w:lang w:val="fr-CH"/>
        </w:rPr>
        <w:lastRenderedPageBreak/>
        <w:t>5.</w:t>
      </w:r>
      <w:r>
        <w:rPr>
          <w:lang w:val="fr-CH"/>
        </w:rPr>
        <w:tab/>
      </w:r>
      <w:r>
        <w:t>Create</w:t>
      </w:r>
      <w:r w:rsidRPr="00151AEE">
        <w:t xml:space="preserve"> the </w:t>
      </w:r>
      <w:r w:rsidRPr="001234FC">
        <w:t>following</w:t>
      </w:r>
      <w:r w:rsidR="00ED3030">
        <w:t xml:space="preserve"> </w:t>
      </w:r>
      <w:r w:rsidR="00ED3030">
        <w:rPr>
          <w:lang w:val="fr-CH"/>
        </w:rPr>
        <w:t>p</w:t>
      </w:r>
      <w:proofErr w:type="spellStart"/>
      <w:r w:rsidR="00ED3030">
        <w:t>acking</w:t>
      </w:r>
      <w:proofErr w:type="spellEnd"/>
      <w:r w:rsidR="00ED3030">
        <w:t xml:space="preserve"> </w:t>
      </w:r>
      <w:r w:rsidR="00ED3030">
        <w:rPr>
          <w:lang w:val="fr-CH"/>
        </w:rPr>
        <w:t>i</w:t>
      </w:r>
      <w:proofErr w:type="spellStart"/>
      <w:r w:rsidRPr="00151AEE">
        <w:t>nstruction</w:t>
      </w:r>
      <w:proofErr w:type="spellEnd"/>
      <w:r w:rsidRPr="00151AEE">
        <w:t xml:space="preserve"> </w:t>
      </w:r>
      <w:r>
        <w:t xml:space="preserve">PXXX </w:t>
      </w:r>
      <w:r w:rsidRPr="00151AEE">
        <w:t>for UN</w:t>
      </w:r>
      <w:r>
        <w:t xml:space="preserve"> </w:t>
      </w:r>
      <w:proofErr w:type="gramStart"/>
      <w:r w:rsidRPr="00151AEE">
        <w:t>XXXX</w:t>
      </w:r>
      <w:r w:rsidR="00ED3030">
        <w:rPr>
          <w:lang w:val="fr-CH"/>
        </w:rPr>
        <w:t>:</w:t>
      </w:r>
      <w:proofErr w:type="gramEnd"/>
    </w:p>
    <w:tbl>
      <w:tblPr>
        <w:tblStyle w:val="TableGrid"/>
        <w:tblW w:w="0" w:type="auto"/>
        <w:tblLook w:val="04A0" w:firstRow="1" w:lastRow="0" w:firstColumn="1" w:lastColumn="0" w:noHBand="0" w:noVBand="1"/>
      </w:tblPr>
      <w:tblGrid>
        <w:gridCol w:w="3116"/>
        <w:gridCol w:w="3117"/>
        <w:gridCol w:w="3117"/>
      </w:tblGrid>
      <w:tr w:rsidR="001234FC" w:rsidRPr="00151AEE" w14:paraId="0150554F" w14:textId="77777777" w:rsidTr="0062427B">
        <w:tc>
          <w:tcPr>
            <w:tcW w:w="9350" w:type="dxa"/>
            <w:gridSpan w:val="3"/>
          </w:tcPr>
          <w:p w14:paraId="0A79E4EF" w14:textId="10FB135C" w:rsidR="001234FC" w:rsidRPr="00151AEE" w:rsidRDefault="001234FC" w:rsidP="0062427B">
            <w:pPr>
              <w:rPr>
                <w:b/>
              </w:rPr>
            </w:pPr>
            <w:r w:rsidRPr="00151AEE">
              <w:rPr>
                <w:b/>
              </w:rPr>
              <w:t xml:space="preserve">PXXX                                     </w:t>
            </w:r>
            <w:r w:rsidR="00ED3030">
              <w:rPr>
                <w:b/>
              </w:rPr>
              <w:t xml:space="preserve">                       Packing instruction</w:t>
            </w:r>
            <w:r w:rsidRPr="00151AEE">
              <w:rPr>
                <w:b/>
              </w:rPr>
              <w:t xml:space="preserve">                                  </w:t>
            </w:r>
            <w:r w:rsidR="00ED3030">
              <w:rPr>
                <w:b/>
              </w:rPr>
              <w:t xml:space="preserve">                               </w:t>
            </w:r>
            <w:r w:rsidRPr="00151AEE">
              <w:rPr>
                <w:b/>
              </w:rPr>
              <w:t>PXXX</w:t>
            </w:r>
          </w:p>
        </w:tc>
      </w:tr>
      <w:tr w:rsidR="001234FC" w:rsidRPr="00151AEE" w14:paraId="568D2EB4" w14:textId="77777777" w:rsidTr="0062427B">
        <w:tc>
          <w:tcPr>
            <w:tcW w:w="9350" w:type="dxa"/>
            <w:gridSpan w:val="3"/>
          </w:tcPr>
          <w:p w14:paraId="01E558D2" w14:textId="77777777" w:rsidR="001234FC" w:rsidRPr="00151AEE" w:rsidRDefault="001234FC" w:rsidP="0062427B">
            <w:r w:rsidRPr="00151AEE">
              <w:t xml:space="preserve">The following </w:t>
            </w:r>
            <w:proofErr w:type="spellStart"/>
            <w:r w:rsidRPr="00151AEE">
              <w:t>packagings</w:t>
            </w:r>
            <w:proofErr w:type="spellEnd"/>
            <w:r w:rsidRPr="00151AEE">
              <w:t xml:space="preserve"> are authorized, provided that the general packing provision of 4.1.1, 4.1.3, and special packing provisions of 4.1.5 are met:</w:t>
            </w:r>
          </w:p>
        </w:tc>
      </w:tr>
      <w:tr w:rsidR="001234FC" w:rsidRPr="00151AEE" w14:paraId="48218CB0" w14:textId="77777777" w:rsidTr="0062427B">
        <w:tc>
          <w:tcPr>
            <w:tcW w:w="3116" w:type="dxa"/>
          </w:tcPr>
          <w:p w14:paraId="0145A07F" w14:textId="77777777" w:rsidR="001234FC" w:rsidRPr="00151AEE" w:rsidRDefault="001234FC" w:rsidP="0062427B">
            <w:pPr>
              <w:rPr>
                <w:b/>
              </w:rPr>
            </w:pPr>
            <w:r w:rsidRPr="00151AEE">
              <w:rPr>
                <w:b/>
              </w:rPr>
              <w:t xml:space="preserve">Inner </w:t>
            </w:r>
            <w:proofErr w:type="spellStart"/>
            <w:r w:rsidRPr="00151AEE">
              <w:rPr>
                <w:b/>
              </w:rPr>
              <w:t>Packagings</w:t>
            </w:r>
            <w:proofErr w:type="spellEnd"/>
          </w:p>
        </w:tc>
        <w:tc>
          <w:tcPr>
            <w:tcW w:w="3117" w:type="dxa"/>
          </w:tcPr>
          <w:p w14:paraId="672ADEFB" w14:textId="77777777" w:rsidR="001234FC" w:rsidRPr="00151AEE" w:rsidRDefault="001234FC" w:rsidP="0062427B">
            <w:pPr>
              <w:rPr>
                <w:b/>
              </w:rPr>
            </w:pPr>
            <w:r w:rsidRPr="00151AEE">
              <w:rPr>
                <w:b/>
              </w:rPr>
              <w:t xml:space="preserve">Intermediate </w:t>
            </w:r>
            <w:proofErr w:type="spellStart"/>
            <w:r w:rsidRPr="00151AEE">
              <w:rPr>
                <w:b/>
              </w:rPr>
              <w:t>Packagings</w:t>
            </w:r>
            <w:proofErr w:type="spellEnd"/>
          </w:p>
        </w:tc>
        <w:tc>
          <w:tcPr>
            <w:tcW w:w="3117" w:type="dxa"/>
          </w:tcPr>
          <w:p w14:paraId="72B941E3" w14:textId="77777777" w:rsidR="001234FC" w:rsidRPr="00151AEE" w:rsidRDefault="001234FC" w:rsidP="0062427B">
            <w:pPr>
              <w:rPr>
                <w:b/>
              </w:rPr>
            </w:pPr>
            <w:r w:rsidRPr="00151AEE">
              <w:rPr>
                <w:b/>
              </w:rPr>
              <w:t xml:space="preserve">Outer </w:t>
            </w:r>
            <w:proofErr w:type="spellStart"/>
            <w:r w:rsidRPr="00151AEE">
              <w:rPr>
                <w:b/>
              </w:rPr>
              <w:t>Packagings</w:t>
            </w:r>
            <w:proofErr w:type="spellEnd"/>
          </w:p>
        </w:tc>
      </w:tr>
      <w:tr w:rsidR="001234FC" w:rsidRPr="00151AEE" w14:paraId="3D592353" w14:textId="77777777" w:rsidTr="0062427B">
        <w:trPr>
          <w:trHeight w:val="3032"/>
        </w:trPr>
        <w:tc>
          <w:tcPr>
            <w:tcW w:w="3116" w:type="dxa"/>
          </w:tcPr>
          <w:p w14:paraId="4A1F1314" w14:textId="77777777" w:rsidR="001234FC" w:rsidRPr="00151AEE" w:rsidRDefault="001234FC" w:rsidP="0062427B">
            <w:pPr>
              <w:rPr>
                <w:b/>
              </w:rPr>
            </w:pPr>
            <w:r w:rsidRPr="00151AEE">
              <w:rPr>
                <w:b/>
              </w:rPr>
              <w:t>Receptacles</w:t>
            </w:r>
          </w:p>
          <w:p w14:paraId="252BC99F" w14:textId="77777777" w:rsidR="001234FC" w:rsidRPr="00151AEE" w:rsidRDefault="001234FC" w:rsidP="0062427B">
            <w:pPr>
              <w:rPr>
                <w:b/>
              </w:rPr>
            </w:pPr>
            <w:r w:rsidRPr="00151AEE">
              <w:t xml:space="preserve">     Plastics</w:t>
            </w:r>
          </w:p>
        </w:tc>
        <w:tc>
          <w:tcPr>
            <w:tcW w:w="3117" w:type="dxa"/>
          </w:tcPr>
          <w:p w14:paraId="1BE2AD0F" w14:textId="77777777" w:rsidR="001234FC" w:rsidRPr="00151AEE" w:rsidRDefault="001234FC" w:rsidP="0062427B">
            <w:r w:rsidRPr="00151AEE">
              <w:t xml:space="preserve">Schedule 80 seamless </w:t>
            </w:r>
          </w:p>
          <w:p w14:paraId="6215D92F" w14:textId="77777777" w:rsidR="001234FC" w:rsidRPr="00151AEE" w:rsidRDefault="001234FC" w:rsidP="0062427B">
            <w:r w:rsidRPr="00151AEE">
              <w:t xml:space="preserve">steel pipe nipple (per </w:t>
            </w:r>
          </w:p>
          <w:p w14:paraId="7B39DDE0" w14:textId="77777777" w:rsidR="001234FC" w:rsidRPr="00151AEE" w:rsidRDefault="001234FC" w:rsidP="0062427B">
            <w:r w:rsidRPr="00151AEE">
              <w:t xml:space="preserve">ASTM A106 Grade B) </w:t>
            </w:r>
          </w:p>
          <w:p w14:paraId="7601D99A" w14:textId="77777777" w:rsidR="001234FC" w:rsidRPr="00151AEE" w:rsidRDefault="001234FC" w:rsidP="0062427B">
            <w:r w:rsidRPr="00151AEE">
              <w:t xml:space="preserve">closed at both ends with </w:t>
            </w:r>
          </w:p>
          <w:p w14:paraId="4005D345" w14:textId="77777777" w:rsidR="001234FC" w:rsidRPr="00151AEE" w:rsidRDefault="001234FC" w:rsidP="0062427B">
            <w:r w:rsidRPr="00151AEE">
              <w:t xml:space="preserve">forged steel end caps </w:t>
            </w:r>
          </w:p>
          <w:p w14:paraId="3A86CE51" w14:textId="77777777" w:rsidR="001234FC" w:rsidRPr="00151AEE" w:rsidRDefault="001234FC" w:rsidP="0062427B">
            <w:r w:rsidRPr="00151AEE">
              <w:t>(3,000 psi per ASTM A105)</w:t>
            </w:r>
          </w:p>
        </w:tc>
        <w:tc>
          <w:tcPr>
            <w:tcW w:w="3117" w:type="dxa"/>
          </w:tcPr>
          <w:p w14:paraId="60A5C181" w14:textId="77777777" w:rsidR="001234FC" w:rsidRPr="00151AEE" w:rsidRDefault="001234FC" w:rsidP="0062427B">
            <w:pPr>
              <w:rPr>
                <w:b/>
              </w:rPr>
            </w:pPr>
            <w:r w:rsidRPr="00151AEE">
              <w:rPr>
                <w:b/>
              </w:rPr>
              <w:t>Boxes</w:t>
            </w:r>
          </w:p>
          <w:p w14:paraId="51FD6806" w14:textId="77777777" w:rsidR="001234FC" w:rsidRPr="00151AEE" w:rsidRDefault="001234FC" w:rsidP="0062427B">
            <w:r w:rsidRPr="00151AEE">
              <w:t xml:space="preserve">     Steel (4A)</w:t>
            </w:r>
          </w:p>
          <w:p w14:paraId="018C992E" w14:textId="77777777" w:rsidR="001234FC" w:rsidRPr="00151AEE" w:rsidRDefault="001234FC" w:rsidP="0062427B">
            <w:r w:rsidRPr="00151AEE">
              <w:t xml:space="preserve">     </w:t>
            </w:r>
            <w:proofErr w:type="spellStart"/>
            <w:r w:rsidRPr="00151AEE">
              <w:t>Aluminum</w:t>
            </w:r>
            <w:proofErr w:type="spellEnd"/>
            <w:r w:rsidRPr="00151AEE">
              <w:t xml:space="preserve"> (4B)</w:t>
            </w:r>
          </w:p>
          <w:p w14:paraId="09DD3BE0" w14:textId="77777777" w:rsidR="001234FC" w:rsidRPr="00151AEE" w:rsidRDefault="001234FC" w:rsidP="0062427B">
            <w:r w:rsidRPr="00151AEE">
              <w:t xml:space="preserve">     Natural wood, ordinary (4C1)</w:t>
            </w:r>
          </w:p>
          <w:p w14:paraId="074EC2C4" w14:textId="77777777" w:rsidR="001234FC" w:rsidRPr="00151AEE" w:rsidRDefault="001234FC" w:rsidP="0062427B">
            <w:r w:rsidRPr="00151AEE">
              <w:t xml:space="preserve">     Plywood (4D)</w:t>
            </w:r>
          </w:p>
          <w:p w14:paraId="739295A1" w14:textId="77777777" w:rsidR="001234FC" w:rsidRPr="00151AEE" w:rsidRDefault="001234FC" w:rsidP="0062427B">
            <w:r w:rsidRPr="00151AEE">
              <w:t xml:space="preserve">     Reconstituted wood (4F)</w:t>
            </w:r>
          </w:p>
          <w:p w14:paraId="5983416D" w14:textId="77777777" w:rsidR="001234FC" w:rsidRPr="00151AEE" w:rsidRDefault="001234FC" w:rsidP="0062427B">
            <w:r w:rsidRPr="00151AEE">
              <w:t xml:space="preserve">     Fibreboard (4G)</w:t>
            </w:r>
          </w:p>
          <w:p w14:paraId="1B71E577" w14:textId="77777777" w:rsidR="001234FC" w:rsidRPr="00151AEE" w:rsidRDefault="001234FC" w:rsidP="0062427B"/>
          <w:p w14:paraId="7B7CCB29" w14:textId="77777777" w:rsidR="001234FC" w:rsidRPr="00151AEE" w:rsidRDefault="001234FC" w:rsidP="0062427B">
            <w:pPr>
              <w:rPr>
                <w:b/>
              </w:rPr>
            </w:pPr>
            <w:r w:rsidRPr="00151AEE">
              <w:rPr>
                <w:b/>
              </w:rPr>
              <w:t>Drums</w:t>
            </w:r>
          </w:p>
          <w:p w14:paraId="7D8AE84A" w14:textId="77777777" w:rsidR="001234FC" w:rsidRPr="00151AEE" w:rsidRDefault="001234FC" w:rsidP="0062427B">
            <w:r w:rsidRPr="00151AEE">
              <w:rPr>
                <w:b/>
              </w:rPr>
              <w:t xml:space="preserve">     </w:t>
            </w:r>
            <w:r w:rsidRPr="00151AEE">
              <w:t>Steel (1A1, 1A2)</w:t>
            </w:r>
          </w:p>
          <w:p w14:paraId="54FE5D96" w14:textId="77777777" w:rsidR="001234FC" w:rsidRPr="00151AEE" w:rsidRDefault="001234FC" w:rsidP="0062427B">
            <w:r w:rsidRPr="00151AEE">
              <w:t xml:space="preserve">     </w:t>
            </w:r>
            <w:proofErr w:type="spellStart"/>
            <w:r w:rsidRPr="00151AEE">
              <w:t>Aluminum</w:t>
            </w:r>
            <w:proofErr w:type="spellEnd"/>
            <w:r w:rsidRPr="00151AEE">
              <w:t xml:space="preserve"> (1B1, 1B3)   </w:t>
            </w:r>
          </w:p>
        </w:tc>
      </w:tr>
      <w:tr w:rsidR="001234FC" w:rsidRPr="00151AEE" w14:paraId="47B930BF" w14:textId="77777777" w:rsidTr="0062427B">
        <w:tc>
          <w:tcPr>
            <w:tcW w:w="9350" w:type="dxa"/>
            <w:gridSpan w:val="3"/>
          </w:tcPr>
          <w:p w14:paraId="1FAD0D35" w14:textId="77777777" w:rsidR="001234FC" w:rsidRPr="00151AEE" w:rsidRDefault="001234FC" w:rsidP="0062427B">
            <w:pPr>
              <w:rPr>
                <w:b/>
              </w:rPr>
            </w:pPr>
            <w:r w:rsidRPr="00151AEE">
              <w:rPr>
                <w:b/>
              </w:rPr>
              <w:t>Special packing provisions:</w:t>
            </w:r>
          </w:p>
          <w:p w14:paraId="4CE06CDD" w14:textId="564C3499" w:rsidR="001234FC" w:rsidRPr="00151AEE" w:rsidRDefault="001234FC" w:rsidP="0062427B">
            <w:pPr>
              <w:rPr>
                <w:b/>
              </w:rPr>
            </w:pPr>
            <w:r>
              <w:rPr>
                <w:b/>
              </w:rPr>
              <w:t>AA</w:t>
            </w:r>
            <w:r w:rsidRPr="00151AEE">
              <w:rPr>
                <w:b/>
              </w:rPr>
              <w:t xml:space="preserve">   For UN XXXX</w:t>
            </w:r>
            <w:r>
              <w:rPr>
                <w:b/>
              </w:rPr>
              <w:br/>
            </w:r>
            <w:r w:rsidR="00ED3030">
              <w:tab/>
              <w:t xml:space="preserve">- </w:t>
            </w:r>
            <w:r w:rsidR="00ED3030">
              <w:tab/>
            </w:r>
            <w:r>
              <w:t>I</w:t>
            </w:r>
            <w:r w:rsidRPr="00AD07D0">
              <w:t xml:space="preserve">nclude the following inner </w:t>
            </w:r>
            <w:proofErr w:type="spellStart"/>
            <w:r w:rsidRPr="00AD07D0">
              <w:t>packagings</w:t>
            </w:r>
            <w:proofErr w:type="spellEnd"/>
            <w:r w:rsidRPr="00AD07D0">
              <w:t>:</w:t>
            </w:r>
          </w:p>
          <w:p w14:paraId="7045C19C" w14:textId="43D4140D" w:rsidR="001234FC" w:rsidRPr="00151AEE" w:rsidRDefault="00ED3030" w:rsidP="00ED3030">
            <w:pPr>
              <w:autoSpaceDE w:val="0"/>
              <w:autoSpaceDN w:val="0"/>
              <w:adjustRightInd w:val="0"/>
              <w:spacing w:line="240" w:lineRule="auto"/>
              <w:ind w:left="1164"/>
            </w:pPr>
            <w:r>
              <w:t>(a)</w:t>
            </w:r>
            <w:r>
              <w:tab/>
            </w:r>
            <w:r w:rsidR="001234FC" w:rsidRPr="00151AEE">
              <w:t>Design Type 1: A</w:t>
            </w:r>
            <w:r w:rsidR="001234FC" w:rsidRPr="00151AEE">
              <w:rPr>
                <w:i/>
                <w:iCs/>
              </w:rPr>
              <w:t xml:space="preserve"> </w:t>
            </w:r>
            <w:r w:rsidR="001234FC" w:rsidRPr="00151AEE">
              <w:t>4-inch (10.16 cm) diameter x 14-inch (35.56 cm) long Schedule 80</w:t>
            </w:r>
            <w:r>
              <w:t xml:space="preserve"> </w:t>
            </w:r>
            <w:r w:rsidR="001234FC" w:rsidRPr="00151AEE">
              <w:t>seamless steel pipe nipple (per ASTM A106</w:t>
            </w:r>
            <w:r w:rsidR="001234FC" w:rsidRPr="00151AEE">
              <w:rPr>
                <w:i/>
                <w:iCs/>
              </w:rPr>
              <w:t xml:space="preserve"> </w:t>
            </w:r>
            <w:r w:rsidR="001234FC" w:rsidRPr="00151AEE">
              <w:t>Grade B) closed at both ends with 4-inch (10.16 cm) diameter forged steel end caps (3,000 psi (2.07 x 10</w:t>
            </w:r>
            <w:r w:rsidR="001234FC" w:rsidRPr="00151AEE">
              <w:rPr>
                <w:vertAlign w:val="superscript"/>
              </w:rPr>
              <w:t>7</w:t>
            </w:r>
            <w:r w:rsidR="001234FC" w:rsidRPr="00151AEE">
              <w:t xml:space="preserve"> Pa) per ASTM A105); or</w:t>
            </w:r>
          </w:p>
          <w:p w14:paraId="0101020F" w14:textId="60D6BACC" w:rsidR="001234FC" w:rsidRPr="00151AEE" w:rsidRDefault="00ED3030" w:rsidP="00ED3030">
            <w:pPr>
              <w:autoSpaceDE w:val="0"/>
              <w:autoSpaceDN w:val="0"/>
              <w:adjustRightInd w:val="0"/>
              <w:spacing w:line="240" w:lineRule="auto"/>
              <w:ind w:left="1164"/>
              <w:rPr>
                <w:rFonts w:eastAsia="HiddenHorzOCR"/>
              </w:rPr>
            </w:pPr>
            <w:r>
              <w:t xml:space="preserve">(b) </w:t>
            </w:r>
            <w:r>
              <w:tab/>
            </w:r>
            <w:r w:rsidR="001234FC" w:rsidRPr="00151AEE">
              <w:t>Design Type 2: A 6-inch (15.24 cm) diameter x 12 to 14-inch (30.48 to 35.56 cm) long Schedule 80 seamless steel pipe nipple (per ASTM A106 Grade B) closed at both</w:t>
            </w:r>
            <w:r>
              <w:t xml:space="preserve"> </w:t>
            </w:r>
            <w:r w:rsidR="001234FC" w:rsidRPr="00151AEE">
              <w:t>ends with 6-inch (15.24 cm) diameter forged steel end caps (3,000 psi (2.07 x 10</w:t>
            </w:r>
            <w:r w:rsidR="001234FC" w:rsidRPr="00151AEE">
              <w:rPr>
                <w:vertAlign w:val="superscript"/>
              </w:rPr>
              <w:t>7</w:t>
            </w:r>
            <w:r w:rsidR="001234FC" w:rsidRPr="00151AEE">
              <w:t xml:space="preserve"> Pa) per ASTM A</w:t>
            </w:r>
            <w:r w:rsidR="001234FC" w:rsidRPr="00151AEE">
              <w:rPr>
                <w:rFonts w:eastAsia="HiddenHorzOCR"/>
              </w:rPr>
              <w:t>105):</w:t>
            </w:r>
          </w:p>
          <w:p w14:paraId="1EB899F8" w14:textId="77777777" w:rsidR="001234FC" w:rsidRPr="00151AEE" w:rsidRDefault="001234FC" w:rsidP="00ED3030">
            <w:pPr>
              <w:autoSpaceDE w:val="0"/>
              <w:autoSpaceDN w:val="0"/>
              <w:adjustRightInd w:val="0"/>
              <w:spacing w:line="240" w:lineRule="auto"/>
              <w:ind w:left="1164"/>
            </w:pPr>
            <w:r w:rsidRPr="00151AEE">
              <w:t>or</w:t>
            </w:r>
          </w:p>
          <w:p w14:paraId="1986BD15" w14:textId="64A6EB2C" w:rsidR="001234FC" w:rsidRPr="00151AEE" w:rsidRDefault="00ED3030" w:rsidP="00ED3030">
            <w:pPr>
              <w:autoSpaceDE w:val="0"/>
              <w:autoSpaceDN w:val="0"/>
              <w:adjustRightInd w:val="0"/>
              <w:spacing w:line="240" w:lineRule="auto"/>
              <w:ind w:left="1134" w:hanging="424"/>
              <w:jc w:val="both"/>
            </w:pPr>
            <w:r>
              <w:t>-</w:t>
            </w:r>
            <w:r>
              <w:tab/>
            </w:r>
            <w:r w:rsidR="001234FC" w:rsidRPr="00151AEE">
              <w:t xml:space="preserve">The explosive is sealed in a bag or other leak-proof receptacle and </w:t>
            </w:r>
            <w:proofErr w:type="spellStart"/>
            <w:r w:rsidR="001234FC" w:rsidRPr="00151AEE">
              <w:t>centered</w:t>
            </w:r>
            <w:proofErr w:type="spellEnd"/>
            <w:r w:rsidR="001234FC" w:rsidRPr="00151AEE">
              <w:t xml:space="preserve"> inside</w:t>
            </w:r>
            <w:r>
              <w:t xml:space="preserve"> </w:t>
            </w:r>
            <w:r w:rsidR="001234FC" w:rsidRPr="00151AEE">
              <w:t>the container using packaging materials (which are comparable with the explosive)</w:t>
            </w:r>
            <w:r>
              <w:t xml:space="preserve"> </w:t>
            </w:r>
            <w:r w:rsidR="001234FC" w:rsidRPr="00151AEE">
              <w:t xml:space="preserve">or other designed packaging </w:t>
            </w:r>
            <w:proofErr w:type="gramStart"/>
            <w:r w:rsidR="001234FC" w:rsidRPr="00151AEE">
              <w:t>so as to</w:t>
            </w:r>
            <w:proofErr w:type="gramEnd"/>
            <w:r w:rsidR="001234FC" w:rsidRPr="00151AEE">
              <w:t xml:space="preserve"> not be next to the walls or caps.</w:t>
            </w:r>
          </w:p>
          <w:p w14:paraId="66D6564A" w14:textId="225177BF" w:rsidR="001234FC" w:rsidRPr="00151AEE" w:rsidRDefault="00ED3030" w:rsidP="00ED3030">
            <w:pPr>
              <w:autoSpaceDE w:val="0"/>
              <w:autoSpaceDN w:val="0"/>
              <w:adjustRightInd w:val="0"/>
              <w:spacing w:line="240" w:lineRule="auto"/>
              <w:ind w:left="1134" w:hanging="414"/>
              <w:jc w:val="both"/>
              <w:rPr>
                <w:b/>
              </w:rPr>
            </w:pPr>
            <w:r>
              <w:t>-</w:t>
            </w:r>
            <w:r>
              <w:tab/>
            </w:r>
            <w:r w:rsidR="001234FC" w:rsidRPr="00151AEE">
              <w:t xml:space="preserve">The container is then placed in an outer package comprised of </w:t>
            </w:r>
            <w:proofErr w:type="spellStart"/>
            <w:r w:rsidR="001234FC" w:rsidRPr="00151AEE">
              <w:t>fiberboard</w:t>
            </w:r>
            <w:proofErr w:type="spellEnd"/>
            <w:r w:rsidR="001234FC" w:rsidRPr="00151AEE">
              <w:t>, plywood,</w:t>
            </w:r>
            <w:r>
              <w:t xml:space="preserve"> </w:t>
            </w:r>
            <w:r w:rsidR="001234FC" w:rsidRPr="00151AEE">
              <w:t>or metal.  The outer package is to facilitate handling and has no bearing on the</w:t>
            </w:r>
            <w:r>
              <w:t xml:space="preserve"> </w:t>
            </w:r>
            <w:r w:rsidR="001234FC" w:rsidRPr="00151AEE">
              <w:t>containment of an explosive event in the container.</w:t>
            </w:r>
          </w:p>
        </w:tc>
      </w:tr>
    </w:tbl>
    <w:p w14:paraId="782CFC2C" w14:textId="7A4D53ED" w:rsidR="001234FC" w:rsidRPr="00151AEE" w:rsidRDefault="001234FC" w:rsidP="001234FC">
      <w:pPr>
        <w:pStyle w:val="SingleTxtG"/>
        <w:spacing w:before="120"/>
      </w:pPr>
      <w:r>
        <w:rPr>
          <w:lang w:val="fr-CH"/>
        </w:rPr>
        <w:t>6.</w:t>
      </w:r>
      <w:r>
        <w:rPr>
          <w:lang w:val="fr-CH"/>
        </w:rPr>
        <w:tab/>
      </w:r>
      <w:r w:rsidRPr="001234FC">
        <w:t>Include</w:t>
      </w:r>
      <w:r w:rsidR="00ED3030">
        <w:t xml:space="preserve"> the following </w:t>
      </w:r>
      <w:r w:rsidR="00ED3030">
        <w:rPr>
          <w:lang w:val="fr-CH"/>
        </w:rPr>
        <w:t>p</w:t>
      </w:r>
      <w:proofErr w:type="spellStart"/>
      <w:r w:rsidR="00ED3030">
        <w:t>acking</w:t>
      </w:r>
      <w:proofErr w:type="spellEnd"/>
      <w:r w:rsidR="00ED3030">
        <w:t xml:space="preserve"> </w:t>
      </w:r>
      <w:r w:rsidR="00ED3030">
        <w:rPr>
          <w:lang w:val="fr-CH"/>
        </w:rPr>
        <w:t>i</w:t>
      </w:r>
      <w:proofErr w:type="spellStart"/>
      <w:r w:rsidRPr="00151AEE">
        <w:t>nstruction</w:t>
      </w:r>
      <w:proofErr w:type="spellEnd"/>
      <w:r w:rsidRPr="00151AEE">
        <w:t xml:space="preserve"> </w:t>
      </w:r>
      <w:r>
        <w:t xml:space="preserve">PYYY </w:t>
      </w:r>
      <w:r w:rsidRPr="00151AEE">
        <w:t>for UN</w:t>
      </w:r>
      <w:r>
        <w:t xml:space="preserve"> </w:t>
      </w:r>
      <w:r w:rsidRPr="00151AEE">
        <w:t>YYYY</w:t>
      </w:r>
    </w:p>
    <w:tbl>
      <w:tblPr>
        <w:tblStyle w:val="TableGrid"/>
        <w:tblW w:w="0" w:type="auto"/>
        <w:tblLook w:val="04A0" w:firstRow="1" w:lastRow="0" w:firstColumn="1" w:lastColumn="0" w:noHBand="0" w:noVBand="1"/>
      </w:tblPr>
      <w:tblGrid>
        <w:gridCol w:w="3116"/>
        <w:gridCol w:w="3117"/>
        <w:gridCol w:w="3117"/>
      </w:tblGrid>
      <w:tr w:rsidR="001234FC" w:rsidRPr="00151AEE" w14:paraId="6EE699C5" w14:textId="77777777" w:rsidTr="0062427B">
        <w:tc>
          <w:tcPr>
            <w:tcW w:w="9350" w:type="dxa"/>
            <w:gridSpan w:val="3"/>
          </w:tcPr>
          <w:p w14:paraId="70D322AF" w14:textId="57314092" w:rsidR="001234FC" w:rsidRPr="00151AEE" w:rsidRDefault="001234FC" w:rsidP="0062427B">
            <w:pPr>
              <w:rPr>
                <w:b/>
              </w:rPr>
            </w:pPr>
            <w:r w:rsidRPr="00151AEE">
              <w:rPr>
                <w:b/>
              </w:rPr>
              <w:t xml:space="preserve">PYYY                                                        </w:t>
            </w:r>
            <w:r w:rsidR="00ED3030">
              <w:rPr>
                <w:b/>
              </w:rPr>
              <w:t xml:space="preserve">   Packing instruction</w:t>
            </w:r>
            <w:r w:rsidRPr="00151AEE">
              <w:rPr>
                <w:b/>
              </w:rPr>
              <w:t xml:space="preserve">                                                                  PYYY</w:t>
            </w:r>
          </w:p>
        </w:tc>
      </w:tr>
      <w:tr w:rsidR="001234FC" w:rsidRPr="00151AEE" w14:paraId="3E757652" w14:textId="77777777" w:rsidTr="0062427B">
        <w:tc>
          <w:tcPr>
            <w:tcW w:w="9350" w:type="dxa"/>
            <w:gridSpan w:val="3"/>
          </w:tcPr>
          <w:p w14:paraId="1FA600B2" w14:textId="77777777" w:rsidR="001234FC" w:rsidRPr="00151AEE" w:rsidRDefault="001234FC" w:rsidP="0062427B">
            <w:r w:rsidRPr="00151AEE">
              <w:t xml:space="preserve">The following </w:t>
            </w:r>
            <w:proofErr w:type="spellStart"/>
            <w:r w:rsidRPr="00151AEE">
              <w:t>packagings</w:t>
            </w:r>
            <w:proofErr w:type="spellEnd"/>
            <w:r w:rsidRPr="00151AEE">
              <w:t xml:space="preserve"> are authorized, provided that the general packing provision of 4.1.1, 4.1.3, and special packing provisions of 4.1.5 are met:</w:t>
            </w:r>
          </w:p>
        </w:tc>
      </w:tr>
      <w:tr w:rsidR="001234FC" w:rsidRPr="00151AEE" w14:paraId="784F4D4F" w14:textId="77777777" w:rsidTr="0062427B">
        <w:tc>
          <w:tcPr>
            <w:tcW w:w="3116" w:type="dxa"/>
          </w:tcPr>
          <w:p w14:paraId="3B48F078" w14:textId="77777777" w:rsidR="001234FC" w:rsidRPr="00151AEE" w:rsidRDefault="001234FC" w:rsidP="0062427B">
            <w:pPr>
              <w:rPr>
                <w:b/>
              </w:rPr>
            </w:pPr>
            <w:r w:rsidRPr="00151AEE">
              <w:rPr>
                <w:b/>
              </w:rPr>
              <w:t xml:space="preserve">Inner </w:t>
            </w:r>
            <w:proofErr w:type="spellStart"/>
            <w:r w:rsidRPr="00151AEE">
              <w:rPr>
                <w:b/>
              </w:rPr>
              <w:t>Packagings</w:t>
            </w:r>
            <w:proofErr w:type="spellEnd"/>
          </w:p>
        </w:tc>
        <w:tc>
          <w:tcPr>
            <w:tcW w:w="3117" w:type="dxa"/>
          </w:tcPr>
          <w:p w14:paraId="783E0CC6" w14:textId="77777777" w:rsidR="001234FC" w:rsidRPr="00151AEE" w:rsidRDefault="001234FC" w:rsidP="0062427B">
            <w:pPr>
              <w:rPr>
                <w:b/>
              </w:rPr>
            </w:pPr>
            <w:r w:rsidRPr="00151AEE">
              <w:rPr>
                <w:b/>
              </w:rPr>
              <w:t xml:space="preserve">Intermediate </w:t>
            </w:r>
            <w:proofErr w:type="spellStart"/>
            <w:r w:rsidRPr="00151AEE">
              <w:rPr>
                <w:b/>
              </w:rPr>
              <w:t>Packagings</w:t>
            </w:r>
            <w:proofErr w:type="spellEnd"/>
          </w:p>
        </w:tc>
        <w:tc>
          <w:tcPr>
            <w:tcW w:w="3117" w:type="dxa"/>
          </w:tcPr>
          <w:p w14:paraId="7F7CF852" w14:textId="77777777" w:rsidR="001234FC" w:rsidRPr="00151AEE" w:rsidRDefault="001234FC" w:rsidP="0062427B">
            <w:pPr>
              <w:rPr>
                <w:b/>
              </w:rPr>
            </w:pPr>
            <w:r w:rsidRPr="00151AEE">
              <w:rPr>
                <w:b/>
              </w:rPr>
              <w:t xml:space="preserve">Outer </w:t>
            </w:r>
            <w:proofErr w:type="spellStart"/>
            <w:r w:rsidRPr="00151AEE">
              <w:rPr>
                <w:b/>
              </w:rPr>
              <w:t>Packagings</w:t>
            </w:r>
            <w:proofErr w:type="spellEnd"/>
          </w:p>
        </w:tc>
      </w:tr>
      <w:tr w:rsidR="001234FC" w:rsidRPr="00151AEE" w14:paraId="0C268DA7" w14:textId="77777777" w:rsidTr="0062427B">
        <w:trPr>
          <w:trHeight w:val="3032"/>
        </w:trPr>
        <w:tc>
          <w:tcPr>
            <w:tcW w:w="3116" w:type="dxa"/>
          </w:tcPr>
          <w:p w14:paraId="1555C2B8" w14:textId="77777777" w:rsidR="001234FC" w:rsidRPr="00151AEE" w:rsidRDefault="001234FC" w:rsidP="0062427B">
            <w:pPr>
              <w:rPr>
                <w:b/>
              </w:rPr>
            </w:pPr>
            <w:r w:rsidRPr="00151AEE">
              <w:rPr>
                <w:b/>
              </w:rPr>
              <w:t>Receptacles</w:t>
            </w:r>
          </w:p>
          <w:p w14:paraId="161BB96E" w14:textId="77777777" w:rsidR="001234FC" w:rsidRPr="00151AEE" w:rsidRDefault="001234FC" w:rsidP="0062427B">
            <w:r w:rsidRPr="00151AEE">
              <w:t xml:space="preserve">     Plastics</w:t>
            </w:r>
          </w:p>
          <w:p w14:paraId="40A5675C" w14:textId="77777777" w:rsidR="001234FC" w:rsidRPr="00151AEE" w:rsidRDefault="001234FC" w:rsidP="0062427B">
            <w:r w:rsidRPr="00151AEE">
              <w:rPr>
                <w:b/>
              </w:rPr>
              <w:t xml:space="preserve">     </w:t>
            </w:r>
            <w:r w:rsidRPr="00151AEE">
              <w:t>Hard rubber</w:t>
            </w:r>
          </w:p>
          <w:p w14:paraId="247B0951" w14:textId="77777777" w:rsidR="001234FC" w:rsidRPr="00151AEE" w:rsidRDefault="001234FC" w:rsidP="0062427B">
            <w:r w:rsidRPr="00151AEE">
              <w:t xml:space="preserve">     Glass</w:t>
            </w:r>
          </w:p>
        </w:tc>
        <w:tc>
          <w:tcPr>
            <w:tcW w:w="3117" w:type="dxa"/>
          </w:tcPr>
          <w:p w14:paraId="1F213A8D" w14:textId="77777777" w:rsidR="001234FC" w:rsidRPr="00151AEE" w:rsidRDefault="001234FC" w:rsidP="0062427B">
            <w:r w:rsidRPr="00151AEE">
              <w:t>Not less than 4-inch (10.16 cm) diameter flanged Schedule 80 seamless carbon steel pipe section</w:t>
            </w:r>
          </w:p>
          <w:p w14:paraId="58CFE9B2" w14:textId="77777777" w:rsidR="001234FC" w:rsidRPr="00151AEE" w:rsidRDefault="001234FC" w:rsidP="0062427B">
            <w:pPr>
              <w:spacing w:line="240" w:lineRule="auto"/>
            </w:pPr>
            <w:r w:rsidRPr="00151AEE">
              <w:t>not less than 15 inches (38.1 cm) in</w:t>
            </w:r>
          </w:p>
          <w:p w14:paraId="3B452D87" w14:textId="77777777" w:rsidR="001234FC" w:rsidRPr="00151AEE" w:rsidRDefault="001234FC" w:rsidP="0062427B">
            <w:pPr>
              <w:spacing w:line="240" w:lineRule="auto"/>
            </w:pPr>
            <w:r w:rsidRPr="00151AEE">
              <w:t>length, capped on both</w:t>
            </w:r>
          </w:p>
          <w:p w14:paraId="67F0620B" w14:textId="77777777" w:rsidR="001234FC" w:rsidRPr="00151AEE" w:rsidRDefault="001234FC" w:rsidP="0062427B">
            <w:pPr>
              <w:spacing w:line="240" w:lineRule="auto"/>
            </w:pPr>
            <w:r w:rsidRPr="00151AEE">
              <w:t>ends with 8-bolt 150 psi</w:t>
            </w:r>
          </w:p>
          <w:p w14:paraId="0BEE1D36" w14:textId="77777777" w:rsidR="001234FC" w:rsidRPr="00151AEE" w:rsidRDefault="001234FC" w:rsidP="0062427B">
            <w:pPr>
              <w:spacing w:line="240" w:lineRule="auto"/>
            </w:pPr>
            <w:r w:rsidRPr="00151AEE">
              <w:t>ANSI B 16.5, ASTM A105</w:t>
            </w:r>
          </w:p>
          <w:p w14:paraId="48E35298" w14:textId="77777777" w:rsidR="001234FC" w:rsidRPr="00151AEE" w:rsidRDefault="001234FC" w:rsidP="0062427B">
            <w:pPr>
              <w:spacing w:line="240" w:lineRule="auto"/>
            </w:pPr>
            <w:r w:rsidRPr="00151AEE">
              <w:t>flange plates which are</w:t>
            </w:r>
          </w:p>
          <w:p w14:paraId="53E470FA" w14:textId="77777777" w:rsidR="001234FC" w:rsidRPr="00151AEE" w:rsidRDefault="001234FC" w:rsidP="0062427B">
            <w:pPr>
              <w:spacing w:line="240" w:lineRule="auto"/>
            </w:pPr>
            <w:r w:rsidRPr="00151AEE">
              <w:t>sealed with high</w:t>
            </w:r>
          </w:p>
          <w:p w14:paraId="7DCF05E7" w14:textId="77777777" w:rsidR="001234FC" w:rsidRPr="00151AEE" w:rsidRDefault="001234FC" w:rsidP="0062427B">
            <w:pPr>
              <w:spacing w:line="240" w:lineRule="auto"/>
            </w:pPr>
            <w:r w:rsidRPr="00151AEE">
              <w:t>temperature resistant</w:t>
            </w:r>
          </w:p>
          <w:p w14:paraId="0A225C04" w14:textId="77777777" w:rsidR="001234FC" w:rsidRPr="00151AEE" w:rsidRDefault="001234FC" w:rsidP="0062427B">
            <w:pPr>
              <w:spacing w:line="240" w:lineRule="auto"/>
            </w:pPr>
            <w:r w:rsidRPr="00151AEE">
              <w:t>graphite gaskets, each</w:t>
            </w:r>
          </w:p>
          <w:p w14:paraId="6330CAE9" w14:textId="77777777" w:rsidR="001234FC" w:rsidRPr="00151AEE" w:rsidRDefault="001234FC" w:rsidP="0062427B">
            <w:pPr>
              <w:spacing w:line="240" w:lineRule="auto"/>
            </w:pPr>
            <w:r w:rsidRPr="00151AEE">
              <w:t>containing one</w:t>
            </w:r>
          </w:p>
          <w:p w14:paraId="61E53518" w14:textId="77777777" w:rsidR="001234FC" w:rsidRPr="00151AEE" w:rsidRDefault="001234FC" w:rsidP="0062427B">
            <w:r w:rsidRPr="00151AEE">
              <w:t>intermediate packaging.</w:t>
            </w:r>
          </w:p>
        </w:tc>
        <w:tc>
          <w:tcPr>
            <w:tcW w:w="3117" w:type="dxa"/>
          </w:tcPr>
          <w:p w14:paraId="3132BB80" w14:textId="77777777" w:rsidR="001234FC" w:rsidRPr="00151AEE" w:rsidRDefault="001234FC" w:rsidP="0062427B">
            <w:pPr>
              <w:rPr>
                <w:b/>
              </w:rPr>
            </w:pPr>
            <w:r w:rsidRPr="00151AEE">
              <w:rPr>
                <w:b/>
              </w:rPr>
              <w:t>Boxes</w:t>
            </w:r>
          </w:p>
          <w:p w14:paraId="024FF8EB" w14:textId="77777777" w:rsidR="001234FC" w:rsidRPr="00151AEE" w:rsidRDefault="001234FC" w:rsidP="0062427B">
            <w:r w:rsidRPr="00151AEE">
              <w:t xml:space="preserve">     Steel (4A)</w:t>
            </w:r>
          </w:p>
          <w:p w14:paraId="510CF390" w14:textId="77777777" w:rsidR="001234FC" w:rsidRPr="00151AEE" w:rsidRDefault="001234FC" w:rsidP="0062427B">
            <w:r w:rsidRPr="00151AEE">
              <w:t xml:space="preserve">     </w:t>
            </w:r>
            <w:proofErr w:type="spellStart"/>
            <w:r w:rsidRPr="00151AEE">
              <w:t>Aluminum</w:t>
            </w:r>
            <w:proofErr w:type="spellEnd"/>
            <w:r w:rsidRPr="00151AEE">
              <w:t xml:space="preserve"> (4B)</w:t>
            </w:r>
          </w:p>
          <w:p w14:paraId="78E8AAE3" w14:textId="77777777" w:rsidR="001234FC" w:rsidRPr="00151AEE" w:rsidRDefault="001234FC" w:rsidP="0062427B">
            <w:r w:rsidRPr="00151AEE">
              <w:t xml:space="preserve">     Natural wood, ordinary (4C1)</w:t>
            </w:r>
          </w:p>
          <w:p w14:paraId="10F0B390" w14:textId="77777777" w:rsidR="001234FC" w:rsidRPr="00151AEE" w:rsidRDefault="001234FC" w:rsidP="0062427B">
            <w:r w:rsidRPr="00151AEE">
              <w:t xml:space="preserve">     Plywood (4D)</w:t>
            </w:r>
          </w:p>
          <w:p w14:paraId="7D2560C5" w14:textId="77777777" w:rsidR="001234FC" w:rsidRPr="00151AEE" w:rsidRDefault="001234FC" w:rsidP="0062427B">
            <w:r w:rsidRPr="00151AEE">
              <w:t xml:space="preserve">     Reconstituted wood (4F)</w:t>
            </w:r>
          </w:p>
          <w:p w14:paraId="1DFE4E05" w14:textId="77777777" w:rsidR="001234FC" w:rsidRPr="00151AEE" w:rsidRDefault="001234FC" w:rsidP="0062427B">
            <w:r w:rsidRPr="00151AEE">
              <w:t xml:space="preserve">     Fibreboard (4G)</w:t>
            </w:r>
          </w:p>
          <w:p w14:paraId="4003D162" w14:textId="77777777" w:rsidR="001234FC" w:rsidRPr="00151AEE" w:rsidRDefault="001234FC" w:rsidP="0062427B"/>
          <w:p w14:paraId="6D8485F3" w14:textId="77777777" w:rsidR="001234FC" w:rsidRPr="00151AEE" w:rsidRDefault="001234FC" w:rsidP="0062427B">
            <w:pPr>
              <w:rPr>
                <w:b/>
              </w:rPr>
            </w:pPr>
            <w:r w:rsidRPr="00151AEE">
              <w:rPr>
                <w:b/>
              </w:rPr>
              <w:t>Drums</w:t>
            </w:r>
          </w:p>
          <w:p w14:paraId="1013A3F5" w14:textId="77777777" w:rsidR="001234FC" w:rsidRPr="00151AEE" w:rsidRDefault="001234FC" w:rsidP="0062427B">
            <w:r w:rsidRPr="00151AEE">
              <w:rPr>
                <w:b/>
              </w:rPr>
              <w:t xml:space="preserve">     </w:t>
            </w:r>
            <w:r w:rsidRPr="00151AEE">
              <w:t>Steel (1A1, 1A2)</w:t>
            </w:r>
          </w:p>
          <w:p w14:paraId="5C85980A" w14:textId="77777777" w:rsidR="001234FC" w:rsidRPr="00151AEE" w:rsidRDefault="001234FC" w:rsidP="0062427B">
            <w:r w:rsidRPr="00151AEE">
              <w:t xml:space="preserve">     </w:t>
            </w:r>
            <w:proofErr w:type="spellStart"/>
            <w:r w:rsidRPr="00151AEE">
              <w:t>Aluminum</w:t>
            </w:r>
            <w:proofErr w:type="spellEnd"/>
            <w:r w:rsidRPr="00151AEE">
              <w:t xml:space="preserve"> (1B1, 1B3)     </w:t>
            </w:r>
          </w:p>
        </w:tc>
      </w:tr>
      <w:tr w:rsidR="001234FC" w:rsidRPr="0014739D" w14:paraId="78AC4366" w14:textId="77777777" w:rsidTr="0062427B">
        <w:tc>
          <w:tcPr>
            <w:tcW w:w="9350" w:type="dxa"/>
            <w:gridSpan w:val="3"/>
          </w:tcPr>
          <w:p w14:paraId="3E15073A" w14:textId="77777777" w:rsidR="001234FC" w:rsidRPr="00151AEE" w:rsidRDefault="001234FC" w:rsidP="001234FC">
            <w:pPr>
              <w:keepNext/>
              <w:keepLines/>
              <w:rPr>
                <w:b/>
              </w:rPr>
            </w:pPr>
            <w:r w:rsidRPr="00151AEE">
              <w:rPr>
                <w:b/>
              </w:rPr>
              <w:lastRenderedPageBreak/>
              <w:t>Special packing provisions:</w:t>
            </w:r>
          </w:p>
          <w:p w14:paraId="47C30174" w14:textId="77777777" w:rsidR="001234FC" w:rsidRDefault="001234FC" w:rsidP="001234FC">
            <w:pPr>
              <w:keepNext/>
              <w:keepLines/>
              <w:spacing w:line="240" w:lineRule="auto"/>
              <w:jc w:val="both"/>
              <w:rPr>
                <w:b/>
              </w:rPr>
            </w:pPr>
            <w:r w:rsidRPr="0039263D">
              <w:rPr>
                <w:b/>
              </w:rPr>
              <w:t xml:space="preserve">BB   </w:t>
            </w:r>
            <w:r>
              <w:rPr>
                <w:b/>
              </w:rPr>
              <w:t xml:space="preserve">   </w:t>
            </w:r>
            <w:r w:rsidRPr="0039263D">
              <w:rPr>
                <w:b/>
              </w:rPr>
              <w:t>For UN YYYY</w:t>
            </w:r>
            <w:r>
              <w:rPr>
                <w:b/>
              </w:rPr>
              <w:t>:</w:t>
            </w:r>
            <w:r w:rsidRPr="0039263D">
              <w:rPr>
                <w:b/>
              </w:rPr>
              <w:t xml:space="preserve"> </w:t>
            </w:r>
          </w:p>
          <w:p w14:paraId="1F1BA0A0" w14:textId="3C6DCA96" w:rsidR="001234FC" w:rsidRPr="00151AEE" w:rsidRDefault="00ED3030" w:rsidP="00ED3030">
            <w:pPr>
              <w:keepNext/>
              <w:keepLines/>
              <w:spacing w:line="240" w:lineRule="auto"/>
              <w:ind w:left="1134" w:hanging="414"/>
            </w:pPr>
            <w:r>
              <w:t>-</w:t>
            </w:r>
            <w:r>
              <w:tab/>
            </w:r>
            <w:r w:rsidR="001234FC" w:rsidRPr="00151AEE">
              <w:t>Put the receptacle (sealed with a suitable method of</w:t>
            </w:r>
            <w:r w:rsidR="001234FC">
              <w:t xml:space="preserve"> </w:t>
            </w:r>
            <w:r w:rsidR="001234FC" w:rsidRPr="00151AEE">
              <w:t>closure containing the liquid explosive in a plastic, wide mouth bottle which is</w:t>
            </w:r>
            <w:r w:rsidR="001234FC">
              <w:t xml:space="preserve"> </w:t>
            </w:r>
            <w:proofErr w:type="spellStart"/>
            <w:r w:rsidR="001234FC" w:rsidRPr="00151AEE">
              <w:t>centered</w:t>
            </w:r>
            <w:proofErr w:type="spellEnd"/>
            <w:r w:rsidR="001234FC" w:rsidRPr="00151AEE">
              <w:t xml:space="preserve"> inside the container using packaging materials or other designed packaging</w:t>
            </w:r>
            <w:r w:rsidR="001234FC">
              <w:t xml:space="preserve"> </w:t>
            </w:r>
            <w:proofErr w:type="gramStart"/>
            <w:r w:rsidR="001234FC" w:rsidRPr="00151AEE">
              <w:t>so as to</w:t>
            </w:r>
            <w:proofErr w:type="gramEnd"/>
            <w:r w:rsidR="001234FC" w:rsidRPr="00151AEE">
              <w:t xml:space="preserve"> not be next to the walls or caps.</w:t>
            </w:r>
          </w:p>
          <w:p w14:paraId="2C844530" w14:textId="471A6A5E" w:rsidR="001234FC" w:rsidRPr="00AD07D0" w:rsidRDefault="00ED3030" w:rsidP="00ED3030">
            <w:pPr>
              <w:keepNext/>
              <w:keepLines/>
              <w:spacing w:line="240" w:lineRule="auto"/>
              <w:ind w:left="1134" w:hanging="414"/>
            </w:pPr>
            <w:r>
              <w:t>-</w:t>
            </w:r>
            <w:r>
              <w:tab/>
            </w:r>
            <w:r w:rsidR="001234FC" w:rsidRPr="00151AEE">
              <w:t>The packaging (e.g., sawdust, vermiculite or cellulosic materials) surrounding the</w:t>
            </w:r>
            <w:r>
              <w:t xml:space="preserve"> </w:t>
            </w:r>
            <w:r w:rsidR="001234FC" w:rsidRPr="00151AEE">
              <w:t>wide mouth bottle should be compatible with the explosive and provide sufficient</w:t>
            </w:r>
            <w:r>
              <w:t xml:space="preserve"> </w:t>
            </w:r>
            <w:r w:rsidR="001234FC" w:rsidRPr="00151AEE">
              <w:t>cushioning material to absorb all free liquid in the inner packaging.</w:t>
            </w:r>
          </w:p>
          <w:p w14:paraId="68ED74F1" w14:textId="26BDFD54" w:rsidR="001234FC" w:rsidRPr="0014739D" w:rsidRDefault="00ED3030" w:rsidP="00ED3030">
            <w:pPr>
              <w:keepNext/>
              <w:keepLines/>
              <w:spacing w:line="240" w:lineRule="auto"/>
              <w:ind w:left="1134" w:hanging="414"/>
              <w:rPr>
                <w:b/>
              </w:rPr>
            </w:pPr>
            <w:r>
              <w:t>-</w:t>
            </w:r>
            <w:r>
              <w:tab/>
            </w:r>
            <w:r w:rsidR="001234FC" w:rsidRPr="00AD07D0">
              <w:t xml:space="preserve">The container is then placed in an outer package comprised of </w:t>
            </w:r>
            <w:proofErr w:type="spellStart"/>
            <w:r w:rsidR="001234FC" w:rsidRPr="00AD07D0">
              <w:t>fiberboard</w:t>
            </w:r>
            <w:proofErr w:type="spellEnd"/>
            <w:r w:rsidR="001234FC" w:rsidRPr="00AD07D0">
              <w:t>, plywood,</w:t>
            </w:r>
            <w:r>
              <w:t xml:space="preserve"> </w:t>
            </w:r>
            <w:r w:rsidR="001234FC" w:rsidRPr="00AD07D0">
              <w:t xml:space="preserve">or metal.  The outer </w:t>
            </w:r>
            <w:bookmarkStart w:id="0" w:name="_GoBack"/>
            <w:bookmarkEnd w:id="0"/>
            <w:r w:rsidR="001234FC" w:rsidRPr="00AD07D0">
              <w:t>package is to facilitate handling and has no bearing on the</w:t>
            </w:r>
            <w:r>
              <w:t xml:space="preserve"> </w:t>
            </w:r>
            <w:r w:rsidR="001234FC" w:rsidRPr="00AD07D0">
              <w:t>containment of an explosive event in the container</w:t>
            </w:r>
            <w:r w:rsidR="001234FC" w:rsidRPr="00151AEE">
              <w:rPr>
                <w:color w:val="262600"/>
              </w:rPr>
              <w:t>.</w:t>
            </w:r>
          </w:p>
        </w:tc>
      </w:tr>
    </w:tbl>
    <w:p w14:paraId="11B6EC9F" w14:textId="77777777" w:rsidR="001234FC" w:rsidRPr="00CB18F9" w:rsidRDefault="001234FC" w:rsidP="001234FC">
      <w:pPr>
        <w:spacing w:before="240"/>
        <w:ind w:left="1134" w:right="1134"/>
        <w:jc w:val="center"/>
        <w:rPr>
          <w:u w:val="single"/>
        </w:rPr>
      </w:pPr>
      <w:r>
        <w:rPr>
          <w:u w:val="single"/>
        </w:rPr>
        <w:tab/>
      </w:r>
      <w:r>
        <w:rPr>
          <w:u w:val="single"/>
        </w:rPr>
        <w:tab/>
      </w:r>
      <w:r>
        <w:rPr>
          <w:u w:val="single"/>
        </w:rPr>
        <w:tab/>
      </w:r>
    </w:p>
    <w:p w14:paraId="31A038AC" w14:textId="77777777" w:rsidR="001234FC" w:rsidRPr="00D905CF" w:rsidRDefault="001234FC" w:rsidP="001234FC"/>
    <w:p w14:paraId="47FF438B" w14:textId="77777777" w:rsidR="001234FC" w:rsidRPr="001234FC" w:rsidRDefault="001234FC" w:rsidP="001234FC"/>
    <w:sectPr w:rsidR="001234FC" w:rsidRPr="001234FC" w:rsidSect="008714BD">
      <w:headerReference w:type="even" r:id="rId9"/>
      <w:headerReference w:type="default" r:id="rId10"/>
      <w:footerReference w:type="even" r:id="rId11"/>
      <w:footerReference w:type="default" r:id="rId12"/>
      <w:footnotePr>
        <w:numStart w:val="2"/>
      </w:footnotePr>
      <w:endnotePr>
        <w:numFmt w:val="decimal"/>
      </w:endnotePr>
      <w:type w:val="continuous"/>
      <w:pgSz w:w="11907" w:h="16840" w:code="9"/>
      <w:pgMar w:top="1418"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3D87D" w14:textId="77777777" w:rsidR="002E7830" w:rsidRDefault="002E7830"/>
  </w:endnote>
  <w:endnote w:type="continuationSeparator" w:id="0">
    <w:p w14:paraId="6BC02C74" w14:textId="77777777" w:rsidR="002E7830" w:rsidRDefault="002E7830"/>
  </w:endnote>
  <w:endnote w:type="continuationNotice" w:id="1">
    <w:p w14:paraId="44509BB0" w14:textId="77777777" w:rsidR="002E7830" w:rsidRDefault="002E78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HiddenHorzOCR">
    <w:altName w:val="Yu Gothic"/>
    <w:panose1 w:val="00000000000000000000"/>
    <w:charset w:val="80"/>
    <w:family w:val="auto"/>
    <w:notTrueType/>
    <w:pitch w:val="default"/>
    <w:sig w:usb0="00000001" w:usb1="08070000" w:usb2="00000010"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77395" w14:textId="4627B353" w:rsidR="008C7AFF" w:rsidRPr="009D2A5B" w:rsidRDefault="00CC24B7" w:rsidP="009D2A5B">
    <w:pPr>
      <w:pStyle w:val="Footer"/>
      <w:tabs>
        <w:tab w:val="right" w:pos="9598"/>
      </w:tabs>
    </w:pPr>
    <w:r w:rsidRPr="009D2A5B">
      <w:rPr>
        <w:b/>
        <w:sz w:val="18"/>
      </w:rPr>
      <w:fldChar w:fldCharType="begin"/>
    </w:r>
    <w:r w:rsidR="008C7AFF" w:rsidRPr="009D2A5B">
      <w:rPr>
        <w:b/>
        <w:sz w:val="18"/>
      </w:rPr>
      <w:instrText xml:space="preserve"> PAGE  \* MERGEFORMAT </w:instrText>
    </w:r>
    <w:r w:rsidRPr="009D2A5B">
      <w:rPr>
        <w:b/>
        <w:sz w:val="18"/>
      </w:rPr>
      <w:fldChar w:fldCharType="separate"/>
    </w:r>
    <w:r w:rsidR="00ED3030">
      <w:rPr>
        <w:b/>
        <w:noProof/>
        <w:sz w:val="18"/>
      </w:rPr>
      <w:t>2</w:t>
    </w:r>
    <w:r w:rsidRPr="009D2A5B">
      <w:rPr>
        <w:b/>
        <w:sz w:val="18"/>
      </w:rPr>
      <w:fldChar w:fldCharType="end"/>
    </w:r>
    <w:r w:rsidR="008C7AFF">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D551B" w14:textId="38F35E30" w:rsidR="008C7AFF" w:rsidRPr="009D2A5B" w:rsidRDefault="008C7AFF" w:rsidP="009D2A5B">
    <w:pPr>
      <w:pStyle w:val="Footer"/>
      <w:tabs>
        <w:tab w:val="right" w:pos="9598"/>
      </w:tabs>
      <w:rPr>
        <w:b/>
        <w:sz w:val="18"/>
      </w:rPr>
    </w:pPr>
    <w:r>
      <w:tab/>
    </w:r>
    <w:r w:rsidR="00CC24B7" w:rsidRPr="009D2A5B">
      <w:rPr>
        <w:b/>
        <w:sz w:val="18"/>
      </w:rPr>
      <w:fldChar w:fldCharType="begin"/>
    </w:r>
    <w:r w:rsidRPr="009D2A5B">
      <w:rPr>
        <w:b/>
        <w:sz w:val="18"/>
      </w:rPr>
      <w:instrText xml:space="preserve"> PAGE  \* MERGEFORMAT </w:instrText>
    </w:r>
    <w:r w:rsidR="00CC24B7" w:rsidRPr="009D2A5B">
      <w:rPr>
        <w:b/>
        <w:sz w:val="18"/>
      </w:rPr>
      <w:fldChar w:fldCharType="separate"/>
    </w:r>
    <w:r w:rsidR="00ED3030">
      <w:rPr>
        <w:b/>
        <w:noProof/>
        <w:sz w:val="18"/>
      </w:rPr>
      <w:t>3</w:t>
    </w:r>
    <w:r w:rsidR="00CC24B7"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800B4" w14:textId="77777777" w:rsidR="002E7830" w:rsidRPr="000B175B" w:rsidRDefault="002E7830" w:rsidP="000B175B">
      <w:pPr>
        <w:tabs>
          <w:tab w:val="right" w:pos="2155"/>
        </w:tabs>
        <w:spacing w:after="80"/>
        <w:ind w:left="680"/>
        <w:rPr>
          <w:u w:val="single"/>
        </w:rPr>
      </w:pPr>
      <w:r>
        <w:rPr>
          <w:u w:val="single"/>
        </w:rPr>
        <w:tab/>
      </w:r>
    </w:p>
  </w:footnote>
  <w:footnote w:type="continuationSeparator" w:id="0">
    <w:p w14:paraId="20AFAB27" w14:textId="77777777" w:rsidR="002E7830" w:rsidRPr="00FC68B7" w:rsidRDefault="002E7830" w:rsidP="00FC68B7">
      <w:pPr>
        <w:tabs>
          <w:tab w:val="left" w:pos="2155"/>
        </w:tabs>
        <w:spacing w:after="80"/>
        <w:ind w:left="680"/>
        <w:rPr>
          <w:u w:val="single"/>
        </w:rPr>
      </w:pPr>
      <w:r>
        <w:rPr>
          <w:u w:val="single"/>
        </w:rPr>
        <w:tab/>
      </w:r>
    </w:p>
  </w:footnote>
  <w:footnote w:type="continuationNotice" w:id="1">
    <w:p w14:paraId="2536E502" w14:textId="77777777" w:rsidR="002E7830" w:rsidRDefault="002E78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970A9" w14:textId="7599899C" w:rsidR="008C7AFF" w:rsidRPr="00FA7F6B" w:rsidRDefault="00236300" w:rsidP="009D2A5B">
    <w:pPr>
      <w:pStyle w:val="Header"/>
      <w:rPr>
        <w:szCs w:val="18"/>
        <w:lang w:val="fr-CH"/>
      </w:rPr>
    </w:pPr>
    <w:r>
      <w:rPr>
        <w:szCs w:val="18"/>
        <w:lang w:val="fr-CH"/>
      </w:rPr>
      <w:t>UN/SCETDG/53/</w:t>
    </w:r>
    <w:r w:rsidR="008C7AFF" w:rsidRPr="00FA7F6B">
      <w:rPr>
        <w:szCs w:val="18"/>
        <w:lang w:val="fr-CH"/>
      </w:rPr>
      <w:t>INF.</w:t>
    </w:r>
    <w:r w:rsidR="001234FC">
      <w:rPr>
        <w:szCs w:val="18"/>
        <w:lang w:val="fr-CH"/>
      </w:rPr>
      <w:t>43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87F10" w14:textId="38F35E5D" w:rsidR="008C7AFF" w:rsidRPr="00CD57D2" w:rsidRDefault="001234FC" w:rsidP="009D2A5B">
    <w:pPr>
      <w:pStyle w:val="Header"/>
      <w:jc w:val="right"/>
      <w:rPr>
        <w:lang w:val="fr-CH"/>
      </w:rPr>
    </w:pPr>
    <w:r>
      <w:rPr>
        <w:szCs w:val="18"/>
        <w:lang w:val="fr-CH"/>
      </w:rPr>
      <w:t>UN/SCETDG/53/</w:t>
    </w:r>
    <w:r w:rsidRPr="00FA7F6B">
      <w:rPr>
        <w:szCs w:val="18"/>
        <w:lang w:val="fr-CH"/>
      </w:rPr>
      <w:t>INF.</w:t>
    </w:r>
    <w:r>
      <w:rPr>
        <w:szCs w:val="18"/>
        <w:lang w:val="fr-CH"/>
      </w:rPr>
      <w:t>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D27EC"/>
    <w:multiLevelType w:val="hybridMultilevel"/>
    <w:tmpl w:val="78EE9DFE"/>
    <w:lvl w:ilvl="0" w:tplc="78B2B274">
      <w:start w:val="1"/>
      <w:numFmt w:val="decimal"/>
      <w:lvlText w:val="%1."/>
      <w:lvlJc w:val="left"/>
      <w:pPr>
        <w:ind w:left="1854" w:hanging="360"/>
      </w:pPr>
      <w:rPr>
        <w:rFonts w:hint="default"/>
      </w:rPr>
    </w:lvl>
    <w:lvl w:ilvl="1" w:tplc="041D0019" w:tentative="1">
      <w:start w:val="1"/>
      <w:numFmt w:val="lowerLetter"/>
      <w:lvlText w:val="%2."/>
      <w:lvlJc w:val="left"/>
      <w:pPr>
        <w:ind w:left="2574" w:hanging="360"/>
      </w:pPr>
    </w:lvl>
    <w:lvl w:ilvl="2" w:tplc="041D001B" w:tentative="1">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11"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28C5F87"/>
    <w:multiLevelType w:val="hybridMultilevel"/>
    <w:tmpl w:val="FBD84848"/>
    <w:lvl w:ilvl="0" w:tplc="78B2B274">
      <w:start w:val="1"/>
      <w:numFmt w:val="decimal"/>
      <w:lvlText w:val="%1."/>
      <w:lvlJc w:val="left"/>
      <w:pPr>
        <w:ind w:left="3474" w:hanging="360"/>
      </w:pPr>
      <w:rPr>
        <w:rFonts w:hint="default"/>
      </w:rPr>
    </w:lvl>
    <w:lvl w:ilvl="1" w:tplc="041D0019" w:tentative="1">
      <w:start w:val="1"/>
      <w:numFmt w:val="lowerLetter"/>
      <w:lvlText w:val="%2."/>
      <w:lvlJc w:val="left"/>
      <w:pPr>
        <w:ind w:left="3060" w:hanging="360"/>
      </w:pPr>
    </w:lvl>
    <w:lvl w:ilvl="2" w:tplc="041D001B">
      <w:start w:val="1"/>
      <w:numFmt w:val="lowerRoman"/>
      <w:lvlText w:val="%3."/>
      <w:lvlJc w:val="right"/>
      <w:pPr>
        <w:ind w:left="3780" w:hanging="180"/>
      </w:pPr>
    </w:lvl>
    <w:lvl w:ilvl="3" w:tplc="041D000F" w:tentative="1">
      <w:start w:val="1"/>
      <w:numFmt w:val="decimal"/>
      <w:lvlText w:val="%4."/>
      <w:lvlJc w:val="left"/>
      <w:pPr>
        <w:ind w:left="4500" w:hanging="360"/>
      </w:pPr>
    </w:lvl>
    <w:lvl w:ilvl="4" w:tplc="041D0019" w:tentative="1">
      <w:start w:val="1"/>
      <w:numFmt w:val="lowerLetter"/>
      <w:lvlText w:val="%5."/>
      <w:lvlJc w:val="left"/>
      <w:pPr>
        <w:ind w:left="5220" w:hanging="360"/>
      </w:pPr>
    </w:lvl>
    <w:lvl w:ilvl="5" w:tplc="041D001B" w:tentative="1">
      <w:start w:val="1"/>
      <w:numFmt w:val="lowerRoman"/>
      <w:lvlText w:val="%6."/>
      <w:lvlJc w:val="right"/>
      <w:pPr>
        <w:ind w:left="5940" w:hanging="180"/>
      </w:pPr>
    </w:lvl>
    <w:lvl w:ilvl="6" w:tplc="041D000F" w:tentative="1">
      <w:start w:val="1"/>
      <w:numFmt w:val="decimal"/>
      <w:lvlText w:val="%7."/>
      <w:lvlJc w:val="left"/>
      <w:pPr>
        <w:ind w:left="6660" w:hanging="360"/>
      </w:pPr>
    </w:lvl>
    <w:lvl w:ilvl="7" w:tplc="041D0019" w:tentative="1">
      <w:start w:val="1"/>
      <w:numFmt w:val="lowerLetter"/>
      <w:lvlText w:val="%8."/>
      <w:lvlJc w:val="left"/>
      <w:pPr>
        <w:ind w:left="7380" w:hanging="360"/>
      </w:pPr>
    </w:lvl>
    <w:lvl w:ilvl="8" w:tplc="041D001B" w:tentative="1">
      <w:start w:val="1"/>
      <w:numFmt w:val="lowerRoman"/>
      <w:lvlText w:val="%9."/>
      <w:lvlJc w:val="right"/>
      <w:pPr>
        <w:ind w:left="8100" w:hanging="180"/>
      </w:pPr>
    </w:lvl>
  </w:abstractNum>
  <w:abstractNum w:abstractNumId="13" w15:restartNumberingAfterBreak="0">
    <w:nsid w:val="0635456E"/>
    <w:multiLevelType w:val="hybridMultilevel"/>
    <w:tmpl w:val="B5CA97C8"/>
    <w:lvl w:ilvl="0" w:tplc="48A2EECC">
      <w:start w:val="1"/>
      <w:numFmt w:val="decimal"/>
      <w:lvlText w:val="%1."/>
      <w:lvlJc w:val="left"/>
      <w:pPr>
        <w:ind w:left="1674" w:hanging="54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4150BCC"/>
    <w:multiLevelType w:val="hybridMultilevel"/>
    <w:tmpl w:val="B6264074"/>
    <w:lvl w:ilvl="0" w:tplc="CFA814B4">
      <w:start w:val="1"/>
      <w:numFmt w:val="decimal"/>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62B1293"/>
    <w:multiLevelType w:val="hybridMultilevel"/>
    <w:tmpl w:val="4B7E74B8"/>
    <w:lvl w:ilvl="0" w:tplc="BC6AD7F4">
      <w:start w:val="2"/>
      <w:numFmt w:val="lowerLetter"/>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18" w15:restartNumberingAfterBreak="0">
    <w:nsid w:val="1A7D57F1"/>
    <w:multiLevelType w:val="hybridMultilevel"/>
    <w:tmpl w:val="B5CA97C8"/>
    <w:lvl w:ilvl="0" w:tplc="48A2EECC">
      <w:start w:val="1"/>
      <w:numFmt w:val="decimal"/>
      <w:lvlText w:val="%1."/>
      <w:lvlJc w:val="left"/>
      <w:pPr>
        <w:ind w:left="1674" w:hanging="54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BD0E8F"/>
    <w:multiLevelType w:val="hybridMultilevel"/>
    <w:tmpl w:val="5A2A965A"/>
    <w:lvl w:ilvl="0" w:tplc="041D000F">
      <w:start w:val="1"/>
      <w:numFmt w:val="decimal"/>
      <w:lvlText w:val="%1."/>
      <w:lvlJc w:val="left"/>
      <w:pPr>
        <w:ind w:left="1854" w:hanging="360"/>
      </w:pPr>
    </w:lvl>
    <w:lvl w:ilvl="1" w:tplc="041D0019" w:tentative="1">
      <w:start w:val="1"/>
      <w:numFmt w:val="lowerLetter"/>
      <w:lvlText w:val="%2."/>
      <w:lvlJc w:val="left"/>
      <w:pPr>
        <w:ind w:left="2574" w:hanging="360"/>
      </w:pPr>
    </w:lvl>
    <w:lvl w:ilvl="2" w:tplc="041D001B" w:tentative="1">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21"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866CA5"/>
    <w:multiLevelType w:val="hybridMultilevel"/>
    <w:tmpl w:val="F13E8478"/>
    <w:lvl w:ilvl="0" w:tplc="CFA814B4">
      <w:start w:val="1"/>
      <w:numFmt w:val="decimal"/>
      <w:lvlText w:val="%1."/>
      <w:lvlJc w:val="left"/>
      <w:pPr>
        <w:ind w:left="2826" w:hanging="360"/>
      </w:pPr>
      <w:rPr>
        <w:rFonts w:hint="default"/>
      </w:rPr>
    </w:lvl>
    <w:lvl w:ilvl="1" w:tplc="041D0019" w:tentative="1">
      <w:start w:val="1"/>
      <w:numFmt w:val="lowerLetter"/>
      <w:lvlText w:val="%2."/>
      <w:lvlJc w:val="left"/>
      <w:pPr>
        <w:ind w:left="3546" w:hanging="360"/>
      </w:pPr>
    </w:lvl>
    <w:lvl w:ilvl="2" w:tplc="041D001B" w:tentative="1">
      <w:start w:val="1"/>
      <w:numFmt w:val="lowerRoman"/>
      <w:lvlText w:val="%3."/>
      <w:lvlJc w:val="right"/>
      <w:pPr>
        <w:ind w:left="4266" w:hanging="180"/>
      </w:pPr>
    </w:lvl>
    <w:lvl w:ilvl="3" w:tplc="041D000F" w:tentative="1">
      <w:start w:val="1"/>
      <w:numFmt w:val="decimal"/>
      <w:lvlText w:val="%4."/>
      <w:lvlJc w:val="left"/>
      <w:pPr>
        <w:ind w:left="4986" w:hanging="360"/>
      </w:pPr>
    </w:lvl>
    <w:lvl w:ilvl="4" w:tplc="041D0019" w:tentative="1">
      <w:start w:val="1"/>
      <w:numFmt w:val="lowerLetter"/>
      <w:lvlText w:val="%5."/>
      <w:lvlJc w:val="left"/>
      <w:pPr>
        <w:ind w:left="5706" w:hanging="360"/>
      </w:pPr>
    </w:lvl>
    <w:lvl w:ilvl="5" w:tplc="041D001B" w:tentative="1">
      <w:start w:val="1"/>
      <w:numFmt w:val="lowerRoman"/>
      <w:lvlText w:val="%6."/>
      <w:lvlJc w:val="right"/>
      <w:pPr>
        <w:ind w:left="6426" w:hanging="180"/>
      </w:pPr>
    </w:lvl>
    <w:lvl w:ilvl="6" w:tplc="041D000F" w:tentative="1">
      <w:start w:val="1"/>
      <w:numFmt w:val="decimal"/>
      <w:lvlText w:val="%7."/>
      <w:lvlJc w:val="left"/>
      <w:pPr>
        <w:ind w:left="7146" w:hanging="360"/>
      </w:pPr>
    </w:lvl>
    <w:lvl w:ilvl="7" w:tplc="041D0019" w:tentative="1">
      <w:start w:val="1"/>
      <w:numFmt w:val="lowerLetter"/>
      <w:lvlText w:val="%8."/>
      <w:lvlJc w:val="left"/>
      <w:pPr>
        <w:ind w:left="7866" w:hanging="360"/>
      </w:pPr>
    </w:lvl>
    <w:lvl w:ilvl="8" w:tplc="041D001B" w:tentative="1">
      <w:start w:val="1"/>
      <w:numFmt w:val="lowerRoman"/>
      <w:lvlText w:val="%9."/>
      <w:lvlJc w:val="right"/>
      <w:pPr>
        <w:ind w:left="8586" w:hanging="180"/>
      </w:pPr>
    </w:lvl>
  </w:abstractNum>
  <w:abstractNum w:abstractNumId="23" w15:restartNumberingAfterBreak="0">
    <w:nsid w:val="348F221C"/>
    <w:multiLevelType w:val="hybridMultilevel"/>
    <w:tmpl w:val="7FE60012"/>
    <w:lvl w:ilvl="0" w:tplc="78B2B274">
      <w:start w:val="1"/>
      <w:numFmt w:val="decimal"/>
      <w:lvlText w:val="%1."/>
      <w:lvlJc w:val="left"/>
      <w:pPr>
        <w:ind w:left="2988" w:hanging="360"/>
      </w:pPr>
      <w:rPr>
        <w:rFonts w:hint="default"/>
      </w:rPr>
    </w:lvl>
    <w:lvl w:ilvl="1" w:tplc="041D0019" w:tentative="1">
      <w:start w:val="1"/>
      <w:numFmt w:val="lowerLetter"/>
      <w:lvlText w:val="%2."/>
      <w:lvlJc w:val="left"/>
      <w:pPr>
        <w:ind w:left="2574" w:hanging="360"/>
      </w:pPr>
    </w:lvl>
    <w:lvl w:ilvl="2" w:tplc="041D001B">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24" w15:restartNumberingAfterBreak="0">
    <w:nsid w:val="47E85496"/>
    <w:multiLevelType w:val="hybridMultilevel"/>
    <w:tmpl w:val="C04245A0"/>
    <w:lvl w:ilvl="0" w:tplc="04070001">
      <w:start w:val="1"/>
      <w:numFmt w:val="bullet"/>
      <w:lvlText w:val=""/>
      <w:lvlJc w:val="left"/>
      <w:pPr>
        <w:ind w:left="1494" w:hanging="360"/>
      </w:pPr>
      <w:rPr>
        <w:rFonts w:ascii="Symbol" w:hAnsi="Symbol" w:hint="default"/>
      </w:rPr>
    </w:lvl>
    <w:lvl w:ilvl="1" w:tplc="04070003">
      <w:start w:val="1"/>
      <w:numFmt w:val="bullet"/>
      <w:lvlText w:val="o"/>
      <w:lvlJc w:val="left"/>
      <w:pPr>
        <w:ind w:left="2214" w:hanging="360"/>
      </w:pPr>
      <w:rPr>
        <w:rFonts w:ascii="Courier New" w:hAnsi="Courier New" w:cs="Courier New" w:hint="default"/>
      </w:rPr>
    </w:lvl>
    <w:lvl w:ilvl="2" w:tplc="04070005">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5" w15:restartNumberingAfterBreak="0">
    <w:nsid w:val="48011DD7"/>
    <w:multiLevelType w:val="multilevel"/>
    <w:tmpl w:val="0409001D"/>
    <w:numStyleLink w:val="1ai"/>
  </w:abstractNum>
  <w:abstractNum w:abstractNumId="26" w15:restartNumberingAfterBreak="0">
    <w:nsid w:val="4D7F4507"/>
    <w:multiLevelType w:val="hybridMultilevel"/>
    <w:tmpl w:val="D55CBCD6"/>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27" w15:restartNumberingAfterBreak="0">
    <w:nsid w:val="516C5D66"/>
    <w:multiLevelType w:val="hybridMultilevel"/>
    <w:tmpl w:val="F3ACCC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6AA7040"/>
    <w:multiLevelType w:val="hybridMultilevel"/>
    <w:tmpl w:val="52ECB108"/>
    <w:lvl w:ilvl="0" w:tplc="04260017">
      <w:start w:val="1"/>
      <w:numFmt w:val="lowerLetter"/>
      <w:lvlText w:val="%1)"/>
      <w:lvlJc w:val="left"/>
      <w:pPr>
        <w:ind w:left="1500" w:hanging="360"/>
      </w:p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4E86BA2"/>
    <w:multiLevelType w:val="hybridMultilevel"/>
    <w:tmpl w:val="D852463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3546ED"/>
    <w:multiLevelType w:val="hybridMultilevel"/>
    <w:tmpl w:val="7416D25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3" w15:restartNumberingAfterBreak="0">
    <w:nsid w:val="73205E84"/>
    <w:multiLevelType w:val="hybridMultilevel"/>
    <w:tmpl w:val="A844B41C"/>
    <w:lvl w:ilvl="0" w:tplc="041D000F">
      <w:start w:val="1"/>
      <w:numFmt w:val="decimal"/>
      <w:lvlText w:val="%1."/>
      <w:lvlJc w:val="left"/>
      <w:pPr>
        <w:ind w:left="2771" w:hanging="360"/>
      </w:pPr>
    </w:lvl>
    <w:lvl w:ilvl="1" w:tplc="041D0019" w:tentative="1">
      <w:start w:val="1"/>
      <w:numFmt w:val="lowerLetter"/>
      <w:lvlText w:val="%2."/>
      <w:lvlJc w:val="left"/>
      <w:pPr>
        <w:ind w:left="3491" w:hanging="360"/>
      </w:pPr>
    </w:lvl>
    <w:lvl w:ilvl="2" w:tplc="041D001B" w:tentative="1">
      <w:start w:val="1"/>
      <w:numFmt w:val="lowerRoman"/>
      <w:lvlText w:val="%3."/>
      <w:lvlJc w:val="right"/>
      <w:pPr>
        <w:ind w:left="4211" w:hanging="180"/>
      </w:pPr>
    </w:lvl>
    <w:lvl w:ilvl="3" w:tplc="041D000F" w:tentative="1">
      <w:start w:val="1"/>
      <w:numFmt w:val="decimal"/>
      <w:lvlText w:val="%4."/>
      <w:lvlJc w:val="left"/>
      <w:pPr>
        <w:ind w:left="4931" w:hanging="360"/>
      </w:pPr>
    </w:lvl>
    <w:lvl w:ilvl="4" w:tplc="041D0019" w:tentative="1">
      <w:start w:val="1"/>
      <w:numFmt w:val="lowerLetter"/>
      <w:lvlText w:val="%5."/>
      <w:lvlJc w:val="left"/>
      <w:pPr>
        <w:ind w:left="5651" w:hanging="360"/>
      </w:pPr>
    </w:lvl>
    <w:lvl w:ilvl="5" w:tplc="041D001B" w:tentative="1">
      <w:start w:val="1"/>
      <w:numFmt w:val="lowerRoman"/>
      <w:lvlText w:val="%6."/>
      <w:lvlJc w:val="right"/>
      <w:pPr>
        <w:ind w:left="6371" w:hanging="180"/>
      </w:pPr>
    </w:lvl>
    <w:lvl w:ilvl="6" w:tplc="041D000F" w:tentative="1">
      <w:start w:val="1"/>
      <w:numFmt w:val="decimal"/>
      <w:lvlText w:val="%7."/>
      <w:lvlJc w:val="left"/>
      <w:pPr>
        <w:ind w:left="7091" w:hanging="360"/>
      </w:pPr>
    </w:lvl>
    <w:lvl w:ilvl="7" w:tplc="041D0019" w:tentative="1">
      <w:start w:val="1"/>
      <w:numFmt w:val="lowerLetter"/>
      <w:lvlText w:val="%8."/>
      <w:lvlJc w:val="left"/>
      <w:pPr>
        <w:ind w:left="7811" w:hanging="360"/>
      </w:pPr>
    </w:lvl>
    <w:lvl w:ilvl="8" w:tplc="041D001B" w:tentative="1">
      <w:start w:val="1"/>
      <w:numFmt w:val="lowerRoman"/>
      <w:lvlText w:val="%9."/>
      <w:lvlJc w:val="right"/>
      <w:pPr>
        <w:ind w:left="8531" w:hanging="180"/>
      </w:pPr>
    </w:lvl>
  </w:abstractNum>
  <w:abstractNum w:abstractNumId="34" w15:restartNumberingAfterBreak="0">
    <w:nsid w:val="78BC0620"/>
    <w:multiLevelType w:val="hybridMultilevel"/>
    <w:tmpl w:val="FCC49FA0"/>
    <w:lvl w:ilvl="0" w:tplc="829294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9"/>
  </w:num>
  <w:num w:numId="13">
    <w:abstractNumId w:val="11"/>
  </w:num>
  <w:num w:numId="14">
    <w:abstractNumId w:val="29"/>
  </w:num>
  <w:num w:numId="15">
    <w:abstractNumId w:val="16"/>
  </w:num>
  <w:num w:numId="16">
    <w:abstractNumId w:val="14"/>
  </w:num>
  <w:num w:numId="17">
    <w:abstractNumId w:val="34"/>
  </w:num>
  <w:num w:numId="18">
    <w:abstractNumId w:val="31"/>
  </w:num>
  <w:num w:numId="19">
    <w:abstractNumId w:val="24"/>
  </w:num>
  <w:num w:numId="20">
    <w:abstractNumId w:val="26"/>
  </w:num>
  <w:num w:numId="21">
    <w:abstractNumId w:val="33"/>
  </w:num>
  <w:num w:numId="22">
    <w:abstractNumId w:val="25"/>
  </w:num>
  <w:num w:numId="23">
    <w:abstractNumId w:val="15"/>
  </w:num>
  <w:num w:numId="24">
    <w:abstractNumId w:val="10"/>
  </w:num>
  <w:num w:numId="25">
    <w:abstractNumId w:val="23"/>
  </w:num>
  <w:num w:numId="26">
    <w:abstractNumId w:val="12"/>
  </w:num>
  <w:num w:numId="27">
    <w:abstractNumId w:val="22"/>
  </w:num>
  <w:num w:numId="28">
    <w:abstractNumId w:val="17"/>
  </w:num>
  <w:num w:numId="29">
    <w:abstractNumId w:val="20"/>
  </w:num>
  <w:num w:numId="30">
    <w:abstractNumId w:val="32"/>
  </w:num>
  <w:num w:numId="31">
    <w:abstractNumId w:val="27"/>
  </w:num>
  <w:num w:numId="32">
    <w:abstractNumId w:val="28"/>
  </w:num>
  <w:num w:numId="33">
    <w:abstractNumId w:val="30"/>
  </w:num>
  <w:num w:numId="34">
    <w:abstractNumId w:val="13"/>
  </w:num>
  <w:num w:numId="35">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6" w:nlCheck="1" w:checkStyle="1"/>
  <w:activeWritingStyle w:appName="MSWord" w:lang="de-DE" w:vendorID="64" w:dllVersion="6" w:nlCheck="1" w:checkStyle="0"/>
  <w:activeWritingStyle w:appName="MSWord" w:lang="de-CH"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w:hdrShapeDefaults>
  <w:footnotePr>
    <w:numStart w:val="2"/>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00D25"/>
    <w:rsid w:val="000020A2"/>
    <w:rsid w:val="000034D6"/>
    <w:rsid w:val="000035B8"/>
    <w:rsid w:val="00005025"/>
    <w:rsid w:val="00013E97"/>
    <w:rsid w:val="000149A1"/>
    <w:rsid w:val="0002118B"/>
    <w:rsid w:val="000218B5"/>
    <w:rsid w:val="00023D28"/>
    <w:rsid w:val="000260EE"/>
    <w:rsid w:val="0002690D"/>
    <w:rsid w:val="000375AD"/>
    <w:rsid w:val="00037F90"/>
    <w:rsid w:val="00042C00"/>
    <w:rsid w:val="00046B0A"/>
    <w:rsid w:val="00046B1F"/>
    <w:rsid w:val="000470B0"/>
    <w:rsid w:val="00047EB7"/>
    <w:rsid w:val="00050F6B"/>
    <w:rsid w:val="00057E97"/>
    <w:rsid w:val="00061528"/>
    <w:rsid w:val="0006361C"/>
    <w:rsid w:val="00067232"/>
    <w:rsid w:val="00072C8C"/>
    <w:rsid w:val="000733B5"/>
    <w:rsid w:val="00081815"/>
    <w:rsid w:val="0008342E"/>
    <w:rsid w:val="00085917"/>
    <w:rsid w:val="00091557"/>
    <w:rsid w:val="000931C0"/>
    <w:rsid w:val="00093840"/>
    <w:rsid w:val="00096262"/>
    <w:rsid w:val="0009761A"/>
    <w:rsid w:val="000A0FD0"/>
    <w:rsid w:val="000A1785"/>
    <w:rsid w:val="000A3752"/>
    <w:rsid w:val="000A58D8"/>
    <w:rsid w:val="000A5CF8"/>
    <w:rsid w:val="000A60B4"/>
    <w:rsid w:val="000A6A69"/>
    <w:rsid w:val="000A77BB"/>
    <w:rsid w:val="000B0595"/>
    <w:rsid w:val="000B175B"/>
    <w:rsid w:val="000B2E0B"/>
    <w:rsid w:val="000B3A0F"/>
    <w:rsid w:val="000B4EF7"/>
    <w:rsid w:val="000B633F"/>
    <w:rsid w:val="000B7AA1"/>
    <w:rsid w:val="000B7EDC"/>
    <w:rsid w:val="000C125A"/>
    <w:rsid w:val="000C2C03"/>
    <w:rsid w:val="000C2D2E"/>
    <w:rsid w:val="000C2F83"/>
    <w:rsid w:val="000C3305"/>
    <w:rsid w:val="000C4D51"/>
    <w:rsid w:val="000C7F79"/>
    <w:rsid w:val="000D1E89"/>
    <w:rsid w:val="000D3D97"/>
    <w:rsid w:val="000D7449"/>
    <w:rsid w:val="000D7C1A"/>
    <w:rsid w:val="000E0415"/>
    <w:rsid w:val="000E5C70"/>
    <w:rsid w:val="000E6237"/>
    <w:rsid w:val="000F49AD"/>
    <w:rsid w:val="00101DB8"/>
    <w:rsid w:val="0010357A"/>
    <w:rsid w:val="00103CC1"/>
    <w:rsid w:val="00104CDA"/>
    <w:rsid w:val="001103AA"/>
    <w:rsid w:val="0011119B"/>
    <w:rsid w:val="0011666B"/>
    <w:rsid w:val="0012118B"/>
    <w:rsid w:val="001211F5"/>
    <w:rsid w:val="001234FC"/>
    <w:rsid w:val="001362A8"/>
    <w:rsid w:val="00140894"/>
    <w:rsid w:val="00141383"/>
    <w:rsid w:val="00142A40"/>
    <w:rsid w:val="00142AB2"/>
    <w:rsid w:val="00154657"/>
    <w:rsid w:val="00155068"/>
    <w:rsid w:val="001608C3"/>
    <w:rsid w:val="001644E3"/>
    <w:rsid w:val="00165F3A"/>
    <w:rsid w:val="0017302C"/>
    <w:rsid w:val="00177CE8"/>
    <w:rsid w:val="00181981"/>
    <w:rsid w:val="0018210E"/>
    <w:rsid w:val="00186479"/>
    <w:rsid w:val="00186D7B"/>
    <w:rsid w:val="0019168C"/>
    <w:rsid w:val="00193CA7"/>
    <w:rsid w:val="0019451E"/>
    <w:rsid w:val="0019698C"/>
    <w:rsid w:val="001A1DCF"/>
    <w:rsid w:val="001A6E55"/>
    <w:rsid w:val="001B08A2"/>
    <w:rsid w:val="001B13A5"/>
    <w:rsid w:val="001B4B04"/>
    <w:rsid w:val="001C03F9"/>
    <w:rsid w:val="001C0917"/>
    <w:rsid w:val="001C46D0"/>
    <w:rsid w:val="001C5A58"/>
    <w:rsid w:val="001C6027"/>
    <w:rsid w:val="001C6663"/>
    <w:rsid w:val="001C7895"/>
    <w:rsid w:val="001D0C8C"/>
    <w:rsid w:val="001D1419"/>
    <w:rsid w:val="001D26DF"/>
    <w:rsid w:val="001D3A03"/>
    <w:rsid w:val="001E0B9E"/>
    <w:rsid w:val="001E29E7"/>
    <w:rsid w:val="001E5415"/>
    <w:rsid w:val="001E7451"/>
    <w:rsid w:val="001E7B67"/>
    <w:rsid w:val="001F1377"/>
    <w:rsid w:val="001F4A28"/>
    <w:rsid w:val="001F679D"/>
    <w:rsid w:val="001F7435"/>
    <w:rsid w:val="002027A3"/>
    <w:rsid w:val="00202DA8"/>
    <w:rsid w:val="0021157B"/>
    <w:rsid w:val="00211E0B"/>
    <w:rsid w:val="00214714"/>
    <w:rsid w:val="002221AA"/>
    <w:rsid w:val="0022321E"/>
    <w:rsid w:val="00223B65"/>
    <w:rsid w:val="00225730"/>
    <w:rsid w:val="00226D31"/>
    <w:rsid w:val="002327CB"/>
    <w:rsid w:val="00233955"/>
    <w:rsid w:val="0023539C"/>
    <w:rsid w:val="00236300"/>
    <w:rsid w:val="00236A96"/>
    <w:rsid w:val="0023771B"/>
    <w:rsid w:val="0024023A"/>
    <w:rsid w:val="00243217"/>
    <w:rsid w:val="00246DAC"/>
    <w:rsid w:val="00247BDC"/>
    <w:rsid w:val="00250A58"/>
    <w:rsid w:val="00252290"/>
    <w:rsid w:val="00252EEE"/>
    <w:rsid w:val="00267F5F"/>
    <w:rsid w:val="00274117"/>
    <w:rsid w:val="00275791"/>
    <w:rsid w:val="00276A54"/>
    <w:rsid w:val="00280A1D"/>
    <w:rsid w:val="00284DBC"/>
    <w:rsid w:val="00286343"/>
    <w:rsid w:val="00286B4D"/>
    <w:rsid w:val="00291E09"/>
    <w:rsid w:val="00292170"/>
    <w:rsid w:val="00292ACF"/>
    <w:rsid w:val="002A0CC5"/>
    <w:rsid w:val="002A3C85"/>
    <w:rsid w:val="002A603B"/>
    <w:rsid w:val="002A6EFA"/>
    <w:rsid w:val="002B46EB"/>
    <w:rsid w:val="002B742C"/>
    <w:rsid w:val="002C63B0"/>
    <w:rsid w:val="002D0CE4"/>
    <w:rsid w:val="002D13E9"/>
    <w:rsid w:val="002D27F5"/>
    <w:rsid w:val="002D2E24"/>
    <w:rsid w:val="002D4643"/>
    <w:rsid w:val="002D4B6C"/>
    <w:rsid w:val="002D5825"/>
    <w:rsid w:val="002E20D5"/>
    <w:rsid w:val="002E7830"/>
    <w:rsid w:val="002F175C"/>
    <w:rsid w:val="002F3C64"/>
    <w:rsid w:val="00301D76"/>
    <w:rsid w:val="00302E18"/>
    <w:rsid w:val="0030606F"/>
    <w:rsid w:val="00312976"/>
    <w:rsid w:val="003173A5"/>
    <w:rsid w:val="003229D8"/>
    <w:rsid w:val="00324058"/>
    <w:rsid w:val="0033230E"/>
    <w:rsid w:val="003324A4"/>
    <w:rsid w:val="003358CF"/>
    <w:rsid w:val="00335D02"/>
    <w:rsid w:val="0034605E"/>
    <w:rsid w:val="00347E4E"/>
    <w:rsid w:val="00350BA2"/>
    <w:rsid w:val="00352709"/>
    <w:rsid w:val="00354ED9"/>
    <w:rsid w:val="0035741C"/>
    <w:rsid w:val="003604C5"/>
    <w:rsid w:val="0036340C"/>
    <w:rsid w:val="003706D8"/>
    <w:rsid w:val="0037107E"/>
    <w:rsid w:val="00371178"/>
    <w:rsid w:val="003754FC"/>
    <w:rsid w:val="00375B70"/>
    <w:rsid w:val="00381A13"/>
    <w:rsid w:val="00382827"/>
    <w:rsid w:val="0038452A"/>
    <w:rsid w:val="003915D3"/>
    <w:rsid w:val="00393A3C"/>
    <w:rsid w:val="003A10AC"/>
    <w:rsid w:val="003A30E1"/>
    <w:rsid w:val="003A6498"/>
    <w:rsid w:val="003A6728"/>
    <w:rsid w:val="003A6810"/>
    <w:rsid w:val="003A7C69"/>
    <w:rsid w:val="003B0C2A"/>
    <w:rsid w:val="003B36D1"/>
    <w:rsid w:val="003B7418"/>
    <w:rsid w:val="003C2CC4"/>
    <w:rsid w:val="003C74DD"/>
    <w:rsid w:val="003D30B0"/>
    <w:rsid w:val="003D3380"/>
    <w:rsid w:val="003D4B23"/>
    <w:rsid w:val="003E0B6D"/>
    <w:rsid w:val="003E47CA"/>
    <w:rsid w:val="003F310D"/>
    <w:rsid w:val="003F7107"/>
    <w:rsid w:val="003F710A"/>
    <w:rsid w:val="004002CE"/>
    <w:rsid w:val="00406D5C"/>
    <w:rsid w:val="00410C89"/>
    <w:rsid w:val="0041397F"/>
    <w:rsid w:val="0041539A"/>
    <w:rsid w:val="00422E03"/>
    <w:rsid w:val="00426B9B"/>
    <w:rsid w:val="0043006D"/>
    <w:rsid w:val="004325CB"/>
    <w:rsid w:val="00434854"/>
    <w:rsid w:val="004356D2"/>
    <w:rsid w:val="004428E6"/>
    <w:rsid w:val="00442A83"/>
    <w:rsid w:val="0044530F"/>
    <w:rsid w:val="00446D76"/>
    <w:rsid w:val="00453C5D"/>
    <w:rsid w:val="0045495B"/>
    <w:rsid w:val="00454D98"/>
    <w:rsid w:val="00456890"/>
    <w:rsid w:val="0045737E"/>
    <w:rsid w:val="00463984"/>
    <w:rsid w:val="00463B7B"/>
    <w:rsid w:val="004643FE"/>
    <w:rsid w:val="00470310"/>
    <w:rsid w:val="00471330"/>
    <w:rsid w:val="0047144A"/>
    <w:rsid w:val="004757DA"/>
    <w:rsid w:val="0048014F"/>
    <w:rsid w:val="00482DA4"/>
    <w:rsid w:val="0048397A"/>
    <w:rsid w:val="00483A31"/>
    <w:rsid w:val="00485C67"/>
    <w:rsid w:val="004A12F2"/>
    <w:rsid w:val="004A1460"/>
    <w:rsid w:val="004A16B4"/>
    <w:rsid w:val="004A4180"/>
    <w:rsid w:val="004B13FD"/>
    <w:rsid w:val="004B7DAD"/>
    <w:rsid w:val="004C2461"/>
    <w:rsid w:val="004C4E56"/>
    <w:rsid w:val="004C63B1"/>
    <w:rsid w:val="004C648F"/>
    <w:rsid w:val="004C72BF"/>
    <w:rsid w:val="004C7462"/>
    <w:rsid w:val="004C7936"/>
    <w:rsid w:val="004D287E"/>
    <w:rsid w:val="004D4E04"/>
    <w:rsid w:val="004D5426"/>
    <w:rsid w:val="004D71EB"/>
    <w:rsid w:val="004E0C05"/>
    <w:rsid w:val="004E1EFB"/>
    <w:rsid w:val="004E77B2"/>
    <w:rsid w:val="004F5695"/>
    <w:rsid w:val="004F68B6"/>
    <w:rsid w:val="004F7A1B"/>
    <w:rsid w:val="00503DEB"/>
    <w:rsid w:val="00504B2D"/>
    <w:rsid w:val="00507CE8"/>
    <w:rsid w:val="0052013D"/>
    <w:rsid w:val="0052136D"/>
    <w:rsid w:val="00522B58"/>
    <w:rsid w:val="00523CD7"/>
    <w:rsid w:val="00526FF7"/>
    <w:rsid w:val="0052775E"/>
    <w:rsid w:val="00533685"/>
    <w:rsid w:val="005420F2"/>
    <w:rsid w:val="00545721"/>
    <w:rsid w:val="00546993"/>
    <w:rsid w:val="005523E5"/>
    <w:rsid w:val="00553B62"/>
    <w:rsid w:val="005579EF"/>
    <w:rsid w:val="005628B6"/>
    <w:rsid w:val="005659C3"/>
    <w:rsid w:val="0057049C"/>
    <w:rsid w:val="00584FAE"/>
    <w:rsid w:val="005851B2"/>
    <w:rsid w:val="00586DB8"/>
    <w:rsid w:val="00590F4A"/>
    <w:rsid w:val="005933E3"/>
    <w:rsid w:val="0059363D"/>
    <w:rsid w:val="00596193"/>
    <w:rsid w:val="00597DE1"/>
    <w:rsid w:val="005A1668"/>
    <w:rsid w:val="005A280E"/>
    <w:rsid w:val="005A37EF"/>
    <w:rsid w:val="005A6437"/>
    <w:rsid w:val="005B0A84"/>
    <w:rsid w:val="005B3DB3"/>
    <w:rsid w:val="005B4E13"/>
    <w:rsid w:val="005B7B3A"/>
    <w:rsid w:val="005C5CC2"/>
    <w:rsid w:val="005D01AA"/>
    <w:rsid w:val="005D0201"/>
    <w:rsid w:val="005D2A29"/>
    <w:rsid w:val="005D6F14"/>
    <w:rsid w:val="005E6A77"/>
    <w:rsid w:val="005F059F"/>
    <w:rsid w:val="005F4EF7"/>
    <w:rsid w:val="005F7B75"/>
    <w:rsid w:val="006001EE"/>
    <w:rsid w:val="00600FA9"/>
    <w:rsid w:val="00603A22"/>
    <w:rsid w:val="00605042"/>
    <w:rsid w:val="00611FC4"/>
    <w:rsid w:val="00614F70"/>
    <w:rsid w:val="006162FB"/>
    <w:rsid w:val="006167E8"/>
    <w:rsid w:val="00616EEB"/>
    <w:rsid w:val="006176FB"/>
    <w:rsid w:val="006309EF"/>
    <w:rsid w:val="00633CDB"/>
    <w:rsid w:val="00635B07"/>
    <w:rsid w:val="00640B26"/>
    <w:rsid w:val="00642081"/>
    <w:rsid w:val="00642485"/>
    <w:rsid w:val="00644CD3"/>
    <w:rsid w:val="00651B2F"/>
    <w:rsid w:val="00652D0A"/>
    <w:rsid w:val="0066005F"/>
    <w:rsid w:val="00661C95"/>
    <w:rsid w:val="006623D5"/>
    <w:rsid w:val="00662531"/>
    <w:rsid w:val="00662BB6"/>
    <w:rsid w:val="006634C7"/>
    <w:rsid w:val="00665C16"/>
    <w:rsid w:val="00667F8F"/>
    <w:rsid w:val="0067091C"/>
    <w:rsid w:val="00670BBE"/>
    <w:rsid w:val="006713A7"/>
    <w:rsid w:val="00671F98"/>
    <w:rsid w:val="00673C44"/>
    <w:rsid w:val="00674897"/>
    <w:rsid w:val="00676975"/>
    <w:rsid w:val="00676B85"/>
    <w:rsid w:val="00684C21"/>
    <w:rsid w:val="00686FF1"/>
    <w:rsid w:val="006A2530"/>
    <w:rsid w:val="006A6A60"/>
    <w:rsid w:val="006B49F6"/>
    <w:rsid w:val="006B4DDD"/>
    <w:rsid w:val="006C18FA"/>
    <w:rsid w:val="006C3589"/>
    <w:rsid w:val="006D03EC"/>
    <w:rsid w:val="006D2B94"/>
    <w:rsid w:val="006D317D"/>
    <w:rsid w:val="006D37AF"/>
    <w:rsid w:val="006D51D0"/>
    <w:rsid w:val="006E3B48"/>
    <w:rsid w:val="006E4710"/>
    <w:rsid w:val="006E4935"/>
    <w:rsid w:val="006E564B"/>
    <w:rsid w:val="006E7191"/>
    <w:rsid w:val="006E73A7"/>
    <w:rsid w:val="006F303E"/>
    <w:rsid w:val="006F3CCF"/>
    <w:rsid w:val="006F6B03"/>
    <w:rsid w:val="00702574"/>
    <w:rsid w:val="00703577"/>
    <w:rsid w:val="00705894"/>
    <w:rsid w:val="0071793E"/>
    <w:rsid w:val="0071793F"/>
    <w:rsid w:val="0072366B"/>
    <w:rsid w:val="0072632A"/>
    <w:rsid w:val="007327D5"/>
    <w:rsid w:val="00741721"/>
    <w:rsid w:val="007418F1"/>
    <w:rsid w:val="00742087"/>
    <w:rsid w:val="00743E81"/>
    <w:rsid w:val="00745AAF"/>
    <w:rsid w:val="00753674"/>
    <w:rsid w:val="00754592"/>
    <w:rsid w:val="00754919"/>
    <w:rsid w:val="007611CF"/>
    <w:rsid w:val="007612FF"/>
    <w:rsid w:val="007629C8"/>
    <w:rsid w:val="00765EC1"/>
    <w:rsid w:val="0077047D"/>
    <w:rsid w:val="00773535"/>
    <w:rsid w:val="00777429"/>
    <w:rsid w:val="00781439"/>
    <w:rsid w:val="007816F1"/>
    <w:rsid w:val="0078507B"/>
    <w:rsid w:val="00791AC2"/>
    <w:rsid w:val="00793939"/>
    <w:rsid w:val="00796A62"/>
    <w:rsid w:val="00797575"/>
    <w:rsid w:val="007A1179"/>
    <w:rsid w:val="007A787F"/>
    <w:rsid w:val="007B6BA5"/>
    <w:rsid w:val="007B6C1C"/>
    <w:rsid w:val="007C3390"/>
    <w:rsid w:val="007C4261"/>
    <w:rsid w:val="007C4F4B"/>
    <w:rsid w:val="007C5966"/>
    <w:rsid w:val="007D3484"/>
    <w:rsid w:val="007E01E9"/>
    <w:rsid w:val="007E26B9"/>
    <w:rsid w:val="007E63F3"/>
    <w:rsid w:val="007F0F4A"/>
    <w:rsid w:val="007F10A1"/>
    <w:rsid w:val="007F23F5"/>
    <w:rsid w:val="007F29A5"/>
    <w:rsid w:val="007F6611"/>
    <w:rsid w:val="007F70AF"/>
    <w:rsid w:val="007F7106"/>
    <w:rsid w:val="007F7A86"/>
    <w:rsid w:val="007F7AB8"/>
    <w:rsid w:val="00804222"/>
    <w:rsid w:val="008116D7"/>
    <w:rsid w:val="00811920"/>
    <w:rsid w:val="00815AD0"/>
    <w:rsid w:val="00815E91"/>
    <w:rsid w:val="008212E9"/>
    <w:rsid w:val="00821A58"/>
    <w:rsid w:val="008242D7"/>
    <w:rsid w:val="00824EA3"/>
    <w:rsid w:val="008257B1"/>
    <w:rsid w:val="008268C5"/>
    <w:rsid w:val="00827ABF"/>
    <w:rsid w:val="008317FE"/>
    <w:rsid w:val="00835C5B"/>
    <w:rsid w:val="00836F65"/>
    <w:rsid w:val="00841EA6"/>
    <w:rsid w:val="00842F17"/>
    <w:rsid w:val="00843767"/>
    <w:rsid w:val="00844141"/>
    <w:rsid w:val="00845E45"/>
    <w:rsid w:val="008544D5"/>
    <w:rsid w:val="00854501"/>
    <w:rsid w:val="008556FB"/>
    <w:rsid w:val="0085672F"/>
    <w:rsid w:val="00857713"/>
    <w:rsid w:val="008630D9"/>
    <w:rsid w:val="008679D9"/>
    <w:rsid w:val="008711DC"/>
    <w:rsid w:val="00871389"/>
    <w:rsid w:val="008714BD"/>
    <w:rsid w:val="00875C74"/>
    <w:rsid w:val="008767BF"/>
    <w:rsid w:val="008777A4"/>
    <w:rsid w:val="008805A0"/>
    <w:rsid w:val="00880848"/>
    <w:rsid w:val="00880DB9"/>
    <w:rsid w:val="00881994"/>
    <w:rsid w:val="00883999"/>
    <w:rsid w:val="00887652"/>
    <w:rsid w:val="008878DE"/>
    <w:rsid w:val="00895106"/>
    <w:rsid w:val="00895951"/>
    <w:rsid w:val="008979B1"/>
    <w:rsid w:val="008A3058"/>
    <w:rsid w:val="008A6B25"/>
    <w:rsid w:val="008A6C4F"/>
    <w:rsid w:val="008A7F90"/>
    <w:rsid w:val="008B187F"/>
    <w:rsid w:val="008B2335"/>
    <w:rsid w:val="008B27FB"/>
    <w:rsid w:val="008B2B78"/>
    <w:rsid w:val="008B2D85"/>
    <w:rsid w:val="008B5119"/>
    <w:rsid w:val="008C400E"/>
    <w:rsid w:val="008C4ADB"/>
    <w:rsid w:val="008C5B28"/>
    <w:rsid w:val="008C678F"/>
    <w:rsid w:val="008C7AFF"/>
    <w:rsid w:val="008D261C"/>
    <w:rsid w:val="008D7341"/>
    <w:rsid w:val="008E0678"/>
    <w:rsid w:val="008E33CD"/>
    <w:rsid w:val="008E6480"/>
    <w:rsid w:val="008F03A8"/>
    <w:rsid w:val="008F5ACB"/>
    <w:rsid w:val="008F6CE6"/>
    <w:rsid w:val="00903A5E"/>
    <w:rsid w:val="00907BA5"/>
    <w:rsid w:val="0091190D"/>
    <w:rsid w:val="009160F1"/>
    <w:rsid w:val="009223CA"/>
    <w:rsid w:val="00922BB4"/>
    <w:rsid w:val="00927829"/>
    <w:rsid w:val="009337B8"/>
    <w:rsid w:val="00933E40"/>
    <w:rsid w:val="00933EB0"/>
    <w:rsid w:val="00934137"/>
    <w:rsid w:val="00935A18"/>
    <w:rsid w:val="009408BB"/>
    <w:rsid w:val="00940F93"/>
    <w:rsid w:val="00943E66"/>
    <w:rsid w:val="009440A6"/>
    <w:rsid w:val="0094558F"/>
    <w:rsid w:val="00946884"/>
    <w:rsid w:val="009536F9"/>
    <w:rsid w:val="00956168"/>
    <w:rsid w:val="00961690"/>
    <w:rsid w:val="0097110C"/>
    <w:rsid w:val="009760F3"/>
    <w:rsid w:val="00977203"/>
    <w:rsid w:val="00995AB4"/>
    <w:rsid w:val="0099754E"/>
    <w:rsid w:val="009A0E8D"/>
    <w:rsid w:val="009A3C75"/>
    <w:rsid w:val="009B0F25"/>
    <w:rsid w:val="009B1518"/>
    <w:rsid w:val="009B15AA"/>
    <w:rsid w:val="009B26E7"/>
    <w:rsid w:val="009B350F"/>
    <w:rsid w:val="009C454F"/>
    <w:rsid w:val="009C565B"/>
    <w:rsid w:val="009C5D43"/>
    <w:rsid w:val="009D2486"/>
    <w:rsid w:val="009D2A5B"/>
    <w:rsid w:val="009E188E"/>
    <w:rsid w:val="009E1D30"/>
    <w:rsid w:val="009E6561"/>
    <w:rsid w:val="009F2BB8"/>
    <w:rsid w:val="00A00A3F"/>
    <w:rsid w:val="00A01489"/>
    <w:rsid w:val="00A12E50"/>
    <w:rsid w:val="00A14388"/>
    <w:rsid w:val="00A1777D"/>
    <w:rsid w:val="00A3009E"/>
    <w:rsid w:val="00A3026E"/>
    <w:rsid w:val="00A30C84"/>
    <w:rsid w:val="00A31D95"/>
    <w:rsid w:val="00A338F1"/>
    <w:rsid w:val="00A35762"/>
    <w:rsid w:val="00A3619C"/>
    <w:rsid w:val="00A40A57"/>
    <w:rsid w:val="00A44D24"/>
    <w:rsid w:val="00A45808"/>
    <w:rsid w:val="00A46763"/>
    <w:rsid w:val="00A477C4"/>
    <w:rsid w:val="00A533E7"/>
    <w:rsid w:val="00A5402C"/>
    <w:rsid w:val="00A56AAB"/>
    <w:rsid w:val="00A639AD"/>
    <w:rsid w:val="00A72F22"/>
    <w:rsid w:val="00A7360F"/>
    <w:rsid w:val="00A748A6"/>
    <w:rsid w:val="00A75227"/>
    <w:rsid w:val="00A769F4"/>
    <w:rsid w:val="00A776B4"/>
    <w:rsid w:val="00A86CE1"/>
    <w:rsid w:val="00A86F6A"/>
    <w:rsid w:val="00A915B4"/>
    <w:rsid w:val="00A94361"/>
    <w:rsid w:val="00A94BB3"/>
    <w:rsid w:val="00A95D61"/>
    <w:rsid w:val="00A970A8"/>
    <w:rsid w:val="00AA1F98"/>
    <w:rsid w:val="00AA293C"/>
    <w:rsid w:val="00AA3C6A"/>
    <w:rsid w:val="00AA4CE3"/>
    <w:rsid w:val="00AA5165"/>
    <w:rsid w:val="00AA55D5"/>
    <w:rsid w:val="00AA66C0"/>
    <w:rsid w:val="00AA6EA8"/>
    <w:rsid w:val="00AB2A18"/>
    <w:rsid w:val="00AB32F7"/>
    <w:rsid w:val="00AB4050"/>
    <w:rsid w:val="00AB5B47"/>
    <w:rsid w:val="00AB6A8D"/>
    <w:rsid w:val="00AC36B7"/>
    <w:rsid w:val="00AC5045"/>
    <w:rsid w:val="00AC6EC4"/>
    <w:rsid w:val="00AC79BD"/>
    <w:rsid w:val="00AD44C2"/>
    <w:rsid w:val="00AD48FA"/>
    <w:rsid w:val="00AE0B20"/>
    <w:rsid w:val="00AE50F3"/>
    <w:rsid w:val="00AF7B8E"/>
    <w:rsid w:val="00B0614C"/>
    <w:rsid w:val="00B101E9"/>
    <w:rsid w:val="00B117CF"/>
    <w:rsid w:val="00B11BB4"/>
    <w:rsid w:val="00B11D71"/>
    <w:rsid w:val="00B12557"/>
    <w:rsid w:val="00B12CA6"/>
    <w:rsid w:val="00B13B07"/>
    <w:rsid w:val="00B2148A"/>
    <w:rsid w:val="00B21F96"/>
    <w:rsid w:val="00B22BC2"/>
    <w:rsid w:val="00B24F79"/>
    <w:rsid w:val="00B25EB2"/>
    <w:rsid w:val="00B27148"/>
    <w:rsid w:val="00B27885"/>
    <w:rsid w:val="00B30179"/>
    <w:rsid w:val="00B31424"/>
    <w:rsid w:val="00B36690"/>
    <w:rsid w:val="00B421C1"/>
    <w:rsid w:val="00B443D6"/>
    <w:rsid w:val="00B45EC8"/>
    <w:rsid w:val="00B47633"/>
    <w:rsid w:val="00B5119D"/>
    <w:rsid w:val="00B51CEC"/>
    <w:rsid w:val="00B552A3"/>
    <w:rsid w:val="00B55C71"/>
    <w:rsid w:val="00B56E4A"/>
    <w:rsid w:val="00B56E9C"/>
    <w:rsid w:val="00B612DF"/>
    <w:rsid w:val="00B61320"/>
    <w:rsid w:val="00B6151A"/>
    <w:rsid w:val="00B61BB6"/>
    <w:rsid w:val="00B63F86"/>
    <w:rsid w:val="00B64B1F"/>
    <w:rsid w:val="00B64FD4"/>
    <w:rsid w:val="00B6553F"/>
    <w:rsid w:val="00B66160"/>
    <w:rsid w:val="00B70F1E"/>
    <w:rsid w:val="00B77D05"/>
    <w:rsid w:val="00B8059B"/>
    <w:rsid w:val="00B81206"/>
    <w:rsid w:val="00B81E12"/>
    <w:rsid w:val="00B8394B"/>
    <w:rsid w:val="00B85D76"/>
    <w:rsid w:val="00B87639"/>
    <w:rsid w:val="00B91F0D"/>
    <w:rsid w:val="00B94746"/>
    <w:rsid w:val="00BA4F47"/>
    <w:rsid w:val="00BA7425"/>
    <w:rsid w:val="00BB1184"/>
    <w:rsid w:val="00BB5635"/>
    <w:rsid w:val="00BB7CD1"/>
    <w:rsid w:val="00BC2725"/>
    <w:rsid w:val="00BC3FA0"/>
    <w:rsid w:val="00BC626B"/>
    <w:rsid w:val="00BC67E1"/>
    <w:rsid w:val="00BC74E9"/>
    <w:rsid w:val="00BC7D09"/>
    <w:rsid w:val="00BD63BA"/>
    <w:rsid w:val="00BE4F17"/>
    <w:rsid w:val="00BE563F"/>
    <w:rsid w:val="00BF3CC6"/>
    <w:rsid w:val="00BF68A8"/>
    <w:rsid w:val="00BF6B31"/>
    <w:rsid w:val="00C00247"/>
    <w:rsid w:val="00C0468A"/>
    <w:rsid w:val="00C10FE6"/>
    <w:rsid w:val="00C11A03"/>
    <w:rsid w:val="00C11B49"/>
    <w:rsid w:val="00C217A5"/>
    <w:rsid w:val="00C22C0C"/>
    <w:rsid w:val="00C23978"/>
    <w:rsid w:val="00C25E1A"/>
    <w:rsid w:val="00C261FF"/>
    <w:rsid w:val="00C26804"/>
    <w:rsid w:val="00C30215"/>
    <w:rsid w:val="00C33407"/>
    <w:rsid w:val="00C3410A"/>
    <w:rsid w:val="00C42300"/>
    <w:rsid w:val="00C4300A"/>
    <w:rsid w:val="00C43462"/>
    <w:rsid w:val="00C4527F"/>
    <w:rsid w:val="00C45E05"/>
    <w:rsid w:val="00C463DD"/>
    <w:rsid w:val="00C4724C"/>
    <w:rsid w:val="00C52933"/>
    <w:rsid w:val="00C605F3"/>
    <w:rsid w:val="00C629A0"/>
    <w:rsid w:val="00C64629"/>
    <w:rsid w:val="00C66F1F"/>
    <w:rsid w:val="00C745C3"/>
    <w:rsid w:val="00C7755F"/>
    <w:rsid w:val="00C77BE5"/>
    <w:rsid w:val="00C97C39"/>
    <w:rsid w:val="00CA39FB"/>
    <w:rsid w:val="00CA6831"/>
    <w:rsid w:val="00CB1BF9"/>
    <w:rsid w:val="00CB2276"/>
    <w:rsid w:val="00CB3E03"/>
    <w:rsid w:val="00CB46A6"/>
    <w:rsid w:val="00CB5F84"/>
    <w:rsid w:val="00CC24B7"/>
    <w:rsid w:val="00CC2A1B"/>
    <w:rsid w:val="00CC5B3B"/>
    <w:rsid w:val="00CC6083"/>
    <w:rsid w:val="00CD1FCA"/>
    <w:rsid w:val="00CD285E"/>
    <w:rsid w:val="00CD2BAF"/>
    <w:rsid w:val="00CD46A7"/>
    <w:rsid w:val="00CD57D2"/>
    <w:rsid w:val="00CE1761"/>
    <w:rsid w:val="00CE1CFD"/>
    <w:rsid w:val="00CE3E6E"/>
    <w:rsid w:val="00CE4A8F"/>
    <w:rsid w:val="00CE4E67"/>
    <w:rsid w:val="00CF3164"/>
    <w:rsid w:val="00CF7AC0"/>
    <w:rsid w:val="00D10C7F"/>
    <w:rsid w:val="00D1284B"/>
    <w:rsid w:val="00D13737"/>
    <w:rsid w:val="00D13F4D"/>
    <w:rsid w:val="00D2031B"/>
    <w:rsid w:val="00D224BF"/>
    <w:rsid w:val="00D22523"/>
    <w:rsid w:val="00D25FE2"/>
    <w:rsid w:val="00D2723C"/>
    <w:rsid w:val="00D43252"/>
    <w:rsid w:val="00D44198"/>
    <w:rsid w:val="00D47EEA"/>
    <w:rsid w:val="00D47F36"/>
    <w:rsid w:val="00D5385E"/>
    <w:rsid w:val="00D550D4"/>
    <w:rsid w:val="00D56292"/>
    <w:rsid w:val="00D62742"/>
    <w:rsid w:val="00D7419E"/>
    <w:rsid w:val="00D773DF"/>
    <w:rsid w:val="00D810EE"/>
    <w:rsid w:val="00D85729"/>
    <w:rsid w:val="00D876F8"/>
    <w:rsid w:val="00D91A8D"/>
    <w:rsid w:val="00D9255F"/>
    <w:rsid w:val="00D95303"/>
    <w:rsid w:val="00D97453"/>
    <w:rsid w:val="00D978C6"/>
    <w:rsid w:val="00DA3C1C"/>
    <w:rsid w:val="00DA5024"/>
    <w:rsid w:val="00DB1304"/>
    <w:rsid w:val="00DB43CD"/>
    <w:rsid w:val="00DB57B1"/>
    <w:rsid w:val="00DB6E62"/>
    <w:rsid w:val="00DC12A9"/>
    <w:rsid w:val="00DC3FD8"/>
    <w:rsid w:val="00DE0B4A"/>
    <w:rsid w:val="00DE37C6"/>
    <w:rsid w:val="00DE4970"/>
    <w:rsid w:val="00DE7486"/>
    <w:rsid w:val="00DF1639"/>
    <w:rsid w:val="00DF418D"/>
    <w:rsid w:val="00DF59CF"/>
    <w:rsid w:val="00DF661D"/>
    <w:rsid w:val="00DF7BC4"/>
    <w:rsid w:val="00E01B7D"/>
    <w:rsid w:val="00E01D54"/>
    <w:rsid w:val="00E02661"/>
    <w:rsid w:val="00E046DF"/>
    <w:rsid w:val="00E04F33"/>
    <w:rsid w:val="00E14853"/>
    <w:rsid w:val="00E15557"/>
    <w:rsid w:val="00E21502"/>
    <w:rsid w:val="00E228D5"/>
    <w:rsid w:val="00E261FA"/>
    <w:rsid w:val="00E26778"/>
    <w:rsid w:val="00E27346"/>
    <w:rsid w:val="00E401FD"/>
    <w:rsid w:val="00E51E40"/>
    <w:rsid w:val="00E51FB5"/>
    <w:rsid w:val="00E54F0D"/>
    <w:rsid w:val="00E5605F"/>
    <w:rsid w:val="00E56FD4"/>
    <w:rsid w:val="00E5731F"/>
    <w:rsid w:val="00E62A14"/>
    <w:rsid w:val="00E71BC8"/>
    <w:rsid w:val="00E72381"/>
    <w:rsid w:val="00E7260F"/>
    <w:rsid w:val="00E73F5D"/>
    <w:rsid w:val="00E756DA"/>
    <w:rsid w:val="00E77E4E"/>
    <w:rsid w:val="00E836E7"/>
    <w:rsid w:val="00E879F6"/>
    <w:rsid w:val="00E955EE"/>
    <w:rsid w:val="00E964DC"/>
    <w:rsid w:val="00E96630"/>
    <w:rsid w:val="00E96B8D"/>
    <w:rsid w:val="00EA13FC"/>
    <w:rsid w:val="00EB65AE"/>
    <w:rsid w:val="00EB7345"/>
    <w:rsid w:val="00EC098C"/>
    <w:rsid w:val="00EC106A"/>
    <w:rsid w:val="00EC32A0"/>
    <w:rsid w:val="00EC3CDE"/>
    <w:rsid w:val="00EC47EE"/>
    <w:rsid w:val="00EC58C3"/>
    <w:rsid w:val="00ED3030"/>
    <w:rsid w:val="00ED77A6"/>
    <w:rsid w:val="00ED7A2A"/>
    <w:rsid w:val="00EE086A"/>
    <w:rsid w:val="00EE65FE"/>
    <w:rsid w:val="00EE6B3A"/>
    <w:rsid w:val="00EF1D7F"/>
    <w:rsid w:val="00EF4208"/>
    <w:rsid w:val="00EF59FD"/>
    <w:rsid w:val="00EF60EC"/>
    <w:rsid w:val="00F044E5"/>
    <w:rsid w:val="00F05E4B"/>
    <w:rsid w:val="00F1104B"/>
    <w:rsid w:val="00F16B7D"/>
    <w:rsid w:val="00F227A6"/>
    <w:rsid w:val="00F31170"/>
    <w:rsid w:val="00F31E5F"/>
    <w:rsid w:val="00F36F0D"/>
    <w:rsid w:val="00F42999"/>
    <w:rsid w:val="00F51ECD"/>
    <w:rsid w:val="00F57B45"/>
    <w:rsid w:val="00F57ED1"/>
    <w:rsid w:val="00F6100A"/>
    <w:rsid w:val="00F66565"/>
    <w:rsid w:val="00F8015D"/>
    <w:rsid w:val="00F86B58"/>
    <w:rsid w:val="00F93781"/>
    <w:rsid w:val="00FA038A"/>
    <w:rsid w:val="00FA26FD"/>
    <w:rsid w:val="00FA2814"/>
    <w:rsid w:val="00FA42D6"/>
    <w:rsid w:val="00FA4FEB"/>
    <w:rsid w:val="00FA7F6B"/>
    <w:rsid w:val="00FB1A29"/>
    <w:rsid w:val="00FB4C10"/>
    <w:rsid w:val="00FB613B"/>
    <w:rsid w:val="00FB7B98"/>
    <w:rsid w:val="00FC1945"/>
    <w:rsid w:val="00FC2EA1"/>
    <w:rsid w:val="00FC3938"/>
    <w:rsid w:val="00FC3C87"/>
    <w:rsid w:val="00FC68B7"/>
    <w:rsid w:val="00FC6C0C"/>
    <w:rsid w:val="00FD3588"/>
    <w:rsid w:val="00FD7C13"/>
    <w:rsid w:val="00FE0275"/>
    <w:rsid w:val="00FE106A"/>
    <w:rsid w:val="00FE1C60"/>
    <w:rsid w:val="00FE30EC"/>
    <w:rsid w:val="00FE5509"/>
    <w:rsid w:val="00FF145D"/>
    <w:rsid w:val="00FF5BE0"/>
    <w:rsid w:val="00FF7D02"/>
    <w:rsid w:val="00FF7F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40BF09"/>
  <w15:docId w15:val="{0AF5DE29-B33F-4FF9-995A-19E14D185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CC24B7"/>
    <w:pPr>
      <w:spacing w:line="240" w:lineRule="auto"/>
      <w:outlineLvl w:val="1"/>
    </w:pPr>
  </w:style>
  <w:style w:type="paragraph" w:styleId="Heading3">
    <w:name w:val="heading 3"/>
    <w:basedOn w:val="Normal"/>
    <w:next w:val="Normal"/>
    <w:qFormat/>
    <w:rsid w:val="00CC24B7"/>
    <w:pPr>
      <w:spacing w:line="240" w:lineRule="auto"/>
      <w:outlineLvl w:val="2"/>
    </w:pPr>
  </w:style>
  <w:style w:type="paragraph" w:styleId="Heading4">
    <w:name w:val="heading 4"/>
    <w:basedOn w:val="Normal"/>
    <w:next w:val="Normal"/>
    <w:qFormat/>
    <w:rsid w:val="00CC24B7"/>
    <w:pPr>
      <w:spacing w:line="240" w:lineRule="auto"/>
      <w:outlineLvl w:val="3"/>
    </w:pPr>
  </w:style>
  <w:style w:type="paragraph" w:styleId="Heading5">
    <w:name w:val="heading 5"/>
    <w:basedOn w:val="Normal"/>
    <w:next w:val="Normal"/>
    <w:link w:val="Heading5Char"/>
    <w:qFormat/>
    <w:rsid w:val="00CC24B7"/>
    <w:pPr>
      <w:spacing w:line="240" w:lineRule="auto"/>
      <w:outlineLvl w:val="4"/>
    </w:pPr>
  </w:style>
  <w:style w:type="paragraph" w:styleId="Heading6">
    <w:name w:val="heading 6"/>
    <w:basedOn w:val="Normal"/>
    <w:next w:val="Normal"/>
    <w:qFormat/>
    <w:rsid w:val="00CC24B7"/>
    <w:pPr>
      <w:spacing w:line="240" w:lineRule="auto"/>
      <w:outlineLvl w:val="5"/>
    </w:pPr>
  </w:style>
  <w:style w:type="paragraph" w:styleId="Heading7">
    <w:name w:val="heading 7"/>
    <w:basedOn w:val="Normal"/>
    <w:next w:val="Normal"/>
    <w:qFormat/>
    <w:rsid w:val="00CC24B7"/>
    <w:pPr>
      <w:spacing w:line="240" w:lineRule="auto"/>
      <w:outlineLvl w:val="6"/>
    </w:pPr>
  </w:style>
  <w:style w:type="paragraph" w:styleId="Heading8">
    <w:name w:val="heading 8"/>
    <w:basedOn w:val="Normal"/>
    <w:next w:val="Normal"/>
    <w:qFormat/>
    <w:rsid w:val="00CC24B7"/>
    <w:pPr>
      <w:spacing w:line="240" w:lineRule="auto"/>
      <w:outlineLvl w:val="7"/>
    </w:pPr>
  </w:style>
  <w:style w:type="paragraph" w:styleId="Heading9">
    <w:name w:val="heading 9"/>
    <w:basedOn w:val="Normal"/>
    <w:next w:val="Normal"/>
    <w:qFormat/>
    <w:rsid w:val="00CC24B7"/>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C24B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C24B7"/>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rsid w:val="00CC24B7"/>
    <w:pPr>
      <w:numPr>
        <w:numId w:val="13"/>
      </w:numPr>
      <w:tabs>
        <w:tab w:val="clear" w:pos="1494"/>
      </w:tabs>
    </w:pPr>
  </w:style>
  <w:style w:type="paragraph" w:customStyle="1" w:styleId="SingleTxtG">
    <w:name w:val="_ Single Txt_G"/>
    <w:basedOn w:val="Normal"/>
    <w:link w:val="SingleTxtGChar"/>
    <w:qFormat/>
    <w:rsid w:val="00CC24B7"/>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CC24B7"/>
    <w:rPr>
      <w:rFonts w:cs="Courier New"/>
    </w:rPr>
  </w:style>
  <w:style w:type="paragraph" w:styleId="BodyText">
    <w:name w:val="Body Text"/>
    <w:basedOn w:val="Normal"/>
    <w:next w:val="Normal"/>
    <w:semiHidden/>
    <w:rsid w:val="00CC24B7"/>
  </w:style>
  <w:style w:type="paragraph" w:styleId="BodyTextIndent">
    <w:name w:val="Body Text Indent"/>
    <w:basedOn w:val="Normal"/>
    <w:semiHidden/>
    <w:rsid w:val="00CC24B7"/>
    <w:pPr>
      <w:spacing w:after="120"/>
      <w:ind w:left="283"/>
    </w:pPr>
  </w:style>
  <w:style w:type="paragraph" w:styleId="BlockText">
    <w:name w:val="Block Text"/>
    <w:basedOn w:val="Normal"/>
    <w:semiHidden/>
    <w:rsid w:val="00CC24B7"/>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qFormat/>
    <w:rsid w:val="007B6BA5"/>
    <w:rPr>
      <w:rFonts w:ascii="Times New Roman" w:hAnsi="Times New Roman"/>
      <w:sz w:val="18"/>
      <w:vertAlign w:val="superscript"/>
    </w:rPr>
  </w:style>
  <w:style w:type="paragraph" w:styleId="FootnoteText">
    <w:name w:val="footnote text"/>
    <w:aliases w:val="5_G"/>
    <w:basedOn w:val="Normal"/>
    <w:link w:val="FootnoteTextChar"/>
    <w:uiPriority w:val="99"/>
    <w:qFormat/>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CC24B7"/>
    <w:rPr>
      <w:sz w:val="6"/>
    </w:rPr>
  </w:style>
  <w:style w:type="paragraph" w:styleId="CommentText">
    <w:name w:val="annotation text"/>
    <w:basedOn w:val="Normal"/>
    <w:link w:val="CommentTextChar"/>
    <w:semiHidden/>
    <w:rsid w:val="00CC24B7"/>
  </w:style>
  <w:style w:type="character" w:styleId="LineNumber">
    <w:name w:val="line number"/>
    <w:semiHidden/>
    <w:rsid w:val="00CC24B7"/>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qFormat/>
    <w:rsid w:val="00CC24B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C24B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C24B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C24B7"/>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lang w:val="x-none"/>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qFormat/>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paragraph" w:customStyle="1" w:styleId="Tabletitle">
    <w:name w:val="Table title"/>
    <w:basedOn w:val="Normal"/>
    <w:next w:val="Normal"/>
    <w:rsid w:val="0022321E"/>
    <w:pPr>
      <w:keepNext/>
      <w:spacing w:before="120" w:after="120" w:line="230" w:lineRule="exact"/>
      <w:jc w:val="center"/>
    </w:pPr>
    <w:rPr>
      <w:rFonts w:ascii="Arial" w:eastAsia="MS Mincho" w:hAnsi="Arial"/>
      <w:b/>
      <w:lang w:eastAsia="fr-FR"/>
    </w:rPr>
  </w:style>
  <w:style w:type="character" w:customStyle="1" w:styleId="HeaderChar">
    <w:name w:val="Header Char"/>
    <w:aliases w:val="6_G Char"/>
    <w:link w:val="Header"/>
    <w:uiPriority w:val="99"/>
    <w:rsid w:val="0022321E"/>
    <w:rPr>
      <w:b/>
      <w:sz w:val="18"/>
      <w:lang w:eastAsia="en-US"/>
    </w:rPr>
  </w:style>
  <w:style w:type="paragraph" w:styleId="ListParagraph">
    <w:name w:val="List Paragraph"/>
    <w:basedOn w:val="Normal"/>
    <w:uiPriority w:val="34"/>
    <w:qFormat/>
    <w:rsid w:val="00236A96"/>
    <w:pPr>
      <w:suppressAutoHyphens w:val="0"/>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aliases w:val="5_G Char"/>
    <w:link w:val="FootnoteText"/>
    <w:uiPriority w:val="99"/>
    <w:rsid w:val="00A12E50"/>
    <w:rPr>
      <w:sz w:val="18"/>
      <w:lang w:eastAsia="en-US"/>
    </w:rPr>
  </w:style>
  <w:style w:type="character" w:customStyle="1" w:styleId="H23GChar">
    <w:name w:val="_ H_2/3_G Char"/>
    <w:link w:val="H23G"/>
    <w:rsid w:val="00835C5B"/>
    <w:rPr>
      <w:b/>
      <w:lang w:val="en-GB" w:eastAsia="en-US"/>
    </w:rPr>
  </w:style>
  <w:style w:type="paragraph" w:styleId="Revision">
    <w:name w:val="Revision"/>
    <w:hidden/>
    <w:uiPriority w:val="99"/>
    <w:semiHidden/>
    <w:rsid w:val="006634C7"/>
    <w:rPr>
      <w:lang w:val="en-GB"/>
    </w:rPr>
  </w:style>
  <w:style w:type="paragraph" w:styleId="Caption">
    <w:name w:val="caption"/>
    <w:basedOn w:val="Normal"/>
    <w:next w:val="Normal"/>
    <w:semiHidden/>
    <w:unhideWhenUsed/>
    <w:qFormat/>
    <w:rsid w:val="00A30C84"/>
    <w:pPr>
      <w:spacing w:after="200" w:line="240" w:lineRule="auto"/>
    </w:pPr>
    <w:rPr>
      <w:b/>
      <w:bCs/>
      <w:color w:val="5B9BD5"/>
      <w:sz w:val="18"/>
      <w:szCs w:val="18"/>
    </w:rPr>
  </w:style>
  <w:style w:type="paragraph" w:styleId="CommentSubject">
    <w:name w:val="annotation subject"/>
    <w:basedOn w:val="CommentText"/>
    <w:next w:val="CommentText"/>
    <w:link w:val="CommentSubjectChar"/>
    <w:semiHidden/>
    <w:unhideWhenUsed/>
    <w:rsid w:val="00796A62"/>
    <w:rPr>
      <w:b/>
      <w:bCs/>
    </w:rPr>
  </w:style>
  <w:style w:type="character" w:customStyle="1" w:styleId="CommentTextChar">
    <w:name w:val="Comment Text Char"/>
    <w:link w:val="CommentText"/>
    <w:semiHidden/>
    <w:rsid w:val="00796A62"/>
    <w:rPr>
      <w:lang w:val="en-GB" w:eastAsia="en-US"/>
    </w:rPr>
  </w:style>
  <w:style w:type="character" w:customStyle="1" w:styleId="CommentSubjectChar">
    <w:name w:val="Comment Subject Char"/>
    <w:link w:val="CommentSubject"/>
    <w:semiHidden/>
    <w:rsid w:val="00796A62"/>
    <w:rPr>
      <w:b/>
      <w:bCs/>
      <w:lang w:val="en-GB" w:eastAsia="en-US"/>
    </w:rPr>
  </w:style>
  <w:style w:type="character" w:customStyle="1" w:styleId="st1">
    <w:name w:val="st1"/>
    <w:basedOn w:val="DefaultParagraphFont"/>
    <w:rsid w:val="002D13E9"/>
  </w:style>
  <w:style w:type="character" w:customStyle="1" w:styleId="Heading5Char">
    <w:name w:val="Heading 5 Char"/>
    <w:basedOn w:val="DefaultParagraphFont"/>
    <w:link w:val="Heading5"/>
    <w:rsid w:val="0017302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069646">
      <w:bodyDiv w:val="1"/>
      <w:marLeft w:val="0"/>
      <w:marRight w:val="0"/>
      <w:marTop w:val="0"/>
      <w:marBottom w:val="0"/>
      <w:divBdr>
        <w:top w:val="none" w:sz="0" w:space="0" w:color="auto"/>
        <w:left w:val="none" w:sz="0" w:space="0" w:color="auto"/>
        <w:bottom w:val="none" w:sz="0" w:space="0" w:color="auto"/>
        <w:right w:val="none" w:sz="0" w:space="0" w:color="auto"/>
      </w:divBdr>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35048-4096-4496-BEE7-E5517EE3D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779</Words>
  <Characters>4441</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1126259</vt:lpstr>
      <vt:lpstr>1126259</vt:lpstr>
    </vt:vector>
  </TitlesOfParts>
  <Manager/>
  <Company>CSD</Company>
  <LinksUpToDate>false</LinksUpToDate>
  <CharactersWithSpaces>5210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subject/>
  <dc:creator>BAC</dc:creator>
  <cp:keywords>ECE/TRANS/WP.15/AC.1/2012/8</cp:keywords>
  <dc:description>Final</dc:description>
  <cp:lastModifiedBy>Laurence Berthet</cp:lastModifiedBy>
  <cp:revision>4</cp:revision>
  <cp:lastPrinted>2018-05-25T06:49:00Z</cp:lastPrinted>
  <dcterms:created xsi:type="dcterms:W3CDTF">2018-06-18T07:50:00Z</dcterms:created>
  <dcterms:modified xsi:type="dcterms:W3CDTF">2018-06-18T14:15:00Z</dcterms:modified>
  <cp:category/>
</cp:coreProperties>
</file>