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0B4919" w14:paraId="03CA7DD4" w14:textId="77777777" w:rsidTr="000216CC">
        <w:trPr>
          <w:trHeight w:val="851"/>
        </w:trPr>
        <w:tc>
          <w:tcPr>
            <w:tcW w:w="1259" w:type="dxa"/>
            <w:tcBorders>
              <w:top w:val="nil"/>
              <w:left w:val="nil"/>
              <w:bottom w:val="single" w:sz="4" w:space="0" w:color="auto"/>
              <w:right w:val="nil"/>
            </w:tcBorders>
            <w:shd w:val="clear" w:color="auto" w:fill="auto"/>
          </w:tcPr>
          <w:p w14:paraId="124F777A" w14:textId="77777777" w:rsidR="00446DE4" w:rsidRPr="000B4919"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0DA742B7" w14:textId="77777777" w:rsidR="00446DE4" w:rsidRPr="000B4919"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64B70D37" w14:textId="1C4067B3" w:rsidR="00FC215C" w:rsidRPr="00A83451" w:rsidRDefault="00FC215C" w:rsidP="00FC215C">
            <w:pPr>
              <w:jc w:val="right"/>
              <w:rPr>
                <w:b/>
                <w:sz w:val="40"/>
                <w:szCs w:val="40"/>
              </w:rPr>
            </w:pPr>
            <w:r w:rsidRPr="00A83451">
              <w:rPr>
                <w:b/>
                <w:sz w:val="40"/>
                <w:szCs w:val="40"/>
              </w:rPr>
              <w:t>UN/SCETDG/</w:t>
            </w:r>
            <w:r w:rsidR="00CE74ED" w:rsidRPr="00A83451">
              <w:rPr>
                <w:b/>
                <w:sz w:val="40"/>
                <w:szCs w:val="40"/>
              </w:rPr>
              <w:t>5</w:t>
            </w:r>
            <w:r w:rsidR="0003375D">
              <w:rPr>
                <w:b/>
                <w:sz w:val="40"/>
                <w:szCs w:val="40"/>
              </w:rPr>
              <w:t>3</w:t>
            </w:r>
            <w:r w:rsidRPr="00A83451">
              <w:rPr>
                <w:b/>
                <w:sz w:val="40"/>
                <w:szCs w:val="40"/>
              </w:rPr>
              <w:t>/INF.</w:t>
            </w:r>
            <w:r w:rsidR="00A739E7">
              <w:rPr>
                <w:b/>
                <w:sz w:val="40"/>
                <w:szCs w:val="40"/>
              </w:rPr>
              <w:t>3</w:t>
            </w:r>
            <w:r w:rsidR="004013AB">
              <w:rPr>
                <w:b/>
                <w:sz w:val="40"/>
                <w:szCs w:val="40"/>
              </w:rPr>
              <w:t>1</w:t>
            </w:r>
          </w:p>
          <w:p w14:paraId="5D82F3A9" w14:textId="77777777" w:rsidR="000216CC" w:rsidRPr="000B4919" w:rsidRDefault="000216CC" w:rsidP="001944F1">
            <w:pPr>
              <w:jc w:val="right"/>
              <w:rPr>
                <w:highlight w:val="yellow"/>
              </w:rPr>
            </w:pPr>
          </w:p>
        </w:tc>
      </w:tr>
    </w:tbl>
    <w:tbl>
      <w:tblPr>
        <w:tblW w:w="9645" w:type="dxa"/>
        <w:tblInd w:w="108" w:type="dxa"/>
        <w:tblLayout w:type="fixed"/>
        <w:tblLook w:val="04A0" w:firstRow="1" w:lastRow="0" w:firstColumn="1" w:lastColumn="0" w:noHBand="0" w:noVBand="1"/>
      </w:tblPr>
      <w:tblGrid>
        <w:gridCol w:w="4652"/>
        <w:gridCol w:w="4993"/>
      </w:tblGrid>
      <w:tr w:rsidR="00645A0B" w:rsidRPr="000B4919" w14:paraId="578C7ABA" w14:textId="77777777" w:rsidTr="00165735">
        <w:tc>
          <w:tcPr>
            <w:tcW w:w="9645" w:type="dxa"/>
            <w:gridSpan w:val="2"/>
            <w:tcMar>
              <w:top w:w="142" w:type="dxa"/>
              <w:left w:w="108" w:type="dxa"/>
              <w:bottom w:w="142" w:type="dxa"/>
              <w:right w:w="108" w:type="dxa"/>
            </w:tcMar>
          </w:tcPr>
          <w:p w14:paraId="4F930DFD" w14:textId="43880F1A" w:rsidR="00645A0B" w:rsidRPr="000B4919" w:rsidRDefault="00645A0B" w:rsidP="00E45B25">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A739E7">
              <w:rPr>
                <w:b/>
              </w:rPr>
              <w:t xml:space="preserve">12 June </w:t>
            </w:r>
            <w:r w:rsidR="00CE74ED" w:rsidRPr="00E45B25">
              <w:rPr>
                <w:b/>
              </w:rPr>
              <w:t>2018</w:t>
            </w:r>
          </w:p>
        </w:tc>
      </w:tr>
      <w:tr w:rsidR="00645A0B" w:rsidRPr="000B4919" w14:paraId="469535E0" w14:textId="77777777" w:rsidTr="00165735">
        <w:tc>
          <w:tcPr>
            <w:tcW w:w="4652" w:type="dxa"/>
            <w:tcMar>
              <w:top w:w="57" w:type="dxa"/>
              <w:left w:w="108" w:type="dxa"/>
              <w:bottom w:w="0" w:type="dxa"/>
              <w:right w:w="108" w:type="dxa"/>
            </w:tcMar>
            <w:vAlign w:val="center"/>
          </w:tcPr>
          <w:p w14:paraId="434D06EA" w14:textId="77777777" w:rsidR="00645A0B" w:rsidRPr="000B4919" w:rsidRDefault="00645A0B" w:rsidP="00165735">
            <w:pPr>
              <w:spacing w:before="120"/>
              <w:rPr>
                <w:b/>
              </w:rPr>
            </w:pPr>
            <w:r w:rsidRPr="000B4919">
              <w:rPr>
                <w:b/>
              </w:rPr>
              <w:t xml:space="preserve">Sub-Committee of Experts on the </w:t>
            </w:r>
            <w:r w:rsidRPr="000B4919">
              <w:rPr>
                <w:b/>
              </w:rPr>
              <w:br/>
              <w:t xml:space="preserve">Transport of Dangerous Goods </w:t>
            </w:r>
          </w:p>
        </w:tc>
        <w:tc>
          <w:tcPr>
            <w:tcW w:w="4993" w:type="dxa"/>
            <w:tcMar>
              <w:top w:w="57" w:type="dxa"/>
              <w:left w:w="108" w:type="dxa"/>
              <w:bottom w:w="0" w:type="dxa"/>
              <w:right w:w="108" w:type="dxa"/>
            </w:tcMar>
            <w:vAlign w:val="center"/>
          </w:tcPr>
          <w:p w14:paraId="7D0F1493" w14:textId="77777777" w:rsidR="00645A0B" w:rsidRPr="000B4919" w:rsidRDefault="00645A0B" w:rsidP="00165735">
            <w:pPr>
              <w:spacing w:before="120"/>
              <w:rPr>
                <w:b/>
              </w:rPr>
            </w:pPr>
          </w:p>
        </w:tc>
      </w:tr>
      <w:tr w:rsidR="00645A0B" w:rsidRPr="000B4919" w14:paraId="20BD5CB8" w14:textId="77777777" w:rsidTr="00165735">
        <w:tc>
          <w:tcPr>
            <w:tcW w:w="4652" w:type="dxa"/>
            <w:tcMar>
              <w:top w:w="57" w:type="dxa"/>
              <w:left w:w="108" w:type="dxa"/>
              <w:bottom w:w="0" w:type="dxa"/>
              <w:right w:w="108" w:type="dxa"/>
            </w:tcMar>
          </w:tcPr>
          <w:p w14:paraId="6540B08F" w14:textId="77777777" w:rsidR="00645A0B" w:rsidRPr="000B4919" w:rsidRDefault="00CE74ED" w:rsidP="00F64C95">
            <w:pPr>
              <w:spacing w:before="120"/>
              <w:ind w:left="34" w:hanging="34"/>
              <w:rPr>
                <w:b/>
              </w:rPr>
            </w:pPr>
            <w:r w:rsidRPr="006F47DE">
              <w:rPr>
                <w:b/>
              </w:rPr>
              <w:t>Fifty-</w:t>
            </w:r>
            <w:r>
              <w:rPr>
                <w:b/>
              </w:rPr>
              <w:t>third</w:t>
            </w:r>
            <w:r w:rsidRPr="006F47DE">
              <w:rPr>
                <w:b/>
              </w:rPr>
              <w:t xml:space="preserve"> session</w:t>
            </w:r>
          </w:p>
        </w:tc>
        <w:tc>
          <w:tcPr>
            <w:tcW w:w="4993" w:type="dxa"/>
            <w:tcMar>
              <w:top w:w="57" w:type="dxa"/>
              <w:left w:w="108" w:type="dxa"/>
              <w:bottom w:w="0" w:type="dxa"/>
              <w:right w:w="108" w:type="dxa"/>
            </w:tcMar>
          </w:tcPr>
          <w:p w14:paraId="7DC24426" w14:textId="77777777" w:rsidR="00645A0B" w:rsidRPr="000B4919" w:rsidRDefault="00645A0B" w:rsidP="00CE74ED">
            <w:pPr>
              <w:spacing w:before="120"/>
              <w:ind w:left="34" w:hanging="34"/>
              <w:rPr>
                <w:b/>
              </w:rPr>
            </w:pPr>
          </w:p>
        </w:tc>
      </w:tr>
      <w:tr w:rsidR="00645A0B" w:rsidRPr="000B4919" w14:paraId="10114BD4" w14:textId="77777777" w:rsidTr="00165735">
        <w:tc>
          <w:tcPr>
            <w:tcW w:w="4652" w:type="dxa"/>
            <w:tcMar>
              <w:top w:w="28" w:type="dxa"/>
              <w:left w:w="108" w:type="dxa"/>
              <w:bottom w:w="0" w:type="dxa"/>
              <w:right w:w="108" w:type="dxa"/>
            </w:tcMar>
          </w:tcPr>
          <w:p w14:paraId="1B9ABC83" w14:textId="77777777" w:rsidR="00CE74ED" w:rsidRPr="006F47DE" w:rsidRDefault="00CE74ED" w:rsidP="00CE74ED">
            <w:pPr>
              <w:tabs>
                <w:tab w:val="left" w:pos="6361"/>
                <w:tab w:val="left" w:pos="6939"/>
              </w:tabs>
              <w:spacing w:before="40"/>
              <w:outlineLvl w:val="0"/>
              <w:rPr>
                <w:bCs/>
              </w:rPr>
            </w:pPr>
            <w:r w:rsidRPr="006500BA">
              <w:t>Geneva,</w:t>
            </w:r>
            <w:r>
              <w:t xml:space="preserve"> 25 June-4 July 2018</w:t>
            </w:r>
          </w:p>
          <w:p w14:paraId="1A3EB3E0" w14:textId="5EFEC530" w:rsidR="00645A0B" w:rsidRPr="000B4919" w:rsidRDefault="00A83451" w:rsidP="00EA48C4">
            <w:pPr>
              <w:spacing w:before="40"/>
              <w:ind w:left="34" w:hanging="34"/>
            </w:pPr>
            <w:r w:rsidRPr="006F47DE">
              <w:t xml:space="preserve">Item </w:t>
            </w:r>
            <w:r w:rsidR="004013AB">
              <w:t>3</w:t>
            </w:r>
            <w:r w:rsidRPr="006F47DE">
              <w:t xml:space="preserve"> of the provisional agenda</w:t>
            </w:r>
          </w:p>
          <w:p w14:paraId="72875A62" w14:textId="128ED5CE" w:rsidR="00645A0B" w:rsidRPr="00A739E7" w:rsidRDefault="004013AB" w:rsidP="00EA48C4">
            <w:pPr>
              <w:spacing w:before="40"/>
              <w:ind w:left="34" w:hanging="34"/>
              <w:rPr>
                <w:b/>
                <w:bCs/>
              </w:rPr>
            </w:pPr>
            <w:r>
              <w:rPr>
                <w:b/>
                <w:bCs/>
              </w:rPr>
              <w:t>Listing, classification and packaging</w:t>
            </w:r>
          </w:p>
        </w:tc>
        <w:tc>
          <w:tcPr>
            <w:tcW w:w="4993" w:type="dxa"/>
            <w:tcMar>
              <w:top w:w="28" w:type="dxa"/>
              <w:left w:w="108" w:type="dxa"/>
              <w:bottom w:w="0" w:type="dxa"/>
              <w:right w:w="108" w:type="dxa"/>
            </w:tcMar>
          </w:tcPr>
          <w:p w14:paraId="4DA362C7" w14:textId="77777777" w:rsidR="00645A0B" w:rsidRPr="000B4919" w:rsidRDefault="00645A0B" w:rsidP="000B6AD1">
            <w:pPr>
              <w:spacing w:before="40"/>
              <w:rPr>
                <w:b/>
                <w:bCs/>
              </w:rPr>
            </w:pPr>
          </w:p>
        </w:tc>
      </w:tr>
    </w:tbl>
    <w:p w14:paraId="353B3F76" w14:textId="05F91448" w:rsidR="004013AB" w:rsidRPr="003E2BE5" w:rsidRDefault="004013AB" w:rsidP="004013AB">
      <w:pPr>
        <w:pStyle w:val="HChG"/>
        <w:rPr>
          <w:lang w:val="en-GB"/>
        </w:rPr>
      </w:pPr>
      <w:r>
        <w:tab/>
      </w:r>
      <w:r>
        <w:tab/>
      </w:r>
      <w:r>
        <w:rPr>
          <w:lang w:val="en-GB"/>
        </w:rPr>
        <w:t xml:space="preserve">Comments on 2018/25: Clarification of performance testing requirements for infectious </w:t>
      </w:r>
      <w:r>
        <w:rPr>
          <w:lang w:val="en-GB"/>
        </w:rPr>
        <w:t>substances packaging in Chapter </w:t>
      </w:r>
      <w:r>
        <w:rPr>
          <w:lang w:val="en-GB"/>
        </w:rPr>
        <w:t>6.3</w:t>
      </w:r>
    </w:p>
    <w:p w14:paraId="3CFE55AE" w14:textId="77777777" w:rsidR="004013AB" w:rsidRPr="0083343A" w:rsidRDefault="004013AB" w:rsidP="004013AB">
      <w:pPr>
        <w:pStyle w:val="H1G"/>
        <w:spacing w:before="240" w:after="120"/>
      </w:pPr>
      <w:r>
        <w:tab/>
      </w:r>
      <w:r>
        <w:tab/>
      </w:r>
      <w:r w:rsidRPr="0083343A">
        <w:t xml:space="preserve">Transmitted by the </w:t>
      </w:r>
      <w:r>
        <w:rPr>
          <w:rFonts w:eastAsia="MS Mincho"/>
        </w:rPr>
        <w:t>expert from the United Kingdom</w:t>
      </w:r>
    </w:p>
    <w:p w14:paraId="0429B674" w14:textId="77777777" w:rsidR="004013AB" w:rsidRDefault="004013AB" w:rsidP="004013AB">
      <w:pPr>
        <w:pStyle w:val="HChG"/>
        <w:spacing w:before="240" w:after="120"/>
      </w:pPr>
      <w:r>
        <w:tab/>
      </w:r>
      <w:r>
        <w:tab/>
        <w:t>Introduction</w:t>
      </w:r>
    </w:p>
    <w:p w14:paraId="4F492322" w14:textId="7202D954" w:rsidR="004013AB" w:rsidRDefault="004013AB" w:rsidP="004013AB">
      <w:pPr>
        <w:pStyle w:val="SingleTxtG"/>
      </w:pPr>
      <w:r w:rsidRPr="000B0348">
        <w:t>1.</w:t>
      </w:r>
      <w:r w:rsidRPr="000B0348">
        <w:tab/>
      </w:r>
      <w:r>
        <w:rPr>
          <w:lang w:val="en-GB"/>
        </w:rPr>
        <w:t xml:space="preserve">The expert from the </w:t>
      </w:r>
      <w:r>
        <w:t xml:space="preserve">United Kingdom has researched the background to the inconsistency in the additional drop test for Class 6.2 </w:t>
      </w:r>
      <w:proofErr w:type="spellStart"/>
      <w:r>
        <w:t>packagings</w:t>
      </w:r>
      <w:proofErr w:type="spellEnd"/>
      <w:r>
        <w:t xml:space="preserve"> using dry ice</w:t>
      </w:r>
      <w:r>
        <w:rPr>
          <w:lang w:val="en-GB"/>
        </w:rPr>
        <w:t>,</w:t>
      </w:r>
      <w:r>
        <w:t xml:space="preserve"> identified by the Canadian expert in ST/SG/AC.10/C.3/2018/25. We have to apologise to the sub-committee because the inconsistency was included in UK proposals in ST/SC/AC.10/C.3/2005/49 which revised much of the text of Chapter 6.3.</w:t>
      </w:r>
    </w:p>
    <w:p w14:paraId="43D5A286" w14:textId="77777777" w:rsidR="004013AB" w:rsidRDefault="004013AB" w:rsidP="004013AB">
      <w:pPr>
        <w:pStyle w:val="SingleTxtG"/>
      </w:pPr>
      <w:r w:rsidRPr="003E2BE5">
        <w:rPr>
          <w:lang w:val="en-GB"/>
        </w:rPr>
        <w:t xml:space="preserve">2. </w:t>
      </w:r>
      <w:r w:rsidRPr="003E2BE5">
        <w:rPr>
          <w:lang w:val="en-GB"/>
        </w:rPr>
        <w:tab/>
        <w:t xml:space="preserve">Prior </w:t>
      </w:r>
      <w:r w:rsidRPr="003E2BE5">
        <w:t xml:space="preserve">to the adoption of the new text the extra single sample drop test requirement was clearer in that the drop tests for both boxes (5 samples) and drums (3 samples) were contained in </w:t>
      </w:r>
      <w:r>
        <w:t>the same paragraph and there were</w:t>
      </w:r>
      <w:r w:rsidRPr="003E2BE5">
        <w:t xml:space="preserve"> no examples. The key element was that the package was subjected to the 9m free fall drop test. The subsequent refinement of the text to indicate that the drop attitude is to be the one most likely to cause failure</w:t>
      </w:r>
      <w:r>
        <w:t>,</w:t>
      </w:r>
      <w:r w:rsidRPr="003E2BE5">
        <w:t xml:space="preserve"> further highlights the contradiction between the intention and the example.</w:t>
      </w:r>
    </w:p>
    <w:p w14:paraId="75C8B9FB" w14:textId="77777777" w:rsidR="004013AB" w:rsidRDefault="004013AB" w:rsidP="004013AB">
      <w:pPr>
        <w:pStyle w:val="SingleTxtG"/>
      </w:pPr>
      <w:r>
        <w:t>3.</w:t>
      </w:r>
      <w:r>
        <w:tab/>
        <w:t xml:space="preserve">The </w:t>
      </w:r>
      <w:r w:rsidRPr="008F196E">
        <w:t>expert from the United Kingdom therefore fully supports the proposal in paragraph 6</w:t>
      </w:r>
      <w:r>
        <w:t>, to delete</w:t>
      </w:r>
      <w:r w:rsidRPr="008F196E">
        <w:t xml:space="preserve"> the “five times after conditioning”.</w:t>
      </w:r>
    </w:p>
    <w:p w14:paraId="3093C114" w14:textId="77777777" w:rsidR="004013AB" w:rsidRDefault="004013AB" w:rsidP="004013AB">
      <w:pPr>
        <w:pStyle w:val="SingleTxtG"/>
      </w:pPr>
      <w:r>
        <w:t>4.</w:t>
      </w:r>
      <w:r>
        <w:tab/>
        <w:t xml:space="preserve">In </w:t>
      </w:r>
      <w:r w:rsidRPr="008F196E">
        <w:t>relation to the proposal in paragraph 7</w:t>
      </w:r>
      <w:r>
        <w:t>,</w:t>
      </w:r>
      <w:r w:rsidRPr="008F196E">
        <w:t xml:space="preserve"> the expert from the United Kingdom is mindful of how the experts at the time would have approached the revisions they were making to Chapter 6.3</w:t>
      </w:r>
      <w:r>
        <w:t>,</w:t>
      </w:r>
      <w:r w:rsidRPr="008F196E">
        <w:t xml:space="preserve"> and the strong use of precedent and consistency with other chapter</w:t>
      </w:r>
      <w:r>
        <w:t>s</w:t>
      </w:r>
      <w:r w:rsidRPr="008F196E">
        <w:t xml:space="preserve"> in the Model Regulations. The expert from the United Kingdom has found that the approach used in Chapter 6.3 is consistent with Chapter 6.1</w:t>
      </w:r>
      <w:r>
        <w:t>.</w:t>
      </w:r>
      <w:r w:rsidRPr="008F196E">
        <w:t xml:space="preserve"> </w:t>
      </w:r>
      <w:r>
        <w:t>W</w:t>
      </w:r>
      <w:r w:rsidRPr="008F196E">
        <w:t>ith the drop height requirements and the orientation requirements in separate paragraphs. It was also noted that there are fewer sub-headings in chapter 6.3 than chapter 6.1.</w:t>
      </w:r>
    </w:p>
    <w:p w14:paraId="2F62EF83" w14:textId="276B7359" w:rsidR="004013AB" w:rsidRDefault="004013AB" w:rsidP="004013AB">
      <w:pPr>
        <w:pStyle w:val="SingleTxtG"/>
        <w:rPr>
          <w:color w:val="FF0000"/>
        </w:rPr>
      </w:pPr>
      <w:r>
        <w:t>5.</w:t>
      </w:r>
      <w:r>
        <w:tab/>
      </w:r>
      <w:r>
        <w:t xml:space="preserve">Since </w:t>
      </w:r>
      <w:r w:rsidRPr="008F196E">
        <w:t xml:space="preserve">the proposal in paragraph 7 would create an inconsistency with chapter 6.1 the expert from the United Kingdom does not support this proposal but an alternative more consistent proposal is included in paragraph </w:t>
      </w:r>
      <w:r w:rsidRPr="00155CA0">
        <w:rPr>
          <w:color w:val="000000" w:themeColor="text1"/>
        </w:rPr>
        <w:t>10.</w:t>
      </w:r>
    </w:p>
    <w:p w14:paraId="018B46DE" w14:textId="77777777" w:rsidR="004013AB" w:rsidRDefault="004013AB" w:rsidP="004013AB">
      <w:pPr>
        <w:pStyle w:val="SingleTxtG"/>
      </w:pPr>
      <w:r>
        <w:t>6.</w:t>
      </w:r>
      <w:r>
        <w:tab/>
        <w:t xml:space="preserve">In </w:t>
      </w:r>
      <w:r w:rsidRPr="008F196E">
        <w:t>respect of the proposal in paragraph 8</w:t>
      </w:r>
      <w:r>
        <w:t>,</w:t>
      </w:r>
      <w:r w:rsidRPr="008F196E">
        <w:t xml:space="preserve"> the expert from the UK appreciates that many drums do not have chimes (particularly plastics ones) and so the test could be potentially partially avoided by strict observance to the existing text. The incorporation of the text from chapter 6.1 seems appropriate</w:t>
      </w:r>
      <w:r>
        <w:t>,</w:t>
      </w:r>
      <w:r w:rsidRPr="008F196E">
        <w:t xml:space="preserve"> but in that chapter the text is being used in a </w:t>
      </w:r>
      <w:r w:rsidRPr="008F196E">
        <w:lastRenderedPageBreak/>
        <w:t>different context. In Chapter 6.1 no orientation for the drop test is specified but this is not the case in 6.3.5.3.3.</w:t>
      </w:r>
    </w:p>
    <w:p w14:paraId="572A50B2" w14:textId="77777777" w:rsidR="004013AB" w:rsidRPr="00155CA0" w:rsidRDefault="004013AB" w:rsidP="004013AB">
      <w:pPr>
        <w:pStyle w:val="SingleTxtG"/>
        <w:rPr>
          <w:color w:val="000000" w:themeColor="text1"/>
        </w:rPr>
      </w:pPr>
      <w:r>
        <w:t>7.</w:t>
      </w:r>
      <w:r>
        <w:tab/>
        <w:t xml:space="preserve">Given </w:t>
      </w:r>
      <w:r w:rsidRPr="008F196E">
        <w:t>this difference</w:t>
      </w:r>
      <w:r>
        <w:t>,</w:t>
      </w:r>
      <w:r w:rsidRPr="008F196E">
        <w:t xml:space="preserve"> the expert from the United Kingdom does not support the proposal in paragraph 8 but proposes a much simpler alternative in paragraph </w:t>
      </w:r>
      <w:r>
        <w:rPr>
          <w:color w:val="000000" w:themeColor="text1"/>
        </w:rPr>
        <w:t>11.</w:t>
      </w:r>
    </w:p>
    <w:p w14:paraId="0D66904A" w14:textId="77777777" w:rsidR="004013AB" w:rsidRDefault="004013AB" w:rsidP="004013AB">
      <w:pPr>
        <w:pStyle w:val="SingleTxtG"/>
      </w:pPr>
      <w:r w:rsidRPr="00584E57">
        <w:rPr>
          <w:color w:val="000000" w:themeColor="text1"/>
        </w:rPr>
        <w:t>8.</w:t>
      </w:r>
      <w:r w:rsidRPr="00584E57">
        <w:rPr>
          <w:color w:val="000000" w:themeColor="text1"/>
        </w:rPr>
        <w:tab/>
        <w:t xml:space="preserve">In </w:t>
      </w:r>
      <w:r w:rsidRPr="008F196E">
        <w:t>splitting the box and drum drop orientations into two paragraphs</w:t>
      </w:r>
      <w:r>
        <w:t>,</w:t>
      </w:r>
      <w:r w:rsidRPr="008F196E">
        <w:t xml:space="preserve"> the original drafters missed a consequential amendment as 6.3.5.3.6.3 only refers to box orientations (6.3.5.3.2)</w:t>
      </w:r>
      <w:r>
        <w:t>,</w:t>
      </w:r>
      <w:r w:rsidRPr="008F196E">
        <w:t xml:space="preserve"> but should also have included drum orientations in 6.3.5.3.3. The expert from the United Kingdom notes that this omission has been identified by the expert from Canada and is covered by their proposal in paragraph 9.</w:t>
      </w:r>
    </w:p>
    <w:p w14:paraId="32BA1ABC" w14:textId="77777777" w:rsidR="004013AB" w:rsidRDefault="004013AB" w:rsidP="004013AB">
      <w:pPr>
        <w:pStyle w:val="SingleTxtG"/>
      </w:pPr>
      <w:r>
        <w:t>9.</w:t>
      </w:r>
      <w:r>
        <w:tab/>
        <w:t xml:space="preserve">The </w:t>
      </w:r>
      <w:r w:rsidRPr="008F196E">
        <w:t>expert from the United Kingdom therefore fully supports the proposal in paragraph 9 addin</w:t>
      </w:r>
      <w:r>
        <w:t>g “or 6.3.5.3.3 as appropriate”.</w:t>
      </w:r>
      <w:r>
        <w:tab/>
      </w:r>
    </w:p>
    <w:p w14:paraId="2D6D3C90" w14:textId="77777777" w:rsidR="004013AB" w:rsidRDefault="004013AB" w:rsidP="004013AB">
      <w:pPr>
        <w:pStyle w:val="HChG"/>
        <w:rPr>
          <w:lang w:val="en-GB"/>
        </w:rPr>
      </w:pPr>
      <w:r>
        <w:tab/>
      </w:r>
      <w:r>
        <w:rPr>
          <w:lang w:val="fr-CH"/>
        </w:rPr>
        <w:tab/>
      </w:r>
      <w:r w:rsidRPr="004013AB">
        <w:t>Proposals</w:t>
      </w:r>
    </w:p>
    <w:p w14:paraId="52B93069" w14:textId="77777777" w:rsidR="004013AB" w:rsidRPr="008F196E" w:rsidRDefault="004013AB" w:rsidP="004013AB">
      <w:pPr>
        <w:pStyle w:val="SingleTxtG"/>
      </w:pPr>
      <w:r>
        <w:t>10.</w:t>
      </w:r>
      <w:r>
        <w:tab/>
        <w:t xml:space="preserve">As </w:t>
      </w:r>
      <w:r w:rsidRPr="008F196E">
        <w:t>an alternative to the Canadian proposal in paragraph 7 and to improve consistency within the Recommendations</w:t>
      </w:r>
      <w:r>
        <w:t>,</w:t>
      </w:r>
      <w:r w:rsidRPr="008F196E">
        <w:t xml:space="preserve"> add the following sub-headings after the following paragraph references:</w:t>
      </w:r>
    </w:p>
    <w:p w14:paraId="25830CA7" w14:textId="77777777" w:rsidR="004013AB" w:rsidRPr="008F196E" w:rsidRDefault="004013AB" w:rsidP="004013AB">
      <w:pPr>
        <w:pStyle w:val="ListParagraph"/>
        <w:spacing w:after="120" w:line="240" w:lineRule="atLeast"/>
        <w:ind w:left="1701"/>
        <w:rPr>
          <w:i/>
          <w:sz w:val="20"/>
        </w:rPr>
      </w:pPr>
      <w:r w:rsidRPr="008F196E">
        <w:rPr>
          <w:sz w:val="20"/>
        </w:rPr>
        <w:t xml:space="preserve">6.3.5.3.1 </w:t>
      </w:r>
      <w:r w:rsidRPr="008F196E">
        <w:rPr>
          <w:i/>
          <w:sz w:val="20"/>
        </w:rPr>
        <w:t>Drop height and target</w:t>
      </w:r>
    </w:p>
    <w:p w14:paraId="2F893AB6" w14:textId="77777777" w:rsidR="004013AB" w:rsidRPr="008F196E" w:rsidRDefault="004013AB" w:rsidP="004013AB">
      <w:pPr>
        <w:pStyle w:val="ListParagraph"/>
        <w:spacing w:after="120" w:line="240" w:lineRule="atLeast"/>
        <w:ind w:left="1701"/>
        <w:rPr>
          <w:i/>
          <w:sz w:val="20"/>
        </w:rPr>
      </w:pPr>
      <w:r w:rsidRPr="008F196E">
        <w:rPr>
          <w:sz w:val="20"/>
        </w:rPr>
        <w:t xml:space="preserve">6.3.5.3.2 </w:t>
      </w:r>
      <w:r w:rsidRPr="008F196E">
        <w:rPr>
          <w:i/>
          <w:sz w:val="20"/>
        </w:rPr>
        <w:t>Number of test samples and drop orientation (Boxes)</w:t>
      </w:r>
    </w:p>
    <w:p w14:paraId="3E9E1C01" w14:textId="77777777" w:rsidR="004013AB" w:rsidRDefault="004013AB" w:rsidP="004013AB">
      <w:pPr>
        <w:pStyle w:val="ListParagraph"/>
        <w:spacing w:after="120" w:line="240" w:lineRule="atLeast"/>
        <w:ind w:left="1701"/>
        <w:rPr>
          <w:i/>
          <w:sz w:val="20"/>
        </w:rPr>
      </w:pPr>
      <w:r w:rsidRPr="008F196E">
        <w:rPr>
          <w:sz w:val="20"/>
        </w:rPr>
        <w:t xml:space="preserve">6.3.5.3.3 </w:t>
      </w:r>
      <w:r w:rsidRPr="008F196E">
        <w:rPr>
          <w:i/>
          <w:sz w:val="20"/>
        </w:rPr>
        <w:t>Number of test samples and drop orientation (Drums)</w:t>
      </w:r>
    </w:p>
    <w:p w14:paraId="231F7546" w14:textId="77777777" w:rsidR="004013AB" w:rsidRPr="008F196E" w:rsidRDefault="004013AB" w:rsidP="004013AB">
      <w:pPr>
        <w:pStyle w:val="SingleTxtG"/>
      </w:pPr>
      <w:r>
        <w:t>11.</w:t>
      </w:r>
      <w:r>
        <w:tab/>
        <w:t xml:space="preserve">As </w:t>
      </w:r>
      <w:r w:rsidRPr="008F196E">
        <w:t>an alternative to the Canadian proposal in paragraph 8 based on the fact that the existing text in 6.3.5.3.3 predetermines the orientation for the drop test and therefore it is not necessary to describe the features of the packaging:</w:t>
      </w:r>
    </w:p>
    <w:p w14:paraId="08E2D1FA" w14:textId="77777777" w:rsidR="004013AB" w:rsidRPr="008F196E" w:rsidRDefault="004013AB" w:rsidP="004013AB">
      <w:pPr>
        <w:spacing w:after="120"/>
        <w:ind w:left="1134" w:firstLine="567"/>
      </w:pPr>
      <w:r w:rsidRPr="008F196E">
        <w:t>In 6.3.5.3.3 (a) after the word top delete the word chime;</w:t>
      </w:r>
    </w:p>
    <w:p w14:paraId="009E2B9B" w14:textId="77777777" w:rsidR="004013AB" w:rsidRPr="00155CA0" w:rsidRDefault="004013AB" w:rsidP="004013AB">
      <w:pPr>
        <w:pStyle w:val="ListParagraph"/>
        <w:spacing w:after="120" w:line="240" w:lineRule="atLeast"/>
        <w:ind w:left="1134" w:firstLine="567"/>
        <w:rPr>
          <w:sz w:val="20"/>
        </w:rPr>
      </w:pPr>
      <w:r w:rsidRPr="008F196E">
        <w:rPr>
          <w:sz w:val="20"/>
        </w:rPr>
        <w:t>In 6.3.5.3.3 (b) after the word base delete the word chime</w:t>
      </w:r>
    </w:p>
    <w:p w14:paraId="4EFB8D3C" w14:textId="1A12DFFD" w:rsidR="004013AB" w:rsidRPr="004013AB" w:rsidRDefault="004013AB" w:rsidP="004013AB">
      <w:pPr>
        <w:spacing w:before="240"/>
        <w:ind w:left="1134" w:right="1134"/>
        <w:jc w:val="center"/>
        <w:rPr>
          <w:u w:val="single"/>
        </w:rPr>
      </w:pPr>
      <w:r>
        <w:rPr>
          <w:u w:val="single"/>
        </w:rPr>
        <w:tab/>
      </w:r>
      <w:r>
        <w:rPr>
          <w:u w:val="single"/>
        </w:rPr>
        <w:tab/>
      </w:r>
      <w:r>
        <w:rPr>
          <w:u w:val="single"/>
        </w:rPr>
        <w:tab/>
      </w:r>
      <w:bookmarkStart w:id="0" w:name="_GoBack"/>
      <w:bookmarkEnd w:id="0"/>
    </w:p>
    <w:p w14:paraId="23660BEB" w14:textId="77777777" w:rsidR="004013AB" w:rsidRDefault="004013AB" w:rsidP="004013AB">
      <w:pPr>
        <w:suppressAutoHyphens w:val="0"/>
        <w:spacing w:line="240" w:lineRule="auto"/>
        <w:rPr>
          <w:b/>
          <w:sz w:val="28"/>
          <w:lang w:val="en-US"/>
        </w:rPr>
      </w:pPr>
    </w:p>
    <w:p w14:paraId="60AEC4DD" w14:textId="2BC3417B" w:rsidR="004013AB" w:rsidRDefault="004013AB" w:rsidP="004013AB">
      <w:pPr>
        <w:rPr>
          <w:lang w:val="x-none"/>
        </w:rPr>
      </w:pPr>
    </w:p>
    <w:p w14:paraId="7CB3D470" w14:textId="19E9B4D7" w:rsidR="004013AB" w:rsidRDefault="004013AB" w:rsidP="004013AB">
      <w:pPr>
        <w:rPr>
          <w:lang w:val="x-none"/>
        </w:rPr>
      </w:pPr>
    </w:p>
    <w:p w14:paraId="35CB622A" w14:textId="5681B8BA" w:rsidR="004013AB" w:rsidRDefault="004013AB" w:rsidP="004013AB">
      <w:pPr>
        <w:rPr>
          <w:lang w:val="x-none"/>
        </w:rPr>
      </w:pPr>
    </w:p>
    <w:p w14:paraId="49989EBF" w14:textId="77777777" w:rsidR="004013AB" w:rsidRPr="004013AB" w:rsidRDefault="004013AB" w:rsidP="004013AB">
      <w:pPr>
        <w:rPr>
          <w:lang w:val="x-none"/>
        </w:rPr>
      </w:pPr>
    </w:p>
    <w:sectPr w:rsidR="004013AB" w:rsidRPr="004013AB" w:rsidSect="0039260F">
      <w:headerReference w:type="even" r:id="rId8"/>
      <w:headerReference w:type="default" r:id="rId9"/>
      <w:footerReference w:type="even" r:id="rId10"/>
      <w:footerReference w:type="default" r:id="rId11"/>
      <w:headerReference w:type="first" r:id="rId12"/>
      <w:endnotePr>
        <w:numFmt w:val="decimal"/>
      </w:endnotePr>
      <w:type w:val="oddPage"/>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3157AF" w14:textId="77777777" w:rsidR="00A611EB" w:rsidRDefault="00A611EB"/>
  </w:endnote>
  <w:endnote w:type="continuationSeparator" w:id="0">
    <w:p w14:paraId="5E3936CC" w14:textId="77777777" w:rsidR="00A611EB" w:rsidRDefault="00A611EB"/>
  </w:endnote>
  <w:endnote w:type="continuationNotice" w:id="1">
    <w:p w14:paraId="6DEA5DB7" w14:textId="77777777" w:rsidR="00A611EB" w:rsidRDefault="00A61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0103" w14:textId="12556F9E" w:rsidR="00EC1F27" w:rsidRPr="00F257D1" w:rsidRDefault="00EC1F27"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sidR="004013AB">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59FC8" w14:textId="133AFE59" w:rsidR="00EC1F27" w:rsidRPr="000216CC" w:rsidRDefault="00EC1F27"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4013AB">
      <w:rPr>
        <w:b/>
        <w:noProof/>
        <w:sz w:val="18"/>
      </w:rPr>
      <w:t>7</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BF29EE" w14:textId="77777777" w:rsidR="00A611EB" w:rsidRPr="000B175B" w:rsidRDefault="00A611EB" w:rsidP="000B175B">
      <w:pPr>
        <w:tabs>
          <w:tab w:val="right" w:pos="2155"/>
        </w:tabs>
        <w:spacing w:after="80"/>
        <w:ind w:left="680"/>
        <w:rPr>
          <w:u w:val="single"/>
        </w:rPr>
      </w:pPr>
      <w:r>
        <w:rPr>
          <w:u w:val="single"/>
        </w:rPr>
        <w:tab/>
      </w:r>
    </w:p>
  </w:footnote>
  <w:footnote w:type="continuationSeparator" w:id="0">
    <w:p w14:paraId="2FC96ADD" w14:textId="77777777" w:rsidR="00A611EB" w:rsidRPr="00FC68B7" w:rsidRDefault="00A611EB" w:rsidP="00FC68B7">
      <w:pPr>
        <w:tabs>
          <w:tab w:val="left" w:pos="2155"/>
        </w:tabs>
        <w:spacing w:after="80"/>
        <w:ind w:left="680"/>
        <w:rPr>
          <w:u w:val="single"/>
        </w:rPr>
      </w:pPr>
      <w:r>
        <w:rPr>
          <w:u w:val="single"/>
        </w:rPr>
        <w:tab/>
      </w:r>
    </w:p>
  </w:footnote>
  <w:footnote w:type="continuationNotice" w:id="1">
    <w:p w14:paraId="18F5B217" w14:textId="77777777" w:rsidR="00A611EB" w:rsidRDefault="00A611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2A21" w14:textId="19894A7C" w:rsidR="00EC1F27" w:rsidRPr="00B5392B" w:rsidRDefault="00EC1F27">
    <w:pPr>
      <w:pStyle w:val="Header"/>
      <w:rPr>
        <w:lang w:val="nl-NL"/>
      </w:rPr>
    </w:pPr>
    <w:r w:rsidRPr="00460B22">
      <w:rPr>
        <w:lang w:val="nl-NL"/>
      </w:rPr>
      <w:t>UN/SCETDG/53/INF.</w:t>
    </w:r>
    <w:r w:rsidR="00A739E7">
      <w:rPr>
        <w:lang w:val="nl-NL"/>
      </w:rPr>
      <w:t>3</w:t>
    </w:r>
    <w:r w:rsidR="004013AB">
      <w:rPr>
        <w:lang w:val="nl-NL"/>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8D8AB" w14:textId="73EEC8C4" w:rsidR="00EC1F27" w:rsidRPr="000216CC" w:rsidRDefault="00EC1F27" w:rsidP="000216CC">
    <w:pPr>
      <w:pStyle w:val="Header"/>
      <w:jc w:val="right"/>
    </w:pPr>
    <w:r w:rsidRPr="0059131E">
      <w:t>UN/SCETDG/</w:t>
    </w:r>
    <w:r w:rsidR="0059131E" w:rsidRPr="0059131E">
      <w:t>53</w:t>
    </w:r>
    <w:r w:rsidRPr="0059131E">
      <w:t>/INF.</w:t>
    </w:r>
    <w:r w:rsidR="00A739E7">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4DC62" w14:textId="1FCFE443" w:rsidR="00294934" w:rsidRDefault="00294934" w:rsidP="00532F73">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A620341"/>
    <w:multiLevelType w:val="hybridMultilevel"/>
    <w:tmpl w:val="0E2CFD0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0BCA679A"/>
    <w:multiLevelType w:val="hybridMultilevel"/>
    <w:tmpl w:val="BBE01270"/>
    <w:lvl w:ilvl="0" w:tplc="865C0680">
      <w:start w:val="31"/>
      <w:numFmt w:val="decimal"/>
      <w:lvlText w:val="%1."/>
      <w:lvlJc w:val="left"/>
      <w:pPr>
        <w:tabs>
          <w:tab w:val="num" w:pos="1260"/>
        </w:tabs>
        <w:ind w:left="1260" w:hanging="90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379BD"/>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5" w15:restartNumberingAfterBreak="0">
    <w:nsid w:val="1BE26225"/>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6" w15:restartNumberingAfterBreak="0">
    <w:nsid w:val="1CC4387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7" w15:restartNumberingAfterBreak="0">
    <w:nsid w:val="232F6A1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8" w15:restartNumberingAfterBreak="0">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2AF0714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0" w15:restartNumberingAfterBreak="0">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6F02E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2" w15:restartNumberingAfterBreak="0">
    <w:nsid w:val="31BF1D2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3" w15:restartNumberingAfterBreak="0">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4" w15:restartNumberingAfterBreak="0">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5" w15:restartNumberingAfterBreak="0">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8C802F1"/>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7" w15:restartNumberingAfterBreak="0">
    <w:nsid w:val="3A7E3A14"/>
    <w:multiLevelType w:val="multilevel"/>
    <w:tmpl w:val="998645F6"/>
    <w:lvl w:ilvl="0">
      <w:start w:val="37"/>
      <w:numFmt w:val="decimal"/>
      <w:lvlText w:val="%1"/>
      <w:lvlJc w:val="left"/>
      <w:pPr>
        <w:tabs>
          <w:tab w:val="num" w:pos="900"/>
        </w:tabs>
        <w:ind w:left="900" w:hanging="900"/>
      </w:pPr>
      <w:rPr>
        <w:rFonts w:hint="default"/>
      </w:rPr>
    </w:lvl>
    <w:lvl w:ilvl="1">
      <w:start w:val="4"/>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3C28128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9" w15:restartNumberingAfterBreak="0">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30" w15:restartNumberingAfterBreak="0">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A54060"/>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15:restartNumberingAfterBreak="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50DB314A"/>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4" w15:restartNumberingAfterBreak="0">
    <w:nsid w:val="57D55C48"/>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5" w15:restartNumberingAfterBreak="0">
    <w:nsid w:val="58AC0ED7"/>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6" w15:restartNumberingAfterBreak="0">
    <w:nsid w:val="5B424C9D"/>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7" w15:restartNumberingAfterBreak="0">
    <w:nsid w:val="5BBB53C3"/>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8" w15:restartNumberingAfterBreak="0">
    <w:nsid w:val="5BD95769"/>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42" w15:restartNumberingAfterBreak="0">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0029FC"/>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5" w15:restartNumberingAfterBreak="0">
    <w:nsid w:val="7A084E32"/>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7" w15:restartNumberingAfterBreak="0">
    <w:nsid w:val="7D0A3C7A"/>
    <w:multiLevelType w:val="multilevel"/>
    <w:tmpl w:val="6C183D9C"/>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8" w15:restartNumberingAfterBreak="0">
    <w:nsid w:val="7D1A2D2F"/>
    <w:multiLevelType w:val="multilevel"/>
    <w:tmpl w:val="14F8DFF8"/>
    <w:lvl w:ilvl="0">
      <w:start w:val="3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9" w15:restartNumberingAfterBreak="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3"/>
  </w:num>
  <w:num w:numId="13">
    <w:abstractNumId w:val="10"/>
  </w:num>
  <w:num w:numId="14">
    <w:abstractNumId w:val="40"/>
  </w:num>
  <w:num w:numId="15">
    <w:abstractNumId w:val="43"/>
  </w:num>
  <w:num w:numId="16">
    <w:abstractNumId w:val="25"/>
  </w:num>
  <w:num w:numId="17">
    <w:abstractNumId w:val="32"/>
  </w:num>
  <w:num w:numId="18">
    <w:abstractNumId w:val="42"/>
  </w:num>
  <w:num w:numId="19">
    <w:abstractNumId w:val="24"/>
  </w:num>
  <w:num w:numId="20">
    <w:abstractNumId w:val="41"/>
  </w:num>
  <w:num w:numId="21">
    <w:abstractNumId w:val="23"/>
  </w:num>
  <w:num w:numId="22">
    <w:abstractNumId w:val="30"/>
  </w:num>
  <w:num w:numId="23">
    <w:abstractNumId w:val="49"/>
  </w:num>
  <w:num w:numId="24">
    <w:abstractNumId w:val="20"/>
  </w:num>
  <w:num w:numId="25">
    <w:abstractNumId w:val="29"/>
  </w:num>
  <w:num w:numId="26">
    <w:abstractNumId w:val="18"/>
  </w:num>
  <w:num w:numId="27">
    <w:abstractNumId w:val="46"/>
  </w:num>
  <w:num w:numId="28">
    <w:abstractNumId w:val="17"/>
  </w:num>
  <w:num w:numId="29">
    <w:abstractNumId w:val="47"/>
  </w:num>
  <w:num w:numId="30">
    <w:abstractNumId w:val="44"/>
  </w:num>
  <w:num w:numId="31">
    <w:abstractNumId w:val="22"/>
  </w:num>
  <w:num w:numId="32">
    <w:abstractNumId w:val="35"/>
  </w:num>
  <w:num w:numId="33">
    <w:abstractNumId w:val="33"/>
  </w:num>
  <w:num w:numId="34">
    <w:abstractNumId w:val="28"/>
  </w:num>
  <w:num w:numId="35">
    <w:abstractNumId w:val="21"/>
  </w:num>
  <w:num w:numId="36">
    <w:abstractNumId w:val="36"/>
  </w:num>
  <w:num w:numId="37">
    <w:abstractNumId w:val="48"/>
  </w:num>
  <w:num w:numId="38">
    <w:abstractNumId w:val="14"/>
  </w:num>
  <w:num w:numId="39">
    <w:abstractNumId w:val="15"/>
  </w:num>
  <w:num w:numId="40">
    <w:abstractNumId w:val="26"/>
  </w:num>
  <w:num w:numId="41">
    <w:abstractNumId w:val="37"/>
  </w:num>
  <w:num w:numId="42">
    <w:abstractNumId w:val="19"/>
  </w:num>
  <w:num w:numId="43">
    <w:abstractNumId w:val="34"/>
  </w:num>
  <w:num w:numId="44">
    <w:abstractNumId w:val="45"/>
  </w:num>
  <w:num w:numId="45">
    <w:abstractNumId w:val="38"/>
  </w:num>
  <w:num w:numId="46">
    <w:abstractNumId w:val="16"/>
  </w:num>
  <w:num w:numId="47">
    <w:abstractNumId w:val="31"/>
  </w:num>
  <w:num w:numId="48">
    <w:abstractNumId w:val="12"/>
  </w:num>
  <w:num w:numId="49">
    <w:abstractNumId w:val="27"/>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nl-NL" w:vendorID="64" w:dllVersion="6" w:nlCheck="1" w:checkStyle="0"/>
  <w:activeWritingStyle w:appName="MSWord" w:lang="fr-FR"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de-CH"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6FAE"/>
    <w:rsid w:val="000133C5"/>
    <w:rsid w:val="00017D24"/>
    <w:rsid w:val="000216CC"/>
    <w:rsid w:val="0003061F"/>
    <w:rsid w:val="0003375D"/>
    <w:rsid w:val="00043180"/>
    <w:rsid w:val="000504CE"/>
    <w:rsid w:val="00050922"/>
    <w:rsid w:val="00050F6B"/>
    <w:rsid w:val="00053492"/>
    <w:rsid w:val="0005710C"/>
    <w:rsid w:val="00064402"/>
    <w:rsid w:val="00067E6D"/>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3A0F"/>
    <w:rsid w:val="000B4919"/>
    <w:rsid w:val="000B6AD1"/>
    <w:rsid w:val="000B7AF2"/>
    <w:rsid w:val="000C1ED8"/>
    <w:rsid w:val="000C5D4B"/>
    <w:rsid w:val="000C717F"/>
    <w:rsid w:val="000D0B8F"/>
    <w:rsid w:val="000D481F"/>
    <w:rsid w:val="000D6D97"/>
    <w:rsid w:val="000D7830"/>
    <w:rsid w:val="000E0415"/>
    <w:rsid w:val="000F0347"/>
    <w:rsid w:val="000F52D6"/>
    <w:rsid w:val="000F6A20"/>
    <w:rsid w:val="001016E7"/>
    <w:rsid w:val="0010461A"/>
    <w:rsid w:val="00115303"/>
    <w:rsid w:val="00117787"/>
    <w:rsid w:val="00117D0D"/>
    <w:rsid w:val="00121EB7"/>
    <w:rsid w:val="00131B10"/>
    <w:rsid w:val="00131D42"/>
    <w:rsid w:val="00133C50"/>
    <w:rsid w:val="001406F4"/>
    <w:rsid w:val="00140F48"/>
    <w:rsid w:val="001633FB"/>
    <w:rsid w:val="00163A1B"/>
    <w:rsid w:val="00165735"/>
    <w:rsid w:val="00167786"/>
    <w:rsid w:val="00181019"/>
    <w:rsid w:val="0018168F"/>
    <w:rsid w:val="001835BF"/>
    <w:rsid w:val="00184B86"/>
    <w:rsid w:val="001944F1"/>
    <w:rsid w:val="001A02A4"/>
    <w:rsid w:val="001B35EE"/>
    <w:rsid w:val="001B4B04"/>
    <w:rsid w:val="001B6B72"/>
    <w:rsid w:val="001C429D"/>
    <w:rsid w:val="001C6663"/>
    <w:rsid w:val="001C7895"/>
    <w:rsid w:val="001D26DF"/>
    <w:rsid w:val="001D2FDC"/>
    <w:rsid w:val="001D3123"/>
    <w:rsid w:val="001D3A88"/>
    <w:rsid w:val="001D49F7"/>
    <w:rsid w:val="001D4B2D"/>
    <w:rsid w:val="001D4E70"/>
    <w:rsid w:val="001E797C"/>
    <w:rsid w:val="00211468"/>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25CA"/>
    <w:rsid w:val="00273A92"/>
    <w:rsid w:val="00277896"/>
    <w:rsid w:val="00280EB7"/>
    <w:rsid w:val="00294934"/>
    <w:rsid w:val="00295C28"/>
    <w:rsid w:val="002976CF"/>
    <w:rsid w:val="002A0BD2"/>
    <w:rsid w:val="002A5B17"/>
    <w:rsid w:val="002B067A"/>
    <w:rsid w:val="002B1514"/>
    <w:rsid w:val="002B1CDA"/>
    <w:rsid w:val="002C7F25"/>
    <w:rsid w:val="002D5A85"/>
    <w:rsid w:val="002D5C7D"/>
    <w:rsid w:val="002E35BB"/>
    <w:rsid w:val="002F68FD"/>
    <w:rsid w:val="003107FA"/>
    <w:rsid w:val="00313AC2"/>
    <w:rsid w:val="00315D73"/>
    <w:rsid w:val="00316FF9"/>
    <w:rsid w:val="00321716"/>
    <w:rsid w:val="003229D8"/>
    <w:rsid w:val="00327D0A"/>
    <w:rsid w:val="003517C3"/>
    <w:rsid w:val="00355502"/>
    <w:rsid w:val="00356BC7"/>
    <w:rsid w:val="00357A20"/>
    <w:rsid w:val="00362531"/>
    <w:rsid w:val="00372F06"/>
    <w:rsid w:val="00391647"/>
    <w:rsid w:val="003916DB"/>
    <w:rsid w:val="0039260F"/>
    <w:rsid w:val="0039277A"/>
    <w:rsid w:val="00396F6A"/>
    <w:rsid w:val="003972E0"/>
    <w:rsid w:val="003A1EC2"/>
    <w:rsid w:val="003A52D7"/>
    <w:rsid w:val="003A5A16"/>
    <w:rsid w:val="003C0657"/>
    <w:rsid w:val="003C18C9"/>
    <w:rsid w:val="003C2CC4"/>
    <w:rsid w:val="003C655D"/>
    <w:rsid w:val="003D4B23"/>
    <w:rsid w:val="003F23A4"/>
    <w:rsid w:val="003F5B52"/>
    <w:rsid w:val="004013AB"/>
    <w:rsid w:val="00403EC6"/>
    <w:rsid w:val="00406CD4"/>
    <w:rsid w:val="00430086"/>
    <w:rsid w:val="00430918"/>
    <w:rsid w:val="004325CB"/>
    <w:rsid w:val="00437F3F"/>
    <w:rsid w:val="00446DE4"/>
    <w:rsid w:val="004526E8"/>
    <w:rsid w:val="00452D10"/>
    <w:rsid w:val="00454036"/>
    <w:rsid w:val="004562AA"/>
    <w:rsid w:val="00460B22"/>
    <w:rsid w:val="0046443A"/>
    <w:rsid w:val="004653B3"/>
    <w:rsid w:val="004654C4"/>
    <w:rsid w:val="0046668F"/>
    <w:rsid w:val="0046773D"/>
    <w:rsid w:val="0046788D"/>
    <w:rsid w:val="0048304D"/>
    <w:rsid w:val="00484A9B"/>
    <w:rsid w:val="00492AF9"/>
    <w:rsid w:val="00494C77"/>
    <w:rsid w:val="00497711"/>
    <w:rsid w:val="004A25C4"/>
    <w:rsid w:val="004B2C9D"/>
    <w:rsid w:val="004B5939"/>
    <w:rsid w:val="004B73D6"/>
    <w:rsid w:val="004C39D0"/>
    <w:rsid w:val="004C4F1A"/>
    <w:rsid w:val="004C6D6D"/>
    <w:rsid w:val="004E0C5D"/>
    <w:rsid w:val="004F4240"/>
    <w:rsid w:val="004F77CD"/>
    <w:rsid w:val="00507CF1"/>
    <w:rsid w:val="00522177"/>
    <w:rsid w:val="00527910"/>
    <w:rsid w:val="00532F73"/>
    <w:rsid w:val="005420F2"/>
    <w:rsid w:val="00542505"/>
    <w:rsid w:val="005475D4"/>
    <w:rsid w:val="00555CDB"/>
    <w:rsid w:val="00561B6D"/>
    <w:rsid w:val="00562D45"/>
    <w:rsid w:val="0056615B"/>
    <w:rsid w:val="00567DFB"/>
    <w:rsid w:val="00571DAA"/>
    <w:rsid w:val="00572210"/>
    <w:rsid w:val="0058129D"/>
    <w:rsid w:val="00590144"/>
    <w:rsid w:val="0059131E"/>
    <w:rsid w:val="0059682C"/>
    <w:rsid w:val="005A64DD"/>
    <w:rsid w:val="005B09F0"/>
    <w:rsid w:val="005B0CED"/>
    <w:rsid w:val="005B3DB3"/>
    <w:rsid w:val="005B528A"/>
    <w:rsid w:val="005C4CB5"/>
    <w:rsid w:val="005D0C6C"/>
    <w:rsid w:val="005D1BB4"/>
    <w:rsid w:val="005E5946"/>
    <w:rsid w:val="005F3A39"/>
    <w:rsid w:val="005F5C2F"/>
    <w:rsid w:val="005F7BB1"/>
    <w:rsid w:val="00602490"/>
    <w:rsid w:val="00603E3C"/>
    <w:rsid w:val="00611FC4"/>
    <w:rsid w:val="00612812"/>
    <w:rsid w:val="006176FB"/>
    <w:rsid w:val="00626B06"/>
    <w:rsid w:val="006279AC"/>
    <w:rsid w:val="0063419C"/>
    <w:rsid w:val="00635381"/>
    <w:rsid w:val="00636986"/>
    <w:rsid w:val="00637542"/>
    <w:rsid w:val="00640B26"/>
    <w:rsid w:val="00641194"/>
    <w:rsid w:val="00645A0B"/>
    <w:rsid w:val="006500BA"/>
    <w:rsid w:val="006506DB"/>
    <w:rsid w:val="00662121"/>
    <w:rsid w:val="00662E09"/>
    <w:rsid w:val="00670CF0"/>
    <w:rsid w:val="00675F87"/>
    <w:rsid w:val="00690CD6"/>
    <w:rsid w:val="006A3932"/>
    <w:rsid w:val="006A63E3"/>
    <w:rsid w:val="006A7392"/>
    <w:rsid w:val="006B1C55"/>
    <w:rsid w:val="006C0D34"/>
    <w:rsid w:val="006C251B"/>
    <w:rsid w:val="006C2F7E"/>
    <w:rsid w:val="006D3560"/>
    <w:rsid w:val="006E3B65"/>
    <w:rsid w:val="006E564B"/>
    <w:rsid w:val="007025C0"/>
    <w:rsid w:val="00707F04"/>
    <w:rsid w:val="00711637"/>
    <w:rsid w:val="00714F4F"/>
    <w:rsid w:val="0072632A"/>
    <w:rsid w:val="00736E6A"/>
    <w:rsid w:val="00741F59"/>
    <w:rsid w:val="0074697D"/>
    <w:rsid w:val="00755EBE"/>
    <w:rsid w:val="00761619"/>
    <w:rsid w:val="0076177C"/>
    <w:rsid w:val="00763C33"/>
    <w:rsid w:val="00764269"/>
    <w:rsid w:val="00766322"/>
    <w:rsid w:val="00770BCD"/>
    <w:rsid w:val="00771904"/>
    <w:rsid w:val="00773353"/>
    <w:rsid w:val="00774129"/>
    <w:rsid w:val="00774E8F"/>
    <w:rsid w:val="00774EAA"/>
    <w:rsid w:val="0078123B"/>
    <w:rsid w:val="00781B57"/>
    <w:rsid w:val="00786434"/>
    <w:rsid w:val="00790791"/>
    <w:rsid w:val="00796F36"/>
    <w:rsid w:val="007A2CDB"/>
    <w:rsid w:val="007A62EC"/>
    <w:rsid w:val="007B1A7E"/>
    <w:rsid w:val="007B2BA8"/>
    <w:rsid w:val="007B6BA5"/>
    <w:rsid w:val="007C2C0D"/>
    <w:rsid w:val="007C3162"/>
    <w:rsid w:val="007C3390"/>
    <w:rsid w:val="007C4F4B"/>
    <w:rsid w:val="007C644D"/>
    <w:rsid w:val="007D7BC6"/>
    <w:rsid w:val="007E4BD3"/>
    <w:rsid w:val="007E5D7C"/>
    <w:rsid w:val="007F2A54"/>
    <w:rsid w:val="007F5104"/>
    <w:rsid w:val="007F6611"/>
    <w:rsid w:val="00800024"/>
    <w:rsid w:val="008037A2"/>
    <w:rsid w:val="00816582"/>
    <w:rsid w:val="008175E9"/>
    <w:rsid w:val="00820A2D"/>
    <w:rsid w:val="008242D7"/>
    <w:rsid w:val="00826C09"/>
    <w:rsid w:val="0083043E"/>
    <w:rsid w:val="0083069A"/>
    <w:rsid w:val="00832A1D"/>
    <w:rsid w:val="00834479"/>
    <w:rsid w:val="00843AB2"/>
    <w:rsid w:val="00846809"/>
    <w:rsid w:val="00857789"/>
    <w:rsid w:val="0086107D"/>
    <w:rsid w:val="00864251"/>
    <w:rsid w:val="00871FD5"/>
    <w:rsid w:val="00881213"/>
    <w:rsid w:val="008830CC"/>
    <w:rsid w:val="00894156"/>
    <w:rsid w:val="008979B1"/>
    <w:rsid w:val="008A0B75"/>
    <w:rsid w:val="008A1542"/>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F2D9A"/>
    <w:rsid w:val="008F44B8"/>
    <w:rsid w:val="008F504A"/>
    <w:rsid w:val="00904EBC"/>
    <w:rsid w:val="00923019"/>
    <w:rsid w:val="00924B63"/>
    <w:rsid w:val="009363B6"/>
    <w:rsid w:val="00940F46"/>
    <w:rsid w:val="00941ECC"/>
    <w:rsid w:val="00945A5D"/>
    <w:rsid w:val="00946A0D"/>
    <w:rsid w:val="00955109"/>
    <w:rsid w:val="00963B67"/>
    <w:rsid w:val="00963CBA"/>
    <w:rsid w:val="00964682"/>
    <w:rsid w:val="009701ED"/>
    <w:rsid w:val="00984471"/>
    <w:rsid w:val="00985F37"/>
    <w:rsid w:val="009879EA"/>
    <w:rsid w:val="009908A5"/>
    <w:rsid w:val="0099124E"/>
    <w:rsid w:val="00991261"/>
    <w:rsid w:val="009953D5"/>
    <w:rsid w:val="009A1D29"/>
    <w:rsid w:val="009C6394"/>
    <w:rsid w:val="009D0E2A"/>
    <w:rsid w:val="009D0F0E"/>
    <w:rsid w:val="009D1AAE"/>
    <w:rsid w:val="009D634E"/>
    <w:rsid w:val="009E1560"/>
    <w:rsid w:val="009F0F06"/>
    <w:rsid w:val="009F25EB"/>
    <w:rsid w:val="009F4FC5"/>
    <w:rsid w:val="00A1427D"/>
    <w:rsid w:val="00A235F1"/>
    <w:rsid w:val="00A34B00"/>
    <w:rsid w:val="00A3777A"/>
    <w:rsid w:val="00A50077"/>
    <w:rsid w:val="00A54CA8"/>
    <w:rsid w:val="00A60196"/>
    <w:rsid w:val="00A611EB"/>
    <w:rsid w:val="00A6199C"/>
    <w:rsid w:val="00A622AF"/>
    <w:rsid w:val="00A65F4A"/>
    <w:rsid w:val="00A66636"/>
    <w:rsid w:val="00A72F22"/>
    <w:rsid w:val="00A739E7"/>
    <w:rsid w:val="00A744D7"/>
    <w:rsid w:val="00A748A6"/>
    <w:rsid w:val="00A74A46"/>
    <w:rsid w:val="00A75EC9"/>
    <w:rsid w:val="00A810D4"/>
    <w:rsid w:val="00A83451"/>
    <w:rsid w:val="00A83538"/>
    <w:rsid w:val="00A8523D"/>
    <w:rsid w:val="00A879A4"/>
    <w:rsid w:val="00AA1D9A"/>
    <w:rsid w:val="00AA32EB"/>
    <w:rsid w:val="00AB382F"/>
    <w:rsid w:val="00AB4CF1"/>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04E1"/>
    <w:rsid w:val="00B3317B"/>
    <w:rsid w:val="00B41384"/>
    <w:rsid w:val="00B4398E"/>
    <w:rsid w:val="00B5392B"/>
    <w:rsid w:val="00B71E2B"/>
    <w:rsid w:val="00B73DA8"/>
    <w:rsid w:val="00B74F7C"/>
    <w:rsid w:val="00B75E05"/>
    <w:rsid w:val="00B81E12"/>
    <w:rsid w:val="00B84AAC"/>
    <w:rsid w:val="00B90F54"/>
    <w:rsid w:val="00B91CC3"/>
    <w:rsid w:val="00B92A0C"/>
    <w:rsid w:val="00B93068"/>
    <w:rsid w:val="00BB176D"/>
    <w:rsid w:val="00BB3B28"/>
    <w:rsid w:val="00BC74E9"/>
    <w:rsid w:val="00BD2077"/>
    <w:rsid w:val="00BE1FF8"/>
    <w:rsid w:val="00BE50CA"/>
    <w:rsid w:val="00BE618E"/>
    <w:rsid w:val="00C0263F"/>
    <w:rsid w:val="00C03B44"/>
    <w:rsid w:val="00C05987"/>
    <w:rsid w:val="00C10822"/>
    <w:rsid w:val="00C13A85"/>
    <w:rsid w:val="00C218A4"/>
    <w:rsid w:val="00C31519"/>
    <w:rsid w:val="00C36D37"/>
    <w:rsid w:val="00C463DD"/>
    <w:rsid w:val="00C46D5B"/>
    <w:rsid w:val="00C537D5"/>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2CE2"/>
    <w:rsid w:val="00CD30EE"/>
    <w:rsid w:val="00CD3225"/>
    <w:rsid w:val="00CD35E8"/>
    <w:rsid w:val="00CE4083"/>
    <w:rsid w:val="00CE46BA"/>
    <w:rsid w:val="00CE4A8F"/>
    <w:rsid w:val="00CE74ED"/>
    <w:rsid w:val="00CF4FE1"/>
    <w:rsid w:val="00CF6F32"/>
    <w:rsid w:val="00CF778D"/>
    <w:rsid w:val="00D0631B"/>
    <w:rsid w:val="00D06C3A"/>
    <w:rsid w:val="00D164BA"/>
    <w:rsid w:val="00D2031B"/>
    <w:rsid w:val="00D25E8C"/>
    <w:rsid w:val="00D25FE2"/>
    <w:rsid w:val="00D27E89"/>
    <w:rsid w:val="00D37E80"/>
    <w:rsid w:val="00D43252"/>
    <w:rsid w:val="00D46231"/>
    <w:rsid w:val="00D477C4"/>
    <w:rsid w:val="00D5409C"/>
    <w:rsid w:val="00D57C13"/>
    <w:rsid w:val="00D57FD9"/>
    <w:rsid w:val="00D610C1"/>
    <w:rsid w:val="00D658FA"/>
    <w:rsid w:val="00D730E3"/>
    <w:rsid w:val="00D753D8"/>
    <w:rsid w:val="00D9274F"/>
    <w:rsid w:val="00D96248"/>
    <w:rsid w:val="00D96CC5"/>
    <w:rsid w:val="00D978C6"/>
    <w:rsid w:val="00D97B77"/>
    <w:rsid w:val="00DA6620"/>
    <w:rsid w:val="00DA67AD"/>
    <w:rsid w:val="00DD42A0"/>
    <w:rsid w:val="00DE236F"/>
    <w:rsid w:val="00DE3ECB"/>
    <w:rsid w:val="00DE4785"/>
    <w:rsid w:val="00DE7267"/>
    <w:rsid w:val="00DF0A4D"/>
    <w:rsid w:val="00DF3039"/>
    <w:rsid w:val="00DF3A04"/>
    <w:rsid w:val="00DF4518"/>
    <w:rsid w:val="00DF69A6"/>
    <w:rsid w:val="00E130AB"/>
    <w:rsid w:val="00E1679E"/>
    <w:rsid w:val="00E239A0"/>
    <w:rsid w:val="00E34E58"/>
    <w:rsid w:val="00E36838"/>
    <w:rsid w:val="00E36C10"/>
    <w:rsid w:val="00E40B76"/>
    <w:rsid w:val="00E42461"/>
    <w:rsid w:val="00E4443D"/>
    <w:rsid w:val="00E45B25"/>
    <w:rsid w:val="00E52EB0"/>
    <w:rsid w:val="00E54352"/>
    <w:rsid w:val="00E5644E"/>
    <w:rsid w:val="00E5691C"/>
    <w:rsid w:val="00E60903"/>
    <w:rsid w:val="00E631BA"/>
    <w:rsid w:val="00E63481"/>
    <w:rsid w:val="00E63DE8"/>
    <w:rsid w:val="00E6613A"/>
    <w:rsid w:val="00E7260F"/>
    <w:rsid w:val="00E730D8"/>
    <w:rsid w:val="00E81230"/>
    <w:rsid w:val="00E8535A"/>
    <w:rsid w:val="00E864BE"/>
    <w:rsid w:val="00E90647"/>
    <w:rsid w:val="00E96630"/>
    <w:rsid w:val="00EA0364"/>
    <w:rsid w:val="00EA48C4"/>
    <w:rsid w:val="00EA772F"/>
    <w:rsid w:val="00EB2AE3"/>
    <w:rsid w:val="00EB4C06"/>
    <w:rsid w:val="00EB51D5"/>
    <w:rsid w:val="00EB65EF"/>
    <w:rsid w:val="00EB6832"/>
    <w:rsid w:val="00EB71BA"/>
    <w:rsid w:val="00EB798F"/>
    <w:rsid w:val="00EC14E9"/>
    <w:rsid w:val="00EC1F27"/>
    <w:rsid w:val="00EC271A"/>
    <w:rsid w:val="00EC6BFD"/>
    <w:rsid w:val="00EC755A"/>
    <w:rsid w:val="00ED3508"/>
    <w:rsid w:val="00ED3F6F"/>
    <w:rsid w:val="00ED7A2A"/>
    <w:rsid w:val="00EE4D59"/>
    <w:rsid w:val="00EE4FA9"/>
    <w:rsid w:val="00EE73C3"/>
    <w:rsid w:val="00EF1D7F"/>
    <w:rsid w:val="00EF4AAC"/>
    <w:rsid w:val="00F01C57"/>
    <w:rsid w:val="00F03FA2"/>
    <w:rsid w:val="00F05283"/>
    <w:rsid w:val="00F07537"/>
    <w:rsid w:val="00F07E12"/>
    <w:rsid w:val="00F1200D"/>
    <w:rsid w:val="00F257D1"/>
    <w:rsid w:val="00F30A8A"/>
    <w:rsid w:val="00F34267"/>
    <w:rsid w:val="00F3574D"/>
    <w:rsid w:val="00F40295"/>
    <w:rsid w:val="00F40E75"/>
    <w:rsid w:val="00F412D3"/>
    <w:rsid w:val="00F444E3"/>
    <w:rsid w:val="00F5087E"/>
    <w:rsid w:val="00F51BAB"/>
    <w:rsid w:val="00F535BE"/>
    <w:rsid w:val="00F54674"/>
    <w:rsid w:val="00F64C95"/>
    <w:rsid w:val="00F75E96"/>
    <w:rsid w:val="00FA00A0"/>
    <w:rsid w:val="00FA2892"/>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357175"/>
  <w15:docId w15:val="{003AA85F-5C3C-4185-A8C3-F213E366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A39"/>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EC1F27"/>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EC1F27"/>
    <w:pPr>
      <w:keepNext/>
      <w:keepLines/>
      <w:tabs>
        <w:tab w:val="clear" w:pos="1418"/>
      </w:tabs>
      <w:jc w:val="center"/>
    </w:pPr>
    <w:rPr>
      <w:b/>
      <w:sz w:val="26"/>
      <w:szCs w:val="26"/>
    </w:rPr>
  </w:style>
  <w:style w:type="paragraph" w:customStyle="1" w:styleId="ManualHeading2">
    <w:name w:val="Manual Heading 2"/>
    <w:basedOn w:val="ManualBodyText"/>
    <w:next w:val="ManualBodyText"/>
    <w:rsid w:val="00EC1F27"/>
    <w:pPr>
      <w:keepNext/>
      <w:keepLines/>
    </w:pPr>
    <w:rPr>
      <w:b/>
    </w:rPr>
  </w:style>
  <w:style w:type="paragraph" w:customStyle="1" w:styleId="ManualHeading3">
    <w:name w:val="Manual Heading 3"/>
    <w:basedOn w:val="ManualBodyText"/>
    <w:next w:val="ManualBodyText"/>
    <w:rsid w:val="00EC1F27"/>
    <w:pPr>
      <w:keepNext/>
      <w:keepLines/>
    </w:pPr>
    <w:rPr>
      <w:b/>
    </w:rPr>
  </w:style>
  <w:style w:type="paragraph" w:customStyle="1" w:styleId="ManualHeading4">
    <w:name w:val="Manual Heading 4"/>
    <w:basedOn w:val="ManualBodyText"/>
    <w:next w:val="ManualBodyText"/>
    <w:rsid w:val="00EC1F27"/>
    <w:pPr>
      <w:keepNext/>
      <w:keepLines/>
    </w:pPr>
  </w:style>
  <w:style w:type="paragraph" w:customStyle="1" w:styleId="ManualHeading5">
    <w:name w:val="Manual Heading 5"/>
    <w:basedOn w:val="ManualBodyText"/>
    <w:next w:val="ManualBodyText"/>
    <w:rsid w:val="00EC1F27"/>
    <w:pPr>
      <w:keepNext/>
      <w:keepLines/>
    </w:pPr>
  </w:style>
  <w:style w:type="paragraph" w:customStyle="1" w:styleId="ManualHeading6">
    <w:name w:val="Manual Heading 6"/>
    <w:basedOn w:val="ManualBodyText"/>
    <w:next w:val="ManualBodyText"/>
    <w:rsid w:val="00EC1F27"/>
    <w:pPr>
      <w:keepNext/>
      <w:keepLines/>
    </w:pPr>
  </w:style>
  <w:style w:type="paragraph" w:customStyle="1" w:styleId="ManualPartEN">
    <w:name w:val="Manual Part EN"/>
    <w:basedOn w:val="ManualHeading1"/>
    <w:next w:val="ManualHeading1"/>
    <w:rsid w:val="00EC1F27"/>
    <w:rPr>
      <w:bCs/>
      <w:sz w:val="56"/>
      <w:szCs w:val="44"/>
    </w:rPr>
  </w:style>
  <w:style w:type="character" w:customStyle="1" w:styleId="HTMLPreformattedChar">
    <w:name w:val="HTML Preformatted Char"/>
    <w:link w:val="HTMLPreformatted"/>
    <w:uiPriority w:val="99"/>
    <w:rsid w:val="00EC1F27"/>
    <w:rPr>
      <w:rFonts w:ascii="Courier New" w:hAnsi="Courier New" w:cs="Courier New"/>
      <w:lang w:eastAsia="en-US"/>
    </w:rPr>
  </w:style>
  <w:style w:type="character" w:customStyle="1" w:styleId="FooterChar">
    <w:name w:val="Footer Char"/>
    <w:aliases w:val="3_G Char"/>
    <w:link w:val="Footer"/>
    <w:uiPriority w:val="99"/>
    <w:rsid w:val="00EC1F27"/>
    <w:rPr>
      <w:sz w:val="16"/>
      <w:lang w:eastAsia="en-US"/>
    </w:rPr>
  </w:style>
  <w:style w:type="character" w:customStyle="1" w:styleId="BodyTextIndentChar">
    <w:name w:val="Body Text Indent Char"/>
    <w:link w:val="BodyTextIndent"/>
    <w:semiHidden/>
    <w:rsid w:val="00EC1F27"/>
    <w:rPr>
      <w:lang w:eastAsia="en-US"/>
    </w:rPr>
  </w:style>
  <w:style w:type="character" w:customStyle="1" w:styleId="BodyTextIndent2Char">
    <w:name w:val="Body Text Indent 2 Char"/>
    <w:link w:val="BodyTextIndent2"/>
    <w:semiHidden/>
    <w:rsid w:val="00EC1F27"/>
    <w:rPr>
      <w:lang w:eastAsia="en-US"/>
    </w:rPr>
  </w:style>
  <w:style w:type="character" w:customStyle="1" w:styleId="BodyTextChar">
    <w:name w:val="Body Text Char"/>
    <w:link w:val="BodyText"/>
    <w:semiHidden/>
    <w:rsid w:val="00EC1F27"/>
    <w:rPr>
      <w:lang w:eastAsia="en-US"/>
    </w:rPr>
  </w:style>
  <w:style w:type="character" w:customStyle="1" w:styleId="HeaderChar">
    <w:name w:val="Header Char"/>
    <w:aliases w:val="6_G Char"/>
    <w:link w:val="Header"/>
    <w:rsid w:val="00EC1F27"/>
    <w:rPr>
      <w:b/>
      <w:sz w:val="18"/>
      <w:lang w:eastAsia="en-US"/>
    </w:rPr>
  </w:style>
  <w:style w:type="character" w:customStyle="1" w:styleId="BodyTextIndent3Char">
    <w:name w:val="Body Text Indent 3 Char"/>
    <w:link w:val="BodyTextIndent3"/>
    <w:semiHidden/>
    <w:rsid w:val="00EC1F27"/>
    <w:rPr>
      <w:sz w:val="16"/>
      <w:szCs w:val="16"/>
      <w:lang w:eastAsia="en-US"/>
    </w:rPr>
  </w:style>
  <w:style w:type="character" w:customStyle="1" w:styleId="TitleChar">
    <w:name w:val="Title Char"/>
    <w:link w:val="Title"/>
    <w:rsid w:val="00EC1F27"/>
    <w:rPr>
      <w:rFonts w:ascii="Arial" w:hAnsi="Arial" w:cs="Arial"/>
      <w:b/>
      <w:bCs/>
      <w:kern w:val="28"/>
      <w:sz w:val="32"/>
      <w:szCs w:val="32"/>
      <w:lang w:eastAsia="en-US"/>
    </w:rPr>
  </w:style>
  <w:style w:type="character" w:customStyle="1" w:styleId="Heading5Char">
    <w:name w:val="Heading 5 Char"/>
    <w:link w:val="Heading5"/>
    <w:rsid w:val="00EC1F27"/>
    <w:rPr>
      <w:lang w:eastAsia="en-US"/>
    </w:rPr>
  </w:style>
  <w:style w:type="character" w:customStyle="1" w:styleId="EndnoteTextChar">
    <w:name w:val="Endnote Text Char"/>
    <w:aliases w:val="2_G Char"/>
    <w:link w:val="EndnoteText"/>
    <w:rsid w:val="00EC1F27"/>
    <w:rPr>
      <w:sz w:val="18"/>
      <w:lang w:val="x-none" w:eastAsia="en-US"/>
    </w:rPr>
  </w:style>
  <w:style w:type="paragraph" w:customStyle="1" w:styleId="a">
    <w:name w:val="–"/>
    <w:semiHidden/>
    <w:rsid w:val="00EC1F27"/>
    <w:pPr>
      <w:autoSpaceDE w:val="0"/>
      <w:autoSpaceDN w:val="0"/>
      <w:adjustRightInd w:val="0"/>
      <w:jc w:val="both"/>
    </w:pPr>
    <w:rPr>
      <w:rFonts w:ascii="Arial" w:hAnsi="Arial"/>
      <w:sz w:val="24"/>
      <w:szCs w:val="24"/>
    </w:rPr>
  </w:style>
  <w:style w:type="paragraph" w:customStyle="1" w:styleId="font5">
    <w:name w:val="font5"/>
    <w:basedOn w:val="Normal"/>
    <w:semiHidden/>
    <w:rsid w:val="00EC1F27"/>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C1F27"/>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EC1F27"/>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C1F27"/>
    <w:rPr>
      <w:lang w:eastAsia="en-US"/>
    </w:rPr>
  </w:style>
  <w:style w:type="character" w:customStyle="1" w:styleId="ManualBodyTextChar">
    <w:name w:val="Manual Body Text Char"/>
    <w:link w:val="ManualBodyText"/>
    <w:rsid w:val="00EC1F27"/>
    <w:rPr>
      <w:sz w:val="22"/>
      <w:szCs w:val="22"/>
      <w:lang w:eastAsia="fr-FR"/>
    </w:rPr>
  </w:style>
  <w:style w:type="character" w:styleId="PlaceholderText">
    <w:name w:val="Placeholder Text"/>
    <w:uiPriority w:val="99"/>
    <w:semiHidden/>
    <w:rsid w:val="00EC1F27"/>
    <w:rPr>
      <w:color w:val="808080"/>
    </w:rPr>
  </w:style>
  <w:style w:type="paragraph" w:styleId="Caption">
    <w:name w:val="caption"/>
    <w:basedOn w:val="Normal"/>
    <w:next w:val="Normal"/>
    <w:qFormat/>
    <w:rsid w:val="00EC1F27"/>
    <w:pPr>
      <w:tabs>
        <w:tab w:val="left" w:pos="1418"/>
      </w:tabs>
      <w:suppressAutoHyphens w:val="0"/>
      <w:spacing w:line="240" w:lineRule="auto"/>
      <w:jc w:val="center"/>
    </w:pPr>
    <w:rPr>
      <w:b/>
      <w:bCs/>
      <w:sz w:val="22"/>
    </w:rPr>
  </w:style>
  <w:style w:type="paragraph" w:customStyle="1" w:styleId="Level1">
    <w:name w:val="Level 1"/>
    <w:semiHidden/>
    <w:rsid w:val="00EC1F27"/>
    <w:pPr>
      <w:autoSpaceDE w:val="0"/>
      <w:autoSpaceDN w:val="0"/>
      <w:adjustRightInd w:val="0"/>
      <w:ind w:left="-1440"/>
      <w:jc w:val="both"/>
    </w:pPr>
    <w:rPr>
      <w:sz w:val="24"/>
      <w:szCs w:val="24"/>
      <w:lang w:val="en-GB" w:eastAsia="fr-FR"/>
    </w:rPr>
  </w:style>
  <w:style w:type="paragraph" w:customStyle="1" w:styleId="Level2">
    <w:name w:val="Level 2"/>
    <w:semiHidden/>
    <w:rsid w:val="00EC1F27"/>
    <w:pPr>
      <w:autoSpaceDE w:val="0"/>
      <w:autoSpaceDN w:val="0"/>
      <w:adjustRightInd w:val="0"/>
      <w:ind w:left="-1440"/>
      <w:jc w:val="both"/>
    </w:pPr>
    <w:rPr>
      <w:sz w:val="24"/>
      <w:szCs w:val="24"/>
      <w:lang w:val="en-GB" w:eastAsia="fr-FR"/>
    </w:rPr>
  </w:style>
  <w:style w:type="paragraph" w:customStyle="1" w:styleId="Level3">
    <w:name w:val="Level 3"/>
    <w:semiHidden/>
    <w:rsid w:val="00EC1F27"/>
    <w:pPr>
      <w:autoSpaceDE w:val="0"/>
      <w:autoSpaceDN w:val="0"/>
      <w:adjustRightInd w:val="0"/>
      <w:ind w:left="-1440"/>
      <w:jc w:val="both"/>
    </w:pPr>
    <w:rPr>
      <w:sz w:val="24"/>
      <w:szCs w:val="24"/>
      <w:lang w:val="en-GB" w:eastAsia="fr-FR"/>
    </w:rPr>
  </w:style>
  <w:style w:type="paragraph" w:customStyle="1" w:styleId="Level4">
    <w:name w:val="Level 4"/>
    <w:semiHidden/>
    <w:rsid w:val="00EC1F27"/>
    <w:pPr>
      <w:autoSpaceDE w:val="0"/>
      <w:autoSpaceDN w:val="0"/>
      <w:adjustRightInd w:val="0"/>
      <w:ind w:left="-1440"/>
      <w:jc w:val="both"/>
    </w:pPr>
    <w:rPr>
      <w:sz w:val="24"/>
      <w:szCs w:val="24"/>
      <w:lang w:val="en-GB" w:eastAsia="fr-FR"/>
    </w:rPr>
  </w:style>
  <w:style w:type="paragraph" w:customStyle="1" w:styleId="Level5">
    <w:name w:val="Level 5"/>
    <w:semiHidden/>
    <w:rsid w:val="00EC1F27"/>
    <w:pPr>
      <w:autoSpaceDE w:val="0"/>
      <w:autoSpaceDN w:val="0"/>
      <w:adjustRightInd w:val="0"/>
      <w:ind w:left="-1440"/>
      <w:jc w:val="both"/>
    </w:pPr>
    <w:rPr>
      <w:sz w:val="24"/>
      <w:szCs w:val="24"/>
      <w:lang w:val="en-GB" w:eastAsia="fr-FR"/>
    </w:rPr>
  </w:style>
  <w:style w:type="paragraph" w:customStyle="1" w:styleId="Level6">
    <w:name w:val="Level 6"/>
    <w:semiHidden/>
    <w:rsid w:val="00EC1F27"/>
    <w:pPr>
      <w:autoSpaceDE w:val="0"/>
      <w:autoSpaceDN w:val="0"/>
      <w:adjustRightInd w:val="0"/>
      <w:ind w:left="-1440"/>
      <w:jc w:val="both"/>
    </w:pPr>
    <w:rPr>
      <w:sz w:val="24"/>
      <w:szCs w:val="24"/>
      <w:lang w:val="en-GB" w:eastAsia="fr-FR"/>
    </w:rPr>
  </w:style>
  <w:style w:type="paragraph" w:customStyle="1" w:styleId="Level7">
    <w:name w:val="Level 7"/>
    <w:semiHidden/>
    <w:rsid w:val="00EC1F27"/>
    <w:pPr>
      <w:autoSpaceDE w:val="0"/>
      <w:autoSpaceDN w:val="0"/>
      <w:adjustRightInd w:val="0"/>
      <w:ind w:left="-1440"/>
      <w:jc w:val="both"/>
    </w:pPr>
    <w:rPr>
      <w:sz w:val="24"/>
      <w:szCs w:val="24"/>
      <w:lang w:val="en-GB" w:eastAsia="fr-FR"/>
    </w:rPr>
  </w:style>
  <w:style w:type="paragraph" w:customStyle="1" w:styleId="Level8">
    <w:name w:val="Level 8"/>
    <w:semiHidden/>
    <w:rsid w:val="00EC1F27"/>
    <w:pPr>
      <w:autoSpaceDE w:val="0"/>
      <w:autoSpaceDN w:val="0"/>
      <w:adjustRightInd w:val="0"/>
      <w:ind w:left="-1440"/>
      <w:jc w:val="both"/>
    </w:pPr>
    <w:rPr>
      <w:sz w:val="24"/>
      <w:szCs w:val="24"/>
      <w:lang w:val="en-GB" w:eastAsia="fr-FR"/>
    </w:rPr>
  </w:style>
  <w:style w:type="paragraph" w:customStyle="1" w:styleId="Level9">
    <w:name w:val="Level 9"/>
    <w:semiHidden/>
    <w:rsid w:val="00EC1F27"/>
    <w:pPr>
      <w:autoSpaceDE w:val="0"/>
      <w:autoSpaceDN w:val="0"/>
      <w:adjustRightInd w:val="0"/>
      <w:ind w:left="-1440"/>
      <w:jc w:val="both"/>
    </w:pPr>
    <w:rPr>
      <w:b/>
      <w:bCs/>
      <w:sz w:val="24"/>
      <w:szCs w:val="24"/>
      <w:lang w:val="en-GB" w:eastAsia="fr-FR"/>
    </w:rPr>
  </w:style>
  <w:style w:type="character" w:customStyle="1" w:styleId="H23GChar">
    <w:name w:val="_ H_2/3_G Char"/>
    <w:link w:val="H23G"/>
    <w:rsid w:val="00EC1F27"/>
    <w:rPr>
      <w:b/>
      <w:lang w:eastAsia="en-US"/>
    </w:rPr>
  </w:style>
  <w:style w:type="paragraph" w:styleId="Revision">
    <w:name w:val="Revision"/>
    <w:hidden/>
    <w:uiPriority w:val="99"/>
    <w:semiHidden/>
    <w:rsid w:val="00EC1F27"/>
    <w:rPr>
      <w:lang w:val="fr-FR" w:eastAsia="fr-FR"/>
    </w:rPr>
  </w:style>
  <w:style w:type="paragraph" w:styleId="DocumentMap">
    <w:name w:val="Document Map"/>
    <w:basedOn w:val="Normal"/>
    <w:link w:val="DocumentMapChar"/>
    <w:semiHidden/>
    <w:unhideWhenUsed/>
    <w:rsid w:val="00294934"/>
    <w:pPr>
      <w:spacing w:line="240" w:lineRule="auto"/>
    </w:pPr>
    <w:rPr>
      <w:sz w:val="24"/>
      <w:szCs w:val="24"/>
    </w:rPr>
  </w:style>
  <w:style w:type="character" w:customStyle="1" w:styleId="DocumentMapChar">
    <w:name w:val="Document Map Char"/>
    <w:basedOn w:val="DefaultParagraphFont"/>
    <w:link w:val="DocumentMap"/>
    <w:semiHidden/>
    <w:rsid w:val="00294934"/>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FEE33-8BC5-4A8C-876A-0C818698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2018-06-12T06:52:00Z</cp:lastPrinted>
  <dcterms:created xsi:type="dcterms:W3CDTF">2018-06-12T06:49:00Z</dcterms:created>
  <dcterms:modified xsi:type="dcterms:W3CDTF">2018-06-12T06:52:00Z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