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0" w:tblpY="568"/>
        <w:tblOverlap w:val="never"/>
        <w:tblW w:w="9644" w:type="dxa"/>
        <w:tblLayout w:type="fixed"/>
        <w:tblCellMar>
          <w:left w:w="0" w:type="dxa"/>
          <w:right w:w="0" w:type="dxa"/>
        </w:tblCellMar>
        <w:tblLook w:val="01E0" w:firstRow="1" w:lastRow="1" w:firstColumn="1" w:lastColumn="1" w:noHBand="0" w:noVBand="0"/>
      </w:tblPr>
      <w:tblGrid>
        <w:gridCol w:w="9644"/>
      </w:tblGrid>
      <w:tr w:rsidR="0099001C" w:rsidRPr="007E344F" w14:paraId="4A314927" w14:textId="77777777" w:rsidTr="00DE47FC">
        <w:trPr>
          <w:cantSplit/>
          <w:trHeight w:hRule="exact" w:val="851"/>
        </w:trPr>
        <w:tc>
          <w:tcPr>
            <w:tcW w:w="9644" w:type="dxa"/>
            <w:tcBorders>
              <w:bottom w:val="single" w:sz="4" w:space="0" w:color="auto"/>
            </w:tcBorders>
          </w:tcPr>
          <w:p w14:paraId="59CDE0AE" w14:textId="3D9BEEF1" w:rsidR="0099001C" w:rsidRPr="007E344F" w:rsidRDefault="0099001C" w:rsidP="00735EE2">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7C52DF">
              <w:rPr>
                <w:b/>
                <w:sz w:val="40"/>
                <w:szCs w:val="40"/>
              </w:rPr>
              <w:t>5</w:t>
            </w:r>
            <w:r w:rsidR="00735EE2">
              <w:rPr>
                <w:b/>
                <w:sz w:val="40"/>
                <w:szCs w:val="40"/>
              </w:rPr>
              <w:t>3</w:t>
            </w:r>
            <w:r w:rsidRPr="007E344F">
              <w:rPr>
                <w:b/>
                <w:sz w:val="40"/>
                <w:szCs w:val="40"/>
              </w:rPr>
              <w:t>/INF.</w:t>
            </w:r>
            <w:r w:rsidR="00C25B9E">
              <w:rPr>
                <w:b/>
                <w:sz w:val="40"/>
                <w:szCs w:val="40"/>
              </w:rPr>
              <w:t>26</w:t>
            </w:r>
          </w:p>
        </w:tc>
      </w:tr>
      <w:tr w:rsidR="0099001C" w:rsidRPr="007E344F" w14:paraId="0313627A" w14:textId="77777777" w:rsidTr="00197785">
        <w:trPr>
          <w:cantSplit/>
          <w:trHeight w:hRule="exact" w:val="2558"/>
        </w:trPr>
        <w:tc>
          <w:tcPr>
            <w:tcW w:w="9644" w:type="dxa"/>
            <w:tcBorders>
              <w:top w:val="single" w:sz="4" w:space="0" w:color="auto"/>
            </w:tcBorders>
          </w:tcPr>
          <w:p w14:paraId="5FD0441E" w14:textId="77777777" w:rsidR="00A805EB" w:rsidRPr="007E344F" w:rsidRDefault="00A805EB" w:rsidP="00197785">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14:paraId="53D222C4" w14:textId="2BB6DB7F" w:rsidR="00A805EB" w:rsidRPr="007E344F" w:rsidRDefault="00A805EB" w:rsidP="00197785">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561194">
              <w:rPr>
                <w:b/>
              </w:rPr>
              <w:t>11</w:t>
            </w:r>
            <w:r w:rsidR="00F41476">
              <w:rPr>
                <w:b/>
              </w:rPr>
              <w:t xml:space="preserve"> </w:t>
            </w:r>
            <w:r w:rsidR="0008552C">
              <w:rPr>
                <w:b/>
              </w:rPr>
              <w:t>June</w:t>
            </w:r>
            <w:r w:rsidR="000A07EB">
              <w:rPr>
                <w:b/>
              </w:rPr>
              <w:t xml:space="preserve"> 201</w:t>
            </w:r>
            <w:r w:rsidR="001A27B4">
              <w:rPr>
                <w:b/>
              </w:rPr>
              <w:t>8</w:t>
            </w:r>
          </w:p>
          <w:p w14:paraId="3F8C9A4F" w14:textId="681C9B5F" w:rsidR="00A805EB" w:rsidRPr="007E344F" w:rsidRDefault="000A07EB" w:rsidP="00197785">
            <w:pPr>
              <w:spacing w:before="120"/>
              <w:rPr>
                <w:b/>
              </w:rPr>
            </w:pPr>
            <w:r>
              <w:rPr>
                <w:b/>
              </w:rPr>
              <w:t>Fifty-</w:t>
            </w:r>
            <w:r w:rsidR="00735EE2">
              <w:rPr>
                <w:b/>
              </w:rPr>
              <w:t>third</w:t>
            </w:r>
            <w:r w:rsidR="00DE3A0C" w:rsidRPr="007E344F">
              <w:rPr>
                <w:b/>
              </w:rPr>
              <w:t xml:space="preserve"> </w:t>
            </w:r>
            <w:r w:rsidR="00A805EB" w:rsidRPr="007E344F">
              <w:rPr>
                <w:b/>
              </w:rPr>
              <w:t>session</w:t>
            </w:r>
          </w:p>
          <w:p w14:paraId="1008B220" w14:textId="0DCE1A71" w:rsidR="00403098" w:rsidRPr="007E344F" w:rsidRDefault="00403098" w:rsidP="00197785">
            <w:r w:rsidRPr="007E344F">
              <w:t>Geneva</w:t>
            </w:r>
            <w:r w:rsidR="00AA617C">
              <w:t xml:space="preserve">, </w:t>
            </w:r>
            <w:r w:rsidR="00C25B9E">
              <w:t>25 June-</w:t>
            </w:r>
            <w:r w:rsidR="00735EE2">
              <w:t xml:space="preserve">4 July </w:t>
            </w:r>
            <w:r w:rsidR="007C52DF">
              <w:t>201</w:t>
            </w:r>
            <w:r w:rsidR="00735EE2">
              <w:t>8</w:t>
            </w:r>
          </w:p>
          <w:p w14:paraId="38A63EE8" w14:textId="66952ECF" w:rsidR="000A07EB" w:rsidRPr="007B2B1F" w:rsidRDefault="00F41476" w:rsidP="00197785">
            <w:pPr>
              <w:rPr>
                <w:b/>
              </w:rPr>
            </w:pPr>
            <w:r>
              <w:t xml:space="preserve">Item </w:t>
            </w:r>
            <w:r w:rsidR="007C52DF">
              <w:t>3</w:t>
            </w:r>
            <w:r w:rsidR="000A07EB" w:rsidRPr="007B2B1F">
              <w:t xml:space="preserve"> of the provisional agenda</w:t>
            </w:r>
            <w:r w:rsidR="000A07EB" w:rsidRPr="007B2B1F">
              <w:rPr>
                <w:b/>
              </w:rPr>
              <w:t xml:space="preserve"> </w:t>
            </w:r>
            <w:r w:rsidR="000A07EB" w:rsidRPr="007B2B1F">
              <w:rPr>
                <w:b/>
              </w:rPr>
              <w:br/>
            </w:r>
            <w:r w:rsidR="007C52DF">
              <w:rPr>
                <w:b/>
              </w:rPr>
              <w:t>Listing, classification and packing</w:t>
            </w:r>
          </w:p>
          <w:p w14:paraId="5CC8167B" w14:textId="77777777" w:rsidR="00317F1A" w:rsidRPr="00D63626" w:rsidRDefault="00317F1A" w:rsidP="00197785">
            <w:pPr>
              <w:spacing w:line="240" w:lineRule="exact"/>
            </w:pPr>
          </w:p>
        </w:tc>
      </w:tr>
    </w:tbl>
    <w:p w14:paraId="022C943D" w14:textId="1EBF9348" w:rsidR="00F41476" w:rsidRPr="0083343A" w:rsidRDefault="00F41476" w:rsidP="00F41476">
      <w:pPr>
        <w:pStyle w:val="HChG"/>
      </w:pPr>
      <w:r>
        <w:rPr>
          <w:lang w:val="en-US"/>
        </w:rPr>
        <w:tab/>
      </w:r>
      <w:r>
        <w:rPr>
          <w:lang w:val="en-US"/>
        </w:rPr>
        <w:tab/>
      </w:r>
      <w:r w:rsidR="008E7777">
        <w:rPr>
          <w:lang w:val="en-US"/>
        </w:rPr>
        <w:t>Technical names for</w:t>
      </w:r>
      <w:r w:rsidR="007C52DF">
        <w:rPr>
          <w:lang w:val="en-US"/>
        </w:rPr>
        <w:t xml:space="preserve"> environmentally hazardous </w:t>
      </w:r>
      <w:r w:rsidR="008E7777">
        <w:rPr>
          <w:lang w:val="en-US"/>
        </w:rPr>
        <w:t>goods of Class 9 (UN 3077</w:t>
      </w:r>
      <w:r w:rsidR="00625789">
        <w:rPr>
          <w:lang w:val="en-US"/>
        </w:rPr>
        <w:t xml:space="preserve"> and</w:t>
      </w:r>
      <w:r w:rsidR="008E7777">
        <w:rPr>
          <w:lang w:val="en-US"/>
        </w:rPr>
        <w:t xml:space="preserve"> UN 3082)</w:t>
      </w:r>
    </w:p>
    <w:p w14:paraId="033FA6F4" w14:textId="56AD4ADC" w:rsidR="00F41476" w:rsidRPr="0083343A" w:rsidRDefault="00F41476" w:rsidP="00F41476">
      <w:pPr>
        <w:pStyle w:val="H1G"/>
      </w:pPr>
      <w:r>
        <w:tab/>
      </w:r>
      <w:r>
        <w:tab/>
      </w:r>
      <w:r w:rsidRPr="00F41476">
        <w:t>Transmitted</w:t>
      </w:r>
      <w:r w:rsidRPr="0083343A">
        <w:t xml:space="preserve"> by the </w:t>
      </w:r>
      <w:r w:rsidR="008E7777">
        <w:rPr>
          <w:rFonts w:eastAsia="MS Mincho"/>
        </w:rPr>
        <w:t>International Paint and Printing Ink Council</w:t>
      </w:r>
      <w:r w:rsidRPr="00E34939">
        <w:rPr>
          <w:rFonts w:eastAsia="MS Mincho"/>
        </w:rPr>
        <w:t xml:space="preserve"> (</w:t>
      </w:r>
      <w:r w:rsidR="008E7777">
        <w:rPr>
          <w:rFonts w:eastAsia="MS Mincho"/>
        </w:rPr>
        <w:t>IPPIC</w:t>
      </w:r>
      <w:r w:rsidRPr="00E34939">
        <w:rPr>
          <w:rFonts w:eastAsia="MS Mincho"/>
        </w:rPr>
        <w:t>)</w:t>
      </w:r>
      <w:bookmarkStart w:id="0" w:name="_GoBack"/>
      <w:bookmarkEnd w:id="0"/>
    </w:p>
    <w:p w14:paraId="3BF49A5D" w14:textId="77777777" w:rsidR="00F41476" w:rsidRDefault="00F41476" w:rsidP="00F41476">
      <w:pPr>
        <w:pStyle w:val="HChG"/>
        <w:spacing w:before="240" w:after="120"/>
      </w:pPr>
      <w:r>
        <w:tab/>
      </w:r>
      <w:r>
        <w:tab/>
        <w:t>Introduction</w:t>
      </w:r>
    </w:p>
    <w:p w14:paraId="591E6270" w14:textId="65C0932E" w:rsidR="00D8341E" w:rsidRDefault="008E7777" w:rsidP="00D8341E">
      <w:pPr>
        <w:pStyle w:val="SingleTxtG"/>
        <w:numPr>
          <w:ilvl w:val="0"/>
          <w:numId w:val="11"/>
        </w:numPr>
        <w:ind w:left="1134" w:firstLine="0"/>
      </w:pPr>
      <w:r>
        <w:t xml:space="preserve">At its forty-third session in </w:t>
      </w:r>
      <w:r w:rsidR="00735EE2">
        <w:t>June</w:t>
      </w:r>
      <w:r>
        <w:t xml:space="preserve"> 2013, the Sub-Committee considered a proposal from IPPIC (document ST/SG/AC.10/C.3/2013/29) to simplify the t</w:t>
      </w:r>
      <w:r w:rsidR="00062A68">
        <w:t xml:space="preserve">ask of emergency responders, transport handlers and industry by creating new entries in the Dangerous Goods List for certain </w:t>
      </w:r>
      <w:r w:rsidR="00735EE2">
        <w:t>‘commodity’</w:t>
      </w:r>
      <w:r w:rsidR="00062A68">
        <w:t xml:space="preserve"> products hitherto transported under UN numbers 3077 and 3082 (“ENVIRONMENTALLY HAZARDOUS SUBSTANCE, SOLID/LIQUID, N.O.S.”).  </w:t>
      </w:r>
      <w:r w:rsidR="00735EE2">
        <w:t xml:space="preserve">These entries were proposed </w:t>
      </w:r>
      <w:r w:rsidR="00D8341E">
        <w:t>for</w:t>
      </w:r>
      <w:r w:rsidR="00735EE2">
        <w:t xml:space="preserve"> analog</w:t>
      </w:r>
      <w:r w:rsidR="00D8341E">
        <w:t xml:space="preserve">y </w:t>
      </w:r>
      <w:r w:rsidR="00735EE2">
        <w:t xml:space="preserve">with </w:t>
      </w:r>
      <w:r w:rsidR="00D8341E">
        <w:t xml:space="preserve">existing entries </w:t>
      </w:r>
      <w:r w:rsidR="00735EE2">
        <w:t xml:space="preserve">for the same product type but with other primary risks, for example UN 1263 PAINT (Class 3), UN 3066 </w:t>
      </w:r>
      <w:r w:rsidR="00D8341E">
        <w:t xml:space="preserve">PAINT </w:t>
      </w:r>
      <w:r w:rsidR="00C25B9E">
        <w:br/>
      </w:r>
      <w:r w:rsidR="00D8341E">
        <w:t>(Class 8).</w:t>
      </w:r>
    </w:p>
    <w:p w14:paraId="31D2A358" w14:textId="03E0816A" w:rsidR="00F41476" w:rsidRPr="007211D2" w:rsidRDefault="00062A68" w:rsidP="00D8341E">
      <w:pPr>
        <w:pStyle w:val="SingleTxtG"/>
        <w:numPr>
          <w:ilvl w:val="0"/>
          <w:numId w:val="11"/>
        </w:numPr>
        <w:ind w:left="1134" w:firstLine="0"/>
      </w:pPr>
      <w:r>
        <w:t xml:space="preserve">Whilst some experts were in favour of </w:t>
      </w:r>
      <w:r w:rsidR="00D8341E">
        <w:t>the proposal to introduce</w:t>
      </w:r>
      <w:r>
        <w:t xml:space="preserve"> specific UN numbers for such Class 9 substances, others were reluctant to add new entries and suggested that the problem</w:t>
      </w:r>
      <w:r w:rsidR="00D8341E">
        <w:t>s described</w:t>
      </w:r>
      <w:r>
        <w:t xml:space="preserve"> would be better addressed by looking at the requirements of Special Pr</w:t>
      </w:r>
      <w:r w:rsidR="005908B9">
        <w:t>ovision 274, which is assigned to UN 3077 and UN 3082.</w:t>
      </w:r>
    </w:p>
    <w:p w14:paraId="11A02316" w14:textId="2E1FC047" w:rsidR="00C67B87" w:rsidRPr="00D8341E" w:rsidRDefault="00D8341E" w:rsidP="00C25B9E">
      <w:pPr>
        <w:pStyle w:val="SingleTxtG"/>
      </w:pPr>
      <w:r>
        <w:t>3</w:t>
      </w:r>
      <w:r w:rsidR="00F41476">
        <w:t>.</w:t>
      </w:r>
      <w:r w:rsidR="00F41476">
        <w:tab/>
      </w:r>
      <w:r w:rsidR="00062A68">
        <w:t xml:space="preserve">IPPIC has continued to </w:t>
      </w:r>
      <w:r w:rsidR="00AE31D0">
        <w:t>consider this issue</w:t>
      </w:r>
      <w:r>
        <w:t>, in consultation with other delegations and stakeholders, and offers this new proposal for the consideration of the Sub-Committee.</w:t>
      </w:r>
    </w:p>
    <w:p w14:paraId="58DE404E" w14:textId="773E760F" w:rsidR="00F41476" w:rsidRDefault="00F41476" w:rsidP="008E7777">
      <w:pPr>
        <w:pStyle w:val="HChG"/>
        <w:spacing w:before="240"/>
        <w:ind w:left="851" w:firstLine="142"/>
      </w:pPr>
      <w:r>
        <w:tab/>
      </w:r>
      <w:r w:rsidR="00822277">
        <w:t>Discussion</w:t>
      </w:r>
      <w:r w:rsidR="005908B9">
        <w:t xml:space="preserve"> and justification</w:t>
      </w:r>
    </w:p>
    <w:p w14:paraId="53FCC139" w14:textId="562B8A0F" w:rsidR="0008552C" w:rsidRDefault="005908B9" w:rsidP="00F41476">
      <w:pPr>
        <w:pStyle w:val="SingleTxtG"/>
      </w:pPr>
      <w:r>
        <w:t>4</w:t>
      </w:r>
      <w:r w:rsidR="00F41476">
        <w:t>.</w:t>
      </w:r>
      <w:r w:rsidR="00F41476">
        <w:tab/>
      </w:r>
      <w:r w:rsidR="0008552C">
        <w:t>Paint and printing ink are extremely high volume commodit</w:t>
      </w:r>
      <w:r w:rsidR="00C25B9E">
        <w:t xml:space="preserve">ies in the global marketplace. </w:t>
      </w:r>
      <w:r w:rsidR="0008552C">
        <w:t xml:space="preserve">Current data suggest that some 50% of the paint and printing ink shipped is </w:t>
      </w:r>
      <w:r w:rsidR="00BB02A8">
        <w:t xml:space="preserve">now </w:t>
      </w:r>
      <w:r w:rsidR="0008552C">
        <w:t xml:space="preserve">water-borne, a high percentage of which is regulated in Class 9. In the European Union alone, this is estimated to exceed 5 million tonnes per annum. Examples of the additives which now cause the products to be </w:t>
      </w:r>
      <w:r w:rsidR="00BB02A8">
        <w:t>classified as environmentally hazardous</w:t>
      </w:r>
      <w:r w:rsidR="0008552C">
        <w:t xml:space="preserve"> include zinc and the biocides</w:t>
      </w:r>
      <w:r w:rsidR="00BB02A8">
        <w:t xml:space="preserve"> required</w:t>
      </w:r>
      <w:r w:rsidR="0008552C">
        <w:t xml:space="preserve"> to achieve product stability in warmer climates.</w:t>
      </w:r>
    </w:p>
    <w:p w14:paraId="348D22C3" w14:textId="70CE5261" w:rsidR="00F41476" w:rsidRDefault="00BB02A8" w:rsidP="00F41476">
      <w:pPr>
        <w:pStyle w:val="SingleTxtG"/>
      </w:pPr>
      <w:r>
        <w:t>5.</w:t>
      </w:r>
      <w:r>
        <w:tab/>
      </w:r>
      <w:r w:rsidR="005908B9">
        <w:t xml:space="preserve">Special Provision 274 requires the proper shipping name </w:t>
      </w:r>
      <w:r w:rsidR="0011508A">
        <w:t xml:space="preserve">(PSN) </w:t>
      </w:r>
      <w:r w:rsidR="005908B9">
        <w:t>to be supplemented with the technical name, according to 3.1.2.8, for the purposes of documentation and package marking.</w:t>
      </w:r>
      <w:r w:rsidR="0011508A">
        <w:t xml:space="preserve">  </w:t>
      </w:r>
      <w:r w:rsidR="00A07B2F">
        <w:t xml:space="preserve">These technical (chemical) names can comprise many characters and so </w:t>
      </w:r>
      <w:r w:rsidR="0011508A">
        <w:t xml:space="preserve">lead to a </w:t>
      </w:r>
      <w:r w:rsidR="00A07B2F">
        <w:t>very long</w:t>
      </w:r>
      <w:r w:rsidR="0011508A">
        <w:t xml:space="preserve"> PSN</w:t>
      </w:r>
      <w:r w:rsidR="00A07B2F">
        <w:t>;</w:t>
      </w:r>
      <w:r w:rsidR="0011508A">
        <w:t xml:space="preserve"> in some cases </w:t>
      </w:r>
      <w:r w:rsidR="00A07B2F">
        <w:t>this could even exceed</w:t>
      </w:r>
      <w:r w:rsidR="0011508A">
        <w:t xml:space="preserve"> the size of the relevant field in an IT system and thus </w:t>
      </w:r>
      <w:r w:rsidR="00A07B2F">
        <w:t>cause</w:t>
      </w:r>
      <w:r w:rsidR="0011508A">
        <w:t xml:space="preserve"> it to be truncated. </w:t>
      </w:r>
      <w:r w:rsidR="007324A3">
        <w:t>The following are some genuine examples of paint-related products transported under UN 3077 or UN 3082</w:t>
      </w:r>
      <w:r w:rsidR="004B2F3A">
        <w:t>:</w:t>
      </w:r>
    </w:p>
    <w:p w14:paraId="057AB581" w14:textId="77777777" w:rsidR="00561194" w:rsidRDefault="00561194">
      <w:pPr>
        <w:suppressAutoHyphens w:val="0"/>
        <w:spacing w:line="240" w:lineRule="auto"/>
        <w:rPr>
          <w:i/>
        </w:rPr>
      </w:pPr>
      <w:r>
        <w:rPr>
          <w:i/>
        </w:rPr>
        <w:br w:type="page"/>
      </w:r>
    </w:p>
    <w:p w14:paraId="1D5AFE98" w14:textId="77777777" w:rsidR="00C25B9E" w:rsidRDefault="007324A3" w:rsidP="00C67B87">
      <w:pPr>
        <w:pStyle w:val="SingleTxtG"/>
        <w:ind w:left="1701"/>
        <w:jc w:val="left"/>
        <w:rPr>
          <w:i/>
        </w:rPr>
      </w:pPr>
      <w:r w:rsidRPr="007324A3">
        <w:rPr>
          <w:i/>
        </w:rPr>
        <w:lastRenderedPageBreak/>
        <w:t>Powder coating:</w:t>
      </w:r>
    </w:p>
    <w:p w14:paraId="6F2165D4" w14:textId="3829241B" w:rsidR="007324A3" w:rsidRPr="007324A3" w:rsidRDefault="007324A3" w:rsidP="00C25B9E">
      <w:pPr>
        <w:pStyle w:val="SingleTxtG"/>
        <w:ind w:left="1701"/>
        <w:rPr>
          <w:lang w:val="en-US"/>
        </w:rPr>
      </w:pPr>
      <w:r>
        <w:t xml:space="preserve">UN 3077, </w:t>
      </w:r>
      <w:r w:rsidRPr="004B2F3A">
        <w:t xml:space="preserve">ENVIRONMENTALLY HAZARDOUS SUBSTANCE, </w:t>
      </w:r>
      <w:r>
        <w:t>SOLID</w:t>
      </w:r>
      <w:r w:rsidRPr="004B2F3A">
        <w:t>, N.O.S</w:t>
      </w:r>
      <w:r>
        <w:t xml:space="preserve">, </w:t>
      </w:r>
      <w:r w:rsidRPr="007324A3">
        <w:t>(</w:t>
      </w:r>
      <w:r w:rsidR="00C67B87">
        <w:t>B</w:t>
      </w:r>
      <w:r w:rsidRPr="007324A3">
        <w:t>enzene-1,2,4,5-tetracarboxylic acid, compound with 4,5-dihydro-2-phenyl-1H-imidazole (1:1);</w:t>
      </w:r>
      <w:r>
        <w:t xml:space="preserve"> </w:t>
      </w:r>
      <w:r w:rsidRPr="007324A3">
        <w:t>Phenol, 4,4'-(1-</w:t>
      </w:r>
      <w:proofErr w:type="gramStart"/>
      <w:r w:rsidRPr="007324A3">
        <w:t>methylethylidene)</w:t>
      </w:r>
      <w:proofErr w:type="spellStart"/>
      <w:r w:rsidRPr="007324A3">
        <w:t>bis</w:t>
      </w:r>
      <w:proofErr w:type="spellEnd"/>
      <w:proofErr w:type="gramEnd"/>
      <w:r w:rsidRPr="007324A3">
        <w:t>-, polymer with 2,2'-[(1-methylethylidene)</w:t>
      </w:r>
      <w:r>
        <w:t xml:space="preserve"> </w:t>
      </w:r>
      <w:proofErr w:type="spellStart"/>
      <w:r w:rsidRPr="007324A3">
        <w:t>bis</w:t>
      </w:r>
      <w:proofErr w:type="spellEnd"/>
      <w:r w:rsidRPr="007324A3">
        <w:t>(4,1-phenyleneoxymethylene)]</w:t>
      </w:r>
      <w:proofErr w:type="spellStart"/>
      <w:r w:rsidRPr="007324A3">
        <w:t>bis</w:t>
      </w:r>
      <w:proofErr w:type="spellEnd"/>
      <w:r w:rsidRPr="007324A3">
        <w:t>[oxirane]), 9, PG III</w:t>
      </w:r>
    </w:p>
    <w:p w14:paraId="33F8E927" w14:textId="77777777" w:rsidR="00C25B9E" w:rsidRDefault="00C67B87" w:rsidP="00C67B87">
      <w:pPr>
        <w:pStyle w:val="SingleTxtG"/>
        <w:ind w:left="1701"/>
        <w:jc w:val="left"/>
        <w:rPr>
          <w:i/>
        </w:rPr>
      </w:pPr>
      <w:r>
        <w:rPr>
          <w:i/>
        </w:rPr>
        <w:t>Solvent-based paint:</w:t>
      </w:r>
    </w:p>
    <w:p w14:paraId="700F5430" w14:textId="614F22DA" w:rsidR="00C67B87" w:rsidRPr="00C67B87" w:rsidRDefault="00C67B87" w:rsidP="00C25B9E">
      <w:pPr>
        <w:pStyle w:val="SingleTxtG"/>
        <w:ind w:left="1701"/>
      </w:pPr>
      <w:r w:rsidRPr="004B2F3A">
        <w:t>UN 3082</w:t>
      </w:r>
      <w:r>
        <w:t>,</w:t>
      </w:r>
      <w:r w:rsidRPr="004B2F3A">
        <w:t xml:space="preserve"> ENVIRONMENTALLY HAZARDOUS SUBSTANCE, LIQUID, N.O.S.</w:t>
      </w:r>
      <w:r>
        <w:t xml:space="preserve">, (Naphtha (petroleum), </w:t>
      </w:r>
      <w:proofErr w:type="spellStart"/>
      <w:r>
        <w:t>hydrodesulphurised</w:t>
      </w:r>
      <w:proofErr w:type="spellEnd"/>
      <w:r>
        <w:t xml:space="preserve"> heavy; Solvent naphtha (petroleum), medium aliphatic)</w:t>
      </w:r>
      <w:r w:rsidR="001C359B">
        <w:t>, 9, III, (E)</w:t>
      </w:r>
    </w:p>
    <w:p w14:paraId="064CD251" w14:textId="77777777" w:rsidR="00C25B9E" w:rsidRDefault="007324A3" w:rsidP="00C67B87">
      <w:pPr>
        <w:pStyle w:val="SingleTxtG"/>
        <w:ind w:left="1701"/>
        <w:jc w:val="left"/>
        <w:rPr>
          <w:i/>
        </w:rPr>
      </w:pPr>
      <w:r>
        <w:rPr>
          <w:i/>
        </w:rPr>
        <w:t>UV-cured coating:</w:t>
      </w:r>
    </w:p>
    <w:p w14:paraId="1793C8E0" w14:textId="1F687B3F" w:rsidR="004B2F3A" w:rsidRPr="004B2F3A" w:rsidRDefault="004B2F3A" w:rsidP="00C25B9E">
      <w:pPr>
        <w:pStyle w:val="SingleTxtG"/>
        <w:ind w:left="1701"/>
      </w:pPr>
      <w:r w:rsidRPr="004B2F3A">
        <w:t>UN 3082</w:t>
      </w:r>
      <w:r w:rsidR="007324A3">
        <w:t>,</w:t>
      </w:r>
      <w:r w:rsidRPr="004B2F3A">
        <w:t xml:space="preserve"> ENVIRONMENTALLY HAZARDOUS SUBSTANCE, LIQUID, N.O.S.</w:t>
      </w:r>
      <w:r w:rsidR="007324A3">
        <w:t>,</w:t>
      </w:r>
      <w:r w:rsidR="001C359B">
        <w:t xml:space="preserve"> (S</w:t>
      </w:r>
      <w:r w:rsidR="001C359B" w:rsidRPr="001C359B">
        <w:t>ulfonium, diphenyl[(</w:t>
      </w:r>
      <w:proofErr w:type="spellStart"/>
      <w:r w:rsidR="001C359B" w:rsidRPr="001C359B">
        <w:t>phenylthio</w:t>
      </w:r>
      <w:proofErr w:type="spellEnd"/>
      <w:r w:rsidR="001C359B" w:rsidRPr="001C359B">
        <w:t xml:space="preserve">)phenyl]-, </w:t>
      </w:r>
      <w:proofErr w:type="gramStart"/>
      <w:r w:rsidR="001C359B" w:rsidRPr="001C359B">
        <w:t>hexafluorophosphate(</w:t>
      </w:r>
      <w:proofErr w:type="gramEnd"/>
      <w:r w:rsidR="001C359B" w:rsidRPr="001C359B">
        <w:t>1-);</w:t>
      </w:r>
      <w:r w:rsidR="001C359B">
        <w:t xml:space="preserve"> S</w:t>
      </w:r>
      <w:r w:rsidR="001C359B" w:rsidRPr="001C359B">
        <w:t>ulfonium, (thiodi-4,1-phenylene)</w:t>
      </w:r>
      <w:proofErr w:type="spellStart"/>
      <w:r w:rsidR="001C359B" w:rsidRPr="001C359B">
        <w:t>bis</w:t>
      </w:r>
      <w:proofErr w:type="spellEnd"/>
      <w:r w:rsidR="001C359B" w:rsidRPr="001C359B">
        <w:t xml:space="preserve">[diphenyl-, </w:t>
      </w:r>
      <w:proofErr w:type="spellStart"/>
      <w:r w:rsidR="001C359B" w:rsidRPr="001C359B">
        <w:t>bis</w:t>
      </w:r>
      <w:proofErr w:type="spellEnd"/>
      <w:r w:rsidR="001C359B" w:rsidRPr="001C359B">
        <w:t>[hexafluorophosphate(1-)]), 9, PG III</w:t>
      </w:r>
    </w:p>
    <w:p w14:paraId="210F6DAE" w14:textId="26AD9417" w:rsidR="00561194" w:rsidRDefault="00BB02A8" w:rsidP="008E7777">
      <w:pPr>
        <w:pStyle w:val="SingleTxtG"/>
      </w:pPr>
      <w:r>
        <w:t>6</w:t>
      </w:r>
      <w:r w:rsidR="00F41476">
        <w:t>.</w:t>
      </w:r>
      <w:r w:rsidR="007324A3">
        <w:tab/>
        <w:t xml:space="preserve">As illustrated </w:t>
      </w:r>
      <w:r w:rsidR="00EC4A6A">
        <w:t>by</w:t>
      </w:r>
      <w:r w:rsidR="007324A3">
        <w:t xml:space="preserve"> the examples above, s</w:t>
      </w:r>
      <w:r w:rsidR="00A07B2F">
        <w:t>ome t</w:t>
      </w:r>
      <w:r w:rsidR="0011508A">
        <w:t xml:space="preserve">echnical names </w:t>
      </w:r>
      <w:r w:rsidR="00A07B2F">
        <w:t>can</w:t>
      </w:r>
      <w:r w:rsidR="0011508A">
        <w:t xml:space="preserve"> be </w:t>
      </w:r>
      <w:r w:rsidR="007840FD">
        <w:t>in</w:t>
      </w:r>
      <w:r w:rsidR="0011508A">
        <w:t>comp</w:t>
      </w:r>
      <w:r w:rsidR="004E598C">
        <w:t>rehensible to many readers</w:t>
      </w:r>
      <w:r w:rsidR="00C25B9E">
        <w:t xml:space="preserve">. </w:t>
      </w:r>
      <w:r w:rsidR="00EC4A6A">
        <w:t xml:space="preserve">Also </w:t>
      </w:r>
      <w:r w:rsidR="004E598C">
        <w:t xml:space="preserve">naming </w:t>
      </w:r>
      <w:r w:rsidR="007324A3">
        <w:t>selected</w:t>
      </w:r>
      <w:r w:rsidR="004E598C">
        <w:t xml:space="preserve"> ingredient</w:t>
      </w:r>
      <w:r w:rsidR="007324A3">
        <w:t>s</w:t>
      </w:r>
      <w:r w:rsidR="004E598C">
        <w:t xml:space="preserve"> in this way does not clearly identify the nature of the material in question (such as paint).  This has been known to lead to delayed shipments whilst port authorities seek clarification on the dangerous goods, despite the consignment being marked and documented in full compliance with the current regulations.  </w:t>
      </w:r>
    </w:p>
    <w:p w14:paraId="07114E69" w14:textId="69C89FF9" w:rsidR="00F41476" w:rsidRPr="00CE4679" w:rsidRDefault="00561194" w:rsidP="008E7777">
      <w:pPr>
        <w:pStyle w:val="SingleTxtG"/>
      </w:pPr>
      <w:r>
        <w:t>7.</w:t>
      </w:r>
      <w:r>
        <w:tab/>
      </w:r>
      <w:r w:rsidR="004E598C">
        <w:t xml:space="preserve">This lack of clarity may also hinder </w:t>
      </w:r>
      <w:r w:rsidR="00DA34DD">
        <w:t>the task of emergency responders</w:t>
      </w:r>
      <w:r w:rsidR="004E598C">
        <w:t>.  Fe</w:t>
      </w:r>
      <w:r w:rsidR="00A07B2F">
        <w:t xml:space="preserve">edback received by IPPIC from </w:t>
      </w:r>
      <w:r w:rsidR="00EA4C90">
        <w:t xml:space="preserve">some competent authorities and </w:t>
      </w:r>
      <w:r w:rsidR="00A07B2F">
        <w:t xml:space="preserve">emergency responders’ organisations has indicated that the technical name is of limited or no value in </w:t>
      </w:r>
      <w:r w:rsidR="001A27B4">
        <w:t>the initial response phase</w:t>
      </w:r>
      <w:r w:rsidR="00F409CA">
        <w:t xml:space="preserve">, where the priority is </w:t>
      </w:r>
      <w:r w:rsidR="00EA4C90">
        <w:t xml:space="preserve">the </w:t>
      </w:r>
      <w:r w:rsidR="00F409CA">
        <w:t>containment and clean-up of a spill</w:t>
      </w:r>
      <w:r w:rsidR="00DA34DD">
        <w:t>.</w:t>
      </w:r>
      <w:r w:rsidR="00A07B2F">
        <w:t xml:space="preserve">  </w:t>
      </w:r>
      <w:r w:rsidR="00DA34DD">
        <w:t xml:space="preserve">It </w:t>
      </w:r>
      <w:r w:rsidR="00092696">
        <w:t>can however</w:t>
      </w:r>
      <w:r w:rsidR="00DA34DD">
        <w:t xml:space="preserve"> be useful </w:t>
      </w:r>
      <w:r w:rsidR="00F409CA">
        <w:t>for</w:t>
      </w:r>
      <w:r w:rsidR="00DA34DD">
        <w:t xml:space="preserve"> subsequent follow-up </w:t>
      </w:r>
      <w:r w:rsidR="00F409CA">
        <w:t>measures</w:t>
      </w:r>
      <w:r w:rsidR="00DA34DD">
        <w:t xml:space="preserve"> </w:t>
      </w:r>
      <w:r w:rsidR="00092696">
        <w:t xml:space="preserve">to </w:t>
      </w:r>
      <w:r w:rsidR="00F409CA">
        <w:t xml:space="preserve">limit </w:t>
      </w:r>
      <w:r w:rsidR="00092696">
        <w:t xml:space="preserve">the impact </w:t>
      </w:r>
      <w:r w:rsidR="00F409CA">
        <w:t xml:space="preserve">on the environment, but in </w:t>
      </w:r>
      <w:r w:rsidR="00EA4C90">
        <w:t>this</w:t>
      </w:r>
      <w:r w:rsidR="00DA34DD">
        <w:t xml:space="preserve"> case the relevant component</w:t>
      </w:r>
      <w:r w:rsidR="004E598C">
        <w:t>(s)</w:t>
      </w:r>
      <w:r w:rsidR="00DA34DD">
        <w:t xml:space="preserve"> can be </w:t>
      </w:r>
      <w:r w:rsidR="001A27B4">
        <w:t xml:space="preserve">readily </w:t>
      </w:r>
      <w:r w:rsidR="00DA34DD">
        <w:t>identified from the sa</w:t>
      </w:r>
      <w:r w:rsidR="00F409CA">
        <w:t>fety data sheet for the product</w:t>
      </w:r>
      <w:r w:rsidR="004E598C">
        <w:t>,</w:t>
      </w:r>
      <w:r w:rsidR="00F409CA">
        <w:t xml:space="preserve"> along with other useful information.</w:t>
      </w:r>
    </w:p>
    <w:p w14:paraId="435FA6FC" w14:textId="27DB4984" w:rsidR="00DA34DD" w:rsidRDefault="00561194" w:rsidP="00F41476">
      <w:pPr>
        <w:pStyle w:val="SingleTxtG"/>
      </w:pPr>
      <w:r>
        <w:t>8</w:t>
      </w:r>
      <w:r w:rsidR="00DA34DD">
        <w:t>.</w:t>
      </w:r>
      <w:r w:rsidR="00DA34DD">
        <w:tab/>
        <w:t xml:space="preserve">Under ADR for road transport in Europe, dangerous goods </w:t>
      </w:r>
      <w:r w:rsidR="00656A0B">
        <w:t xml:space="preserve">transported under entries </w:t>
      </w:r>
      <w:r w:rsidR="001A27B4">
        <w:t xml:space="preserve">other than UN 3077/ UN 3082 </w:t>
      </w:r>
      <w:r w:rsidR="00DA34DD">
        <w:t xml:space="preserve">are </w:t>
      </w:r>
      <w:r w:rsidR="00656A0B">
        <w:t xml:space="preserve">also </w:t>
      </w:r>
      <w:r w:rsidR="00DA34DD">
        <w:t>required to be classified as environmentally hazardous where appropriate</w:t>
      </w:r>
      <w:r w:rsidR="00656A0B">
        <w:t>,</w:t>
      </w:r>
      <w:r w:rsidR="00DA34DD">
        <w:t xml:space="preserve"> in addition to </w:t>
      </w:r>
      <w:r w:rsidR="00656A0B">
        <w:t>their</w:t>
      </w:r>
      <w:r w:rsidR="00DA34DD">
        <w:t xml:space="preserve"> primary </w:t>
      </w:r>
      <w:r w:rsidR="00F409CA">
        <w:t>(and any secondary) hazard</w:t>
      </w:r>
      <w:r w:rsidR="00DA34DD">
        <w:t xml:space="preserve">. </w:t>
      </w:r>
      <w:r w:rsidR="00656A0B">
        <w:t xml:space="preserve"> Here</w:t>
      </w:r>
      <w:r w:rsidR="00095EFE">
        <w:t xml:space="preserve"> however</w:t>
      </w:r>
      <w:r w:rsidR="00656A0B">
        <w:t xml:space="preserve"> the PSN is </w:t>
      </w:r>
      <w:r w:rsidR="00656A0B" w:rsidRPr="0008552C">
        <w:rPr>
          <w:u w:val="single"/>
        </w:rPr>
        <w:t>not</w:t>
      </w:r>
      <w:r w:rsidR="00656A0B">
        <w:t xml:space="preserve"> required to be supplemented by a technical name, although </w:t>
      </w:r>
      <w:r w:rsidR="00F409CA">
        <w:t xml:space="preserve">the dangerous goods could represent an </w:t>
      </w:r>
      <w:r w:rsidR="001A27B4">
        <w:t xml:space="preserve">equal or </w:t>
      </w:r>
      <w:r w:rsidR="00F409CA">
        <w:t xml:space="preserve">greater </w:t>
      </w:r>
      <w:r w:rsidR="001A27B4">
        <w:t>hazard</w:t>
      </w:r>
      <w:r w:rsidR="00F409CA">
        <w:t xml:space="preserve"> </w:t>
      </w:r>
      <w:r w:rsidR="00656A0B">
        <w:t xml:space="preserve">to the environment </w:t>
      </w:r>
      <w:r w:rsidR="00F409CA">
        <w:t>compared with</w:t>
      </w:r>
      <w:r w:rsidR="00656A0B">
        <w:t xml:space="preserve"> those </w:t>
      </w:r>
      <w:r w:rsidR="00F409CA">
        <w:t>transported under</w:t>
      </w:r>
      <w:r w:rsidR="008F7E5D">
        <w:t xml:space="preserve"> UN 3077 and UN 3082.</w:t>
      </w:r>
      <w:r w:rsidR="00656A0B">
        <w:t xml:space="preserve"> </w:t>
      </w:r>
      <w:r w:rsidR="0008552C">
        <w:t xml:space="preserve"> This suggests that the technical name is not considered to provide important additional information in the first instance.</w:t>
      </w:r>
    </w:p>
    <w:p w14:paraId="30FA03A0" w14:textId="43E58D4E" w:rsidR="00F41476" w:rsidRPr="0083343A" w:rsidRDefault="00561194" w:rsidP="00F41476">
      <w:pPr>
        <w:pStyle w:val="SingleTxtG"/>
      </w:pPr>
      <w:r>
        <w:t>9</w:t>
      </w:r>
      <w:r w:rsidR="00F41476">
        <w:t>.</w:t>
      </w:r>
      <w:r w:rsidR="00F41476">
        <w:tab/>
      </w:r>
      <w:r w:rsidR="0031695A">
        <w:t xml:space="preserve">IPPIC </w:t>
      </w:r>
      <w:r w:rsidR="007840FD">
        <w:t xml:space="preserve">therefore </w:t>
      </w:r>
      <w:r w:rsidR="004E598C">
        <w:t xml:space="preserve">suggests that the addition of the technical name is unnecessary in the case of UN 3077 and UN 3082, and the application of special provision 274 </w:t>
      </w:r>
      <w:r w:rsidR="00933973">
        <w:t xml:space="preserve">to these two entries in the Dangerous Goods List </w:t>
      </w:r>
      <w:r w:rsidR="007005EF">
        <w:t>could be re</w:t>
      </w:r>
      <w:r w:rsidR="004E598C">
        <w:t>considered.</w:t>
      </w:r>
    </w:p>
    <w:p w14:paraId="0269E8DF" w14:textId="08A308FC" w:rsidR="00F41476" w:rsidRPr="0083343A" w:rsidRDefault="00561194" w:rsidP="00F41476">
      <w:pPr>
        <w:pStyle w:val="SingleTxtG"/>
      </w:pPr>
      <w:r>
        <w:t>10</w:t>
      </w:r>
      <w:r w:rsidR="00C25B9E">
        <w:t>.</w:t>
      </w:r>
      <w:r w:rsidR="00C25B9E">
        <w:tab/>
      </w:r>
      <w:r w:rsidR="004E598C">
        <w:t xml:space="preserve">At </w:t>
      </w:r>
      <w:r w:rsidR="00933973">
        <w:t>present</w:t>
      </w:r>
      <w:r w:rsidR="004E598C">
        <w:t xml:space="preserve"> t</w:t>
      </w:r>
      <w:r w:rsidR="0031695A">
        <w:t xml:space="preserve">his proposal </w:t>
      </w:r>
      <w:r w:rsidR="00933973">
        <w:t xml:space="preserve">is without prejudice to </w:t>
      </w:r>
      <w:r w:rsidR="0031695A">
        <w:t>t</w:t>
      </w:r>
      <w:r w:rsidR="007840FD">
        <w:t xml:space="preserve">he requirement in section 3.1.2.9.1 </w:t>
      </w:r>
      <w:r w:rsidR="004E598C">
        <w:t xml:space="preserve">of </w:t>
      </w:r>
      <w:r w:rsidR="0031695A">
        <w:t xml:space="preserve">the IMDG Code to </w:t>
      </w:r>
      <w:r w:rsidR="007840FD">
        <w:t>supplement the proper shipping name with the</w:t>
      </w:r>
      <w:r w:rsidR="0031695A">
        <w:t xml:space="preserve"> name of marine pollutants </w:t>
      </w:r>
      <w:r w:rsidR="004E598C">
        <w:t xml:space="preserve">in accordance with 2.10.3.  IPPIC </w:t>
      </w:r>
      <w:r w:rsidR="00933973">
        <w:t>would nonetheless welcome a discussion with interested delegations on the relevance of this requirement in the context of maritime transport.</w:t>
      </w:r>
    </w:p>
    <w:p w14:paraId="34175B06" w14:textId="53EA5DD9" w:rsidR="00F41476" w:rsidRPr="0083343A" w:rsidRDefault="00F41476" w:rsidP="00822277">
      <w:pPr>
        <w:pStyle w:val="HChG"/>
        <w:spacing w:before="240"/>
        <w:ind w:left="851" w:firstLine="142"/>
      </w:pPr>
      <w:r>
        <w:tab/>
      </w:r>
      <w:r w:rsidRPr="0083343A">
        <w:t>Proposal</w:t>
      </w:r>
    </w:p>
    <w:p w14:paraId="581F7FC7" w14:textId="05BF3758" w:rsidR="00561194" w:rsidRDefault="00BB02A8" w:rsidP="00561194">
      <w:pPr>
        <w:pStyle w:val="SingleTxtG"/>
      </w:pPr>
      <w:r>
        <w:t>1</w:t>
      </w:r>
      <w:r w:rsidR="00561194">
        <w:t>1</w:t>
      </w:r>
      <w:r w:rsidR="00F41476">
        <w:t>.</w:t>
      </w:r>
      <w:r w:rsidR="00F41476">
        <w:tab/>
        <w:t xml:space="preserve"> </w:t>
      </w:r>
      <w:r w:rsidR="00AE31D0">
        <w:t xml:space="preserve">On the basis of the arguments above, IPPIC proposes </w:t>
      </w:r>
      <w:r w:rsidR="005908B9">
        <w:t xml:space="preserve">the deletion of </w:t>
      </w:r>
      <w:r w:rsidR="00AE31D0">
        <w:t>special provision 274 from column 6 in the Dangerous Goo</w:t>
      </w:r>
      <w:r w:rsidR="00D8341E">
        <w:t>ds List for the entries UN 3077</w:t>
      </w:r>
      <w:r w:rsidR="005908B9">
        <w:t xml:space="preserve"> </w:t>
      </w:r>
      <w:r w:rsidR="00C25B9E">
        <w:t xml:space="preserve">and UN 3082. </w:t>
      </w:r>
      <w:r w:rsidR="00AE31D0">
        <w:t xml:space="preserve">The Sub-Committee </w:t>
      </w:r>
      <w:r w:rsidR="00D8341E">
        <w:t xml:space="preserve">is </w:t>
      </w:r>
      <w:r w:rsidR="00AE31D0">
        <w:t xml:space="preserve">invited </w:t>
      </w:r>
      <w:r w:rsidR="00D8341E">
        <w:t xml:space="preserve">to consider and discuss this </w:t>
      </w:r>
      <w:r w:rsidR="007840FD">
        <w:t>idea</w:t>
      </w:r>
      <w:r w:rsidR="00D8341E">
        <w:t xml:space="preserve">, and if it </w:t>
      </w:r>
      <w:r w:rsidR="005908B9">
        <w:t>finds</w:t>
      </w:r>
      <w:r w:rsidR="00D8341E">
        <w:t xml:space="preserve"> support IPPIC</w:t>
      </w:r>
      <w:r w:rsidR="005908B9">
        <w:t xml:space="preserve"> is willing to </w:t>
      </w:r>
      <w:r w:rsidR="007840FD">
        <w:t xml:space="preserve">submit </w:t>
      </w:r>
      <w:r w:rsidR="005908B9">
        <w:t>a formal proposal for the next session.</w:t>
      </w:r>
    </w:p>
    <w:p w14:paraId="2AF7D6D6" w14:textId="05A9A4AF" w:rsidR="00F41476" w:rsidRPr="00F41476" w:rsidRDefault="00561194" w:rsidP="00561194">
      <w:pPr>
        <w:pStyle w:val="SingleTxtG"/>
        <w:rPr>
          <w:u w:val="single"/>
        </w:rPr>
      </w:pPr>
      <w:r>
        <w:tab/>
      </w:r>
      <w:r>
        <w:tab/>
      </w:r>
      <w:r>
        <w:tab/>
      </w:r>
      <w:r>
        <w:tab/>
      </w:r>
      <w:r>
        <w:tab/>
      </w:r>
      <w:r w:rsidR="00F41476">
        <w:rPr>
          <w:u w:val="single"/>
        </w:rPr>
        <w:tab/>
      </w:r>
      <w:r w:rsidR="00F41476">
        <w:rPr>
          <w:u w:val="single"/>
        </w:rPr>
        <w:tab/>
      </w:r>
      <w:r w:rsidR="00F41476">
        <w:rPr>
          <w:u w:val="single"/>
        </w:rPr>
        <w:tab/>
      </w:r>
    </w:p>
    <w:sectPr w:rsidR="00F41476" w:rsidRPr="00F41476" w:rsidSect="00561194">
      <w:headerReference w:type="even" r:id="rId8"/>
      <w:headerReference w:type="default" r:id="rId9"/>
      <w:footerReference w:type="even" r:id="rId10"/>
      <w:footerReference w:type="default" r:id="rId11"/>
      <w:footnotePr>
        <w:numFmt w:val="chicago"/>
        <w:numRestart w:val="eachPage"/>
      </w:footnotePr>
      <w:endnotePr>
        <w:numFmt w:val="decimal"/>
      </w:endnotePr>
      <w:pgSz w:w="11907" w:h="16840" w:code="9"/>
      <w:pgMar w:top="1701" w:right="1134" w:bottom="1701"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50812" w14:textId="77777777" w:rsidR="00535F9E" w:rsidRDefault="00535F9E"/>
  </w:endnote>
  <w:endnote w:type="continuationSeparator" w:id="0">
    <w:p w14:paraId="5E887D0C" w14:textId="77777777" w:rsidR="00535F9E" w:rsidRDefault="00535F9E"/>
  </w:endnote>
  <w:endnote w:type="continuationNotice" w:id="1">
    <w:p w14:paraId="5D136279" w14:textId="77777777" w:rsidR="00535F9E" w:rsidRDefault="00535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23016" w14:textId="38B25D34" w:rsidR="00DE47FC" w:rsidRPr="0099001C" w:rsidRDefault="00DE47FC"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625789">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99A7" w14:textId="77777777" w:rsidR="00DE47FC" w:rsidRPr="0099001C" w:rsidRDefault="00DE47FC"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561194">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C125B" w14:textId="77777777" w:rsidR="00535F9E" w:rsidRPr="000B175B" w:rsidRDefault="00535F9E" w:rsidP="000B175B">
      <w:pPr>
        <w:tabs>
          <w:tab w:val="right" w:pos="2155"/>
        </w:tabs>
        <w:spacing w:after="80"/>
        <w:ind w:left="680"/>
        <w:rPr>
          <w:u w:val="single"/>
        </w:rPr>
      </w:pPr>
      <w:r>
        <w:rPr>
          <w:u w:val="single"/>
        </w:rPr>
        <w:tab/>
      </w:r>
    </w:p>
  </w:footnote>
  <w:footnote w:type="continuationSeparator" w:id="0">
    <w:p w14:paraId="692A7139" w14:textId="77777777" w:rsidR="00535F9E" w:rsidRPr="00FC68B7" w:rsidRDefault="00535F9E" w:rsidP="00FC68B7">
      <w:pPr>
        <w:tabs>
          <w:tab w:val="left" w:pos="2155"/>
        </w:tabs>
        <w:spacing w:after="80"/>
        <w:ind w:left="680"/>
        <w:rPr>
          <w:u w:val="single"/>
        </w:rPr>
      </w:pPr>
      <w:r>
        <w:rPr>
          <w:u w:val="single"/>
        </w:rPr>
        <w:tab/>
      </w:r>
    </w:p>
  </w:footnote>
  <w:footnote w:type="continuationNotice" w:id="1">
    <w:p w14:paraId="594D4DB0" w14:textId="77777777" w:rsidR="00535F9E" w:rsidRDefault="00535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4FF" w14:textId="59DC9782" w:rsidR="00DE47FC" w:rsidRPr="0099001C" w:rsidRDefault="00F41476" w:rsidP="00DE3A0C">
    <w:pPr>
      <w:pStyle w:val="Header"/>
    </w:pPr>
    <w:r>
      <w:t>UN/SCETDG/5</w:t>
    </w:r>
    <w:r w:rsidR="001A27B4">
      <w:t>3</w:t>
    </w:r>
    <w:r>
      <w:t>/INF.</w:t>
    </w:r>
    <w:r w:rsidR="003559CC">
      <w:t>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B807" w14:textId="49F62F1F" w:rsidR="00DE47FC" w:rsidRPr="0099001C" w:rsidRDefault="00F41476" w:rsidP="00DE3A0C">
    <w:pPr>
      <w:pStyle w:val="Header"/>
      <w:jc w:val="right"/>
    </w:pPr>
    <w:r>
      <w:t>UN/SCETDG/51</w:t>
    </w:r>
    <w:r w:rsidR="00DE47FC" w:rsidRPr="007E344F">
      <w:t>/INF.</w:t>
    </w:r>
    <w: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333B0CC4"/>
    <w:multiLevelType w:val="hybridMultilevel"/>
    <w:tmpl w:val="F0546AB0"/>
    <w:lvl w:ilvl="0" w:tplc="A19A3C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F60555"/>
    <w:multiLevelType w:val="hybridMultilevel"/>
    <w:tmpl w:val="9F5C06F4"/>
    <w:lvl w:ilvl="0" w:tplc="906871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9"/>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2"/>
  </w:num>
  <w:num w:numId="10">
    <w:abstractNumId w:val="8"/>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04378"/>
    <w:rsid w:val="0003119F"/>
    <w:rsid w:val="00050F6B"/>
    <w:rsid w:val="00062A68"/>
    <w:rsid w:val="00072C8C"/>
    <w:rsid w:val="0008552C"/>
    <w:rsid w:val="00092696"/>
    <w:rsid w:val="000931C0"/>
    <w:rsid w:val="0009555B"/>
    <w:rsid w:val="00095EFE"/>
    <w:rsid w:val="000A07EB"/>
    <w:rsid w:val="000B175B"/>
    <w:rsid w:val="000B3A0F"/>
    <w:rsid w:val="000C6041"/>
    <w:rsid w:val="000E0415"/>
    <w:rsid w:val="00100D07"/>
    <w:rsid w:val="00111DF0"/>
    <w:rsid w:val="0011508A"/>
    <w:rsid w:val="001220B8"/>
    <w:rsid w:val="00150F95"/>
    <w:rsid w:val="00161D70"/>
    <w:rsid w:val="00180C41"/>
    <w:rsid w:val="00197785"/>
    <w:rsid w:val="001A0FC9"/>
    <w:rsid w:val="001A27B4"/>
    <w:rsid w:val="001B2357"/>
    <w:rsid w:val="001B4B04"/>
    <w:rsid w:val="001B5ACD"/>
    <w:rsid w:val="001C359B"/>
    <w:rsid w:val="001C6663"/>
    <w:rsid w:val="001C7895"/>
    <w:rsid w:val="001D26DF"/>
    <w:rsid w:val="001D3183"/>
    <w:rsid w:val="001E0674"/>
    <w:rsid w:val="00201ADA"/>
    <w:rsid w:val="002101F1"/>
    <w:rsid w:val="00211E0B"/>
    <w:rsid w:val="0022014D"/>
    <w:rsid w:val="002405A7"/>
    <w:rsid w:val="00274D48"/>
    <w:rsid w:val="00284DC3"/>
    <w:rsid w:val="002A6B28"/>
    <w:rsid w:val="002A78B1"/>
    <w:rsid w:val="002C5CF3"/>
    <w:rsid w:val="002E21F0"/>
    <w:rsid w:val="002E42C4"/>
    <w:rsid w:val="00304632"/>
    <w:rsid w:val="00307FFE"/>
    <w:rsid w:val="003107FA"/>
    <w:rsid w:val="00314A63"/>
    <w:rsid w:val="0031695A"/>
    <w:rsid w:val="00317F1A"/>
    <w:rsid w:val="003229D8"/>
    <w:rsid w:val="00334311"/>
    <w:rsid w:val="0033745A"/>
    <w:rsid w:val="003452D6"/>
    <w:rsid w:val="003503B1"/>
    <w:rsid w:val="003559CC"/>
    <w:rsid w:val="003660FF"/>
    <w:rsid w:val="00391D76"/>
    <w:rsid w:val="0039277A"/>
    <w:rsid w:val="003972E0"/>
    <w:rsid w:val="0039784F"/>
    <w:rsid w:val="003B0606"/>
    <w:rsid w:val="003B7450"/>
    <w:rsid w:val="003C2CC4"/>
    <w:rsid w:val="003C3936"/>
    <w:rsid w:val="003C6B13"/>
    <w:rsid w:val="003D3365"/>
    <w:rsid w:val="003D338E"/>
    <w:rsid w:val="003D4B23"/>
    <w:rsid w:val="003F1ED3"/>
    <w:rsid w:val="003F30D7"/>
    <w:rsid w:val="00403098"/>
    <w:rsid w:val="00404E53"/>
    <w:rsid w:val="00417B26"/>
    <w:rsid w:val="004270F6"/>
    <w:rsid w:val="004325CB"/>
    <w:rsid w:val="00437DB4"/>
    <w:rsid w:val="00446DE4"/>
    <w:rsid w:val="0045190E"/>
    <w:rsid w:val="00451982"/>
    <w:rsid w:val="00453178"/>
    <w:rsid w:val="004A41CA"/>
    <w:rsid w:val="004B2F3A"/>
    <w:rsid w:val="004E302A"/>
    <w:rsid w:val="004E598C"/>
    <w:rsid w:val="004F15A6"/>
    <w:rsid w:val="004F537F"/>
    <w:rsid w:val="00503228"/>
    <w:rsid w:val="00504608"/>
    <w:rsid w:val="00505384"/>
    <w:rsid w:val="00510C3B"/>
    <w:rsid w:val="00535F9E"/>
    <w:rsid w:val="005420F2"/>
    <w:rsid w:val="0054603C"/>
    <w:rsid w:val="0055685C"/>
    <w:rsid w:val="00561194"/>
    <w:rsid w:val="005627B5"/>
    <w:rsid w:val="00564203"/>
    <w:rsid w:val="00564A8C"/>
    <w:rsid w:val="005908B9"/>
    <w:rsid w:val="005A3220"/>
    <w:rsid w:val="005B3DB3"/>
    <w:rsid w:val="005D1C32"/>
    <w:rsid w:val="005F0DD1"/>
    <w:rsid w:val="005F72E1"/>
    <w:rsid w:val="00600B19"/>
    <w:rsid w:val="00602B95"/>
    <w:rsid w:val="00611FC4"/>
    <w:rsid w:val="006176FB"/>
    <w:rsid w:val="00625789"/>
    <w:rsid w:val="00627ED0"/>
    <w:rsid w:val="0063050A"/>
    <w:rsid w:val="00640B26"/>
    <w:rsid w:val="00656A0B"/>
    <w:rsid w:val="0066387E"/>
    <w:rsid w:val="00665595"/>
    <w:rsid w:val="00685B23"/>
    <w:rsid w:val="00695342"/>
    <w:rsid w:val="006A7392"/>
    <w:rsid w:val="006B7086"/>
    <w:rsid w:val="006E32FA"/>
    <w:rsid w:val="006E3B52"/>
    <w:rsid w:val="006E535C"/>
    <w:rsid w:val="006E564B"/>
    <w:rsid w:val="006F73EE"/>
    <w:rsid w:val="007005EF"/>
    <w:rsid w:val="00701292"/>
    <w:rsid w:val="007017DA"/>
    <w:rsid w:val="00724962"/>
    <w:rsid w:val="0072632A"/>
    <w:rsid w:val="007303B2"/>
    <w:rsid w:val="00730810"/>
    <w:rsid w:val="007324A3"/>
    <w:rsid w:val="00732639"/>
    <w:rsid w:val="00733AAE"/>
    <w:rsid w:val="00735EE2"/>
    <w:rsid w:val="007840FD"/>
    <w:rsid w:val="0079511F"/>
    <w:rsid w:val="00797762"/>
    <w:rsid w:val="007B4BEC"/>
    <w:rsid w:val="007B6BA5"/>
    <w:rsid w:val="007B7918"/>
    <w:rsid w:val="007C3390"/>
    <w:rsid w:val="007C4F4B"/>
    <w:rsid w:val="007C52DF"/>
    <w:rsid w:val="007D22FD"/>
    <w:rsid w:val="007E344F"/>
    <w:rsid w:val="007F0B83"/>
    <w:rsid w:val="007F4FCD"/>
    <w:rsid w:val="007F6611"/>
    <w:rsid w:val="008010DD"/>
    <w:rsid w:val="00802579"/>
    <w:rsid w:val="008056BE"/>
    <w:rsid w:val="008175E9"/>
    <w:rsid w:val="00817F27"/>
    <w:rsid w:val="00822277"/>
    <w:rsid w:val="00822414"/>
    <w:rsid w:val="008242D7"/>
    <w:rsid w:val="00827E05"/>
    <w:rsid w:val="008311A3"/>
    <w:rsid w:val="00835EB6"/>
    <w:rsid w:val="00836238"/>
    <w:rsid w:val="00871FD5"/>
    <w:rsid w:val="00886119"/>
    <w:rsid w:val="00895C06"/>
    <w:rsid w:val="008979B1"/>
    <w:rsid w:val="008A6B25"/>
    <w:rsid w:val="008A6C4F"/>
    <w:rsid w:val="008D0F3F"/>
    <w:rsid w:val="008E0675"/>
    <w:rsid w:val="008E0E46"/>
    <w:rsid w:val="008E35B1"/>
    <w:rsid w:val="008E3A43"/>
    <w:rsid w:val="008E7777"/>
    <w:rsid w:val="008F02A0"/>
    <w:rsid w:val="008F321A"/>
    <w:rsid w:val="008F7E5D"/>
    <w:rsid w:val="00906526"/>
    <w:rsid w:val="00907AD2"/>
    <w:rsid w:val="009111C7"/>
    <w:rsid w:val="00915D65"/>
    <w:rsid w:val="0092654D"/>
    <w:rsid w:val="009334FE"/>
    <w:rsid w:val="00933973"/>
    <w:rsid w:val="00963CBA"/>
    <w:rsid w:val="00974A8D"/>
    <w:rsid w:val="0099001C"/>
    <w:rsid w:val="00991261"/>
    <w:rsid w:val="009A00F2"/>
    <w:rsid w:val="009A1A51"/>
    <w:rsid w:val="009D04D9"/>
    <w:rsid w:val="009D2BF9"/>
    <w:rsid w:val="009D36B1"/>
    <w:rsid w:val="009F277A"/>
    <w:rsid w:val="009F3A17"/>
    <w:rsid w:val="009F3AEC"/>
    <w:rsid w:val="00A07B2F"/>
    <w:rsid w:val="00A11117"/>
    <w:rsid w:val="00A1427D"/>
    <w:rsid w:val="00A178D3"/>
    <w:rsid w:val="00A36006"/>
    <w:rsid w:val="00A50936"/>
    <w:rsid w:val="00A72F22"/>
    <w:rsid w:val="00A748A6"/>
    <w:rsid w:val="00A74999"/>
    <w:rsid w:val="00A805EB"/>
    <w:rsid w:val="00A80961"/>
    <w:rsid w:val="00A879A4"/>
    <w:rsid w:val="00AA426C"/>
    <w:rsid w:val="00AA617C"/>
    <w:rsid w:val="00AD741B"/>
    <w:rsid w:val="00AE1A34"/>
    <w:rsid w:val="00AE31D0"/>
    <w:rsid w:val="00B16223"/>
    <w:rsid w:val="00B30179"/>
    <w:rsid w:val="00B33EC0"/>
    <w:rsid w:val="00B51CA7"/>
    <w:rsid w:val="00B81E12"/>
    <w:rsid w:val="00B82575"/>
    <w:rsid w:val="00B84573"/>
    <w:rsid w:val="00B902A6"/>
    <w:rsid w:val="00BA02A0"/>
    <w:rsid w:val="00BA177E"/>
    <w:rsid w:val="00BA1781"/>
    <w:rsid w:val="00BB02A8"/>
    <w:rsid w:val="00BB2C95"/>
    <w:rsid w:val="00BC413E"/>
    <w:rsid w:val="00BC74E9"/>
    <w:rsid w:val="00BD2146"/>
    <w:rsid w:val="00BE4F74"/>
    <w:rsid w:val="00BE52DC"/>
    <w:rsid w:val="00BE618E"/>
    <w:rsid w:val="00BF4485"/>
    <w:rsid w:val="00BF4F5D"/>
    <w:rsid w:val="00C00341"/>
    <w:rsid w:val="00C14072"/>
    <w:rsid w:val="00C17699"/>
    <w:rsid w:val="00C25B9E"/>
    <w:rsid w:val="00C30CCA"/>
    <w:rsid w:val="00C36701"/>
    <w:rsid w:val="00C41A28"/>
    <w:rsid w:val="00C463DD"/>
    <w:rsid w:val="00C67B87"/>
    <w:rsid w:val="00C745C3"/>
    <w:rsid w:val="00CE4A8F"/>
    <w:rsid w:val="00CF7843"/>
    <w:rsid w:val="00D2031B"/>
    <w:rsid w:val="00D25FE2"/>
    <w:rsid w:val="00D317BB"/>
    <w:rsid w:val="00D33331"/>
    <w:rsid w:val="00D36BEB"/>
    <w:rsid w:val="00D43252"/>
    <w:rsid w:val="00D56172"/>
    <w:rsid w:val="00D63626"/>
    <w:rsid w:val="00D7433B"/>
    <w:rsid w:val="00D81BB9"/>
    <w:rsid w:val="00D8341E"/>
    <w:rsid w:val="00D83CD1"/>
    <w:rsid w:val="00D87B56"/>
    <w:rsid w:val="00D978C6"/>
    <w:rsid w:val="00DA34DD"/>
    <w:rsid w:val="00DA67AD"/>
    <w:rsid w:val="00DB5D0F"/>
    <w:rsid w:val="00DB5E48"/>
    <w:rsid w:val="00DC3242"/>
    <w:rsid w:val="00DD6A25"/>
    <w:rsid w:val="00DE3A0C"/>
    <w:rsid w:val="00DE47FC"/>
    <w:rsid w:val="00DF12F7"/>
    <w:rsid w:val="00E02C81"/>
    <w:rsid w:val="00E130AB"/>
    <w:rsid w:val="00E31970"/>
    <w:rsid w:val="00E56114"/>
    <w:rsid w:val="00E61967"/>
    <w:rsid w:val="00E66A1A"/>
    <w:rsid w:val="00E7260F"/>
    <w:rsid w:val="00E87921"/>
    <w:rsid w:val="00E903CF"/>
    <w:rsid w:val="00E96630"/>
    <w:rsid w:val="00EA264E"/>
    <w:rsid w:val="00EA4C90"/>
    <w:rsid w:val="00EC4A6A"/>
    <w:rsid w:val="00ED1024"/>
    <w:rsid w:val="00ED7A2A"/>
    <w:rsid w:val="00EE20B2"/>
    <w:rsid w:val="00EF1D7F"/>
    <w:rsid w:val="00F033C8"/>
    <w:rsid w:val="00F10CCD"/>
    <w:rsid w:val="00F16F22"/>
    <w:rsid w:val="00F4068E"/>
    <w:rsid w:val="00F409CA"/>
    <w:rsid w:val="00F41476"/>
    <w:rsid w:val="00F43682"/>
    <w:rsid w:val="00F53544"/>
    <w:rsid w:val="00F53EDA"/>
    <w:rsid w:val="00F7753D"/>
    <w:rsid w:val="00F830AD"/>
    <w:rsid w:val="00F842C1"/>
    <w:rsid w:val="00F85F34"/>
    <w:rsid w:val="00F938F6"/>
    <w:rsid w:val="00FA06F7"/>
    <w:rsid w:val="00FA4D13"/>
    <w:rsid w:val="00FA6BA2"/>
    <w:rsid w:val="00FB0AC7"/>
    <w:rsid w:val="00FB171A"/>
    <w:rsid w:val="00FC68B7"/>
    <w:rsid w:val="00FC715F"/>
    <w:rsid w:val="00FD7BF6"/>
    <w:rsid w:val="00FF27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5C3849"/>
  <w15:docId w15:val="{7BBFD294-78AC-4D52-ABDA-16F57DF5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0A07EB"/>
    <w:rPr>
      <w:b/>
      <w:sz w:val="24"/>
      <w:lang w:eastAsia="en-US"/>
    </w:rPr>
  </w:style>
  <w:style w:type="paragraph" w:styleId="ListParagraph">
    <w:name w:val="List Paragraph"/>
    <w:basedOn w:val="Normal"/>
    <w:uiPriority w:val="34"/>
    <w:qFormat/>
    <w:rsid w:val="00100D07"/>
    <w:pPr>
      <w:ind w:left="720"/>
      <w:contextualSpacing/>
    </w:pPr>
  </w:style>
  <w:style w:type="character" w:customStyle="1" w:styleId="FootnoteTextChar">
    <w:name w:val="Footnote Text Char"/>
    <w:aliases w:val="5_G Char"/>
    <w:basedOn w:val="DefaultParagraphFont"/>
    <w:link w:val="FootnoteText"/>
    <w:rsid w:val="00F41476"/>
    <w:rPr>
      <w:sz w:val="18"/>
      <w:lang w:eastAsia="en-US"/>
    </w:rPr>
  </w:style>
  <w:style w:type="character" w:customStyle="1" w:styleId="SingleTxtGZchn">
    <w:name w:val="_ Single Txt_G Zchn"/>
    <w:link w:val="SingleTxtG"/>
    <w:rsid w:val="00F41476"/>
    <w:rPr>
      <w:lang w:eastAsia="en-US"/>
    </w:rPr>
  </w:style>
  <w:style w:type="character" w:styleId="CommentReference">
    <w:name w:val="annotation reference"/>
    <w:basedOn w:val="DefaultParagraphFont"/>
    <w:semiHidden/>
    <w:unhideWhenUsed/>
    <w:rsid w:val="007C52DF"/>
    <w:rPr>
      <w:sz w:val="16"/>
      <w:szCs w:val="16"/>
    </w:rPr>
  </w:style>
  <w:style w:type="paragraph" w:styleId="CommentText">
    <w:name w:val="annotation text"/>
    <w:basedOn w:val="Normal"/>
    <w:link w:val="CommentTextChar"/>
    <w:semiHidden/>
    <w:unhideWhenUsed/>
    <w:rsid w:val="007C52DF"/>
    <w:pPr>
      <w:spacing w:line="240" w:lineRule="auto"/>
    </w:pPr>
  </w:style>
  <w:style w:type="character" w:customStyle="1" w:styleId="CommentTextChar">
    <w:name w:val="Comment Text Char"/>
    <w:basedOn w:val="DefaultParagraphFont"/>
    <w:link w:val="CommentText"/>
    <w:semiHidden/>
    <w:rsid w:val="007C52DF"/>
    <w:rPr>
      <w:lang w:eastAsia="en-US"/>
    </w:rPr>
  </w:style>
  <w:style w:type="paragraph" w:styleId="CommentSubject">
    <w:name w:val="annotation subject"/>
    <w:basedOn w:val="CommentText"/>
    <w:next w:val="CommentText"/>
    <w:link w:val="CommentSubjectChar"/>
    <w:semiHidden/>
    <w:unhideWhenUsed/>
    <w:rsid w:val="007C52DF"/>
    <w:rPr>
      <w:b/>
      <w:bCs/>
    </w:rPr>
  </w:style>
  <w:style w:type="character" w:customStyle="1" w:styleId="CommentSubjectChar">
    <w:name w:val="Comment Subject Char"/>
    <w:basedOn w:val="CommentTextChar"/>
    <w:link w:val="CommentSubject"/>
    <w:semiHidden/>
    <w:rsid w:val="007C52DF"/>
    <w:rPr>
      <w:b/>
      <w:bCs/>
      <w:lang w:eastAsia="en-US"/>
    </w:rPr>
  </w:style>
  <w:style w:type="paragraph" w:styleId="BalloonText">
    <w:name w:val="Balloon Text"/>
    <w:basedOn w:val="Normal"/>
    <w:link w:val="BalloonTextChar"/>
    <w:semiHidden/>
    <w:unhideWhenUsed/>
    <w:rsid w:val="007C52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C52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3648">
      <w:bodyDiv w:val="1"/>
      <w:marLeft w:val="0"/>
      <w:marRight w:val="0"/>
      <w:marTop w:val="0"/>
      <w:marBottom w:val="0"/>
      <w:divBdr>
        <w:top w:val="none" w:sz="0" w:space="0" w:color="auto"/>
        <w:left w:val="none" w:sz="0" w:space="0" w:color="auto"/>
        <w:bottom w:val="none" w:sz="0" w:space="0" w:color="auto"/>
        <w:right w:val="none" w:sz="0" w:space="0" w:color="auto"/>
      </w:divBdr>
    </w:div>
    <w:div w:id="221141905">
      <w:bodyDiv w:val="1"/>
      <w:marLeft w:val="0"/>
      <w:marRight w:val="0"/>
      <w:marTop w:val="0"/>
      <w:marBottom w:val="0"/>
      <w:divBdr>
        <w:top w:val="none" w:sz="0" w:space="0" w:color="auto"/>
        <w:left w:val="none" w:sz="0" w:space="0" w:color="auto"/>
        <w:bottom w:val="none" w:sz="0" w:space="0" w:color="auto"/>
        <w:right w:val="none" w:sz="0" w:space="0" w:color="auto"/>
      </w:divBdr>
    </w:div>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378552972">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 w:id="923995937">
      <w:bodyDiv w:val="1"/>
      <w:marLeft w:val="0"/>
      <w:marRight w:val="0"/>
      <w:marTop w:val="0"/>
      <w:marBottom w:val="0"/>
      <w:divBdr>
        <w:top w:val="none" w:sz="0" w:space="0" w:color="auto"/>
        <w:left w:val="none" w:sz="0" w:space="0" w:color="auto"/>
        <w:bottom w:val="none" w:sz="0" w:space="0" w:color="auto"/>
        <w:right w:val="none" w:sz="0" w:space="0" w:color="auto"/>
      </w:divBdr>
    </w:div>
    <w:div w:id="1283001063">
      <w:bodyDiv w:val="1"/>
      <w:marLeft w:val="0"/>
      <w:marRight w:val="0"/>
      <w:marTop w:val="0"/>
      <w:marBottom w:val="0"/>
      <w:divBdr>
        <w:top w:val="none" w:sz="0" w:space="0" w:color="auto"/>
        <w:left w:val="none" w:sz="0" w:space="0" w:color="auto"/>
        <w:bottom w:val="none" w:sz="0" w:space="0" w:color="auto"/>
        <w:right w:val="none" w:sz="0" w:space="0" w:color="auto"/>
      </w:divBdr>
    </w:div>
    <w:div w:id="13309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37DC-AB7D-457F-AF18-6035E2EE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7</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 Couto</cp:lastModifiedBy>
  <cp:revision>6</cp:revision>
  <cp:lastPrinted>2017-06-02T08:11:00Z</cp:lastPrinted>
  <dcterms:created xsi:type="dcterms:W3CDTF">2018-06-10T19:07:00Z</dcterms:created>
  <dcterms:modified xsi:type="dcterms:W3CDTF">2018-06-11T14:55:00Z</dcterms:modified>
</cp:coreProperties>
</file>