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rsidTr="0034591A">
        <w:trPr>
          <w:trHeight w:hRule="exact" w:val="851"/>
        </w:trPr>
        <w:tc>
          <w:tcPr>
            <w:tcW w:w="1276" w:type="dxa"/>
            <w:tcBorders>
              <w:bottom w:val="single" w:sz="4" w:space="0" w:color="auto"/>
            </w:tcBorders>
          </w:tcPr>
          <w:p w:rsidR="00482AF2" w:rsidRDefault="00482AF2" w:rsidP="00866D64">
            <w:pPr>
              <w:rPr>
                <w:lang w:val="fr-FR"/>
              </w:rPr>
            </w:pPr>
          </w:p>
          <w:p w:rsidR="0009525E" w:rsidRPr="009B614C" w:rsidRDefault="0009525E" w:rsidP="00866D64">
            <w:pPr>
              <w:rPr>
                <w:lang w:val="fr-FR"/>
              </w:rPr>
            </w:pPr>
          </w:p>
        </w:tc>
        <w:tc>
          <w:tcPr>
            <w:tcW w:w="2268" w:type="dxa"/>
            <w:tcBorders>
              <w:bottom w:val="single" w:sz="4" w:space="0" w:color="auto"/>
            </w:tcBorders>
            <w:vAlign w:val="bottom"/>
          </w:tcPr>
          <w:p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rsidR="00482AF2" w:rsidRPr="009B614C" w:rsidRDefault="002D6FE4" w:rsidP="002D6FE4">
            <w:pPr>
              <w:jc w:val="right"/>
              <w:rPr>
                <w:lang w:val="fr-FR"/>
              </w:rPr>
            </w:pPr>
            <w:r w:rsidRPr="002D6FE4">
              <w:rPr>
                <w:sz w:val="40"/>
                <w:lang w:val="fr-FR"/>
              </w:rPr>
              <w:t>ST</w:t>
            </w:r>
            <w:r>
              <w:rPr>
                <w:lang w:val="fr-FR"/>
              </w:rPr>
              <w:t>/SG/AC.10/C.3/2018/90</w:t>
            </w:r>
          </w:p>
        </w:tc>
      </w:tr>
      <w:tr w:rsidR="00482AF2" w:rsidRPr="009B614C" w:rsidTr="00866D64">
        <w:trPr>
          <w:trHeight w:hRule="exact" w:val="2835"/>
        </w:trPr>
        <w:tc>
          <w:tcPr>
            <w:tcW w:w="1276" w:type="dxa"/>
            <w:tcBorders>
              <w:top w:val="single" w:sz="4" w:space="0" w:color="auto"/>
              <w:bottom w:val="single" w:sz="12" w:space="0" w:color="auto"/>
            </w:tcBorders>
          </w:tcPr>
          <w:p w:rsidR="00482AF2" w:rsidRPr="009B614C" w:rsidRDefault="009B614C" w:rsidP="00866D64">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Default="00482AF2" w:rsidP="00866D64">
            <w:pPr>
              <w:spacing w:before="120" w:line="420" w:lineRule="exact"/>
              <w:rPr>
                <w:b/>
                <w:sz w:val="40"/>
                <w:szCs w:val="40"/>
                <w:lang w:val="fr-FR"/>
              </w:rPr>
            </w:pPr>
            <w:r w:rsidRPr="009B614C">
              <w:rPr>
                <w:b/>
                <w:sz w:val="40"/>
                <w:szCs w:val="40"/>
                <w:lang w:val="fr-FR"/>
              </w:rPr>
              <w:t>Secrétariat</w:t>
            </w:r>
          </w:p>
          <w:p w:rsidR="0009525E" w:rsidRPr="009B614C" w:rsidRDefault="0009525E" w:rsidP="00866D64">
            <w:pPr>
              <w:spacing w:before="120" w:line="420" w:lineRule="exact"/>
              <w:rPr>
                <w:b/>
                <w:sz w:val="40"/>
                <w:szCs w:val="40"/>
                <w:lang w:val="fr-FR"/>
              </w:rPr>
            </w:pPr>
          </w:p>
        </w:tc>
        <w:tc>
          <w:tcPr>
            <w:tcW w:w="2835" w:type="dxa"/>
            <w:tcBorders>
              <w:top w:val="single" w:sz="4" w:space="0" w:color="auto"/>
              <w:bottom w:val="single" w:sz="12" w:space="0" w:color="auto"/>
            </w:tcBorders>
          </w:tcPr>
          <w:p w:rsidR="00482AF2" w:rsidRDefault="002D6FE4" w:rsidP="002D6FE4">
            <w:pPr>
              <w:spacing w:before="240" w:line="240" w:lineRule="exact"/>
              <w:rPr>
                <w:lang w:val="fr-FR"/>
              </w:rPr>
            </w:pPr>
            <w:proofErr w:type="spellStart"/>
            <w:r>
              <w:rPr>
                <w:lang w:val="fr-FR"/>
              </w:rPr>
              <w:t>Distr</w:t>
            </w:r>
            <w:proofErr w:type="spellEnd"/>
            <w:r>
              <w:rPr>
                <w:lang w:val="fr-FR"/>
              </w:rPr>
              <w:t>. Générale</w:t>
            </w:r>
          </w:p>
          <w:p w:rsidR="002D6FE4" w:rsidRDefault="00550490" w:rsidP="002D6FE4">
            <w:pPr>
              <w:spacing w:line="240" w:lineRule="exact"/>
              <w:rPr>
                <w:lang w:val="fr-FR"/>
              </w:rPr>
            </w:pPr>
            <w:r>
              <w:rPr>
                <w:lang w:val="fr-FR"/>
              </w:rPr>
              <w:t>11 s</w:t>
            </w:r>
            <w:bookmarkStart w:id="0" w:name="_GoBack"/>
            <w:bookmarkEnd w:id="0"/>
            <w:r>
              <w:rPr>
                <w:lang w:val="fr-FR"/>
              </w:rPr>
              <w:t>eptembre</w:t>
            </w:r>
            <w:r w:rsidR="002D6FE4">
              <w:rPr>
                <w:lang w:val="fr-FR"/>
              </w:rPr>
              <w:t xml:space="preserve"> 2018</w:t>
            </w:r>
          </w:p>
          <w:p w:rsidR="0009525E" w:rsidRDefault="0009525E" w:rsidP="002D6FE4">
            <w:pPr>
              <w:spacing w:line="240" w:lineRule="exact"/>
              <w:rPr>
                <w:lang w:val="fr-FR"/>
              </w:rPr>
            </w:pPr>
          </w:p>
          <w:p w:rsidR="002D6FE4" w:rsidRDefault="00A66761" w:rsidP="002D6FE4">
            <w:pPr>
              <w:spacing w:line="240" w:lineRule="exact"/>
              <w:rPr>
                <w:lang w:val="fr-FR"/>
              </w:rPr>
            </w:pPr>
            <w:r>
              <w:rPr>
                <w:lang w:val="fr-FR"/>
              </w:rPr>
              <w:t>Français</w:t>
            </w:r>
          </w:p>
          <w:p w:rsidR="002D6FE4" w:rsidRPr="009B614C" w:rsidRDefault="002D6FE4" w:rsidP="002D6FE4">
            <w:pPr>
              <w:spacing w:line="240" w:lineRule="exact"/>
              <w:rPr>
                <w:lang w:val="fr-FR"/>
              </w:rPr>
            </w:pPr>
            <w:proofErr w:type="gramStart"/>
            <w:r>
              <w:rPr>
                <w:lang w:val="fr-FR"/>
              </w:rPr>
              <w:t>Original:</w:t>
            </w:r>
            <w:proofErr w:type="gramEnd"/>
            <w:r>
              <w:rPr>
                <w:lang w:val="fr-FR"/>
              </w:rPr>
              <w:t xml:space="preserve"> </w:t>
            </w:r>
            <w:r w:rsidR="00A66761">
              <w:rPr>
                <w:lang w:val="fr-FR"/>
              </w:rPr>
              <w:t xml:space="preserve">anglais et </w:t>
            </w:r>
            <w:r>
              <w:rPr>
                <w:lang w:val="fr-FR"/>
              </w:rPr>
              <w:t xml:space="preserve">français </w:t>
            </w:r>
          </w:p>
        </w:tc>
      </w:tr>
    </w:tbl>
    <w:p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rsidR="0034591A" w:rsidRPr="009B614C" w:rsidRDefault="0034591A" w:rsidP="0094723C">
      <w:pPr>
        <w:spacing w:before="120"/>
        <w:rPr>
          <w:b/>
          <w:lang w:val="fr-FR"/>
        </w:rPr>
      </w:pPr>
      <w:r w:rsidRPr="009B614C">
        <w:rPr>
          <w:b/>
          <w:lang w:val="fr-FR"/>
        </w:rPr>
        <w:t>Sous</w:t>
      </w:r>
      <w:r w:rsidR="00CA0680" w:rsidRPr="009B614C">
        <w:rPr>
          <w:b/>
          <w:lang w:val="fr-FR"/>
        </w:rPr>
        <w:t>-</w:t>
      </w:r>
      <w:r w:rsidRPr="009B614C">
        <w:rPr>
          <w:b/>
          <w:lang w:val="fr-FR"/>
        </w:rPr>
        <w:t>Comité d’experts du transport</w:t>
      </w:r>
      <w:r w:rsidR="00CA0680" w:rsidRPr="009B614C">
        <w:rPr>
          <w:b/>
          <w:lang w:val="fr-FR"/>
        </w:rPr>
        <w:t xml:space="preserve"> </w:t>
      </w:r>
      <w:r w:rsidRPr="009B614C">
        <w:rPr>
          <w:b/>
          <w:lang w:val="fr-FR"/>
        </w:rPr>
        <w:t>des marchandises dangereuses</w:t>
      </w:r>
    </w:p>
    <w:p w:rsidR="002D6FE4" w:rsidRPr="00207F30" w:rsidRDefault="002D6FE4" w:rsidP="002D6FE4">
      <w:pPr>
        <w:spacing w:before="120"/>
        <w:rPr>
          <w:b/>
        </w:rPr>
      </w:pPr>
      <w:r>
        <w:rPr>
          <w:b/>
          <w:bCs/>
          <w:lang w:val="fr-FR"/>
        </w:rPr>
        <w:t>Cinquante</w:t>
      </w:r>
      <w:r w:rsidR="00C27657">
        <w:rPr>
          <w:b/>
          <w:bCs/>
          <w:lang w:val="fr-FR"/>
        </w:rPr>
        <w:t>-</w:t>
      </w:r>
      <w:r w:rsidR="00C27657">
        <w:rPr>
          <w:b/>
        </w:rPr>
        <w:t>quatrième session</w:t>
      </w:r>
    </w:p>
    <w:p w:rsidR="002D6FE4" w:rsidRDefault="002D6FE4" w:rsidP="002D6FE4">
      <w:r>
        <w:t>Genève, 2</w:t>
      </w:r>
      <w:r w:rsidR="00C27657">
        <w:t>6</w:t>
      </w:r>
      <w:r>
        <w:t xml:space="preserve"> novembre-</w:t>
      </w:r>
      <w:r w:rsidR="00C27657">
        <w:t>4</w:t>
      </w:r>
      <w:r>
        <w:t xml:space="preserve"> décembre 201</w:t>
      </w:r>
      <w:r w:rsidR="00C27657">
        <w:t>8</w:t>
      </w:r>
    </w:p>
    <w:p w:rsidR="002D6FE4" w:rsidRDefault="002D6FE4" w:rsidP="002D6FE4">
      <w:r>
        <w:t>Point 2 a) de l'ordre du jour provisoire</w:t>
      </w:r>
    </w:p>
    <w:p w:rsidR="002D6FE4" w:rsidRDefault="002D6FE4" w:rsidP="002D6FE4">
      <w:pPr>
        <w:rPr>
          <w:b/>
        </w:rPr>
      </w:pPr>
      <w:r w:rsidRPr="00491979">
        <w:rPr>
          <w:b/>
        </w:rPr>
        <w:t xml:space="preserve">Recommandations du Sous-Comité formulées </w:t>
      </w:r>
      <w:r>
        <w:rPr>
          <w:b/>
        </w:rPr>
        <w:br/>
      </w:r>
      <w:r w:rsidRPr="00491979">
        <w:rPr>
          <w:b/>
        </w:rPr>
        <w:t xml:space="preserve">à ses </w:t>
      </w:r>
      <w:r w:rsidR="00C27657">
        <w:rPr>
          <w:b/>
        </w:rPr>
        <w:t>cinquante-et-unième</w:t>
      </w:r>
      <w:r w:rsidRPr="00491979">
        <w:rPr>
          <w:b/>
        </w:rPr>
        <w:t xml:space="preserve">, </w:t>
      </w:r>
      <w:r w:rsidR="00C27657">
        <w:rPr>
          <w:b/>
        </w:rPr>
        <w:t>cinquante-deuxième</w:t>
      </w:r>
      <w:r w:rsidRPr="00491979">
        <w:rPr>
          <w:b/>
        </w:rPr>
        <w:t xml:space="preserve"> et </w:t>
      </w:r>
      <w:r>
        <w:rPr>
          <w:b/>
        </w:rPr>
        <w:br/>
      </w:r>
      <w:r w:rsidR="00C27657">
        <w:rPr>
          <w:b/>
        </w:rPr>
        <w:t>cinquante-troisième</w:t>
      </w:r>
      <w:r w:rsidRPr="00491979">
        <w:rPr>
          <w:b/>
        </w:rPr>
        <w:t xml:space="preserve"> sessions et questions en </w:t>
      </w:r>
      <w:proofErr w:type="gramStart"/>
      <w:r w:rsidRPr="00491979">
        <w:rPr>
          <w:b/>
        </w:rPr>
        <w:t>suspens</w:t>
      </w:r>
      <w:r>
        <w:rPr>
          <w:b/>
        </w:rPr>
        <w:t>:</w:t>
      </w:r>
      <w:proofErr w:type="gramEnd"/>
    </w:p>
    <w:p w:rsidR="002D6FE4" w:rsidRPr="0076604B" w:rsidRDefault="002D6FE4" w:rsidP="002D6FE4">
      <w:pPr>
        <w:rPr>
          <w:b/>
        </w:rPr>
      </w:pPr>
      <w:proofErr w:type="gramStart"/>
      <w:r>
        <w:rPr>
          <w:b/>
        </w:rPr>
        <w:t>e</w:t>
      </w:r>
      <w:r w:rsidRPr="00241634">
        <w:rPr>
          <w:b/>
        </w:rPr>
        <w:t>xamen</w:t>
      </w:r>
      <w:proofErr w:type="gramEnd"/>
      <w:r w:rsidRPr="00241634">
        <w:rPr>
          <w:b/>
        </w:rPr>
        <w:t xml:space="preserve"> des projets d’amendements déjà adoptés </w:t>
      </w:r>
      <w:r>
        <w:rPr>
          <w:b/>
        </w:rPr>
        <w:br/>
      </w:r>
      <w:r w:rsidRPr="00241634">
        <w:rPr>
          <w:b/>
        </w:rPr>
        <w:t>durant la période biennale</w:t>
      </w:r>
    </w:p>
    <w:p w:rsidR="006A2872" w:rsidRDefault="002D6FE4" w:rsidP="00550490">
      <w:pPr>
        <w:pStyle w:val="HChG"/>
        <w:rPr>
          <w:noProof/>
          <w:lang w:val="fr-FR"/>
        </w:rPr>
      </w:pPr>
      <w:r>
        <w:rPr>
          <w:noProof/>
          <w:lang w:val="fr-FR"/>
        </w:rPr>
        <w:tab/>
      </w:r>
      <w:r>
        <w:rPr>
          <w:noProof/>
          <w:lang w:val="fr-FR"/>
        </w:rPr>
        <w:tab/>
      </w:r>
      <w:r w:rsidR="006A2872">
        <w:rPr>
          <w:noProof/>
          <w:lang w:val="fr-FR"/>
        </w:rPr>
        <w:t>Liste consolidée des textes adoptés</w:t>
      </w:r>
    </w:p>
    <w:p w:rsidR="002D6FE4" w:rsidRDefault="006A2872" w:rsidP="002D6FE4">
      <w:pPr>
        <w:pStyle w:val="H1G"/>
        <w:rPr>
          <w:noProof/>
          <w:lang w:val="fr-FR"/>
        </w:rPr>
      </w:pPr>
      <w:r>
        <w:rPr>
          <w:noProof/>
          <w:lang w:val="fr-FR"/>
        </w:rPr>
        <w:tab/>
      </w:r>
      <w:r>
        <w:rPr>
          <w:noProof/>
          <w:lang w:val="fr-FR"/>
        </w:rPr>
        <w:tab/>
      </w:r>
      <w:r w:rsidR="002D6FE4">
        <w:rPr>
          <w:noProof/>
          <w:lang w:val="fr-FR"/>
        </w:rPr>
        <w:t>Note du secrétariat</w:t>
      </w:r>
      <w:r w:rsidR="00550490">
        <w:rPr>
          <w:rStyle w:val="FootnoteReference"/>
          <w:noProof/>
        </w:rPr>
        <w:footnoteReference w:customMarkFollows="1" w:id="2"/>
        <w:t>*</w:t>
      </w:r>
    </w:p>
    <w:p w:rsidR="002D6FE4" w:rsidRDefault="002D6FE4" w:rsidP="002D6FE4">
      <w:pPr>
        <w:pStyle w:val="SingleTxtG"/>
        <w:rPr>
          <w:lang w:val="fr-FR"/>
        </w:rPr>
      </w:pPr>
      <w:r>
        <w:rPr>
          <w:lang w:val="fr-FR"/>
        </w:rPr>
        <w:t xml:space="preserve">Le présent document contient une liste consolidée des </w:t>
      </w:r>
      <w:r w:rsidR="002203FE">
        <w:rPr>
          <w:lang w:val="fr-FR"/>
        </w:rPr>
        <w:t xml:space="preserve">corrections à la vingtième édition révisée des Recommandations relatives au transport des marchandises dangereuses, Règlement type (ST/SG/AC.10/1/Rev.20), </w:t>
      </w:r>
      <w:r>
        <w:rPr>
          <w:lang w:val="fr-FR"/>
        </w:rPr>
        <w:t>adopté</w:t>
      </w:r>
      <w:r w:rsidR="002203FE">
        <w:rPr>
          <w:lang w:val="fr-FR"/>
        </w:rPr>
        <w:t>e</w:t>
      </w:r>
      <w:r>
        <w:rPr>
          <w:lang w:val="fr-FR"/>
        </w:rPr>
        <w:t xml:space="preserve">s par le Sous-Comité d’experts </w:t>
      </w:r>
      <w:r w:rsidR="002203FE">
        <w:rPr>
          <w:lang w:val="fr-FR"/>
        </w:rPr>
        <w:t>lors de</w:t>
      </w:r>
      <w:r>
        <w:rPr>
          <w:lang w:val="fr-FR"/>
        </w:rPr>
        <w:t xml:space="preserve"> </w:t>
      </w:r>
      <w:r w:rsidRPr="00B05D12">
        <w:rPr>
          <w:lang w:val="fr-FR"/>
        </w:rPr>
        <w:t xml:space="preserve">ses </w:t>
      </w:r>
      <w:r w:rsidR="002203FE">
        <w:rPr>
          <w:lang w:val="fr-FR"/>
        </w:rPr>
        <w:t xml:space="preserve">cinquante-et-unième, cinquante-deuxième et cinquante-troisièmes </w:t>
      </w:r>
      <w:r w:rsidRPr="00B05D12">
        <w:rPr>
          <w:lang w:val="fr-FR"/>
        </w:rPr>
        <w:t>sessions</w:t>
      </w:r>
      <w:r w:rsidR="002203FE">
        <w:rPr>
          <w:lang w:val="fr-FR"/>
        </w:rPr>
        <w:t>.</w:t>
      </w:r>
    </w:p>
    <w:p w:rsidR="00CA0680" w:rsidRPr="009B614C" w:rsidRDefault="00CA0680" w:rsidP="0034591A">
      <w:pPr>
        <w:rPr>
          <w:b/>
          <w:lang w:val="fr-FR"/>
        </w:rPr>
      </w:pPr>
    </w:p>
    <w:p w:rsidR="002D6FE4" w:rsidRDefault="002D6FE4">
      <w:pPr>
        <w:suppressAutoHyphens w:val="0"/>
        <w:spacing w:line="240" w:lineRule="auto"/>
        <w:rPr>
          <w:lang w:val="fr-FR"/>
        </w:rPr>
      </w:pPr>
      <w:r>
        <w:rPr>
          <w:lang w:val="fr-FR"/>
        </w:rPr>
        <w:br w:type="page"/>
      </w:r>
    </w:p>
    <w:p w:rsidR="002203FE" w:rsidRPr="006B0E45" w:rsidRDefault="002203FE" w:rsidP="002203FE">
      <w:pPr>
        <w:pStyle w:val="HChG"/>
        <w:rPr>
          <w:lang w:val="fr-FR"/>
        </w:rPr>
      </w:pPr>
      <w:r>
        <w:rPr>
          <w:lang w:val="fr-FR"/>
        </w:rPr>
        <w:lastRenderedPageBreak/>
        <w:tab/>
      </w:r>
      <w:r>
        <w:rPr>
          <w:lang w:val="fr-FR"/>
        </w:rPr>
        <w:tab/>
      </w:r>
      <w:r w:rsidRPr="006B0E45">
        <w:rPr>
          <w:lang w:val="fr-FR"/>
        </w:rPr>
        <w:t>Corrections à la vingtième édition révisée des Recommandations relatives au transport des marchandises dangereuses, Règlement type (ST/SG/AC.10/1/Rev.20)</w:t>
      </w:r>
    </w:p>
    <w:p w:rsidR="00532886" w:rsidRDefault="002203FE" w:rsidP="00532886">
      <w:pPr>
        <w:pStyle w:val="H1G"/>
        <w:rPr>
          <w:lang w:val="fr-FR"/>
        </w:rPr>
      </w:pPr>
      <w:r w:rsidRPr="006B0E45">
        <w:rPr>
          <w:lang w:val="fr-FR"/>
        </w:rPr>
        <w:tab/>
      </w:r>
      <w:r w:rsidRPr="006B0E45">
        <w:rPr>
          <w:lang w:val="fr-FR"/>
        </w:rPr>
        <w:tab/>
      </w:r>
      <w:r w:rsidR="00532886">
        <w:rPr>
          <w:lang w:val="fr-FR"/>
        </w:rPr>
        <w:t>Chapitre 1.2, 1.2.1 définitions</w:t>
      </w:r>
    </w:p>
    <w:p w:rsidR="00532886" w:rsidRDefault="00532886" w:rsidP="00532886">
      <w:pPr>
        <w:pStyle w:val="SingleTxtG"/>
        <w:rPr>
          <w:color w:val="000000"/>
        </w:rPr>
      </w:pPr>
      <w:r w:rsidRPr="0020220E">
        <w:rPr>
          <w:i/>
          <w:iCs/>
          <w:lang w:val="fr-FR"/>
        </w:rPr>
        <w:t>Au lieu de</w:t>
      </w:r>
      <w:r>
        <w:rPr>
          <w:lang w:val="fr-FR"/>
        </w:rPr>
        <w:t xml:space="preserve"> </w:t>
      </w:r>
      <w:r w:rsidRPr="0020220E">
        <w:rPr>
          <w:color w:val="000000"/>
        </w:rPr>
        <w:t>Matériel animal</w:t>
      </w:r>
      <w:r>
        <w:rPr>
          <w:i/>
          <w:iCs/>
          <w:color w:val="000000"/>
        </w:rPr>
        <w:t> lire</w:t>
      </w:r>
      <w:r>
        <w:rPr>
          <w:color w:val="000000"/>
        </w:rPr>
        <w:t xml:space="preserve"> </w:t>
      </w:r>
      <w:r w:rsidRPr="0020220E">
        <w:rPr>
          <w:color w:val="000000"/>
        </w:rPr>
        <w:t>Matière animale</w:t>
      </w:r>
    </w:p>
    <w:p w:rsidR="006F462A" w:rsidRPr="00532886" w:rsidRDefault="00532886" w:rsidP="004F5D8C">
      <w:pPr>
        <w:pStyle w:val="SingleTxtG"/>
        <w:spacing w:after="0"/>
        <w:rPr>
          <w:i/>
          <w:iCs/>
          <w:lang w:val="fr-FR"/>
        </w:rPr>
      </w:pPr>
      <w:r>
        <w:rPr>
          <w:i/>
          <w:iCs/>
          <w:lang w:val="fr-FR"/>
        </w:rPr>
        <w:t>(Document de référence : ST/SG/AC.10/C.3/</w:t>
      </w:r>
      <w:r w:rsidR="00826DE1">
        <w:rPr>
          <w:i/>
          <w:iCs/>
          <w:lang w:val="fr-FR"/>
        </w:rPr>
        <w:t>106/Add.1</w:t>
      </w:r>
      <w:r>
        <w:rPr>
          <w:i/>
          <w:iCs/>
          <w:lang w:val="fr-FR"/>
        </w:rPr>
        <w:t>)</w:t>
      </w:r>
    </w:p>
    <w:p w:rsidR="002203FE" w:rsidRPr="006B0E45" w:rsidRDefault="006F462A" w:rsidP="00532886">
      <w:pPr>
        <w:pStyle w:val="H1G"/>
        <w:rPr>
          <w:lang w:val="fr-FR"/>
        </w:rPr>
      </w:pPr>
      <w:r>
        <w:rPr>
          <w:lang w:val="fr-FR"/>
        </w:rPr>
        <w:tab/>
      </w:r>
      <w:r>
        <w:rPr>
          <w:lang w:val="fr-FR"/>
        </w:rPr>
        <w:tab/>
      </w:r>
      <w:r w:rsidR="002203FE" w:rsidRPr="006B0E45">
        <w:rPr>
          <w:lang w:val="fr-FR"/>
        </w:rPr>
        <w:t>Chapitre 1.4, 1.4.3.2.1, dans le Nota, dans la dernière phrase</w:t>
      </w:r>
    </w:p>
    <w:p w:rsidR="002203FE" w:rsidRPr="006B0E45" w:rsidRDefault="002203FE" w:rsidP="002203FE">
      <w:pPr>
        <w:pStyle w:val="SingleTxtG"/>
        <w:rPr>
          <w:lang w:val="fr-FR"/>
        </w:rPr>
      </w:pPr>
      <w:r w:rsidRPr="006B0E45">
        <w:rPr>
          <w:i/>
          <w:lang w:val="fr-FR"/>
        </w:rPr>
        <w:t>Au lieu de</w:t>
      </w:r>
      <w:r w:rsidRPr="006B0E45">
        <w:rPr>
          <w:lang w:val="fr-FR"/>
        </w:rPr>
        <w:t xml:space="preserve"> différents marquages </w:t>
      </w:r>
      <w:r w:rsidRPr="006B0E45">
        <w:rPr>
          <w:i/>
          <w:lang w:val="fr-FR"/>
        </w:rPr>
        <w:t>lire</w:t>
      </w:r>
      <w:r w:rsidRPr="006B0E45">
        <w:rPr>
          <w:lang w:val="fr-FR"/>
        </w:rPr>
        <w:t xml:space="preserve"> différentes marques</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532886" w:rsidRDefault="00532886" w:rsidP="00532886">
      <w:pPr>
        <w:pStyle w:val="H1G"/>
        <w:rPr>
          <w:lang w:val="fr-FR"/>
        </w:rPr>
      </w:pPr>
      <w:r>
        <w:rPr>
          <w:lang w:val="fr-FR"/>
        </w:rPr>
        <w:tab/>
      </w:r>
      <w:r>
        <w:rPr>
          <w:lang w:val="fr-FR"/>
        </w:rPr>
        <w:tab/>
        <w:t>Chapitre 2.0, 2.0.0.1</w:t>
      </w:r>
    </w:p>
    <w:p w:rsidR="00532886" w:rsidRPr="005F64DA" w:rsidRDefault="00532886" w:rsidP="00532886">
      <w:pPr>
        <w:pStyle w:val="SingleTxtG"/>
        <w:rPr>
          <w:i/>
          <w:iCs/>
          <w:lang w:val="fr-FR"/>
        </w:rPr>
      </w:pPr>
      <w:r w:rsidRPr="005F64DA">
        <w:rPr>
          <w:i/>
          <w:iCs/>
          <w:lang w:val="fr-FR"/>
        </w:rPr>
        <w:t>Au lieu</w:t>
      </w:r>
      <w:r>
        <w:rPr>
          <w:i/>
          <w:iCs/>
          <w:lang w:val="fr-FR"/>
        </w:rPr>
        <w:t xml:space="preserve"> de </w:t>
      </w:r>
      <w:r>
        <w:rPr>
          <w:rFonts w:eastAsia="Wingdings"/>
        </w:rPr>
        <w:t>Le classement sera déterminé par l’autorité compétente </w:t>
      </w:r>
      <w:r w:rsidRPr="005F64DA">
        <w:rPr>
          <w:i/>
          <w:iCs/>
          <w:lang w:val="fr-FR"/>
        </w:rPr>
        <w:t>lire</w:t>
      </w:r>
      <w:r>
        <w:rPr>
          <w:i/>
          <w:iCs/>
          <w:lang w:val="fr-FR"/>
        </w:rPr>
        <w:t xml:space="preserve"> </w:t>
      </w:r>
      <w:r>
        <w:rPr>
          <w:rFonts w:eastAsia="Wingdings"/>
        </w:rPr>
        <w:t>Le classement doit être déterminé par l’autorité compétente </w:t>
      </w:r>
    </w:p>
    <w:p w:rsidR="00532886" w:rsidRPr="006B0E45" w:rsidRDefault="00532886" w:rsidP="004F5D8C">
      <w:pPr>
        <w:pStyle w:val="SingleTxtG"/>
        <w:spacing w:after="0"/>
        <w:rPr>
          <w:i/>
          <w:lang w:val="fr-FR"/>
        </w:rPr>
      </w:pPr>
      <w:r>
        <w:rPr>
          <w:i/>
          <w:iCs/>
          <w:lang w:val="fr-FR"/>
        </w:rPr>
        <w:t xml:space="preserve">(Document de référence : </w:t>
      </w:r>
      <w:r w:rsidR="00826DE1">
        <w:rPr>
          <w:i/>
          <w:iCs/>
          <w:lang w:val="fr-FR"/>
        </w:rPr>
        <w:t>ST/SG/AC.10/C.3/106/Add.1</w:t>
      </w:r>
      <w:r>
        <w:rPr>
          <w:i/>
          <w:iCs/>
          <w:lang w:val="fr-FR"/>
        </w:rPr>
        <w:t>)</w:t>
      </w:r>
    </w:p>
    <w:p w:rsidR="002203FE" w:rsidRPr="006B0E45" w:rsidRDefault="002203FE" w:rsidP="00532886">
      <w:pPr>
        <w:pStyle w:val="H1G"/>
        <w:rPr>
          <w:lang w:val="fr-FR"/>
        </w:rPr>
      </w:pPr>
      <w:r w:rsidRPr="006B0E45">
        <w:rPr>
          <w:lang w:val="fr-FR"/>
        </w:rPr>
        <w:tab/>
      </w:r>
      <w:r w:rsidRPr="006B0E45">
        <w:rPr>
          <w:lang w:val="fr-FR"/>
        </w:rPr>
        <w:tab/>
        <w:t>Chapitre 2.0, 2.0.5, titre de la section</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lang w:val="fr-FR"/>
        </w:rPr>
      </w:pPr>
      <w:r w:rsidRPr="006B0E45">
        <w:rPr>
          <w:b/>
          <w:lang w:val="fr-FR"/>
        </w:rPr>
        <w:t>2.0.5</w:t>
      </w:r>
      <w:r w:rsidRPr="006B0E45">
        <w:rPr>
          <w:b/>
          <w:lang w:val="fr-FR"/>
        </w:rPr>
        <w:tab/>
        <w:t>Classement des objets en tant qu’objets qui contiennent des marchandises dangereuses, N.S.A.</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532886">
      <w:pPr>
        <w:pStyle w:val="H1G"/>
        <w:rPr>
          <w:lang w:val="fr-FR"/>
        </w:rPr>
      </w:pPr>
      <w:r w:rsidRPr="006B0E45">
        <w:rPr>
          <w:lang w:val="fr-FR"/>
        </w:rPr>
        <w:tab/>
      </w:r>
      <w:r w:rsidRPr="006B0E45">
        <w:rPr>
          <w:lang w:val="fr-FR"/>
        </w:rPr>
        <w:tab/>
        <w:t>Chapitre 2.0, 2.0.5.1, première phrase</w:t>
      </w:r>
    </w:p>
    <w:p w:rsidR="002203FE" w:rsidRPr="006B0E45" w:rsidRDefault="002203FE" w:rsidP="002203FE">
      <w:pPr>
        <w:pStyle w:val="SingleTxtG"/>
        <w:rPr>
          <w:lang w:val="fr-FR"/>
        </w:rPr>
      </w:pPr>
      <w:r w:rsidRPr="006B0E45">
        <w:rPr>
          <w:i/>
          <w:lang w:val="fr-FR"/>
        </w:rPr>
        <w:t>Au lieu de</w:t>
      </w:r>
      <w:r w:rsidRPr="006B0E45">
        <w:rPr>
          <w:lang w:val="fr-FR"/>
        </w:rPr>
        <w:t xml:space="preserve"> peuvent être transportés </w:t>
      </w:r>
      <w:r w:rsidRPr="006B0E45">
        <w:rPr>
          <w:i/>
          <w:lang w:val="fr-FR"/>
        </w:rPr>
        <w:t>lire</w:t>
      </w:r>
      <w:r w:rsidRPr="006B0E45">
        <w:rPr>
          <w:lang w:val="fr-FR"/>
        </w:rPr>
        <w:t xml:space="preserve"> peuvent être classés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532886">
      <w:pPr>
        <w:pStyle w:val="H1G"/>
        <w:rPr>
          <w:lang w:val="fr-FR"/>
        </w:rPr>
      </w:pPr>
      <w:r w:rsidRPr="006B0E45">
        <w:rPr>
          <w:lang w:val="fr-FR"/>
        </w:rPr>
        <w:tab/>
      </w:r>
      <w:r w:rsidRPr="006B0E45">
        <w:rPr>
          <w:lang w:val="fr-FR"/>
        </w:rPr>
        <w:tab/>
        <w:t>Chapitre 2.0, 2.0.5.6, deuxième phrase, au début</w:t>
      </w:r>
    </w:p>
    <w:p w:rsidR="002203FE" w:rsidRPr="006B0E45" w:rsidRDefault="002203FE" w:rsidP="002203FE">
      <w:pPr>
        <w:pStyle w:val="SingleTxtG"/>
        <w:rPr>
          <w:lang w:val="fr-FR"/>
        </w:rPr>
      </w:pPr>
      <w:r w:rsidRPr="006B0E45">
        <w:rPr>
          <w:i/>
          <w:lang w:val="fr-FR"/>
        </w:rPr>
        <w:t xml:space="preserve">Supprimer </w:t>
      </w:r>
      <w:r w:rsidRPr="006B0E45">
        <w:rPr>
          <w:lang w:val="fr-FR"/>
        </w:rPr>
        <w:t>Alternativement,</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532886">
      <w:pPr>
        <w:pStyle w:val="H1G"/>
        <w:rPr>
          <w:lang w:val="fr-FR"/>
        </w:rPr>
      </w:pPr>
      <w:r w:rsidRPr="006B0E45">
        <w:rPr>
          <w:lang w:val="fr-FR"/>
        </w:rPr>
        <w:tab/>
      </w:r>
      <w:r w:rsidRPr="006B0E45">
        <w:rPr>
          <w:lang w:val="fr-FR"/>
        </w:rPr>
        <w:tab/>
        <w:t>Chapitre 2.1, 2.1.3.5.5, Nota 2</w:t>
      </w:r>
    </w:p>
    <w:p w:rsidR="002203FE" w:rsidRPr="006B0E45" w:rsidRDefault="002203FE" w:rsidP="002203FE">
      <w:pPr>
        <w:pStyle w:val="SingleTxtG"/>
        <w:rPr>
          <w:lang w:val="fr-FR"/>
        </w:rPr>
      </w:pPr>
      <w:r w:rsidRPr="006B0E45">
        <w:rPr>
          <w:lang w:val="fr-FR"/>
        </w:rPr>
        <w:t>Sans objet en français.</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532886" w:rsidRDefault="00532886" w:rsidP="00532886">
      <w:pPr>
        <w:pStyle w:val="H1G"/>
      </w:pPr>
      <w:r>
        <w:lastRenderedPageBreak/>
        <w:tab/>
      </w:r>
      <w:r>
        <w:tab/>
        <w:t>Chapitre 2.3, 2.3.1.3</w:t>
      </w:r>
    </w:p>
    <w:p w:rsidR="00532886" w:rsidRDefault="00532886" w:rsidP="00532886">
      <w:pPr>
        <w:pStyle w:val="SingleTxtG"/>
      </w:pPr>
      <w:r>
        <w:rPr>
          <w:i/>
          <w:iCs/>
        </w:rPr>
        <w:t xml:space="preserve">Au lieu de </w:t>
      </w:r>
      <w:r>
        <w:t xml:space="preserve">2.3.1.1 </w:t>
      </w:r>
      <w:r>
        <w:rPr>
          <w:i/>
          <w:iCs/>
        </w:rPr>
        <w:t xml:space="preserve">lire </w:t>
      </w:r>
      <w:r>
        <w:t>2.3.1.2</w:t>
      </w:r>
    </w:p>
    <w:p w:rsidR="00532886" w:rsidRPr="001539C6" w:rsidRDefault="00532886" w:rsidP="004F5D8C">
      <w:pPr>
        <w:spacing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826DE1">
        <w:rPr>
          <w:i/>
          <w:iCs/>
          <w:lang w:val="fr-FR"/>
        </w:rPr>
        <w:t>ST/SG/AC.10/C.3/106/Add.1</w:t>
      </w:r>
      <w:r w:rsidRPr="001539C6">
        <w:rPr>
          <w:i/>
          <w:iCs/>
        </w:rPr>
        <w:t>)</w:t>
      </w:r>
    </w:p>
    <w:p w:rsidR="00532886" w:rsidRDefault="00532886" w:rsidP="00532886">
      <w:pPr>
        <w:pStyle w:val="H1G"/>
      </w:pPr>
      <w:r>
        <w:tab/>
      </w:r>
      <w:r>
        <w:tab/>
        <w:t>Chapitre 2.6, Nota sous 2.6.2.2.4.1</w:t>
      </w:r>
    </w:p>
    <w:p w:rsidR="00532886" w:rsidRDefault="00532886" w:rsidP="00532886">
      <w:pPr>
        <w:pStyle w:val="SingleTxtG"/>
      </w:pPr>
      <w:r>
        <w:rPr>
          <w:i/>
          <w:iCs/>
        </w:rPr>
        <w:t xml:space="preserve">Au lieu de </w:t>
      </w:r>
      <w:r>
        <w:t xml:space="preserve">2.8.2.3 </w:t>
      </w:r>
      <w:r>
        <w:rPr>
          <w:i/>
          <w:iCs/>
        </w:rPr>
        <w:t xml:space="preserve">lire </w:t>
      </w:r>
      <w:r>
        <w:t>2.8.2.4</w:t>
      </w:r>
    </w:p>
    <w:p w:rsidR="00532886" w:rsidRPr="006B0E45" w:rsidRDefault="00532886" w:rsidP="004F5D8C">
      <w:pPr>
        <w:pStyle w:val="SingleTxtG"/>
        <w:spacing w:after="0"/>
        <w:rPr>
          <w:i/>
          <w:lang w:val="fr-FR"/>
        </w:rPr>
      </w:pPr>
      <w:r w:rsidRPr="001539C6">
        <w:rPr>
          <w:i/>
          <w:iCs/>
        </w:rPr>
        <w:t>(</w:t>
      </w:r>
      <w:r w:rsidRPr="001539C6">
        <w:rPr>
          <w:i/>
          <w:iCs/>
          <w:lang w:val="fr-FR"/>
        </w:rPr>
        <w:t>Document de référence</w:t>
      </w:r>
      <w:r>
        <w:rPr>
          <w:i/>
          <w:iCs/>
          <w:lang w:val="fr-FR"/>
        </w:rPr>
        <w:t> </w:t>
      </w:r>
      <w:r w:rsidRPr="001539C6">
        <w:rPr>
          <w:i/>
          <w:iCs/>
        </w:rPr>
        <w:t xml:space="preserve">: </w:t>
      </w:r>
      <w:r w:rsidR="00826DE1">
        <w:rPr>
          <w:i/>
          <w:iCs/>
          <w:lang w:val="fr-FR"/>
        </w:rPr>
        <w:t>ST/SG/AC.10/C.3/106/Add.1</w:t>
      </w:r>
      <w:r>
        <w:rPr>
          <w:i/>
          <w:iCs/>
        </w:rPr>
        <w:t>)</w:t>
      </w:r>
    </w:p>
    <w:p w:rsidR="002203FE" w:rsidRPr="00DA3F3B" w:rsidRDefault="002203FE" w:rsidP="00532886">
      <w:pPr>
        <w:pStyle w:val="H1G"/>
      </w:pPr>
      <w:r w:rsidRPr="006B0E45">
        <w:rPr>
          <w:lang w:val="fr-FR"/>
        </w:rPr>
        <w:tab/>
      </w:r>
      <w:r w:rsidRPr="006B0E45">
        <w:rPr>
          <w:lang w:val="fr-FR"/>
        </w:rPr>
        <w:tab/>
      </w:r>
      <w:r w:rsidRPr="00DA3F3B">
        <w:t>Chapitre 2.8, 2.8.3.2</w:t>
      </w:r>
    </w:p>
    <w:p w:rsidR="002203FE" w:rsidRDefault="002203FE" w:rsidP="002203FE">
      <w:pPr>
        <w:pStyle w:val="SingleTxtG"/>
        <w:rPr>
          <w:lang w:val="fr-FR"/>
        </w:rPr>
      </w:pPr>
      <w:r>
        <w:rPr>
          <w:lang w:val="fr-FR"/>
        </w:rPr>
        <w:t>La correction ne s’applique pas au texte français.</w:t>
      </w:r>
    </w:p>
    <w:p w:rsidR="002203FE" w:rsidRDefault="002203FE" w:rsidP="004F5D8C">
      <w:pPr>
        <w:pStyle w:val="SingleTxtG"/>
        <w:spacing w:after="0"/>
        <w:rPr>
          <w:i/>
        </w:rPr>
      </w:pPr>
      <w:r w:rsidRPr="00063C22">
        <w:rPr>
          <w:i/>
        </w:rPr>
        <w:t>(Document de référence</w:t>
      </w:r>
      <w:r>
        <w:rPr>
          <w:i/>
        </w:rPr>
        <w:t> </w:t>
      </w:r>
      <w:r w:rsidRPr="00063C22">
        <w:rPr>
          <w:i/>
        </w:rPr>
        <w:t xml:space="preserve">: </w:t>
      </w:r>
      <w:r w:rsidR="00826DE1">
        <w:rPr>
          <w:i/>
          <w:iCs/>
          <w:lang w:val="fr-FR"/>
        </w:rPr>
        <w:t>ST/SG/AC.10/C.3/104/Add.1</w:t>
      </w:r>
      <w:r w:rsidRPr="00063C22">
        <w:rPr>
          <w:i/>
        </w:rPr>
        <w:t>)</w:t>
      </w:r>
    </w:p>
    <w:p w:rsidR="002203FE" w:rsidRPr="006B0E45" w:rsidRDefault="002203FE" w:rsidP="00532886">
      <w:pPr>
        <w:pStyle w:val="H1G"/>
        <w:rPr>
          <w:lang w:val="fr-FR"/>
        </w:rPr>
      </w:pPr>
      <w:r>
        <w:rPr>
          <w:lang w:val="fr-FR"/>
        </w:rPr>
        <w:tab/>
      </w:r>
      <w:r>
        <w:rPr>
          <w:lang w:val="fr-FR"/>
        </w:rPr>
        <w:tab/>
      </w:r>
      <w:r w:rsidRPr="006B0E45">
        <w:rPr>
          <w:lang w:val="fr-FR"/>
        </w:rPr>
        <w:t>Chapitre 2.8, 2.8.4.3.5</w:t>
      </w:r>
    </w:p>
    <w:p w:rsidR="002203FE" w:rsidRPr="006B0E45" w:rsidRDefault="002203FE" w:rsidP="002203FE">
      <w:pPr>
        <w:pStyle w:val="SingleTxtG"/>
        <w:rPr>
          <w:i/>
          <w:lang w:val="fr-FR"/>
        </w:rPr>
      </w:pPr>
      <w:r w:rsidRPr="006B0E45">
        <w:rPr>
          <w:i/>
          <w:lang w:val="fr-FR"/>
        </w:rPr>
        <w:t xml:space="preserve">Au lieu de  </w:t>
      </w:r>
      <m:oMath>
        <m:f>
          <m:fPr>
            <m:ctrlPr>
              <w:rPr>
                <w:rFonts w:ascii="Cambria Math" w:hAnsi="Cambria Math"/>
                <w:i/>
                <w:lang w:val="fr-FR"/>
              </w:rPr>
            </m:ctrlPr>
          </m:fPr>
          <m:num>
            <m:r>
              <w:rPr>
                <w:rFonts w:ascii="Cambria Math" w:hAnsi="Cambria Math"/>
                <w:lang w:val="fr-FR"/>
              </w:rPr>
              <m:t>PGx1</m:t>
            </m:r>
          </m:num>
          <m:den>
            <m:r>
              <w:rPr>
                <w:rFonts w:ascii="Cambria Math" w:hAnsi="Cambria Math"/>
                <w:lang w:val="fr-FR"/>
              </w:rPr>
              <m:t>GCL</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PGx</m:t>
            </m:r>
            <m:r>
              <w:rPr>
                <w:rFonts w:ascii="Cambria Math" w:hAnsi="Cambria Math"/>
                <w:vertAlign w:val="subscript"/>
                <w:lang w:val="fr-FR"/>
              </w:rPr>
              <m:t>2</m:t>
            </m:r>
          </m:num>
          <m:den>
            <m:r>
              <w:rPr>
                <w:rFonts w:ascii="Cambria Math" w:hAnsi="Cambria Math"/>
                <w:lang w:val="fr-FR"/>
              </w:rPr>
              <m:t>SCL</m:t>
            </m:r>
            <m:r>
              <w:rPr>
                <w:rFonts w:ascii="Cambria Math" w:hAnsi="Cambria Math"/>
                <w:vertAlign w:val="subscript"/>
                <w:lang w:val="fr-FR"/>
              </w:rPr>
              <m:t>2</m:t>
            </m:r>
          </m:den>
        </m:f>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PGxi</m:t>
            </m:r>
          </m:num>
          <m:den>
            <m:r>
              <w:rPr>
                <w:rFonts w:ascii="Cambria Math" w:hAnsi="Cambria Math"/>
                <w:lang w:val="fr-FR"/>
              </w:rPr>
              <m:t>SCLi</m:t>
            </m:r>
          </m:den>
        </m:f>
        <m:r>
          <w:rPr>
            <w:rFonts w:ascii="Cambria Math" w:hAnsi="Cambria Math"/>
            <w:lang w:val="fr-FR"/>
          </w:rPr>
          <m:t xml:space="preserve"> ≥1</m:t>
        </m:r>
      </m:oMath>
    </w:p>
    <w:p w:rsidR="002203FE" w:rsidRPr="006B0E45" w:rsidRDefault="002203FE" w:rsidP="002203FE">
      <w:pPr>
        <w:pStyle w:val="SingleTxtG"/>
        <w:rPr>
          <w:i/>
          <w:lang w:val="fr-FR"/>
        </w:rPr>
      </w:pPr>
      <w:r w:rsidRPr="006B0E45">
        <w:rPr>
          <w:i/>
          <w:lang w:val="fr-FR"/>
        </w:rPr>
        <w:t xml:space="preserve">lire  </w:t>
      </w:r>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1</m:t>
                </m:r>
              </m:sub>
            </m:sSub>
          </m:num>
          <m:den>
            <m:r>
              <w:rPr>
                <w:rFonts w:ascii="Cambria Math" w:hAnsi="Cambria Math"/>
                <w:lang w:val="fr-FR"/>
              </w:rPr>
              <m:t>GCL</m:t>
            </m:r>
          </m:den>
        </m:f>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2</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2</m:t>
                </m:r>
              </m:sub>
            </m:sSub>
          </m:den>
        </m:f>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i</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i</m:t>
                </m:r>
              </m:sub>
            </m:sSub>
          </m:den>
        </m:f>
        <m:r>
          <w:rPr>
            <w:rFonts w:ascii="Cambria Math" w:hAnsi="Cambria Math"/>
            <w:lang w:val="fr-FR"/>
          </w:rPr>
          <m:t>≥1</m:t>
        </m:r>
      </m:oMath>
    </w:p>
    <w:p w:rsidR="002203FE" w:rsidRPr="006B0E45" w:rsidRDefault="002203FE" w:rsidP="002203FE">
      <w:pPr>
        <w:pStyle w:val="SingleTxtG"/>
        <w:rPr>
          <w:vertAlign w:val="subscript"/>
          <w:lang w:val="fr-FR"/>
        </w:rPr>
      </w:pPr>
      <w:r w:rsidRPr="006B0E45">
        <w:rPr>
          <w:i/>
          <w:lang w:val="fr-FR"/>
        </w:rPr>
        <w:t xml:space="preserve">Au lieu de </w:t>
      </w:r>
      <w:proofErr w:type="spellStart"/>
      <w:r w:rsidRPr="006B0E45">
        <w:rPr>
          <w:lang w:val="fr-FR"/>
        </w:rPr>
        <w:t>PGxi</w:t>
      </w:r>
      <w:proofErr w:type="spellEnd"/>
      <w:r w:rsidRPr="006B0E45">
        <w:rPr>
          <w:lang w:val="fr-FR"/>
        </w:rPr>
        <w:t xml:space="preserve"> </w:t>
      </w:r>
      <w:r w:rsidRPr="006B0E45">
        <w:rPr>
          <w:i/>
          <w:lang w:val="fr-FR"/>
        </w:rPr>
        <w:t>lire</w:t>
      </w:r>
      <w:r w:rsidRPr="006B0E45">
        <w:rPr>
          <w:lang w:val="fr-FR"/>
        </w:rPr>
        <w:t xml:space="preserve"> </w:t>
      </w:r>
      <w:proofErr w:type="spellStart"/>
      <w:r w:rsidRPr="006B0E45">
        <w:rPr>
          <w:lang w:val="fr-FR"/>
        </w:rPr>
        <w:t>PGx</w:t>
      </w:r>
      <w:r w:rsidRPr="006B0E45">
        <w:rPr>
          <w:vertAlign w:val="subscript"/>
          <w:lang w:val="fr-FR"/>
        </w:rPr>
        <w:t>i</w:t>
      </w:r>
      <w:proofErr w:type="spellEnd"/>
    </w:p>
    <w:p w:rsidR="002203FE" w:rsidRDefault="002203FE" w:rsidP="002203FE">
      <w:pPr>
        <w:pStyle w:val="SingleTxtG"/>
        <w:rPr>
          <w:vertAlign w:val="subscript"/>
          <w:lang w:val="fr-FR"/>
        </w:rPr>
      </w:pPr>
      <w:r w:rsidRPr="006B0E45">
        <w:rPr>
          <w:i/>
          <w:lang w:val="fr-FR"/>
        </w:rPr>
        <w:t xml:space="preserve">Au lieu de </w:t>
      </w:r>
      <w:proofErr w:type="spellStart"/>
      <w:r w:rsidRPr="006B0E45">
        <w:rPr>
          <w:lang w:val="fr-FR"/>
        </w:rPr>
        <w:t>SCLi</w:t>
      </w:r>
      <w:proofErr w:type="spellEnd"/>
      <w:r w:rsidRPr="006B0E45">
        <w:rPr>
          <w:i/>
          <w:lang w:val="fr-FR"/>
        </w:rPr>
        <w:t xml:space="preserve"> lire </w:t>
      </w:r>
      <w:proofErr w:type="spellStart"/>
      <w:r w:rsidRPr="006B0E45">
        <w:rPr>
          <w:lang w:val="fr-FR"/>
        </w:rPr>
        <w:t>SCL</w:t>
      </w:r>
      <w:r w:rsidRPr="006B0E45">
        <w:rPr>
          <w:vertAlign w:val="subscript"/>
          <w:lang w:val="fr-FR"/>
        </w:rPr>
        <w:t>i</w:t>
      </w:r>
      <w:proofErr w:type="spellEnd"/>
    </w:p>
    <w:p w:rsidR="00532886" w:rsidRDefault="00532886"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084FE1" w:rsidRPr="006B0E45" w:rsidRDefault="00084FE1" w:rsidP="00084FE1">
      <w:pPr>
        <w:pStyle w:val="H1G"/>
        <w:rPr>
          <w:lang w:val="fr-FR"/>
        </w:rPr>
      </w:pPr>
      <w:r>
        <w:rPr>
          <w:lang w:val="fr-FR"/>
        </w:rPr>
        <w:tab/>
      </w:r>
      <w:r>
        <w:rPr>
          <w:lang w:val="fr-FR"/>
        </w:rPr>
        <w:tab/>
      </w:r>
      <w:r w:rsidRPr="006B0E45">
        <w:rPr>
          <w:lang w:val="fr-FR"/>
        </w:rPr>
        <w:t>Chapitre 3.2, liste des marchandises dangereuses, pour les Nos ONU 3090, 3091, 3480 et 3481, en colonne (6)</w:t>
      </w:r>
    </w:p>
    <w:p w:rsidR="00084FE1" w:rsidRPr="006B0E45" w:rsidRDefault="00084FE1" w:rsidP="00084FE1">
      <w:pPr>
        <w:pStyle w:val="SingleTxtG"/>
        <w:rPr>
          <w:lang w:val="fr-FR"/>
        </w:rPr>
      </w:pPr>
      <w:r w:rsidRPr="006B0E45">
        <w:rPr>
          <w:i/>
          <w:lang w:val="fr-FR"/>
        </w:rPr>
        <w:t>Insérer</w:t>
      </w:r>
      <w:r w:rsidRPr="006B0E45">
        <w:rPr>
          <w:lang w:val="fr-FR"/>
        </w:rPr>
        <w:t xml:space="preserve"> P911</w:t>
      </w:r>
    </w:p>
    <w:p w:rsidR="00084FE1" w:rsidRPr="006B0E45" w:rsidRDefault="00084FE1" w:rsidP="00084FE1">
      <w:pPr>
        <w:pStyle w:val="SingleTxtG"/>
        <w:rPr>
          <w:lang w:val="fr-FR"/>
        </w:rPr>
      </w:pPr>
      <w:r w:rsidRPr="006B0E45">
        <w:rPr>
          <w:i/>
          <w:lang w:val="fr-FR"/>
        </w:rPr>
        <w:t>Insérer</w:t>
      </w:r>
      <w:r w:rsidRPr="006B0E45">
        <w:rPr>
          <w:lang w:val="fr-FR"/>
        </w:rPr>
        <w:t xml:space="preserve"> LP905 LP906</w:t>
      </w:r>
    </w:p>
    <w:p w:rsidR="00084FE1" w:rsidRDefault="00084FE1" w:rsidP="00084FE1">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532886" w:rsidRDefault="00532886" w:rsidP="00532886">
      <w:pPr>
        <w:pStyle w:val="H1G"/>
      </w:pPr>
      <w:r>
        <w:tab/>
      </w:r>
      <w:r>
        <w:tab/>
      </w:r>
      <w:r w:rsidRPr="00DA3F3B">
        <w:t>Chapitre 3.2</w:t>
      </w:r>
      <w:r w:rsidR="004C48A1">
        <w:t>, No ONU 3101 à 3120, colonne 6</w:t>
      </w:r>
    </w:p>
    <w:p w:rsidR="00255322" w:rsidRDefault="004C48A1" w:rsidP="00255322">
      <w:pPr>
        <w:pStyle w:val="SingleTxtG"/>
      </w:pPr>
      <w:r>
        <w:rPr>
          <w:i/>
          <w:iCs/>
        </w:rPr>
        <w:t>S</w:t>
      </w:r>
      <w:r w:rsidR="00255322" w:rsidRPr="00255322">
        <w:rPr>
          <w:i/>
          <w:iCs/>
        </w:rPr>
        <w:t>upprimer</w:t>
      </w:r>
      <w:r w:rsidR="00255322">
        <w:t> 323 </w:t>
      </w:r>
    </w:p>
    <w:p w:rsidR="00255322" w:rsidRPr="00255322" w:rsidRDefault="00255322" w:rsidP="004F5D8C">
      <w:pPr>
        <w:pStyle w:val="SingleTxtG"/>
        <w:spacing w:after="0"/>
      </w:pPr>
      <w:r w:rsidRPr="001539C6">
        <w:rPr>
          <w:i/>
          <w:iCs/>
        </w:rPr>
        <w:t>(</w:t>
      </w:r>
      <w:r w:rsidRPr="001539C6">
        <w:rPr>
          <w:i/>
          <w:iCs/>
          <w:lang w:val="fr-FR"/>
        </w:rPr>
        <w:t>Document de référence</w:t>
      </w:r>
      <w:r>
        <w:rPr>
          <w:i/>
          <w:iCs/>
          <w:lang w:val="fr-FR"/>
        </w:rPr>
        <w:t> </w:t>
      </w:r>
      <w:r w:rsidRPr="001539C6">
        <w:rPr>
          <w:i/>
          <w:iCs/>
        </w:rPr>
        <w:t xml:space="preserve">: </w:t>
      </w:r>
      <w:r w:rsidR="00826DE1">
        <w:rPr>
          <w:i/>
          <w:iCs/>
          <w:lang w:val="fr-FR"/>
        </w:rPr>
        <w:t>ST/SG/AC.10/C.3/106/Add.1</w:t>
      </w:r>
      <w:r>
        <w:rPr>
          <w:i/>
          <w:iCs/>
        </w:rPr>
        <w:t>)</w:t>
      </w:r>
    </w:p>
    <w:p w:rsidR="002203FE" w:rsidRPr="00DA3F3B" w:rsidRDefault="002203FE" w:rsidP="002A40B5">
      <w:pPr>
        <w:pStyle w:val="H1G"/>
      </w:pPr>
      <w:r w:rsidRPr="006B0E45">
        <w:rPr>
          <w:lang w:val="fr-FR"/>
        </w:rPr>
        <w:tab/>
      </w:r>
      <w:r w:rsidRPr="006B0E45">
        <w:rPr>
          <w:lang w:val="fr-FR"/>
        </w:rPr>
        <w:tab/>
      </w:r>
      <w:r w:rsidRPr="00DA3F3B">
        <w:t>Chapitre 3.2, 3.2.1, Liste des marchandises dangereuses, pour le No ONU 3543</w:t>
      </w:r>
      <w:r w:rsidR="00532886">
        <w:t>, colonne (2)</w:t>
      </w:r>
    </w:p>
    <w:p w:rsidR="002203FE" w:rsidRDefault="002203FE" w:rsidP="002203FE">
      <w:pPr>
        <w:pStyle w:val="SingleTxtG"/>
        <w:rPr>
          <w:lang w:val="fr-FR"/>
        </w:rPr>
      </w:pPr>
      <w:r>
        <w:rPr>
          <w:lang w:val="fr-FR"/>
        </w:rPr>
        <w:t>La correction ne s’applique pas au texte français.</w:t>
      </w:r>
    </w:p>
    <w:p w:rsidR="002203FE" w:rsidRPr="008826BA" w:rsidRDefault="002203FE" w:rsidP="008826BA">
      <w:pPr>
        <w:pStyle w:val="SingleTxtG"/>
        <w:spacing w:after="0"/>
        <w:rPr>
          <w:i/>
        </w:rPr>
      </w:pPr>
      <w:r w:rsidRPr="00063C22">
        <w:rPr>
          <w:i/>
        </w:rPr>
        <w:t>(Document de référence</w:t>
      </w:r>
      <w:r>
        <w:rPr>
          <w:i/>
        </w:rPr>
        <w:t> </w:t>
      </w:r>
      <w:r w:rsidRPr="00063C22">
        <w:rPr>
          <w:i/>
        </w:rPr>
        <w:t xml:space="preserve">: </w:t>
      </w:r>
      <w:r w:rsidR="00826DE1">
        <w:rPr>
          <w:i/>
          <w:iCs/>
          <w:lang w:val="fr-FR"/>
        </w:rPr>
        <w:t>ST/SG/AC.10/C.3/104/Add.1</w:t>
      </w:r>
      <w:r w:rsidRPr="00063C22">
        <w:rPr>
          <w:i/>
        </w:rPr>
        <w:t>)</w:t>
      </w:r>
    </w:p>
    <w:p w:rsidR="002203FE" w:rsidRPr="006B0E45" w:rsidRDefault="002203FE" w:rsidP="001560DD">
      <w:pPr>
        <w:pStyle w:val="H1G"/>
        <w:rPr>
          <w:lang w:val="fr-FR"/>
        </w:rPr>
      </w:pPr>
      <w:r w:rsidRPr="006B0E45">
        <w:rPr>
          <w:lang w:val="fr-FR"/>
        </w:rPr>
        <w:lastRenderedPageBreak/>
        <w:tab/>
      </w:r>
      <w:r w:rsidRPr="006B0E45">
        <w:rPr>
          <w:lang w:val="fr-FR"/>
        </w:rPr>
        <w:tab/>
        <w:t>Chapitre 3.3, disposition spéciale 188, alinéa c)</w:t>
      </w:r>
    </w:p>
    <w:p w:rsidR="002203FE" w:rsidRPr="006B0E45" w:rsidRDefault="002203FE" w:rsidP="002203FE">
      <w:pPr>
        <w:pStyle w:val="SingleTxtG"/>
        <w:rPr>
          <w:lang w:val="fr-FR"/>
        </w:rPr>
      </w:pPr>
      <w:r w:rsidRPr="006B0E45">
        <w:rPr>
          <w:i/>
          <w:lang w:val="fr-FR"/>
        </w:rPr>
        <w:t>Au lieu de</w:t>
      </w:r>
      <w:r w:rsidRPr="006B0E45">
        <w:rPr>
          <w:lang w:val="fr-FR"/>
        </w:rPr>
        <w:t xml:space="preserve"> 2.9.4 a) et e) </w:t>
      </w:r>
      <w:r w:rsidRPr="006B0E45">
        <w:rPr>
          <w:i/>
          <w:lang w:val="fr-FR"/>
        </w:rPr>
        <w:t>lire</w:t>
      </w:r>
      <w:r w:rsidRPr="006B0E45">
        <w:rPr>
          <w:lang w:val="fr-FR"/>
        </w:rPr>
        <w:t xml:space="preserve"> 2.9.4 a), e), f) le cas échéant et g)</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47207" w:rsidRDefault="00247207" w:rsidP="00247207">
      <w:pPr>
        <w:pStyle w:val="H1G"/>
      </w:pPr>
      <w:r>
        <w:tab/>
      </w:r>
      <w:r>
        <w:tab/>
        <w:t>Chapitre 3.3, disposition spéciale 251, deuxième paragraphe</w:t>
      </w:r>
    </w:p>
    <w:p w:rsidR="00247207" w:rsidRPr="000659B4" w:rsidRDefault="00247207" w:rsidP="00247207">
      <w:pPr>
        <w:pStyle w:val="SingleTxtG"/>
        <w:rPr>
          <w:lang w:val="fr-FR"/>
        </w:rPr>
      </w:pPr>
      <w:r>
        <w:rPr>
          <w:i/>
          <w:iCs/>
          <w:lang w:val="fr-FR"/>
        </w:rPr>
        <w:t xml:space="preserve">Substituer </w:t>
      </w:r>
      <w:r>
        <w:rPr>
          <w:lang w:val="fr-FR"/>
        </w:rPr>
        <w:t>au texte existant :</w:t>
      </w:r>
    </w:p>
    <w:p w:rsidR="00247207" w:rsidRPr="00367A52" w:rsidRDefault="00247207" w:rsidP="00247207">
      <w:pPr>
        <w:pStyle w:val="SingleTxtG"/>
      </w:pPr>
      <w:r w:rsidRPr="00367A52">
        <w:rPr>
          <w:rFonts w:eastAsia="HelveticaNeueLTPro-Roman;MS Got"/>
        </w:rPr>
        <w:t xml:space="preserve">La quantité totale de marchandises dangereuses par trousse ne doit pas dépasser 1 </w:t>
      </w:r>
      <w:r w:rsidRPr="000659B4">
        <w:rPr>
          <w:rFonts w:eastAsia="UniMath;MS Mincho"/>
          <w:i/>
          <w:iCs/>
        </w:rPr>
        <w:t>l</w:t>
      </w:r>
      <w:r w:rsidRPr="00367A52">
        <w:rPr>
          <w:rFonts w:eastAsia="UniMath;MS Mincho"/>
        </w:rPr>
        <w:t xml:space="preserve"> </w:t>
      </w:r>
      <w:r w:rsidRPr="00367A52">
        <w:rPr>
          <w:rFonts w:eastAsia="HelveticaNeueLTPro-Roman;MS Got"/>
        </w:rPr>
        <w:t xml:space="preserve">ou 1 kg. </w:t>
      </w:r>
    </w:p>
    <w:p w:rsidR="00247207" w:rsidRDefault="00247207" w:rsidP="004F5D8C">
      <w:pPr>
        <w:pStyle w:val="SingleTxtG"/>
        <w:spacing w:after="0"/>
        <w:rPr>
          <w:i/>
          <w:iCs/>
          <w:lang w:val="fr-FR"/>
        </w:rPr>
      </w:pPr>
      <w:r>
        <w:rPr>
          <w:i/>
          <w:iCs/>
          <w:lang w:val="fr-FR"/>
        </w:rPr>
        <w:t xml:space="preserve">(Document de référence : </w:t>
      </w:r>
      <w:r w:rsidR="00826DE1">
        <w:rPr>
          <w:i/>
          <w:iCs/>
          <w:lang w:val="fr-FR"/>
        </w:rPr>
        <w:t>ST/SG/AC.10/C.3/106/Add.1</w:t>
      </w:r>
      <w:r>
        <w:rPr>
          <w:i/>
          <w:iCs/>
          <w:lang w:val="fr-FR"/>
        </w:rPr>
        <w:t>)</w:t>
      </w:r>
    </w:p>
    <w:p w:rsidR="002203FE" w:rsidRPr="006B0E45" w:rsidRDefault="002203FE" w:rsidP="001560DD">
      <w:pPr>
        <w:pStyle w:val="H1G"/>
        <w:rPr>
          <w:lang w:val="fr-FR"/>
        </w:rPr>
      </w:pPr>
      <w:r w:rsidRPr="006B0E45">
        <w:rPr>
          <w:lang w:val="fr-FR"/>
        </w:rPr>
        <w:tab/>
      </w:r>
      <w:r w:rsidRPr="006B0E45">
        <w:rPr>
          <w:lang w:val="fr-FR"/>
        </w:rPr>
        <w:tab/>
        <w:t>Chapitre 3.3, disposition spéciale 301, premier paragraphe, dernière phrase</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i/>
          <w:lang w:val="fr-FR"/>
        </w:rPr>
      </w:pPr>
      <w:r w:rsidRPr="006B0E45">
        <w:rPr>
          <w:iCs/>
          <w:lang w:val="fr-FR"/>
        </w:rPr>
        <w:t>S’il est prescrit que les marchandises dangereuses liquides doivent garder une orientation déterminée, des flèches d’orientation doivent être apposées sur au moins deux faces verticales opposées, les pointes des flèches pointant vers le haut, conformément au 5.2.1.10.1.</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4C48A1" w:rsidRDefault="004C48A1" w:rsidP="004C48A1">
      <w:pPr>
        <w:pStyle w:val="H1G"/>
      </w:pPr>
      <w:r>
        <w:tab/>
      </w:r>
      <w:r>
        <w:tab/>
        <w:t>Chapitre 3.3, disposition spéciale 323</w:t>
      </w:r>
    </w:p>
    <w:p w:rsidR="004C48A1" w:rsidRDefault="004C48A1" w:rsidP="004C48A1">
      <w:pPr>
        <w:pStyle w:val="SingleTxtG"/>
        <w:rPr>
          <w:i/>
          <w:iCs/>
        </w:rPr>
      </w:pPr>
      <w:r>
        <w:rPr>
          <w:i/>
          <w:iCs/>
        </w:rPr>
        <w:t xml:space="preserve">Substituer </w:t>
      </w:r>
      <w:r w:rsidRPr="000659B4">
        <w:t>au texte existant</w:t>
      </w:r>
    </w:p>
    <w:p w:rsidR="004C48A1" w:rsidRDefault="004C48A1" w:rsidP="004C48A1">
      <w:pPr>
        <w:pStyle w:val="SingleTxtG"/>
      </w:pPr>
      <w:r>
        <w:t>323</w:t>
      </w:r>
      <w:r>
        <w:tab/>
        <w:t>Supprimé</w:t>
      </w:r>
    </w:p>
    <w:p w:rsidR="004C48A1" w:rsidRDefault="004C48A1" w:rsidP="004F5D8C">
      <w:pPr>
        <w:pStyle w:val="SingleTxtG"/>
        <w:spacing w:after="0"/>
        <w:rPr>
          <w:i/>
          <w:iCs/>
        </w:rPr>
      </w:pPr>
      <w:r w:rsidRPr="00881E13">
        <w:rPr>
          <w:i/>
          <w:iCs/>
        </w:rPr>
        <w:t>(</w:t>
      </w:r>
      <w:r w:rsidRPr="00881E13">
        <w:rPr>
          <w:i/>
          <w:iCs/>
          <w:lang w:val="fr-FR"/>
        </w:rPr>
        <w:t>Document de référence </w:t>
      </w:r>
      <w:r w:rsidRPr="00881E13">
        <w:rPr>
          <w:i/>
          <w:iCs/>
        </w:rPr>
        <w:t xml:space="preserve">: </w:t>
      </w:r>
      <w:r w:rsidR="00826DE1">
        <w:rPr>
          <w:i/>
          <w:iCs/>
          <w:lang w:val="fr-FR"/>
        </w:rPr>
        <w:t>ST/SG/AC.10/C.3/106/Add.1</w:t>
      </w:r>
      <w:r w:rsidRPr="00881E13">
        <w:rPr>
          <w:i/>
          <w:iCs/>
        </w:rPr>
        <w:t>)</w:t>
      </w:r>
    </w:p>
    <w:p w:rsidR="00CD5940" w:rsidRDefault="00CD5940" w:rsidP="00CD5940">
      <w:pPr>
        <w:pStyle w:val="H1G"/>
      </w:pPr>
      <w:r>
        <w:tab/>
      </w:r>
      <w:r>
        <w:tab/>
        <w:t>Chapitre 3.3, disposition spéciale 341</w:t>
      </w:r>
    </w:p>
    <w:p w:rsidR="00CD5940" w:rsidRDefault="00CD5940" w:rsidP="00CD5940">
      <w:pPr>
        <w:pStyle w:val="SingleTxtG"/>
        <w:rPr>
          <w:color w:val="000000"/>
        </w:rPr>
      </w:pPr>
      <w:r w:rsidRPr="0020220E">
        <w:rPr>
          <w:i/>
          <w:iCs/>
          <w:lang w:val="fr-FR"/>
        </w:rPr>
        <w:t xml:space="preserve">Au lieu </w:t>
      </w:r>
      <w:r w:rsidRPr="00FD26C0">
        <w:rPr>
          <w:lang w:val="fr-FR"/>
        </w:rPr>
        <w:t>du</w:t>
      </w:r>
      <w:r>
        <w:rPr>
          <w:lang w:val="fr-FR"/>
        </w:rPr>
        <w:t xml:space="preserve"> </w:t>
      </w:r>
      <w:r>
        <w:rPr>
          <w:color w:val="000000"/>
        </w:rPr>
        <w:t>m</w:t>
      </w:r>
      <w:r w:rsidRPr="0020220E">
        <w:rPr>
          <w:color w:val="000000"/>
        </w:rPr>
        <w:t>atériel animal</w:t>
      </w:r>
      <w:r>
        <w:rPr>
          <w:i/>
          <w:iCs/>
          <w:color w:val="000000"/>
        </w:rPr>
        <w:t> lire</w:t>
      </w:r>
      <w:r>
        <w:rPr>
          <w:color w:val="000000"/>
        </w:rPr>
        <w:t xml:space="preserve"> de la m</w:t>
      </w:r>
      <w:r w:rsidRPr="0020220E">
        <w:rPr>
          <w:color w:val="000000"/>
        </w:rPr>
        <w:t>atière animale</w:t>
      </w:r>
    </w:p>
    <w:p w:rsidR="00CD5940" w:rsidRPr="006B0E45" w:rsidRDefault="00CD5940" w:rsidP="004F5D8C">
      <w:pPr>
        <w:pStyle w:val="SingleTxtG"/>
        <w:spacing w:after="0"/>
        <w:rPr>
          <w:i/>
          <w:lang w:val="fr-FR"/>
        </w:rPr>
      </w:pPr>
      <w:r>
        <w:rPr>
          <w:i/>
          <w:iCs/>
          <w:lang w:val="fr-FR"/>
        </w:rPr>
        <w:t xml:space="preserve">(Document de référence : </w:t>
      </w:r>
      <w:r w:rsidR="00826DE1">
        <w:rPr>
          <w:i/>
          <w:iCs/>
          <w:lang w:val="fr-FR"/>
        </w:rPr>
        <w:t>ST/SG/AC.10/C.3/106/Add.1</w:t>
      </w:r>
      <w:r>
        <w:rPr>
          <w:i/>
          <w:iCs/>
          <w:lang w:val="fr-FR"/>
        </w:rPr>
        <w:t>)</w:t>
      </w:r>
    </w:p>
    <w:p w:rsidR="002203FE" w:rsidRPr="006B0E45" w:rsidRDefault="002203FE" w:rsidP="001560DD">
      <w:pPr>
        <w:pStyle w:val="H1G"/>
        <w:rPr>
          <w:lang w:val="fr-FR"/>
        </w:rPr>
      </w:pPr>
      <w:r w:rsidRPr="006B0E45">
        <w:rPr>
          <w:lang w:val="fr-FR"/>
        </w:rPr>
        <w:tab/>
      </w:r>
      <w:r w:rsidRPr="006B0E45">
        <w:rPr>
          <w:lang w:val="fr-FR"/>
        </w:rPr>
        <w:tab/>
        <w:t xml:space="preserve">Chapitre 3.3, disposition spéciale 388, dans les deuxième, </w:t>
      </w:r>
      <w:proofErr w:type="gramStart"/>
      <w:r w:rsidRPr="006B0E45">
        <w:rPr>
          <w:lang w:val="fr-FR"/>
        </w:rPr>
        <w:t>troisième et septième paragraphes</w:t>
      </w:r>
      <w:proofErr w:type="gramEnd"/>
    </w:p>
    <w:p w:rsidR="002203FE" w:rsidRPr="006B0E45" w:rsidRDefault="002203FE" w:rsidP="002203FE">
      <w:pPr>
        <w:pStyle w:val="SingleTxtG"/>
        <w:rPr>
          <w:lang w:val="fr-FR"/>
        </w:rPr>
      </w:pPr>
      <w:r w:rsidRPr="006B0E45">
        <w:rPr>
          <w:i/>
          <w:lang w:val="fr-FR"/>
        </w:rPr>
        <w:t>Au lieu de</w:t>
      </w:r>
      <w:r w:rsidRPr="006B0E45">
        <w:rPr>
          <w:lang w:val="fr-FR"/>
        </w:rPr>
        <w:t xml:space="preserve"> expédiés sous les rubriques </w:t>
      </w:r>
      <w:r w:rsidRPr="006B0E45">
        <w:rPr>
          <w:i/>
          <w:lang w:val="fr-FR"/>
        </w:rPr>
        <w:t>lire</w:t>
      </w:r>
      <w:r w:rsidRPr="006B0E45">
        <w:rPr>
          <w:lang w:val="fr-FR"/>
        </w:rPr>
        <w:t xml:space="preserve"> affectés aux rubriques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3.3, disposition spéciale 388, dans le quatrième paragraphe</w:t>
      </w:r>
    </w:p>
    <w:p w:rsidR="002203FE" w:rsidRPr="006B0E45" w:rsidRDefault="002203FE" w:rsidP="002203FE">
      <w:pPr>
        <w:pStyle w:val="SingleTxtG"/>
        <w:rPr>
          <w:lang w:val="fr-FR"/>
        </w:rPr>
      </w:pPr>
      <w:r w:rsidRPr="006B0E45">
        <w:rPr>
          <w:i/>
          <w:lang w:val="fr-FR"/>
        </w:rPr>
        <w:t xml:space="preserve">Au lieu </w:t>
      </w:r>
      <w:proofErr w:type="gramStart"/>
      <w:r w:rsidRPr="006B0E45">
        <w:rPr>
          <w:i/>
          <w:lang w:val="fr-FR"/>
        </w:rPr>
        <w:t>de</w:t>
      </w:r>
      <w:r w:rsidRPr="006B0E45">
        <w:rPr>
          <w:lang w:val="fr-FR"/>
        </w:rPr>
        <w:t xml:space="preserve"> expédié</w:t>
      </w:r>
      <w:proofErr w:type="gramEnd"/>
      <w:r w:rsidRPr="006B0E45">
        <w:rPr>
          <w:lang w:val="fr-FR"/>
        </w:rPr>
        <w:t xml:space="preserve"> sous la rubrique </w:t>
      </w:r>
      <w:r w:rsidRPr="006B0E45">
        <w:rPr>
          <w:i/>
          <w:lang w:val="fr-FR"/>
        </w:rPr>
        <w:t>lire</w:t>
      </w:r>
      <w:r w:rsidRPr="006B0E45">
        <w:rPr>
          <w:lang w:val="fr-FR"/>
        </w:rPr>
        <w:t xml:space="preserve"> affecté à la rubrique</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CD5940" w:rsidRDefault="00CD5940" w:rsidP="00CD5940">
      <w:pPr>
        <w:pStyle w:val="H1G"/>
      </w:pPr>
      <w:r>
        <w:lastRenderedPageBreak/>
        <w:tab/>
      </w:r>
      <w:r>
        <w:tab/>
        <w:t>Chapitre 3.3, disposition spéciale 388, quatrième paragraphe</w:t>
      </w:r>
    </w:p>
    <w:p w:rsidR="00CD5940" w:rsidRDefault="00CD5940" w:rsidP="00CD5940">
      <w:pPr>
        <w:pStyle w:val="SingleTxtG"/>
        <w:rPr>
          <w:rFonts w:eastAsia="HelveticaNeueLTPro-Roman;MS Got"/>
          <w:shd w:val="clear" w:color="auto" w:fill="FFFFFF"/>
        </w:rPr>
      </w:pPr>
      <w:r w:rsidRPr="00D64EFB">
        <w:rPr>
          <w:rFonts w:eastAsia="HelveticaNeueLTPro-Roman;MS Got"/>
          <w:i/>
          <w:iCs/>
          <w:shd w:val="clear" w:color="auto" w:fill="FFFFFF"/>
        </w:rPr>
        <w:t>Substituer</w:t>
      </w:r>
      <w:r>
        <w:rPr>
          <w:rFonts w:eastAsia="HelveticaNeueLTPro-Roman;MS Got"/>
          <w:shd w:val="clear" w:color="auto" w:fill="FFFFFF"/>
        </w:rPr>
        <w:t xml:space="preserve"> au texte existant :</w:t>
      </w:r>
    </w:p>
    <w:p w:rsidR="00CD5940" w:rsidRDefault="00CD5940" w:rsidP="00CD5940">
      <w:pPr>
        <w:pStyle w:val="SingleTxtG"/>
        <w:rPr>
          <w:rFonts w:eastAsia="HelveticaNeueLTPro-Roman;MS Got"/>
          <w:shd w:val="clear" w:color="auto" w:fill="FFFFFF"/>
        </w:rPr>
      </w:pPr>
      <w:r w:rsidRPr="00367A52">
        <w:rPr>
          <w:rFonts w:eastAsia="HelveticaNeueLTPro-Roman;MS Got"/>
          <w:shd w:val="clear" w:color="auto" w:fill="FFFFFF"/>
        </w:rPr>
        <w:t>Si un véhicule est propulsé par un moteur à combustion interne fonctionnant au liquide inflammable et au gaz inflammable il doit être affecté à la rubrique ONU 3166 VÉHICULE A PROPULSION PAR GAZ INFLAMMABLE</w:t>
      </w:r>
      <w:r>
        <w:rPr>
          <w:rFonts w:eastAsia="HelveticaNeueLTPro-Roman;MS Got"/>
          <w:shd w:val="clear" w:color="auto" w:fill="FFFFFF"/>
        </w:rPr>
        <w:t>.</w:t>
      </w:r>
      <w:r w:rsidRPr="00367A52">
        <w:rPr>
          <w:rFonts w:eastAsia="HelveticaNeueLTPro-Roman;MS Got"/>
          <w:shd w:val="clear" w:color="auto" w:fill="FFFFFF"/>
        </w:rPr>
        <w:t> </w:t>
      </w:r>
    </w:p>
    <w:p w:rsidR="00CD5940" w:rsidRPr="006B0E45" w:rsidRDefault="00CD5940" w:rsidP="004F5D8C">
      <w:pPr>
        <w:pStyle w:val="SingleTxtG"/>
        <w:spacing w:after="0"/>
        <w:rPr>
          <w:i/>
          <w:lang w:val="fr-FR"/>
        </w:rPr>
      </w:pPr>
      <w:r w:rsidRPr="009B4779">
        <w:rPr>
          <w:i/>
          <w:iCs/>
        </w:rPr>
        <w:t xml:space="preserve">(Document de référence : </w:t>
      </w:r>
      <w:r w:rsidR="00826DE1">
        <w:rPr>
          <w:i/>
          <w:iCs/>
          <w:lang w:val="fr-FR"/>
        </w:rPr>
        <w:t>ST/SG/AC.10/C.3/106/Add.1</w:t>
      </w:r>
      <w:r w:rsidRPr="009B4779">
        <w:rPr>
          <w:i/>
          <w:iCs/>
        </w:rPr>
        <w:t>)</w:t>
      </w:r>
    </w:p>
    <w:p w:rsidR="002203FE" w:rsidRPr="006B0E45" w:rsidRDefault="002203FE" w:rsidP="001560DD">
      <w:pPr>
        <w:pStyle w:val="H1G"/>
        <w:rPr>
          <w:lang w:val="fr-FR"/>
        </w:rPr>
      </w:pPr>
      <w:r w:rsidRPr="006B0E45">
        <w:rPr>
          <w:lang w:val="fr-FR"/>
        </w:rPr>
        <w:tab/>
      </w:r>
      <w:r w:rsidRPr="006B0E45">
        <w:rPr>
          <w:lang w:val="fr-FR"/>
        </w:rPr>
        <w:tab/>
        <w:t>Chapitre 3.3, disposition spéciale 389, premier paragraphe</w:t>
      </w:r>
    </w:p>
    <w:p w:rsidR="002203FE" w:rsidRPr="006B0E45" w:rsidRDefault="002203FE" w:rsidP="002203FE">
      <w:pPr>
        <w:pStyle w:val="SingleTxtG"/>
        <w:rPr>
          <w:lang w:val="fr-FR"/>
        </w:rPr>
      </w:pPr>
      <w:r w:rsidRPr="006B0E45">
        <w:rPr>
          <w:i/>
          <w:lang w:val="fr-FR"/>
        </w:rPr>
        <w:t>Au lieu de</w:t>
      </w:r>
      <w:r w:rsidRPr="006B0E45">
        <w:rPr>
          <w:lang w:val="fr-FR"/>
        </w:rPr>
        <w:t xml:space="preserve"> 2.9.4 a) à e) </w:t>
      </w:r>
      <w:r w:rsidRPr="006B0E45">
        <w:rPr>
          <w:i/>
          <w:lang w:val="fr-FR"/>
        </w:rPr>
        <w:t>lire</w:t>
      </w:r>
      <w:r w:rsidRPr="006B0E45">
        <w:rPr>
          <w:lang w:val="fr-FR"/>
        </w:rPr>
        <w:t xml:space="preserve"> 2.9.4 a) à g)</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3.3, disposition spéciale 392, dans le tableau, pour le Règlement ECE No 110, dans la deuxième colonne</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lang w:val="fr-FR"/>
        </w:rPr>
      </w:pPr>
      <w:r w:rsidRPr="006B0E45">
        <w:rPr>
          <w:lang w:val="fr-FR"/>
        </w:rPr>
        <w:t xml:space="preserve">Prescriptions uniformes relatives à </w:t>
      </w:r>
      <w:proofErr w:type="gramStart"/>
      <w:r w:rsidRPr="006B0E45">
        <w:rPr>
          <w:lang w:val="fr-FR"/>
        </w:rPr>
        <w:t>l’homologation:</w:t>
      </w:r>
      <w:proofErr w:type="gramEnd"/>
      <w:r w:rsidRPr="006B0E45">
        <w:rPr>
          <w:lang w:val="fr-FR"/>
        </w:rPr>
        <w:t xml:space="preserve"> </w:t>
      </w:r>
    </w:p>
    <w:p w:rsidR="002203FE" w:rsidRPr="006B0E45" w:rsidRDefault="002203FE" w:rsidP="002203FE">
      <w:pPr>
        <w:pStyle w:val="SingleTxtG"/>
        <w:numPr>
          <w:ilvl w:val="0"/>
          <w:numId w:val="5"/>
        </w:numPr>
        <w:rPr>
          <w:lang w:val="fr-FR"/>
        </w:rPr>
      </w:pPr>
      <w:r w:rsidRPr="006B0E45">
        <w:rPr>
          <w:lang w:val="fr-FR"/>
        </w:rPr>
        <w:t xml:space="preserve">Des organes spéciaux pour l’alimentation du moteur au gaz naturel comprimé (GNC) et/ou au gaz naturel liquéfié (GNL) sur les </w:t>
      </w:r>
      <w:proofErr w:type="gramStart"/>
      <w:r w:rsidRPr="006B0E45">
        <w:rPr>
          <w:lang w:val="fr-FR"/>
        </w:rPr>
        <w:t>véhicules;</w:t>
      </w:r>
      <w:proofErr w:type="gramEnd"/>
      <w:r w:rsidRPr="006B0E45">
        <w:rPr>
          <w:lang w:val="fr-FR"/>
        </w:rPr>
        <w:t xml:space="preserve"> </w:t>
      </w:r>
    </w:p>
    <w:p w:rsidR="002203FE" w:rsidRPr="006B0E45" w:rsidRDefault="002203FE" w:rsidP="002203FE">
      <w:pPr>
        <w:pStyle w:val="SingleTxtG"/>
        <w:numPr>
          <w:ilvl w:val="0"/>
          <w:numId w:val="5"/>
        </w:numPr>
        <w:rPr>
          <w:i/>
          <w:lang w:val="fr-FR"/>
        </w:rPr>
      </w:pPr>
      <w:r w:rsidRPr="006B0E45">
        <w:rPr>
          <w:lang w:val="fr-FR"/>
        </w:rPr>
        <w:t>Des véhicules munis d’organes spéciaux d’un type homologué pour l’alimentation du moteur au gaz naturel comprimé (GNC) et/ou au gaz naturel liquéfié (GNL) en ce qui concerne l’installation de ces organes</w:t>
      </w:r>
      <w:r w:rsidRPr="006B0E45">
        <w:rPr>
          <w:i/>
          <w:lang w:val="fr-FR"/>
        </w:rPr>
        <w:t xml:space="preserve"> </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DA3F3B" w:rsidRDefault="002203FE" w:rsidP="001560DD">
      <w:pPr>
        <w:pStyle w:val="H1G"/>
      </w:pPr>
      <w:r>
        <w:tab/>
      </w:r>
      <w:r>
        <w:tab/>
      </w:r>
      <w:r w:rsidRPr="00DA3F3B">
        <w:t>Chapitre 3.3, disposition spéciale 392 c), dans la deuxième phrase, après « toutes les ouvertures »</w:t>
      </w:r>
    </w:p>
    <w:p w:rsidR="002203FE" w:rsidRDefault="002203FE" w:rsidP="002203FE">
      <w:pPr>
        <w:pStyle w:val="SingleTxtG"/>
        <w:rPr>
          <w:lang w:val="fr-FR"/>
        </w:rPr>
      </w:pPr>
      <w:r w:rsidRPr="00D33B26">
        <w:rPr>
          <w:lang w:val="fr-FR"/>
        </w:rPr>
        <w:t>Insérer</w:t>
      </w:r>
      <w:r>
        <w:rPr>
          <w:lang w:val="fr-FR"/>
        </w:rPr>
        <w:t xml:space="preserve"> une virgule</w:t>
      </w:r>
    </w:p>
    <w:p w:rsidR="002203FE" w:rsidRDefault="002203FE" w:rsidP="002203FE">
      <w:pPr>
        <w:pStyle w:val="SingleTxtG"/>
        <w:rPr>
          <w:i/>
        </w:rPr>
      </w:pPr>
      <w:r w:rsidRPr="00063C22">
        <w:rPr>
          <w:i/>
        </w:rPr>
        <w:t>(Document de référence</w:t>
      </w:r>
      <w:r>
        <w:rPr>
          <w:i/>
        </w:rPr>
        <w:t> </w:t>
      </w:r>
      <w:r w:rsidRPr="00063C22">
        <w:rPr>
          <w:i/>
        </w:rPr>
        <w:t xml:space="preserve">: </w:t>
      </w:r>
      <w:r w:rsidR="00826DE1">
        <w:rPr>
          <w:i/>
          <w:iCs/>
          <w:lang w:val="fr-FR"/>
        </w:rPr>
        <w:t>ST/SG/AC.10/C.3/104/Add.1</w:t>
      </w:r>
      <w:r w:rsidRPr="00063C22">
        <w:rPr>
          <w:i/>
        </w:rPr>
        <w:t>)</w:t>
      </w:r>
    </w:p>
    <w:p w:rsidR="002203FE" w:rsidRDefault="002203FE" w:rsidP="001560DD">
      <w:pPr>
        <w:pStyle w:val="H1G"/>
        <w:rPr>
          <w:lang w:val="fr-FR"/>
        </w:rPr>
      </w:pPr>
      <w:r w:rsidRPr="006B0E45">
        <w:rPr>
          <w:lang w:val="fr-FR"/>
        </w:rPr>
        <w:tab/>
      </w:r>
      <w:r w:rsidRPr="006B0E45">
        <w:rPr>
          <w:lang w:val="fr-FR"/>
        </w:rPr>
        <w:tab/>
      </w:r>
      <w:r w:rsidRPr="00DA3F3B">
        <w:t>Index alphabétique</w:t>
      </w:r>
    </w:p>
    <w:p w:rsidR="002203FE" w:rsidRDefault="002203FE" w:rsidP="002203FE">
      <w:pPr>
        <w:pStyle w:val="SingleTxtG"/>
        <w:rPr>
          <w:lang w:val="fr-FR"/>
        </w:rPr>
      </w:pPr>
      <w:r>
        <w:rPr>
          <w:lang w:val="fr-FR"/>
        </w:rPr>
        <w:t>La correction ne s’applique pas au texte français</w:t>
      </w:r>
    </w:p>
    <w:p w:rsidR="002203FE" w:rsidRPr="00CD5940" w:rsidRDefault="002203FE" w:rsidP="004F5D8C">
      <w:pPr>
        <w:pStyle w:val="SingleTxtG"/>
        <w:spacing w:after="0"/>
        <w:rPr>
          <w:i/>
        </w:rPr>
      </w:pPr>
      <w:r w:rsidRPr="00063C22">
        <w:rPr>
          <w:i/>
        </w:rPr>
        <w:t>(Document de référence</w:t>
      </w:r>
      <w:r>
        <w:rPr>
          <w:i/>
        </w:rPr>
        <w:t> </w:t>
      </w:r>
      <w:r w:rsidRPr="00063C22">
        <w:rPr>
          <w:i/>
        </w:rPr>
        <w:t xml:space="preserve">: </w:t>
      </w:r>
      <w:r w:rsidR="00826DE1">
        <w:rPr>
          <w:i/>
          <w:iCs/>
          <w:lang w:val="fr-FR"/>
        </w:rPr>
        <w:t>ST/SG/AC.10/C.3/104/Add.1</w:t>
      </w:r>
      <w:r w:rsidRPr="00063C22">
        <w:rPr>
          <w:i/>
        </w:rPr>
        <w:t>)</w:t>
      </w:r>
    </w:p>
    <w:p w:rsidR="00CD5940" w:rsidRDefault="00CD5940" w:rsidP="00CD5940">
      <w:pPr>
        <w:pStyle w:val="H1G"/>
        <w:rPr>
          <w:rFonts w:eastAsia="HelveticaNeueLTPro-Roman;MS Got"/>
          <w:shd w:val="clear" w:color="auto" w:fill="FFFFFF"/>
        </w:rPr>
      </w:pPr>
      <w:r>
        <w:rPr>
          <w:rFonts w:eastAsia="HelveticaNeueLTPro-Roman;MS Got"/>
          <w:shd w:val="clear" w:color="auto" w:fill="FFFFFF"/>
        </w:rPr>
        <w:tab/>
      </w:r>
      <w:r>
        <w:rPr>
          <w:rFonts w:eastAsia="HelveticaNeueLTPro-Roman;MS Got"/>
          <w:shd w:val="clear" w:color="auto" w:fill="FFFFFF"/>
        </w:rPr>
        <w:tab/>
        <w:t xml:space="preserve">Chapitre 4.1, </w:t>
      </w:r>
      <w:r w:rsidRPr="00953187">
        <w:rPr>
          <w:rFonts w:eastAsia="HelveticaNeueLTPro-Roman;MS Got"/>
          <w:shd w:val="clear" w:color="auto" w:fill="FFFFFF"/>
        </w:rPr>
        <w:t>instruction</w:t>
      </w:r>
      <w:r>
        <w:rPr>
          <w:rFonts w:eastAsia="HelveticaNeueLTPro-Roman;MS Got"/>
          <w:shd w:val="clear" w:color="auto" w:fill="FFFFFF"/>
        </w:rPr>
        <w:t xml:space="preserve"> d’emballage P006, 3) c)</w:t>
      </w:r>
    </w:p>
    <w:p w:rsidR="00CD5940" w:rsidRDefault="00CD5940" w:rsidP="00CD5940">
      <w:pPr>
        <w:pStyle w:val="SingleTxtG"/>
        <w:rPr>
          <w:rFonts w:eastAsia="HelveticaNeueLTPro-Roman;MS Got"/>
          <w:shd w:val="clear" w:color="auto" w:fill="FFFFFF"/>
        </w:rPr>
      </w:pPr>
      <w:r w:rsidRPr="00F82D0B">
        <w:rPr>
          <w:rFonts w:eastAsia="HelveticaNeueLTPro-Roman;MS Got"/>
          <w:i/>
          <w:iCs/>
          <w:shd w:val="clear" w:color="auto" w:fill="FFFFFF"/>
        </w:rPr>
        <w:t>Au lieu de</w:t>
      </w:r>
      <w:r>
        <w:rPr>
          <w:rFonts w:eastAsia="HelveticaNeueLTPro-Roman;MS Got"/>
          <w:shd w:val="clear" w:color="auto" w:fill="FFFFFF"/>
        </w:rPr>
        <w:t xml:space="preserve"> Toute fuite du contenu ne doit pas altérer </w:t>
      </w:r>
      <w:r w:rsidRPr="00F82D0B">
        <w:rPr>
          <w:rFonts w:eastAsia="HelveticaNeueLTPro-Roman;MS Got"/>
          <w:i/>
          <w:iCs/>
          <w:shd w:val="clear" w:color="auto" w:fill="FFFFFF"/>
        </w:rPr>
        <w:t>lire</w:t>
      </w:r>
      <w:r>
        <w:rPr>
          <w:rFonts w:eastAsia="HelveticaNeueLTPro-Roman;MS Got"/>
          <w:shd w:val="clear" w:color="auto" w:fill="FFFFFF"/>
        </w:rPr>
        <w:t xml:space="preserve"> Aucune fuite du contenu ne doit altérer</w:t>
      </w:r>
    </w:p>
    <w:p w:rsidR="00CD5940" w:rsidRDefault="00CD5940" w:rsidP="004F5D8C">
      <w:pPr>
        <w:pStyle w:val="SingleTxtG"/>
        <w:spacing w:after="0"/>
        <w:rPr>
          <w:i/>
          <w:iCs/>
        </w:rPr>
      </w:pPr>
      <w:r w:rsidRPr="009B4779">
        <w:rPr>
          <w:i/>
          <w:iCs/>
        </w:rPr>
        <w:t xml:space="preserve">(Document de référence : </w:t>
      </w:r>
      <w:r w:rsidR="00826DE1">
        <w:rPr>
          <w:i/>
          <w:iCs/>
          <w:lang w:val="fr-FR"/>
        </w:rPr>
        <w:t>ST/SG/AC.10/C.3/106/Add.1</w:t>
      </w:r>
      <w:r w:rsidRPr="009B4779">
        <w:rPr>
          <w:i/>
          <w:iCs/>
        </w:rPr>
        <w:t>)</w:t>
      </w:r>
    </w:p>
    <w:p w:rsidR="00CD5940" w:rsidRPr="006B0E45" w:rsidRDefault="00CD5940" w:rsidP="00CD5940">
      <w:pPr>
        <w:pStyle w:val="H1G"/>
        <w:rPr>
          <w:lang w:val="fr-FR"/>
        </w:rPr>
      </w:pPr>
      <w:r>
        <w:rPr>
          <w:lang w:val="fr-FR"/>
        </w:rPr>
        <w:lastRenderedPageBreak/>
        <w:tab/>
      </w:r>
      <w:r>
        <w:rPr>
          <w:lang w:val="fr-FR"/>
        </w:rPr>
        <w:tab/>
      </w:r>
      <w:r w:rsidRPr="006B0E45">
        <w:rPr>
          <w:lang w:val="fr-FR"/>
        </w:rPr>
        <w:t>Chapitre 4.1, 4.1.4.1, instruction d’emballage P200, 3) a), 3) b), 3) b) i) et 3) d)</w:t>
      </w:r>
    </w:p>
    <w:p w:rsidR="00CD5940" w:rsidRPr="006B0E45" w:rsidRDefault="00CD5940" w:rsidP="00CD5940">
      <w:pPr>
        <w:pStyle w:val="SingleTxtG"/>
        <w:rPr>
          <w:lang w:val="fr-FR"/>
        </w:rPr>
      </w:pPr>
      <w:r w:rsidRPr="006B0E45">
        <w:rPr>
          <w:i/>
          <w:lang w:val="fr-FR"/>
        </w:rPr>
        <w:t xml:space="preserve">Au lieu de </w:t>
      </w:r>
      <w:r w:rsidRPr="006B0E45">
        <w:rPr>
          <w:lang w:val="fr-FR"/>
        </w:rPr>
        <w:t xml:space="preserve">4) </w:t>
      </w:r>
      <w:r w:rsidRPr="006B0E45">
        <w:rPr>
          <w:i/>
          <w:lang w:val="fr-FR"/>
        </w:rPr>
        <w:t>lire</w:t>
      </w:r>
      <w:r w:rsidRPr="006B0E45">
        <w:rPr>
          <w:lang w:val="fr-FR"/>
        </w:rPr>
        <w:t xml:space="preserve"> 5)</w:t>
      </w:r>
    </w:p>
    <w:p w:rsidR="00CD5940" w:rsidRDefault="00CD5940"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B747DC" w:rsidRPr="006B0E45" w:rsidRDefault="00B747DC" w:rsidP="00B747DC">
      <w:pPr>
        <w:pStyle w:val="H1G"/>
        <w:rPr>
          <w:lang w:val="fr-FR"/>
        </w:rPr>
      </w:pPr>
      <w:r>
        <w:rPr>
          <w:lang w:val="fr-FR"/>
        </w:rPr>
        <w:tab/>
      </w:r>
      <w:r>
        <w:rPr>
          <w:lang w:val="fr-FR"/>
        </w:rPr>
        <w:tab/>
      </w:r>
      <w:r w:rsidRPr="006B0E45">
        <w:rPr>
          <w:lang w:val="fr-FR"/>
        </w:rPr>
        <w:t>Chapitre 4.1, 4.1.4.1, P410, note d du tableau</w:t>
      </w:r>
    </w:p>
    <w:p w:rsidR="00B747DC" w:rsidRPr="006B0E45" w:rsidRDefault="00B747DC" w:rsidP="00B747DC">
      <w:pPr>
        <w:pStyle w:val="SingleTxtG"/>
        <w:rPr>
          <w:lang w:val="fr-FR"/>
        </w:rPr>
      </w:pPr>
      <w:r w:rsidRPr="006B0E45">
        <w:rPr>
          <w:i/>
          <w:lang w:val="fr-FR"/>
        </w:rPr>
        <w:t>Substituer</w:t>
      </w:r>
      <w:r w:rsidRPr="006B0E45">
        <w:rPr>
          <w:lang w:val="fr-FR"/>
        </w:rPr>
        <w:t xml:space="preserve"> au texte existant</w:t>
      </w:r>
    </w:p>
    <w:p w:rsidR="00B747DC" w:rsidRPr="006B0E45" w:rsidRDefault="00B747DC" w:rsidP="00B747DC">
      <w:pPr>
        <w:pStyle w:val="SingleTxtG"/>
        <w:rPr>
          <w:i/>
          <w:iCs/>
          <w:lang w:val="fr-FR"/>
        </w:rPr>
      </w:pPr>
      <w:proofErr w:type="gramStart"/>
      <w:r w:rsidRPr="006B0E45">
        <w:rPr>
          <w:b/>
          <w:iCs/>
          <w:vertAlign w:val="superscript"/>
          <w:lang w:val="fr-FR"/>
        </w:rPr>
        <w:t>d</w:t>
      </w:r>
      <w:proofErr w:type="gramEnd"/>
      <w:r w:rsidRPr="006B0E45">
        <w:rPr>
          <w:iCs/>
          <w:lang w:val="fr-FR"/>
        </w:rPr>
        <w:tab/>
      </w:r>
      <w:r w:rsidRPr="006B0E45">
        <w:rPr>
          <w:i/>
          <w:iCs/>
          <w:lang w:val="fr-FR"/>
        </w:rPr>
        <w:t>Ces emballages ne peuvent être utilisés pour les matières du groupe d’emballage II que</w:t>
      </w:r>
      <w:r w:rsidRPr="006B0E45">
        <w:rPr>
          <w:i/>
          <w:iCs/>
          <w:color w:val="FF0000"/>
          <w:lang w:val="fr-FR"/>
        </w:rPr>
        <w:t xml:space="preserve"> </w:t>
      </w:r>
      <w:r w:rsidRPr="006B0E45">
        <w:rPr>
          <w:i/>
          <w:iCs/>
          <w:lang w:val="fr-FR"/>
        </w:rPr>
        <w:t>lorsqu’ils sont transportés dans un engin de transport fermé.</w:t>
      </w:r>
    </w:p>
    <w:p w:rsidR="00B747DC" w:rsidRPr="006B0E45" w:rsidRDefault="00B747DC" w:rsidP="00B747D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P520, PP94, 4.</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P520, PP95, 5.</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P907, après la ligne de titre</w:t>
      </w:r>
    </w:p>
    <w:p w:rsidR="002203FE" w:rsidRPr="006B0E45" w:rsidRDefault="002203FE" w:rsidP="002203FE">
      <w:pPr>
        <w:pStyle w:val="SingleTxtG"/>
        <w:rPr>
          <w:lang w:val="fr-FR"/>
        </w:rPr>
      </w:pPr>
      <w:r w:rsidRPr="006B0E45">
        <w:rPr>
          <w:i/>
          <w:lang w:val="fr-FR"/>
        </w:rPr>
        <w:t xml:space="preserve">Insérer </w:t>
      </w:r>
      <w:r w:rsidRPr="006B0E45">
        <w:rPr>
          <w:lang w:val="fr-FR"/>
        </w:rPr>
        <w:t>la nouvelle ligne suivante</w:t>
      </w:r>
    </w:p>
    <w:tbl>
      <w:tblPr>
        <w:tblW w:w="6480" w:type="dxa"/>
        <w:tblInd w:w="1160" w:type="dxa"/>
        <w:tblLayout w:type="fixed"/>
        <w:tblCellMar>
          <w:left w:w="56" w:type="dxa"/>
          <w:right w:w="56" w:type="dxa"/>
        </w:tblCellMar>
        <w:tblLook w:val="04A0" w:firstRow="1" w:lastRow="0" w:firstColumn="1" w:lastColumn="0" w:noHBand="0" w:noVBand="1"/>
      </w:tblPr>
      <w:tblGrid>
        <w:gridCol w:w="6480"/>
      </w:tblGrid>
      <w:tr w:rsidR="002203FE" w:rsidRPr="006B0E45" w:rsidTr="009E036D">
        <w:trPr>
          <w:trHeight w:val="131"/>
        </w:trPr>
        <w:tc>
          <w:tcPr>
            <w:tcW w:w="6480" w:type="dxa"/>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rsidR="002203FE" w:rsidRPr="006B0E45" w:rsidRDefault="002203FE" w:rsidP="006100A8">
            <w:pPr>
              <w:rPr>
                <w:lang w:val="fr-FR"/>
              </w:rPr>
            </w:pPr>
            <w:r w:rsidRPr="006B0E45">
              <w:rPr>
                <w:iCs/>
                <w:lang w:val="fr-FR"/>
              </w:rPr>
              <w:t>Cette instruction s’applique au No ONU 3363.</w:t>
            </w:r>
          </w:p>
        </w:tc>
      </w:tr>
    </w:tbl>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DA3F3B" w:rsidRDefault="002203FE" w:rsidP="001560DD">
      <w:pPr>
        <w:pStyle w:val="H1G"/>
      </w:pPr>
      <w:r>
        <w:tab/>
      </w:r>
      <w:r>
        <w:tab/>
      </w:r>
      <w:r w:rsidRPr="00DA3F3B">
        <w:t>Chapitre 4.1, 4.1.4.1, instruction d’emballage P907</w:t>
      </w:r>
    </w:p>
    <w:p w:rsidR="002203FE" w:rsidRDefault="002203FE" w:rsidP="002203FE">
      <w:pPr>
        <w:pStyle w:val="SingleTxtG"/>
        <w:rPr>
          <w:lang w:val="fr-FR"/>
        </w:rPr>
      </w:pPr>
      <w:r>
        <w:rPr>
          <w:lang w:val="fr-FR"/>
        </w:rPr>
        <w:t>La correction ne s’applique pas au texte français</w:t>
      </w:r>
    </w:p>
    <w:p w:rsidR="002203FE" w:rsidRDefault="002203FE" w:rsidP="004F5D8C">
      <w:pPr>
        <w:pStyle w:val="SingleTxtG"/>
        <w:spacing w:after="0"/>
        <w:rPr>
          <w:i/>
        </w:rPr>
      </w:pPr>
      <w:r w:rsidRPr="00063C22">
        <w:rPr>
          <w:i/>
        </w:rPr>
        <w:t>(Document de référence</w:t>
      </w:r>
      <w:r>
        <w:rPr>
          <w:i/>
        </w:rPr>
        <w:t> </w:t>
      </w:r>
      <w:r w:rsidRPr="00063C22">
        <w:rPr>
          <w:i/>
        </w:rPr>
        <w:t xml:space="preserve">: </w:t>
      </w:r>
      <w:r w:rsidR="00826DE1">
        <w:rPr>
          <w:i/>
          <w:iCs/>
          <w:lang w:val="fr-FR"/>
        </w:rPr>
        <w:t>ST/SG/AC.10/C.3/104/Add.1</w:t>
      </w:r>
      <w:r w:rsidRPr="00063C22">
        <w:rPr>
          <w:i/>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P911, 1)</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P911, 1) b)</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lastRenderedPageBreak/>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P911, 1) c)</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P911, note de bas a du tableau, dernière phrase de l’alinéa b)</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P911, note de bas a du tableau, au début de l’alinéa c)</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P911, note de bas a du tableau, alinéa e)</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4.1.4.1, instruction d’emballage P911, note de bas a du tableau, alinéa h)</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lang w:val="fr-FR"/>
        </w:rPr>
      </w:pPr>
      <w:r w:rsidRPr="006B0E45">
        <w:rPr>
          <w:lang w:val="fr-FR"/>
        </w:rPr>
        <w:t xml:space="preserve">h) </w:t>
      </w:r>
      <w:r w:rsidRPr="006B0E45">
        <w:rPr>
          <w:lang w:val="fr-FR"/>
        </w:rPr>
        <w:tab/>
        <w:t>Ces scénarios doivent être évalués sur une période suffisamment longue pour permettre l'apparition de toutes les conséquences possibles (par exemple, 24 heures).</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B747DC" w:rsidRDefault="00B747DC" w:rsidP="00B747DC">
      <w:pPr>
        <w:pStyle w:val="H1G"/>
        <w:rPr>
          <w:rFonts w:eastAsia="HelveticaNeueLTPro-Roman;MS Got"/>
          <w:shd w:val="clear" w:color="auto" w:fill="FFFFFF"/>
        </w:rPr>
      </w:pPr>
      <w:r>
        <w:rPr>
          <w:rFonts w:eastAsia="HelveticaNeueLTPro-Roman;MS Got"/>
          <w:shd w:val="clear" w:color="auto" w:fill="FFFFFF"/>
        </w:rPr>
        <w:tab/>
      </w:r>
      <w:r>
        <w:rPr>
          <w:rFonts w:eastAsia="HelveticaNeueLTPro-Roman;MS Got"/>
          <w:shd w:val="clear" w:color="auto" w:fill="FFFFFF"/>
        </w:rPr>
        <w:tab/>
        <w:t>Chapitre 4.1, instructions d’emballage LP03, 2) c)</w:t>
      </w:r>
    </w:p>
    <w:p w:rsidR="00B747DC" w:rsidRDefault="00B747DC" w:rsidP="00B747DC">
      <w:pPr>
        <w:pStyle w:val="SingleTxtG"/>
        <w:rPr>
          <w:rFonts w:eastAsia="HelveticaNeueLTPro-Roman;MS Got"/>
          <w:shd w:val="clear" w:color="auto" w:fill="FFFFFF"/>
        </w:rPr>
      </w:pPr>
      <w:r w:rsidRPr="00F82D0B">
        <w:rPr>
          <w:rFonts w:eastAsia="HelveticaNeueLTPro-Roman;MS Got"/>
          <w:i/>
          <w:iCs/>
          <w:shd w:val="clear" w:color="auto" w:fill="FFFFFF"/>
        </w:rPr>
        <w:t>Au lieu de</w:t>
      </w:r>
      <w:r>
        <w:rPr>
          <w:rFonts w:eastAsia="HelveticaNeueLTPro-Roman;MS Got"/>
          <w:shd w:val="clear" w:color="auto" w:fill="FFFFFF"/>
        </w:rPr>
        <w:t xml:space="preserve"> Toute fuite du contenu ne doit pas altérer </w:t>
      </w:r>
      <w:r w:rsidRPr="00F82D0B">
        <w:rPr>
          <w:rFonts w:eastAsia="HelveticaNeueLTPro-Roman;MS Got"/>
          <w:i/>
          <w:iCs/>
          <w:shd w:val="clear" w:color="auto" w:fill="FFFFFF"/>
        </w:rPr>
        <w:t>lire</w:t>
      </w:r>
      <w:r>
        <w:rPr>
          <w:rFonts w:eastAsia="HelveticaNeueLTPro-Roman;MS Got"/>
          <w:shd w:val="clear" w:color="auto" w:fill="FFFFFF"/>
        </w:rPr>
        <w:t xml:space="preserve"> Aucune fuite du contenu ne doit altérer</w:t>
      </w:r>
    </w:p>
    <w:p w:rsidR="00B747DC" w:rsidRPr="006B0E45" w:rsidRDefault="00B747DC" w:rsidP="00B747DC">
      <w:pPr>
        <w:pStyle w:val="SingleTxtG"/>
        <w:spacing w:after="0"/>
        <w:rPr>
          <w:i/>
          <w:lang w:val="fr-FR"/>
        </w:rPr>
      </w:pPr>
      <w:r w:rsidRPr="009B4779">
        <w:rPr>
          <w:i/>
          <w:iCs/>
        </w:rPr>
        <w:t xml:space="preserve">(Document de référence : </w:t>
      </w:r>
      <w:r w:rsidR="00826DE1">
        <w:rPr>
          <w:i/>
          <w:iCs/>
          <w:lang w:val="fr-FR"/>
        </w:rPr>
        <w:t>ST/SG/AC.10/C.3/106/Add.1</w:t>
      </w:r>
      <w:r w:rsidRPr="009B4779">
        <w:rPr>
          <w:i/>
          <w:iCs/>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LP903, deuxième phrase</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b/>
          <w:lang w:val="fr-FR"/>
        </w:rPr>
      </w:pPr>
      <w:r w:rsidRPr="006B0E45">
        <w:rPr>
          <w:lang w:val="fr-FR"/>
        </w:rPr>
        <w:t xml:space="preserve">Les grands emballages suivants sont autorisés pour une seule batterie, et pour un équipement seul contenant des batteries, s’il est satisfait aux dispositions générales des </w:t>
      </w:r>
      <w:r w:rsidRPr="006B0E45">
        <w:rPr>
          <w:b/>
          <w:lang w:val="fr-FR"/>
        </w:rPr>
        <w:t>4.1.1</w:t>
      </w:r>
      <w:r w:rsidRPr="006B0E45">
        <w:rPr>
          <w:lang w:val="fr-FR"/>
        </w:rPr>
        <w:t xml:space="preserve"> et </w:t>
      </w:r>
      <w:r w:rsidRPr="006B0E45">
        <w:rPr>
          <w:b/>
          <w:lang w:val="fr-FR"/>
        </w:rPr>
        <w:t>4.1.3:</w:t>
      </w:r>
    </w:p>
    <w:p w:rsidR="002203FE" w:rsidRPr="006B0E45" w:rsidRDefault="002203FE" w:rsidP="004F5D8C">
      <w:pPr>
        <w:pStyle w:val="SingleTxtG"/>
        <w:spacing w:after="0"/>
        <w:rPr>
          <w:i/>
          <w:lang w:val="fr-FR"/>
        </w:rPr>
      </w:pPr>
      <w:r w:rsidRPr="006B0E45">
        <w:rPr>
          <w:i/>
          <w:lang w:val="fr-FR"/>
        </w:rPr>
        <w:lastRenderedPageBreak/>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LP904, première phrase</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b/>
          <w:lang w:val="fr-FR"/>
        </w:rPr>
      </w:pPr>
      <w:r w:rsidRPr="006B0E45">
        <w:rPr>
          <w:lang w:val="fr-FR"/>
        </w:rPr>
        <w:t xml:space="preserve">Cette instruction s’applique aux batteries endommagées ou défectueuses et aux équipements seuls contenant des piles et batteries endommagées ou défectueuses </w:t>
      </w:r>
      <w:proofErr w:type="spellStart"/>
      <w:r w:rsidRPr="006B0E45">
        <w:rPr>
          <w:lang w:val="fr-FR"/>
        </w:rPr>
        <w:t>des</w:t>
      </w:r>
      <w:proofErr w:type="spellEnd"/>
      <w:r w:rsidRPr="006B0E45">
        <w:rPr>
          <w:lang w:val="fr-FR"/>
        </w:rPr>
        <w:t xml:space="preserve"> Nos ONU 3090, 3091, 3480 et 3481.</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LP904, deuxième phrase</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b/>
          <w:lang w:val="fr-FR"/>
        </w:rPr>
      </w:pPr>
      <w:r w:rsidRPr="006B0E45">
        <w:rPr>
          <w:lang w:val="fr-FR"/>
        </w:rPr>
        <w:t xml:space="preserve">Les grands emballages suivants sont autorisés pour une seule batterie endommagée ou défectueuse ou pour un équipement seul contenant des piles ou batteries endommagées ou défectueuses, s’il est satisfait aux dispositions générales des </w:t>
      </w:r>
      <w:r w:rsidRPr="006B0E45">
        <w:rPr>
          <w:b/>
          <w:lang w:val="fr-FR"/>
        </w:rPr>
        <w:t xml:space="preserve">4.1.1 </w:t>
      </w:r>
      <w:r w:rsidRPr="006B0E45">
        <w:rPr>
          <w:lang w:val="fr-FR"/>
        </w:rPr>
        <w:t xml:space="preserve">et </w:t>
      </w:r>
      <w:r w:rsidRPr="006B0E45">
        <w:rPr>
          <w:b/>
          <w:lang w:val="fr-FR"/>
        </w:rPr>
        <w:t>4.1.3:</w:t>
      </w:r>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LP905, deuxième ligne après la ligne de titre</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b/>
          <w:lang w:val="fr-FR"/>
        </w:rPr>
      </w:pPr>
      <w:r w:rsidRPr="006B0E45">
        <w:rPr>
          <w:lang w:val="fr-FR"/>
        </w:rPr>
        <w:t xml:space="preserve">Les grands emballages suivants sont autorisés pour une seule batterie et pour un équipement seul contenant des piles et batteries s’il est satisfait aux dispositions générales des </w:t>
      </w:r>
      <w:r w:rsidRPr="006B0E45">
        <w:rPr>
          <w:b/>
          <w:lang w:val="fr-FR"/>
        </w:rPr>
        <w:t>4.1.1</w:t>
      </w:r>
      <w:r w:rsidRPr="006B0E45">
        <w:rPr>
          <w:lang w:val="fr-FR"/>
        </w:rPr>
        <w:t xml:space="preserve"> et </w:t>
      </w:r>
      <w:r w:rsidRPr="006B0E45">
        <w:rPr>
          <w:b/>
          <w:lang w:val="fr-FR"/>
        </w:rPr>
        <w:t>4.1.3:</w:t>
      </w:r>
    </w:p>
    <w:p w:rsidR="002203FE"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395882" w:rsidRPr="00836ED1" w:rsidRDefault="00395882" w:rsidP="00395882">
      <w:pPr>
        <w:pStyle w:val="H1G"/>
        <w:rPr>
          <w:rFonts w:eastAsia="HelveticaNeueLTPro-Roman;MS Got"/>
          <w:shd w:val="clear" w:color="auto" w:fill="FFFFFF"/>
        </w:rPr>
      </w:pPr>
      <w:r>
        <w:rPr>
          <w:rFonts w:eastAsia="HelveticaNeueLTPro-Roman;MS Got"/>
          <w:shd w:val="clear" w:color="auto" w:fill="FFFFFF"/>
        </w:rPr>
        <w:tab/>
      </w:r>
      <w:r>
        <w:rPr>
          <w:rFonts w:eastAsia="HelveticaNeueLTPro-Roman;MS Got"/>
          <w:shd w:val="clear" w:color="auto" w:fill="FFFFFF"/>
        </w:rPr>
        <w:tab/>
        <w:t>Chapitre 4.1, instructions d’emballage LP905, phrase d’introduction</w:t>
      </w:r>
    </w:p>
    <w:p w:rsidR="00395882" w:rsidRDefault="00395882" w:rsidP="00395882">
      <w:pPr>
        <w:pStyle w:val="SingleTxtG"/>
      </w:pPr>
      <w:r w:rsidRPr="00836ED1">
        <w:rPr>
          <w:i/>
          <w:iCs/>
        </w:rPr>
        <w:t>Au lieu de</w:t>
      </w:r>
      <w:r>
        <w:t> piles et batteries </w:t>
      </w:r>
      <w:r w:rsidRPr="00836ED1">
        <w:rPr>
          <w:i/>
          <w:iCs/>
        </w:rPr>
        <w:t>lire</w:t>
      </w:r>
      <w:r>
        <w:t> piles ou batteries (deux fois)</w:t>
      </w:r>
    </w:p>
    <w:p w:rsidR="00395882" w:rsidRPr="00395882" w:rsidRDefault="00395882" w:rsidP="00395882">
      <w:pPr>
        <w:spacing w:before="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xml:space="preserve">: </w:t>
      </w:r>
      <w:r w:rsidR="00826DE1">
        <w:rPr>
          <w:i/>
          <w:iCs/>
          <w:lang w:val="fr-FR"/>
        </w:rPr>
        <w:t>ST/SG/AC.10/C.3/106/Add.1</w:t>
      </w:r>
      <w:r w:rsidRPr="001539C6">
        <w:rPr>
          <w:i/>
          <w:iCs/>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LP905, première ligne du paragraphe 2)</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b/>
          <w:lang w:val="fr-FR"/>
        </w:rPr>
      </w:pPr>
      <w:r w:rsidRPr="006B0E45">
        <w:rPr>
          <w:lang w:val="fr-FR"/>
        </w:rPr>
        <w:t xml:space="preserve">Pour un équipement seul contenant des piles ou des </w:t>
      </w:r>
      <w:proofErr w:type="gramStart"/>
      <w:r w:rsidRPr="006B0E45">
        <w:rPr>
          <w:lang w:val="fr-FR"/>
        </w:rPr>
        <w:t>batteries:</w:t>
      </w:r>
      <w:proofErr w:type="gramEnd"/>
    </w:p>
    <w:p w:rsidR="002203FE" w:rsidRPr="006B0E45" w:rsidRDefault="002203FE" w:rsidP="004F5D8C">
      <w:pPr>
        <w:pStyle w:val="SingleTxtG"/>
        <w:spacing w:after="0"/>
        <w:rPr>
          <w:i/>
          <w:lang w:val="fr-FR"/>
        </w:rPr>
      </w:pPr>
      <w:r w:rsidRPr="006B0E45">
        <w:rPr>
          <w:i/>
          <w:lang w:val="fr-FR"/>
        </w:rPr>
        <w:t xml:space="preserve">(Document de référence : </w:t>
      </w:r>
      <w:r w:rsidR="00826DE1">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LP906, première ligne après la ligne de titre</w:t>
      </w:r>
    </w:p>
    <w:p w:rsidR="002203FE" w:rsidRPr="006B0E45" w:rsidRDefault="002203FE" w:rsidP="002203FE">
      <w:pPr>
        <w:pStyle w:val="SingleTxtG"/>
        <w:rPr>
          <w:lang w:val="fr-FR"/>
        </w:rPr>
      </w:pPr>
      <w:r w:rsidRPr="006B0E45">
        <w:rPr>
          <w:i/>
          <w:lang w:val="fr-FR"/>
        </w:rPr>
        <w:t xml:space="preserve">Supprimer </w:t>
      </w:r>
      <w:r w:rsidRPr="006B0E45">
        <w:rPr>
          <w:lang w:val="fr-FR"/>
        </w:rPr>
        <w:t>emballées individuellement</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lastRenderedPageBreak/>
        <w:tab/>
      </w:r>
      <w:r w:rsidRPr="006B0E45">
        <w:rPr>
          <w:lang w:val="fr-FR"/>
        </w:rPr>
        <w:tab/>
        <w:t>Chapitre 4.1, 4.1.4.3, instruction d’emballage LP906, deuxième ligne après la ligne de titre, deuxième phrase</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i/>
          <w:lang w:val="fr-FR"/>
        </w:rPr>
      </w:pPr>
      <w:r w:rsidRPr="006B0E45">
        <w:rPr>
          <w:bCs/>
          <w:iCs/>
          <w:lang w:val="fr-FR"/>
        </w:rPr>
        <w:t xml:space="preserve">Pour les batteries emballées individuellement et pour les équipements seuls contenant des </w:t>
      </w:r>
      <w:proofErr w:type="gramStart"/>
      <w:r w:rsidRPr="006B0E45">
        <w:rPr>
          <w:bCs/>
          <w:iCs/>
          <w:lang w:val="fr-FR"/>
        </w:rPr>
        <w:t>batteries</w:t>
      </w:r>
      <w:r w:rsidRPr="006B0E45">
        <w:rPr>
          <w:i/>
          <w:lang w:val="fr-FR"/>
        </w:rPr>
        <w:t>:</w:t>
      </w:r>
      <w:proofErr w:type="gramEnd"/>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LP906, au début du paragraphe 1)</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LP906, note de bas a du tableau, dernière phrase de l’alinéa b)</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550490">
      <w:pPr>
        <w:pStyle w:val="H1G"/>
        <w:jc w:val="both"/>
        <w:rPr>
          <w:lang w:val="fr-FR"/>
        </w:rPr>
      </w:pPr>
      <w:r w:rsidRPr="006B0E45">
        <w:rPr>
          <w:lang w:val="fr-FR"/>
        </w:rPr>
        <w:tab/>
      </w:r>
      <w:r w:rsidRPr="006B0E45">
        <w:rPr>
          <w:lang w:val="fr-FR"/>
        </w:rPr>
        <w:tab/>
        <w:t>Chapitre 4.1, 4.1.4.3, instruction d’emb</w:t>
      </w:r>
      <w:r w:rsidR="00550490">
        <w:rPr>
          <w:lang w:val="fr-FR"/>
        </w:rPr>
        <w:t>allage LP906, début de l’alinéa </w:t>
      </w:r>
      <w:r w:rsidRPr="006B0E45">
        <w:rPr>
          <w:lang w:val="fr-FR"/>
        </w:rPr>
        <w:t>c)</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LP906, note de bas a du tableau, alinéa e)</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LP906, note de bas a du tableau, alinéa f)</w:t>
      </w:r>
    </w:p>
    <w:p w:rsidR="002203FE" w:rsidRPr="006B0E45" w:rsidRDefault="002203FE" w:rsidP="002203FE">
      <w:pPr>
        <w:pStyle w:val="SingleTxtG"/>
        <w:rPr>
          <w:lang w:val="fr-FR"/>
        </w:rPr>
      </w:pPr>
      <w:r w:rsidRPr="006B0E45">
        <w:rPr>
          <w:i/>
          <w:lang w:val="fr-FR"/>
        </w:rPr>
        <w:t xml:space="preserve">Au lieu de </w:t>
      </w:r>
      <w:r w:rsidRPr="006B0E45">
        <w:rPr>
          <w:lang w:val="fr-FR"/>
        </w:rPr>
        <w:t>de l’emballage</w:t>
      </w:r>
      <w:r w:rsidRPr="006B0E45">
        <w:rPr>
          <w:i/>
          <w:lang w:val="fr-FR"/>
        </w:rPr>
        <w:t xml:space="preserve"> lire </w:t>
      </w:r>
      <w:r w:rsidRPr="006B0E45">
        <w:rPr>
          <w:lang w:val="fr-FR"/>
        </w:rPr>
        <w:t>du grand emballage</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4.1, 4.1.4.3, instruction d’emballage LP906, note de bas a du tableau, alinéa h)</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lang w:val="fr-FR"/>
        </w:rPr>
      </w:pPr>
      <w:r w:rsidRPr="006B0E45">
        <w:rPr>
          <w:lang w:val="fr-FR"/>
        </w:rPr>
        <w:t xml:space="preserve">h) </w:t>
      </w:r>
      <w:r w:rsidRPr="006B0E45">
        <w:rPr>
          <w:lang w:val="fr-FR"/>
        </w:rPr>
        <w:tab/>
        <w:t>Ces scénarios doivent être évalués sur une période suffisamment longue pour permettre l'apparition de toutes les conséquences possibles (par exemple, 24 heures).</w:t>
      </w:r>
    </w:p>
    <w:p w:rsidR="00332C08" w:rsidRPr="00395882" w:rsidRDefault="002203FE" w:rsidP="00395882">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DA3F3B" w:rsidRDefault="002203FE" w:rsidP="001560DD">
      <w:pPr>
        <w:pStyle w:val="H1G"/>
      </w:pPr>
      <w:r>
        <w:lastRenderedPageBreak/>
        <w:tab/>
      </w:r>
      <w:r>
        <w:tab/>
      </w:r>
      <w:r w:rsidRPr="00DA3F3B">
        <w:t>Chapitre 4.2, 4.2.5.3</w:t>
      </w:r>
    </w:p>
    <w:p w:rsidR="002203FE" w:rsidRPr="00E40E3C" w:rsidRDefault="002203FE" w:rsidP="002203FE">
      <w:pPr>
        <w:pStyle w:val="SingleTxtG"/>
        <w:rPr>
          <w:lang w:val="fr-FR"/>
        </w:rPr>
      </w:pPr>
      <w:r>
        <w:rPr>
          <w:lang w:val="fr-FR"/>
        </w:rPr>
        <w:t>La correction ne s’applique pas au texte français</w:t>
      </w:r>
    </w:p>
    <w:p w:rsidR="002203FE" w:rsidRPr="006B0E45" w:rsidRDefault="002203FE" w:rsidP="004F5D8C">
      <w:pPr>
        <w:pStyle w:val="SingleTxtG"/>
        <w:spacing w:after="0"/>
        <w:rPr>
          <w:i/>
          <w:lang w:val="fr-FR"/>
        </w:rPr>
      </w:pPr>
      <w:r w:rsidRPr="00063C22">
        <w:rPr>
          <w:i/>
        </w:rPr>
        <w:t>(Document de référence</w:t>
      </w:r>
      <w:r>
        <w:rPr>
          <w:i/>
        </w:rPr>
        <w:t> </w:t>
      </w:r>
      <w:r w:rsidRPr="00063C22">
        <w:rPr>
          <w:i/>
        </w:rPr>
        <w:t xml:space="preserve">: </w:t>
      </w:r>
      <w:r w:rsidR="00826DE1">
        <w:rPr>
          <w:i/>
          <w:iCs/>
          <w:lang w:val="fr-FR"/>
        </w:rPr>
        <w:t>ST/SG/AC.10/C.3/104/Add.1</w:t>
      </w:r>
      <w:r w:rsidRPr="00063C22">
        <w:rPr>
          <w:i/>
        </w:rPr>
        <w:t>)</w:t>
      </w:r>
    </w:p>
    <w:p w:rsidR="002203FE" w:rsidRPr="006B0E45" w:rsidRDefault="002203FE" w:rsidP="001560DD">
      <w:pPr>
        <w:pStyle w:val="H1G"/>
        <w:rPr>
          <w:lang w:val="fr-FR"/>
        </w:rPr>
      </w:pPr>
      <w:r w:rsidRPr="006B0E45">
        <w:rPr>
          <w:lang w:val="fr-FR"/>
        </w:rPr>
        <w:tab/>
      </w:r>
      <w:r w:rsidRPr="006B0E45">
        <w:rPr>
          <w:lang w:val="fr-FR"/>
        </w:rPr>
        <w:tab/>
        <w:t>Chapitre 5.2, 5.2.1.7.1</w:t>
      </w:r>
    </w:p>
    <w:p w:rsidR="002203FE" w:rsidRPr="006B0E45" w:rsidRDefault="002203FE" w:rsidP="002203FE">
      <w:pPr>
        <w:pStyle w:val="SingleTxtG"/>
        <w:rPr>
          <w:lang w:val="fr-FR"/>
        </w:rPr>
      </w:pPr>
      <w:r w:rsidRPr="006B0E45">
        <w:rPr>
          <w:i/>
          <w:lang w:val="fr-FR"/>
        </w:rPr>
        <w:t xml:space="preserve">Substituer </w:t>
      </w:r>
      <w:r w:rsidRPr="006B0E45">
        <w:rPr>
          <w:lang w:val="fr-FR"/>
        </w:rPr>
        <w:t>au texte existant</w:t>
      </w:r>
    </w:p>
    <w:p w:rsidR="002203FE" w:rsidRPr="006B0E45" w:rsidRDefault="002203FE" w:rsidP="002203FE">
      <w:pPr>
        <w:pStyle w:val="SingleTxtG"/>
        <w:rPr>
          <w:lang w:val="fr-FR"/>
        </w:rPr>
      </w:pPr>
      <w:r w:rsidRPr="006B0E45">
        <w:rPr>
          <w:lang w:val="fr-FR"/>
        </w:rPr>
        <w:t xml:space="preserve">5.2.1.7.1 </w:t>
      </w:r>
      <w:r w:rsidRPr="006B0E45">
        <w:rPr>
          <w:lang w:val="fr-FR"/>
        </w:rPr>
        <w:tab/>
        <w:t>Sous réserve des dispositions du 5.2.1.7.2:</w:t>
      </w:r>
    </w:p>
    <w:p w:rsidR="002203FE" w:rsidRPr="006B0E45" w:rsidRDefault="002203FE" w:rsidP="002203FE">
      <w:pPr>
        <w:pStyle w:val="SingleTxtG"/>
        <w:rPr>
          <w:lang w:val="fr-FR"/>
        </w:rPr>
      </w:pPr>
      <w:r w:rsidRPr="006B0E45">
        <w:rPr>
          <w:lang w:val="fr-FR"/>
        </w:rPr>
        <w:t>-</w:t>
      </w:r>
      <w:r w:rsidRPr="006B0E45">
        <w:rPr>
          <w:lang w:val="fr-FR"/>
        </w:rPr>
        <w:tab/>
        <w:t xml:space="preserve">les emballages combinés comportant des emballages intérieurs contenant des marchandises dangereuses </w:t>
      </w:r>
      <w:proofErr w:type="gramStart"/>
      <w:r w:rsidRPr="006B0E45">
        <w:rPr>
          <w:lang w:val="fr-FR"/>
        </w:rPr>
        <w:t>liquides;</w:t>
      </w:r>
      <w:proofErr w:type="gramEnd"/>
    </w:p>
    <w:p w:rsidR="002203FE" w:rsidRPr="006B0E45" w:rsidRDefault="002203FE" w:rsidP="002203FE">
      <w:pPr>
        <w:pStyle w:val="SingleTxtG"/>
        <w:rPr>
          <w:lang w:val="fr-FR"/>
        </w:rPr>
      </w:pPr>
      <w:r w:rsidRPr="006B0E45">
        <w:rPr>
          <w:lang w:val="fr-FR"/>
        </w:rPr>
        <w:t xml:space="preserve">- </w:t>
      </w:r>
      <w:r w:rsidRPr="006B0E45">
        <w:rPr>
          <w:lang w:val="fr-FR"/>
        </w:rPr>
        <w:tab/>
        <w:t xml:space="preserve">les emballages simples munis </w:t>
      </w:r>
      <w:proofErr w:type="gramStart"/>
      <w:r w:rsidRPr="006B0E45">
        <w:rPr>
          <w:lang w:val="fr-FR"/>
        </w:rPr>
        <w:t>d’évents;</w:t>
      </w:r>
      <w:proofErr w:type="gramEnd"/>
      <w:r w:rsidRPr="006B0E45">
        <w:rPr>
          <w:lang w:val="fr-FR"/>
        </w:rPr>
        <w:t xml:space="preserve"> </w:t>
      </w:r>
    </w:p>
    <w:p w:rsidR="002203FE" w:rsidRPr="006B0E45" w:rsidRDefault="002203FE" w:rsidP="002203FE">
      <w:pPr>
        <w:pStyle w:val="SingleTxtG"/>
        <w:rPr>
          <w:lang w:val="fr-FR"/>
        </w:rPr>
      </w:pPr>
      <w:r w:rsidRPr="006B0E45">
        <w:rPr>
          <w:lang w:val="fr-FR"/>
        </w:rPr>
        <w:t xml:space="preserve">- </w:t>
      </w:r>
      <w:r w:rsidRPr="006B0E45">
        <w:rPr>
          <w:lang w:val="fr-FR"/>
        </w:rPr>
        <w:tab/>
        <w:t xml:space="preserve">les récipients cryogéniques conçus pour le transport des gaz liquéfiés </w:t>
      </w:r>
      <w:proofErr w:type="gramStart"/>
      <w:r w:rsidRPr="006B0E45">
        <w:rPr>
          <w:lang w:val="fr-FR"/>
        </w:rPr>
        <w:t>réfrigérés;</w:t>
      </w:r>
      <w:proofErr w:type="gramEnd"/>
      <w:r w:rsidRPr="006B0E45">
        <w:rPr>
          <w:lang w:val="fr-FR"/>
        </w:rPr>
        <w:t xml:space="preserve"> et</w:t>
      </w:r>
    </w:p>
    <w:p w:rsidR="002203FE" w:rsidRPr="006B0E45" w:rsidRDefault="002203FE" w:rsidP="002203FE">
      <w:pPr>
        <w:pStyle w:val="SingleTxtG"/>
        <w:rPr>
          <w:iCs/>
          <w:lang w:val="fr-FR"/>
        </w:rPr>
      </w:pPr>
      <w:r w:rsidRPr="006B0E45">
        <w:rPr>
          <w:lang w:val="fr-FR"/>
        </w:rPr>
        <w:t xml:space="preserve">- </w:t>
      </w:r>
      <w:r w:rsidRPr="006B0E45">
        <w:rPr>
          <w:lang w:val="fr-FR"/>
        </w:rPr>
        <w:tab/>
        <w:t xml:space="preserve">les </w:t>
      </w:r>
      <w:r w:rsidRPr="006B0E45">
        <w:rPr>
          <w:iCs/>
          <w:lang w:val="fr-FR"/>
        </w:rPr>
        <w:t>machines ou appareils contenant des marchandises dangereuses liquides, s’il est prescrit qu’ils doivent être maintenus dans une orientation déterminée lorsqu’ils contiennent des marchandises dangereuses liquides (voir disposition spéciale 301 du chapitre 3.3),</w:t>
      </w:r>
    </w:p>
    <w:p w:rsidR="002203FE" w:rsidRPr="006B0E45" w:rsidRDefault="002203FE" w:rsidP="002203FE">
      <w:pPr>
        <w:pStyle w:val="SingleTxtG"/>
        <w:rPr>
          <w:lang w:val="fr-FR"/>
        </w:rPr>
      </w:pPr>
      <w:r w:rsidRPr="006B0E45">
        <w:rPr>
          <w:iCs/>
          <w:lang w:val="fr-FR"/>
        </w:rPr>
        <w:t>…</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1560DD">
      <w:pPr>
        <w:pStyle w:val="H1G"/>
        <w:rPr>
          <w:lang w:val="fr-FR"/>
        </w:rPr>
      </w:pPr>
      <w:r w:rsidRPr="006B0E45">
        <w:rPr>
          <w:lang w:val="fr-FR"/>
        </w:rPr>
        <w:tab/>
      </w:r>
      <w:r w:rsidRPr="006B0E45">
        <w:rPr>
          <w:lang w:val="fr-FR"/>
        </w:rPr>
        <w:tab/>
        <w:t>Chapitre 5.2, 5.2.2.1.13.1, au début</w:t>
      </w:r>
    </w:p>
    <w:p w:rsidR="002203FE" w:rsidRPr="006B0E45" w:rsidRDefault="002203FE" w:rsidP="002203FE">
      <w:pPr>
        <w:pStyle w:val="SingleTxtG"/>
        <w:rPr>
          <w:lang w:val="fr-FR"/>
        </w:rPr>
      </w:pPr>
      <w:r w:rsidRPr="006B0E45">
        <w:rPr>
          <w:i/>
          <w:lang w:val="fr-FR"/>
        </w:rPr>
        <w:t xml:space="preserve">Au lieu de </w:t>
      </w:r>
      <w:r w:rsidRPr="006B0E45">
        <w:rPr>
          <w:lang w:val="fr-FR"/>
        </w:rPr>
        <w:t xml:space="preserve">Les colis contenant des objets contenant des marchandises dangereuses et les objets contenant des marchandises dangereuses qui sont transportés non emballés </w:t>
      </w:r>
      <w:r w:rsidRPr="006B0E45">
        <w:rPr>
          <w:i/>
          <w:lang w:val="fr-FR"/>
        </w:rPr>
        <w:t xml:space="preserve">lire </w:t>
      </w:r>
      <w:r w:rsidRPr="006B0E45">
        <w:rPr>
          <w:lang w:val="fr-FR"/>
        </w:rPr>
        <w:t>Les colis contenant des objets ou les objets qui sont transportés non emballés</w:t>
      </w:r>
    </w:p>
    <w:p w:rsidR="002203FE"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DA3F3B" w:rsidRDefault="002203FE" w:rsidP="001560DD">
      <w:pPr>
        <w:pStyle w:val="H1G"/>
      </w:pPr>
      <w:r>
        <w:tab/>
      </w:r>
      <w:r>
        <w:tab/>
      </w:r>
      <w:r w:rsidRPr="00603BF0">
        <w:t>Chapitre 5.2, 5.2.2.2.2, tableau, No du modèle d’étiquette 7A</w:t>
      </w:r>
      <w:r>
        <w:t>,</w:t>
      </w:r>
      <w:r w:rsidRPr="00603BF0">
        <w:t xml:space="preserve"> </w:t>
      </w:r>
      <w:r>
        <w:t>dans la co</w:t>
      </w:r>
      <w:r w:rsidR="001560DD">
        <w:t>lonne « Division ou Catégorie »</w:t>
      </w:r>
    </w:p>
    <w:p w:rsidR="002203FE" w:rsidRDefault="002203FE" w:rsidP="002203FE">
      <w:pPr>
        <w:pStyle w:val="SingleTxtG"/>
      </w:pPr>
      <w:r w:rsidRPr="00765EF6">
        <w:rPr>
          <w:i/>
        </w:rPr>
        <w:t>Au lieu de</w:t>
      </w:r>
      <w:r>
        <w:t xml:space="preserve"> Catégorie I </w:t>
      </w:r>
      <w:r w:rsidRPr="00765EF6">
        <w:rPr>
          <w:i/>
        </w:rPr>
        <w:t>lire</w:t>
      </w:r>
      <w:r>
        <w:t xml:space="preserve"> Catégorie I – BLANCHE</w:t>
      </w:r>
    </w:p>
    <w:p w:rsidR="002203FE" w:rsidRPr="00784FEB" w:rsidRDefault="002203FE" w:rsidP="004F5D8C">
      <w:pPr>
        <w:pStyle w:val="SingleTxtG"/>
        <w:spacing w:after="0"/>
        <w:rPr>
          <w:i/>
        </w:rPr>
      </w:pPr>
      <w:r w:rsidRPr="00E56305">
        <w:rPr>
          <w:i/>
        </w:rPr>
        <w:t xml:space="preserve">(Document </w:t>
      </w:r>
      <w:r>
        <w:rPr>
          <w:i/>
        </w:rPr>
        <w:t xml:space="preserve">de référence : </w:t>
      </w:r>
      <w:r w:rsidR="00826DE1">
        <w:rPr>
          <w:i/>
          <w:iCs/>
          <w:lang w:val="fr-FR"/>
        </w:rPr>
        <w:t>ST/SG/AC.10/C.3/104/Add.1</w:t>
      </w:r>
      <w:r>
        <w:rPr>
          <w:i/>
        </w:rPr>
        <w:t>)</w:t>
      </w:r>
    </w:p>
    <w:p w:rsidR="002203FE" w:rsidRPr="00DA3F3B" w:rsidRDefault="002203FE" w:rsidP="00477AEE">
      <w:pPr>
        <w:pStyle w:val="H1G"/>
      </w:pPr>
      <w:r>
        <w:tab/>
      </w:r>
      <w:r>
        <w:tab/>
      </w:r>
      <w:r w:rsidRPr="00603BF0">
        <w:t>Chapitre 5.2, 5.2.2.2.2, tableau, No du modèle d’étiquette 7B</w:t>
      </w:r>
      <w:r>
        <w:t>, dans la colonne « Division ou Catégorie »</w:t>
      </w:r>
    </w:p>
    <w:p w:rsidR="002203FE" w:rsidRDefault="002203FE" w:rsidP="002203FE">
      <w:pPr>
        <w:pStyle w:val="SingleTxtG"/>
      </w:pPr>
      <w:r w:rsidRPr="00A94FF8">
        <w:rPr>
          <w:i/>
        </w:rPr>
        <w:t>Au lieu de</w:t>
      </w:r>
      <w:r>
        <w:t xml:space="preserve"> Catégorie II </w:t>
      </w:r>
      <w:r w:rsidRPr="00A94FF8">
        <w:rPr>
          <w:i/>
        </w:rPr>
        <w:t>lire</w:t>
      </w:r>
      <w:r>
        <w:t xml:space="preserve"> Catégorie II – JAUNE</w:t>
      </w:r>
    </w:p>
    <w:p w:rsidR="002203FE" w:rsidRPr="00784FEB" w:rsidRDefault="002203FE" w:rsidP="004F5D8C">
      <w:pPr>
        <w:pStyle w:val="SingleTxtG"/>
        <w:spacing w:after="0"/>
        <w:rPr>
          <w:i/>
        </w:rPr>
      </w:pPr>
      <w:r w:rsidRPr="00E56305">
        <w:rPr>
          <w:i/>
        </w:rPr>
        <w:t xml:space="preserve">(Document </w:t>
      </w:r>
      <w:r>
        <w:rPr>
          <w:i/>
        </w:rPr>
        <w:t xml:space="preserve">de référence : </w:t>
      </w:r>
      <w:r w:rsidR="00826DE1">
        <w:rPr>
          <w:i/>
          <w:iCs/>
          <w:lang w:val="fr-FR"/>
        </w:rPr>
        <w:t>ST/SG/AC.10/C.3/104/Add.1</w:t>
      </w:r>
      <w:r>
        <w:rPr>
          <w:i/>
        </w:rPr>
        <w:t>)</w:t>
      </w:r>
    </w:p>
    <w:p w:rsidR="002203FE" w:rsidRPr="00DA3F3B" w:rsidRDefault="002203FE" w:rsidP="00477AEE">
      <w:pPr>
        <w:pStyle w:val="H1G"/>
      </w:pPr>
      <w:r>
        <w:tab/>
      </w:r>
      <w:r>
        <w:tab/>
      </w:r>
      <w:r w:rsidRPr="00D82DE6">
        <w:t>Chapitre 5.</w:t>
      </w:r>
      <w:r>
        <w:t>2</w:t>
      </w:r>
      <w:r w:rsidRPr="00D82DE6">
        <w:t>, 5.2.2.2.2, tableau, No du modèle d’étiquette 7C</w:t>
      </w:r>
      <w:r>
        <w:t>,</w:t>
      </w:r>
      <w:r w:rsidRPr="00AF0165">
        <w:t xml:space="preserve"> </w:t>
      </w:r>
      <w:r>
        <w:t>dans la co</w:t>
      </w:r>
      <w:r w:rsidR="00477AEE">
        <w:t>lonne « Division ou Catégorie »</w:t>
      </w:r>
    </w:p>
    <w:p w:rsidR="002203FE" w:rsidRDefault="002203FE" w:rsidP="002203FE">
      <w:pPr>
        <w:pStyle w:val="SingleTxtG"/>
      </w:pPr>
      <w:r w:rsidRPr="00AF0165">
        <w:rPr>
          <w:i/>
        </w:rPr>
        <w:t>Au lieu de</w:t>
      </w:r>
      <w:r>
        <w:t xml:space="preserve"> Catégorie III </w:t>
      </w:r>
      <w:r w:rsidRPr="00AF0165">
        <w:rPr>
          <w:i/>
        </w:rPr>
        <w:t>lire</w:t>
      </w:r>
      <w:r>
        <w:t xml:space="preserve"> Catégorie III – JAUNE</w:t>
      </w:r>
    </w:p>
    <w:p w:rsidR="002203FE" w:rsidRDefault="002203FE" w:rsidP="004F5D8C">
      <w:pPr>
        <w:pStyle w:val="SingleTxtG"/>
        <w:spacing w:after="0"/>
        <w:rPr>
          <w:i/>
        </w:rPr>
      </w:pPr>
      <w:r w:rsidRPr="00E56305">
        <w:rPr>
          <w:i/>
        </w:rPr>
        <w:t xml:space="preserve">(Document </w:t>
      </w:r>
      <w:r>
        <w:rPr>
          <w:i/>
        </w:rPr>
        <w:t xml:space="preserve">de référence : </w:t>
      </w:r>
      <w:r w:rsidR="00826DE1">
        <w:rPr>
          <w:i/>
          <w:iCs/>
          <w:lang w:val="fr-FR"/>
        </w:rPr>
        <w:t>ST/SG/AC.10/C.3/104/Add.1</w:t>
      </w:r>
      <w:r>
        <w:rPr>
          <w:i/>
        </w:rPr>
        <w:t>)</w:t>
      </w:r>
    </w:p>
    <w:p w:rsidR="002203FE" w:rsidRPr="00DA3F3B" w:rsidRDefault="002203FE" w:rsidP="00477AEE">
      <w:pPr>
        <w:pStyle w:val="H1G"/>
      </w:pPr>
      <w:r w:rsidRPr="006B0E45">
        <w:rPr>
          <w:lang w:val="fr-FR"/>
        </w:rPr>
        <w:lastRenderedPageBreak/>
        <w:tab/>
      </w:r>
      <w:r w:rsidRPr="006B0E45">
        <w:rPr>
          <w:lang w:val="fr-FR"/>
        </w:rPr>
        <w:tab/>
      </w:r>
      <w:r w:rsidRPr="0088661F">
        <w:t>Chapitre 5.3, 5.3.1.1.2</w:t>
      </w:r>
      <w:r>
        <w:t>, b)</w:t>
      </w:r>
    </w:p>
    <w:p w:rsidR="002203FE" w:rsidRDefault="002203FE" w:rsidP="002203FE">
      <w:pPr>
        <w:pStyle w:val="SingleTxtG"/>
      </w:pPr>
      <w:r>
        <w:t>La correction ne s’applique pas au texte français</w:t>
      </w:r>
    </w:p>
    <w:p w:rsidR="002203FE" w:rsidRDefault="002203FE" w:rsidP="004F5D8C">
      <w:pPr>
        <w:pStyle w:val="SingleTxtG"/>
        <w:spacing w:after="0"/>
        <w:rPr>
          <w:i/>
        </w:rPr>
      </w:pPr>
      <w:r w:rsidRPr="00E56305">
        <w:rPr>
          <w:i/>
        </w:rPr>
        <w:t xml:space="preserve">(Document </w:t>
      </w:r>
      <w:r>
        <w:rPr>
          <w:i/>
        </w:rPr>
        <w:t xml:space="preserve">de référence : </w:t>
      </w:r>
      <w:r w:rsidR="00826DE1">
        <w:rPr>
          <w:i/>
          <w:iCs/>
          <w:lang w:val="fr-FR"/>
        </w:rPr>
        <w:t>ST/SG/AC.10/C.3/104/Add.1</w:t>
      </w:r>
      <w:r>
        <w:rPr>
          <w:i/>
        </w:rPr>
        <w:t>)</w:t>
      </w:r>
    </w:p>
    <w:p w:rsidR="00332C08" w:rsidRDefault="00332C08" w:rsidP="00332C08">
      <w:pPr>
        <w:pStyle w:val="H1G"/>
      </w:pPr>
      <w:r>
        <w:tab/>
      </w:r>
      <w:r>
        <w:tab/>
        <w:t>Chapitre 5.3, 5.3.2.2, deuxième paragraphe, deuxième phrase</w:t>
      </w:r>
    </w:p>
    <w:p w:rsidR="00332C08" w:rsidRDefault="00332C08" w:rsidP="00332C08">
      <w:pPr>
        <w:pStyle w:val="SingleTxtG"/>
      </w:pPr>
      <w:r>
        <w:rPr>
          <w:i/>
          <w:iCs/>
        </w:rPr>
        <w:t xml:space="preserve">Au lieu </w:t>
      </w:r>
      <w:proofErr w:type="gramStart"/>
      <w:r>
        <w:rPr>
          <w:i/>
          <w:iCs/>
        </w:rPr>
        <w:t xml:space="preserve">de </w:t>
      </w:r>
      <w:r>
        <w:t>Il</w:t>
      </w:r>
      <w:proofErr w:type="gramEnd"/>
      <w:r>
        <w:t xml:space="preserve"> doit être </w:t>
      </w:r>
      <w:r>
        <w:rPr>
          <w:i/>
          <w:iCs/>
        </w:rPr>
        <w:t xml:space="preserve">lire </w:t>
      </w:r>
      <w:r>
        <w:t>Elle doit être</w:t>
      </w:r>
    </w:p>
    <w:p w:rsidR="00332C08" w:rsidRDefault="00332C08" w:rsidP="004F5D8C">
      <w:pPr>
        <w:pStyle w:val="SingleTxtG"/>
        <w:spacing w:after="0"/>
        <w:rPr>
          <w:i/>
        </w:rPr>
      </w:pPr>
      <w:r w:rsidRPr="001539C6">
        <w:rPr>
          <w:i/>
          <w:iCs/>
        </w:rPr>
        <w:t>(</w:t>
      </w:r>
      <w:r w:rsidRPr="001539C6">
        <w:rPr>
          <w:i/>
          <w:iCs/>
          <w:lang w:val="fr-FR"/>
        </w:rPr>
        <w:t>Document de référence</w:t>
      </w:r>
      <w:r>
        <w:rPr>
          <w:i/>
          <w:iCs/>
          <w:lang w:val="fr-FR"/>
        </w:rPr>
        <w:t> </w:t>
      </w:r>
      <w:r w:rsidRPr="001539C6">
        <w:rPr>
          <w:i/>
          <w:iCs/>
        </w:rPr>
        <w:t xml:space="preserve">: </w:t>
      </w:r>
      <w:r w:rsidR="00826DE1">
        <w:rPr>
          <w:i/>
          <w:iCs/>
          <w:lang w:val="fr-FR"/>
        </w:rPr>
        <w:t>ST/SG/AC.10/C.3/106/Add.1</w:t>
      </w:r>
      <w:r w:rsidRPr="001539C6">
        <w:rPr>
          <w:i/>
          <w:iCs/>
        </w:rPr>
        <w:t>)</w:t>
      </w:r>
    </w:p>
    <w:p w:rsidR="002203FE" w:rsidRPr="006B0E45" w:rsidRDefault="002203FE" w:rsidP="00477AEE">
      <w:pPr>
        <w:pStyle w:val="H1G"/>
        <w:rPr>
          <w:lang w:val="fr-FR"/>
        </w:rPr>
      </w:pPr>
      <w:r>
        <w:rPr>
          <w:lang w:val="fr-FR"/>
        </w:rPr>
        <w:tab/>
      </w:r>
      <w:r>
        <w:rPr>
          <w:lang w:val="fr-FR"/>
        </w:rPr>
        <w:tab/>
      </w:r>
      <w:r w:rsidRPr="006B0E45">
        <w:rPr>
          <w:lang w:val="fr-FR"/>
        </w:rPr>
        <w:t>Chapitre 5.4, 5.4.1.5.5, au début</w:t>
      </w:r>
    </w:p>
    <w:p w:rsidR="002203FE" w:rsidRPr="006B0E45" w:rsidRDefault="002203FE" w:rsidP="002203FE">
      <w:pPr>
        <w:pStyle w:val="SingleTxtG"/>
        <w:rPr>
          <w:lang w:val="fr-FR"/>
        </w:rPr>
      </w:pPr>
      <w:r w:rsidRPr="006B0E45">
        <w:rPr>
          <w:i/>
          <w:lang w:val="fr-FR"/>
        </w:rPr>
        <w:t xml:space="preserve">Supprimer </w:t>
      </w:r>
      <w:r w:rsidRPr="006B0E45">
        <w:rPr>
          <w:lang w:val="fr-FR"/>
        </w:rPr>
        <w:t>de la division 4.1</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477AEE">
      <w:pPr>
        <w:pStyle w:val="H1G"/>
        <w:rPr>
          <w:lang w:val="fr-FR"/>
        </w:rPr>
      </w:pPr>
      <w:r w:rsidRPr="006B0E45">
        <w:rPr>
          <w:lang w:val="fr-FR"/>
        </w:rPr>
        <w:tab/>
      </w:r>
      <w:r w:rsidRPr="006B0E45">
        <w:rPr>
          <w:lang w:val="fr-FR"/>
        </w:rPr>
        <w:tab/>
        <w:t>Chapitre 6.2, 6.2.2.1.8, tableau, Note pour ISO 21172-</w:t>
      </w:r>
      <w:proofErr w:type="gramStart"/>
      <w:r w:rsidRPr="006B0E45">
        <w:rPr>
          <w:lang w:val="fr-FR"/>
        </w:rPr>
        <w:t>1:</w:t>
      </w:r>
      <w:proofErr w:type="gramEnd"/>
      <w:r w:rsidRPr="006B0E45">
        <w:rPr>
          <w:lang w:val="fr-FR"/>
        </w:rPr>
        <w:t>2015</w:t>
      </w:r>
    </w:p>
    <w:p w:rsidR="002203FE" w:rsidRPr="006B0E45" w:rsidRDefault="002203FE" w:rsidP="002203FE">
      <w:pPr>
        <w:pStyle w:val="SingleTxtG"/>
        <w:rPr>
          <w:lang w:val="fr-FR"/>
        </w:rPr>
      </w:pPr>
      <w:r w:rsidRPr="006B0E45">
        <w:rPr>
          <w:lang w:val="fr-FR"/>
        </w:rPr>
        <w:t>Sans objet en français</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477AEE">
      <w:pPr>
        <w:pStyle w:val="H1G"/>
        <w:rPr>
          <w:lang w:val="fr-FR"/>
        </w:rPr>
      </w:pPr>
      <w:r w:rsidRPr="006B0E45">
        <w:rPr>
          <w:lang w:val="fr-FR"/>
        </w:rPr>
        <w:tab/>
      </w:r>
      <w:r w:rsidRPr="006B0E45">
        <w:rPr>
          <w:lang w:val="fr-FR"/>
        </w:rPr>
        <w:tab/>
        <w:t>Chapitre 7.1, 7.1.5.3.5, dans le tableau, pour « Citernes mobiles », dans la deuxième colonne</w:t>
      </w:r>
    </w:p>
    <w:p w:rsidR="002203FE" w:rsidRPr="006B0E45" w:rsidRDefault="002203FE" w:rsidP="002203FE">
      <w:pPr>
        <w:pStyle w:val="SingleTxtG"/>
        <w:rPr>
          <w:lang w:val="fr-FR"/>
        </w:rPr>
      </w:pPr>
      <w:r w:rsidRPr="006B0E45">
        <w:rPr>
          <w:i/>
          <w:lang w:val="fr-FR"/>
        </w:rPr>
        <w:t xml:space="preserve">Au lieu de </w:t>
      </w:r>
      <w:r w:rsidRPr="006B0E45">
        <w:rPr>
          <w:lang w:val="fr-FR"/>
        </w:rPr>
        <w:t xml:space="preserve">&lt; 50 °C </w:t>
      </w:r>
      <w:r w:rsidRPr="006B0E45">
        <w:rPr>
          <w:i/>
          <w:lang w:val="fr-FR"/>
        </w:rPr>
        <w:t xml:space="preserve">lire </w:t>
      </w:r>
      <w:r w:rsidRPr="006B0E45">
        <w:rPr>
          <w:lang w:val="fr-FR"/>
        </w:rPr>
        <w:t>≤ 45 °C</w:t>
      </w:r>
    </w:p>
    <w:p w:rsidR="002203FE" w:rsidRPr="006B0E45" w:rsidRDefault="002203FE" w:rsidP="004F5D8C">
      <w:pPr>
        <w:pStyle w:val="SingleTxtG"/>
        <w:spacing w:after="0"/>
        <w:rPr>
          <w:i/>
          <w:lang w:val="fr-FR"/>
        </w:rPr>
      </w:pPr>
      <w:r w:rsidRPr="006B0E45">
        <w:rPr>
          <w:i/>
          <w:lang w:val="fr-FR"/>
        </w:rPr>
        <w:t xml:space="preserve">(Document de référence : </w:t>
      </w:r>
      <w:r w:rsidR="004B334F">
        <w:rPr>
          <w:i/>
          <w:iCs/>
          <w:lang w:val="fr-FR"/>
        </w:rPr>
        <w:t>ST/SG/AC.10/C.3/102/Add.1</w:t>
      </w:r>
      <w:r w:rsidRPr="006B0E45">
        <w:rPr>
          <w:i/>
          <w:lang w:val="fr-FR"/>
        </w:rPr>
        <w:t>)</w:t>
      </w:r>
    </w:p>
    <w:p w:rsidR="002203FE" w:rsidRPr="006B0E45" w:rsidRDefault="002203FE" w:rsidP="002203FE">
      <w:pPr>
        <w:pStyle w:val="H1G"/>
        <w:rPr>
          <w:lang w:val="fr-FR"/>
        </w:rPr>
      </w:pPr>
      <w:r w:rsidRPr="006B0E45">
        <w:rPr>
          <w:lang w:val="fr-FR"/>
        </w:rPr>
        <w:tab/>
      </w:r>
      <w:r w:rsidRPr="006B0E45">
        <w:rPr>
          <w:lang w:val="fr-FR"/>
        </w:rPr>
        <w:tab/>
        <w:t>Appendice A</w:t>
      </w:r>
      <w:r w:rsidR="00372A51">
        <w:rPr>
          <w:lang w:val="fr-FR"/>
        </w:rPr>
        <w:t>, classe 2.1</w:t>
      </w:r>
    </w:p>
    <w:p w:rsidR="002203FE" w:rsidRPr="006B0E45" w:rsidRDefault="002203FE" w:rsidP="002203FE">
      <w:pPr>
        <w:pStyle w:val="SingleTxtG"/>
        <w:rPr>
          <w:lang w:val="fr-FR"/>
        </w:rPr>
      </w:pPr>
      <w:r w:rsidRPr="006B0E45">
        <w:rPr>
          <w:lang w:val="fr-FR"/>
        </w:rPr>
        <w:t>Sans objet en français</w:t>
      </w:r>
    </w:p>
    <w:p w:rsidR="002203FE" w:rsidRDefault="002203FE" w:rsidP="002203FE">
      <w:pPr>
        <w:pStyle w:val="SingleTxtG"/>
        <w:rPr>
          <w:i/>
          <w:lang w:val="fr-FR"/>
        </w:rPr>
      </w:pPr>
      <w:r w:rsidRPr="006B0E45">
        <w:rPr>
          <w:i/>
          <w:lang w:val="fr-FR"/>
        </w:rPr>
        <w:t xml:space="preserve">(Document de référence : </w:t>
      </w:r>
      <w:r w:rsidR="004B334F">
        <w:rPr>
          <w:i/>
          <w:iCs/>
          <w:lang w:val="fr-FR"/>
        </w:rPr>
        <w:t>ST/SG/AC.10/C.3/102/Add.1</w:t>
      </w:r>
      <w:r w:rsidRPr="006B0E45">
        <w:rPr>
          <w:i/>
          <w:lang w:val="fr-FR"/>
        </w:rPr>
        <w:t>)</w:t>
      </w:r>
    </w:p>
    <w:p w:rsidR="00372A51" w:rsidRDefault="00372A51" w:rsidP="00372A51">
      <w:pPr>
        <w:pStyle w:val="H1G"/>
        <w:rPr>
          <w:lang w:val="fr-FR"/>
        </w:rPr>
      </w:pPr>
      <w:r>
        <w:rPr>
          <w:lang w:val="fr-FR"/>
        </w:rPr>
        <w:tab/>
      </w:r>
      <w:r>
        <w:rPr>
          <w:lang w:val="fr-FR"/>
        </w:rPr>
        <w:tab/>
      </w:r>
      <w:r w:rsidRPr="006B0E45">
        <w:rPr>
          <w:lang w:val="fr-FR"/>
        </w:rPr>
        <w:t>Appendice A</w:t>
      </w:r>
      <w:r>
        <w:rPr>
          <w:lang w:val="fr-FR"/>
        </w:rPr>
        <w:t>, tableau, division 4.3</w:t>
      </w:r>
    </w:p>
    <w:p w:rsidR="002203FE" w:rsidRDefault="00372A51" w:rsidP="00372A51">
      <w:pPr>
        <w:pStyle w:val="SingleTxtG"/>
        <w:rPr>
          <w:lang w:val="fr-FR"/>
        </w:rPr>
      </w:pPr>
      <w:r w:rsidRPr="006B0E45">
        <w:rPr>
          <w:lang w:val="fr-FR"/>
        </w:rPr>
        <w:t>Sans objet en français</w:t>
      </w:r>
    </w:p>
    <w:p w:rsidR="002203FE" w:rsidRDefault="002203FE" w:rsidP="004F5D8C">
      <w:pPr>
        <w:pStyle w:val="SingleTxtG"/>
        <w:spacing w:after="0"/>
        <w:rPr>
          <w:i/>
        </w:rPr>
      </w:pPr>
      <w:r w:rsidRPr="00063C22">
        <w:rPr>
          <w:i/>
        </w:rPr>
        <w:t>(Document de référence</w:t>
      </w:r>
      <w:r>
        <w:rPr>
          <w:i/>
        </w:rPr>
        <w:t> </w:t>
      </w:r>
      <w:r w:rsidRPr="00063C22">
        <w:rPr>
          <w:i/>
        </w:rPr>
        <w:t xml:space="preserve">: </w:t>
      </w:r>
      <w:r w:rsidR="00826DE1">
        <w:rPr>
          <w:i/>
          <w:iCs/>
          <w:lang w:val="fr-FR"/>
        </w:rPr>
        <w:t>ST/SG/AC.10/C.3/104/Add.1</w:t>
      </w:r>
      <w:r w:rsidRPr="00063C22">
        <w:rPr>
          <w:i/>
        </w:rPr>
        <w:t>)</w:t>
      </w:r>
    </w:p>
    <w:p w:rsidR="002203FE" w:rsidRPr="00022288" w:rsidRDefault="002203FE" w:rsidP="00477AEE">
      <w:pPr>
        <w:pStyle w:val="H1G"/>
      </w:pPr>
      <w:r>
        <w:tab/>
      </w:r>
      <w:r>
        <w:tab/>
      </w:r>
      <w:r w:rsidRPr="0088661F">
        <w:t>Appendice B, Glossaire de termes</w:t>
      </w:r>
      <w:r>
        <w:t>,</w:t>
      </w:r>
      <w:r w:rsidRPr="00022288">
        <w:t xml:space="preserve"> </w:t>
      </w:r>
      <w:r>
        <w:t xml:space="preserve">pour « Amorçage, moyens </w:t>
      </w:r>
      <w:proofErr w:type="gramStart"/>
      <w:r>
        <w:t>d' »</w:t>
      </w:r>
      <w:proofErr w:type="gramEnd"/>
    </w:p>
    <w:p w:rsidR="002203FE" w:rsidRPr="001C1F56" w:rsidRDefault="002203FE" w:rsidP="002203FE">
      <w:pPr>
        <w:pStyle w:val="SingleTxtG"/>
      </w:pPr>
      <w:r w:rsidRPr="00022288">
        <w:rPr>
          <w:i/>
        </w:rPr>
        <w:t>Au lieu de</w:t>
      </w:r>
      <w:r>
        <w:t xml:space="preserve"> danger notable </w:t>
      </w:r>
      <w:r w:rsidRPr="00022288">
        <w:rPr>
          <w:i/>
        </w:rPr>
        <w:t>lire</w:t>
      </w:r>
      <w:r>
        <w:t xml:space="preserve"> risque notable</w:t>
      </w:r>
    </w:p>
    <w:p w:rsidR="002203FE" w:rsidRDefault="002203FE" w:rsidP="004F5D8C">
      <w:pPr>
        <w:pStyle w:val="SingleTxtG"/>
        <w:spacing w:after="0"/>
        <w:rPr>
          <w:i/>
        </w:rPr>
      </w:pPr>
      <w:r w:rsidRPr="00E56305">
        <w:rPr>
          <w:i/>
        </w:rPr>
        <w:t xml:space="preserve">(Document </w:t>
      </w:r>
      <w:r>
        <w:rPr>
          <w:i/>
        </w:rPr>
        <w:t xml:space="preserve">de </w:t>
      </w:r>
      <w:proofErr w:type="gramStart"/>
      <w:r>
        <w:rPr>
          <w:i/>
        </w:rPr>
        <w:t xml:space="preserve">référence  </w:t>
      </w:r>
      <w:r w:rsidR="00826DE1">
        <w:rPr>
          <w:i/>
          <w:iCs/>
          <w:lang w:val="fr-FR"/>
        </w:rPr>
        <w:t>ST</w:t>
      </w:r>
      <w:proofErr w:type="gramEnd"/>
      <w:r w:rsidR="00826DE1">
        <w:rPr>
          <w:i/>
          <w:iCs/>
          <w:lang w:val="fr-FR"/>
        </w:rPr>
        <w:t>/SG/AC.10/C.3/104/Add.1</w:t>
      </w:r>
      <w:r>
        <w:rPr>
          <w:i/>
        </w:rPr>
        <w:t>)</w:t>
      </w:r>
    </w:p>
    <w:p w:rsidR="00CA0680" w:rsidRPr="00D703C7" w:rsidRDefault="00D703C7" w:rsidP="00D703C7">
      <w:pPr>
        <w:spacing w:before="240"/>
        <w:ind w:left="1134" w:right="1134"/>
        <w:jc w:val="center"/>
        <w:rPr>
          <w:u w:val="single"/>
        </w:rPr>
      </w:pPr>
      <w:r>
        <w:rPr>
          <w:u w:val="single"/>
        </w:rPr>
        <w:tab/>
      </w:r>
      <w:r>
        <w:rPr>
          <w:u w:val="single"/>
        </w:rPr>
        <w:tab/>
      </w:r>
      <w:r>
        <w:rPr>
          <w:u w:val="single"/>
        </w:rPr>
        <w:tab/>
      </w:r>
    </w:p>
    <w:sectPr w:rsidR="00CA0680" w:rsidRPr="00D703C7" w:rsidSect="002D6FE4">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FE4" w:rsidRDefault="002D6FE4"/>
  </w:endnote>
  <w:endnote w:type="continuationSeparator" w:id="0">
    <w:p w:rsidR="002D6FE4" w:rsidRDefault="002D6FE4"/>
  </w:endnote>
  <w:endnote w:type="continuationNotice" w:id="1">
    <w:p w:rsidR="002D6FE4" w:rsidRDefault="002D6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NeueLTPro-Roman;MS Got">
    <w:panose1 w:val="00000000000000000000"/>
    <w:charset w:val="00"/>
    <w:family w:val="roman"/>
    <w:notTrueType/>
    <w:pitch w:val="default"/>
  </w:font>
  <w:font w:name="UniMath;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E4" w:rsidRPr="002D6FE4" w:rsidRDefault="002D6FE4" w:rsidP="002D6FE4">
    <w:pPr>
      <w:pStyle w:val="Footer"/>
      <w:tabs>
        <w:tab w:val="right" w:pos="9638"/>
      </w:tabs>
      <w:rPr>
        <w:sz w:val="18"/>
      </w:rPr>
    </w:pPr>
    <w:r w:rsidRPr="002D6FE4">
      <w:rPr>
        <w:b/>
        <w:sz w:val="18"/>
      </w:rPr>
      <w:fldChar w:fldCharType="begin"/>
    </w:r>
    <w:r w:rsidRPr="002D6FE4">
      <w:rPr>
        <w:b/>
        <w:sz w:val="18"/>
      </w:rPr>
      <w:instrText xml:space="preserve"> PAGE  \* MERGEFORMAT </w:instrText>
    </w:r>
    <w:r w:rsidRPr="002D6FE4">
      <w:rPr>
        <w:b/>
        <w:sz w:val="18"/>
      </w:rPr>
      <w:fldChar w:fldCharType="separate"/>
    </w:r>
    <w:r w:rsidRPr="002D6FE4">
      <w:rPr>
        <w:b/>
        <w:noProof/>
        <w:sz w:val="18"/>
      </w:rPr>
      <w:t>2</w:t>
    </w:r>
    <w:r w:rsidRPr="002D6F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E4" w:rsidRPr="002D6FE4" w:rsidRDefault="002D6FE4" w:rsidP="002D6FE4">
    <w:pPr>
      <w:pStyle w:val="Footer"/>
      <w:tabs>
        <w:tab w:val="right" w:pos="9638"/>
      </w:tabs>
      <w:rPr>
        <w:b/>
        <w:sz w:val="18"/>
      </w:rPr>
    </w:pPr>
    <w:r>
      <w:tab/>
    </w:r>
    <w:r w:rsidRPr="002D6FE4">
      <w:rPr>
        <w:b/>
        <w:sz w:val="18"/>
      </w:rPr>
      <w:fldChar w:fldCharType="begin"/>
    </w:r>
    <w:r w:rsidRPr="002D6FE4">
      <w:rPr>
        <w:b/>
        <w:sz w:val="18"/>
      </w:rPr>
      <w:instrText xml:space="preserve"> PAGE  \* MERGEFORMAT </w:instrText>
    </w:r>
    <w:r w:rsidRPr="002D6FE4">
      <w:rPr>
        <w:b/>
        <w:sz w:val="18"/>
      </w:rPr>
      <w:fldChar w:fldCharType="separate"/>
    </w:r>
    <w:r w:rsidRPr="002D6FE4">
      <w:rPr>
        <w:b/>
        <w:noProof/>
        <w:sz w:val="18"/>
      </w:rPr>
      <w:t>3</w:t>
    </w:r>
    <w:r w:rsidRPr="002D6FE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FE4" w:rsidRPr="00D27D5E" w:rsidRDefault="002D6FE4" w:rsidP="00D27D5E">
      <w:pPr>
        <w:tabs>
          <w:tab w:val="right" w:pos="2155"/>
        </w:tabs>
        <w:spacing w:after="80"/>
        <w:ind w:left="680"/>
        <w:rPr>
          <w:u w:val="single"/>
        </w:rPr>
      </w:pPr>
      <w:r>
        <w:rPr>
          <w:u w:val="single"/>
        </w:rPr>
        <w:tab/>
      </w:r>
    </w:p>
  </w:footnote>
  <w:footnote w:type="continuationSeparator" w:id="0">
    <w:p w:rsidR="002D6FE4" w:rsidRPr="00A40B11" w:rsidRDefault="002D6FE4" w:rsidP="00A40B11">
      <w:pPr>
        <w:tabs>
          <w:tab w:val="right" w:pos="2155"/>
        </w:tabs>
        <w:spacing w:after="80"/>
        <w:ind w:left="680"/>
        <w:rPr>
          <w:u w:val="single"/>
        </w:rPr>
      </w:pPr>
      <w:r w:rsidRPr="00A40B11">
        <w:rPr>
          <w:u w:val="single"/>
        </w:rPr>
        <w:tab/>
      </w:r>
    </w:p>
  </w:footnote>
  <w:footnote w:type="continuationNotice" w:id="1">
    <w:p w:rsidR="002D6FE4" w:rsidRDefault="002D6FE4"/>
  </w:footnote>
  <w:footnote w:id="2">
    <w:p w:rsidR="00550490" w:rsidRDefault="00550490" w:rsidP="00550490">
      <w:pPr>
        <w:pStyle w:val="FootnoteText"/>
      </w:pPr>
      <w:r>
        <w:tab/>
      </w:r>
      <w:r>
        <w:tab/>
      </w:r>
      <w:r>
        <w:rPr>
          <w:rStyle w:val="FootnoteReference"/>
        </w:rPr>
        <w:t>*</w:t>
      </w:r>
      <w:r>
        <w:t xml:space="preserve"> </w:t>
      </w:r>
      <w:r w:rsidRPr="00550490">
        <w:t>Conformément</w:t>
      </w:r>
      <w:r w:rsidRPr="00D531CE">
        <w:t xml:space="preserve"> au programme de travail du Sous-Comité pour la période </w:t>
      </w:r>
      <w:r>
        <w:t>2017</w:t>
      </w:r>
      <w:r w:rsidRPr="00D531CE">
        <w:t>-</w:t>
      </w:r>
      <w:r>
        <w:t>2018</w:t>
      </w:r>
      <w:r w:rsidRPr="00D531CE">
        <w:t xml:space="preserve">, adopté par le Comité à sa </w:t>
      </w:r>
      <w:r>
        <w:rPr>
          <w:lang w:val="fr-FR"/>
        </w:rPr>
        <w:t>huitième</w:t>
      </w:r>
      <w:r w:rsidRPr="00D531CE">
        <w:rPr>
          <w:lang w:val="fr-FR"/>
        </w:rPr>
        <w:t xml:space="preserve"> session (voir ST/SG/AC.10/C.3/</w:t>
      </w:r>
      <w:r>
        <w:rPr>
          <w:lang w:val="fr-FR"/>
        </w:rPr>
        <w:t>100</w:t>
      </w:r>
      <w:r w:rsidRPr="00D531CE">
        <w:rPr>
          <w:lang w:val="fr-FR"/>
        </w:rPr>
        <w:t xml:space="preserve">, par. </w:t>
      </w:r>
      <w:r>
        <w:rPr>
          <w:lang w:val="fr-FR"/>
        </w:rPr>
        <w:t>98</w:t>
      </w:r>
      <w:r w:rsidRPr="00D531CE">
        <w:rPr>
          <w:lang w:val="fr-FR"/>
        </w:rPr>
        <w:t>, et ST/SG/AC.10/</w:t>
      </w:r>
      <w:r>
        <w:rPr>
          <w:lang w:val="fr-FR"/>
        </w:rPr>
        <w:t>44</w:t>
      </w:r>
      <w:r w:rsidRPr="00D531CE">
        <w:rPr>
          <w:lang w:val="fr-FR"/>
        </w:rPr>
        <w:t xml:space="preserve">, par. </w:t>
      </w:r>
      <w:r>
        <w:rPr>
          <w:lang w:val="fr-FR"/>
        </w:rPr>
        <w:t>14</w:t>
      </w:r>
      <w:r w:rsidRPr="00D531CE">
        <w:rPr>
          <w:lang w:val="fr-FR"/>
        </w:rPr>
        <w: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E4" w:rsidRPr="002D6FE4" w:rsidRDefault="002D6FE4">
    <w:pPr>
      <w:pStyle w:val="Header"/>
    </w:pPr>
    <w:r>
      <w:t>ST/SG/AC.10/C.3/2018/90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E4" w:rsidRPr="002D6FE4" w:rsidRDefault="002D6FE4" w:rsidP="002D6FE4">
    <w:pPr>
      <w:pStyle w:val="Header"/>
      <w:jc w:val="right"/>
    </w:pPr>
    <w:r>
      <w:t>ST/SG/AC.10/C.3/2018/90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15944"/>
    <w:multiLevelType w:val="hybridMultilevel"/>
    <w:tmpl w:val="C3F62F14"/>
    <w:lvl w:ilvl="0" w:tplc="717864DA">
      <w:start w:val="1"/>
      <w:numFmt w:val="upperRoman"/>
      <w:lvlText w:val="%1."/>
      <w:lvlJc w:val="left"/>
      <w:pPr>
        <w:ind w:left="1854" w:hanging="720"/>
      </w:pPr>
      <w:rPr>
        <w:rFonts w:hint="default"/>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E4"/>
    <w:rsid w:val="00016AC5"/>
    <w:rsid w:val="00072E7B"/>
    <w:rsid w:val="00073282"/>
    <w:rsid w:val="00084FE1"/>
    <w:rsid w:val="0009525E"/>
    <w:rsid w:val="000B3711"/>
    <w:rsid w:val="000F41F2"/>
    <w:rsid w:val="00154CB9"/>
    <w:rsid w:val="001560DD"/>
    <w:rsid w:val="00160540"/>
    <w:rsid w:val="00192EEB"/>
    <w:rsid w:val="001A20FB"/>
    <w:rsid w:val="001D44B7"/>
    <w:rsid w:val="001D7F8A"/>
    <w:rsid w:val="001E3FEB"/>
    <w:rsid w:val="001E4A02"/>
    <w:rsid w:val="001E68C9"/>
    <w:rsid w:val="001F0E00"/>
    <w:rsid w:val="002156CB"/>
    <w:rsid w:val="002203FE"/>
    <w:rsid w:val="00220B3D"/>
    <w:rsid w:val="00225A8C"/>
    <w:rsid w:val="00247207"/>
    <w:rsid w:val="00255322"/>
    <w:rsid w:val="002659F1"/>
    <w:rsid w:val="00287E79"/>
    <w:rsid w:val="002928F9"/>
    <w:rsid w:val="002A40B5"/>
    <w:rsid w:val="002A5D07"/>
    <w:rsid w:val="002B2C06"/>
    <w:rsid w:val="002D6FE4"/>
    <w:rsid w:val="003016B7"/>
    <w:rsid w:val="00332C08"/>
    <w:rsid w:val="0034591A"/>
    <w:rsid w:val="003515AA"/>
    <w:rsid w:val="00353080"/>
    <w:rsid w:val="00372A51"/>
    <w:rsid w:val="00374106"/>
    <w:rsid w:val="00395882"/>
    <w:rsid w:val="003976D5"/>
    <w:rsid w:val="003D3BED"/>
    <w:rsid w:val="003D6C68"/>
    <w:rsid w:val="003F5B56"/>
    <w:rsid w:val="004159D0"/>
    <w:rsid w:val="004159EE"/>
    <w:rsid w:val="00421F7A"/>
    <w:rsid w:val="0046126F"/>
    <w:rsid w:val="00477AEE"/>
    <w:rsid w:val="00482AF2"/>
    <w:rsid w:val="004A0F69"/>
    <w:rsid w:val="004B334F"/>
    <w:rsid w:val="004B41A4"/>
    <w:rsid w:val="004C48A1"/>
    <w:rsid w:val="004F5D8C"/>
    <w:rsid w:val="0052280A"/>
    <w:rsid w:val="00524945"/>
    <w:rsid w:val="00532886"/>
    <w:rsid w:val="00543D5E"/>
    <w:rsid w:val="00550490"/>
    <w:rsid w:val="00571F41"/>
    <w:rsid w:val="0058132F"/>
    <w:rsid w:val="005B0D7E"/>
    <w:rsid w:val="005E5D1F"/>
    <w:rsid w:val="00603122"/>
    <w:rsid w:val="00611D43"/>
    <w:rsid w:val="00612D48"/>
    <w:rsid w:val="00616B45"/>
    <w:rsid w:val="00630D9B"/>
    <w:rsid w:val="00631953"/>
    <w:rsid w:val="006439EC"/>
    <w:rsid w:val="006679FB"/>
    <w:rsid w:val="006924C3"/>
    <w:rsid w:val="006A2872"/>
    <w:rsid w:val="006B4590"/>
    <w:rsid w:val="006C340C"/>
    <w:rsid w:val="006F462A"/>
    <w:rsid w:val="0070347C"/>
    <w:rsid w:val="00703DCC"/>
    <w:rsid w:val="007176C1"/>
    <w:rsid w:val="007E3A1C"/>
    <w:rsid w:val="007F55CB"/>
    <w:rsid w:val="00826DE1"/>
    <w:rsid w:val="00844750"/>
    <w:rsid w:val="00850A60"/>
    <w:rsid w:val="00851BA3"/>
    <w:rsid w:val="008560D7"/>
    <w:rsid w:val="0086254F"/>
    <w:rsid w:val="00866D64"/>
    <w:rsid w:val="00877B40"/>
    <w:rsid w:val="008826BA"/>
    <w:rsid w:val="008A56E7"/>
    <w:rsid w:val="008B44C4"/>
    <w:rsid w:val="008E12DE"/>
    <w:rsid w:val="008E7FAE"/>
    <w:rsid w:val="008F52E3"/>
    <w:rsid w:val="00911BF7"/>
    <w:rsid w:val="00931BEB"/>
    <w:rsid w:val="0094723C"/>
    <w:rsid w:val="00951BBA"/>
    <w:rsid w:val="00977EC8"/>
    <w:rsid w:val="009B614C"/>
    <w:rsid w:val="009C74D5"/>
    <w:rsid w:val="009D3A8C"/>
    <w:rsid w:val="009E036D"/>
    <w:rsid w:val="009E7956"/>
    <w:rsid w:val="009E79B0"/>
    <w:rsid w:val="00A1534D"/>
    <w:rsid w:val="00A2492E"/>
    <w:rsid w:val="00A40B11"/>
    <w:rsid w:val="00A40F0E"/>
    <w:rsid w:val="00A66761"/>
    <w:rsid w:val="00AC67A1"/>
    <w:rsid w:val="00AC7977"/>
    <w:rsid w:val="00AE352C"/>
    <w:rsid w:val="00B10104"/>
    <w:rsid w:val="00B15353"/>
    <w:rsid w:val="00B32E2D"/>
    <w:rsid w:val="00B61990"/>
    <w:rsid w:val="00B747DC"/>
    <w:rsid w:val="00B83E18"/>
    <w:rsid w:val="00BD15E0"/>
    <w:rsid w:val="00BF0556"/>
    <w:rsid w:val="00BF1492"/>
    <w:rsid w:val="00C056B2"/>
    <w:rsid w:val="00C261F8"/>
    <w:rsid w:val="00C27657"/>
    <w:rsid w:val="00C33100"/>
    <w:rsid w:val="00CA0680"/>
    <w:rsid w:val="00CD1A71"/>
    <w:rsid w:val="00CD1FBB"/>
    <w:rsid w:val="00CD2641"/>
    <w:rsid w:val="00CD5940"/>
    <w:rsid w:val="00D016B5"/>
    <w:rsid w:val="00D034F1"/>
    <w:rsid w:val="00D27D5E"/>
    <w:rsid w:val="00D322BB"/>
    <w:rsid w:val="00D703C7"/>
    <w:rsid w:val="00DE6D90"/>
    <w:rsid w:val="00DF002F"/>
    <w:rsid w:val="00E0244D"/>
    <w:rsid w:val="00E40B8E"/>
    <w:rsid w:val="00E81E94"/>
    <w:rsid w:val="00E82607"/>
    <w:rsid w:val="00EC5AFA"/>
    <w:rsid w:val="00EC5E0C"/>
    <w:rsid w:val="00EF1E6F"/>
    <w:rsid w:val="00F443E1"/>
    <w:rsid w:val="00FA5A79"/>
    <w:rsid w:val="00FB0BFE"/>
    <w:rsid w:val="00FB4C51"/>
    <w:rsid w:val="00FB5E2C"/>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686A6A5"/>
  <w15:docId w15:val="{8001491D-DE1B-4CF4-BA5A-C117A02B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Footnote Reference/"/>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2D6FE4"/>
    <w:rPr>
      <w:lang w:val="fr-CH" w:eastAsia="en-US"/>
    </w:rPr>
  </w:style>
  <w:style w:type="character" w:customStyle="1" w:styleId="FootnoteTextChar">
    <w:name w:val="Footnote Text Char"/>
    <w:aliases w:val="5_G Char"/>
    <w:link w:val="FootnoteText"/>
    <w:rsid w:val="002D6FE4"/>
    <w:rPr>
      <w:sz w:val="18"/>
      <w:lang w:val="fr-CH" w:eastAsia="en-US"/>
    </w:rPr>
  </w:style>
  <w:style w:type="character" w:customStyle="1" w:styleId="H1GCar">
    <w:name w:val="_ H_1_G Car"/>
    <w:link w:val="H1G"/>
    <w:rsid w:val="002D6FE4"/>
    <w:rPr>
      <w:b/>
      <w:sz w:val="24"/>
      <w:lang w:val="fr-CH" w:eastAsia="en-US"/>
    </w:rPr>
  </w:style>
  <w:style w:type="character" w:customStyle="1" w:styleId="HChGChar">
    <w:name w:val="_ H _Ch_G Char"/>
    <w:link w:val="HChG"/>
    <w:rsid w:val="002203FE"/>
    <w:rPr>
      <w:b/>
      <w:sz w:val="28"/>
      <w:lang w:val="fr-CH" w:eastAsia="en-US"/>
    </w:rPr>
  </w:style>
  <w:style w:type="character" w:customStyle="1" w:styleId="H1GChar">
    <w:name w:val="_ H_1_G Char"/>
    <w:rsid w:val="002203FE"/>
    <w:rPr>
      <w:b/>
      <w:sz w:val="24"/>
    </w:rPr>
  </w:style>
  <w:style w:type="character" w:customStyle="1" w:styleId="H23GChar">
    <w:name w:val="_ H_2/3_G Char"/>
    <w:link w:val="H23G"/>
    <w:rsid w:val="002203FE"/>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1AEF-3486-49AD-94FE-2E262056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266</TotalTime>
  <Pages>11</Pages>
  <Words>2086</Words>
  <Characters>13303</Characters>
  <Application>Microsoft Office Word</Application>
  <DocSecurity>0</DocSecurity>
  <Lines>323</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ST/SG/AC10/C4/106/Add1</dc:creator>
  <cp:lastModifiedBy>Laurence Berthet</cp:lastModifiedBy>
  <cp:revision>29</cp:revision>
  <cp:lastPrinted>2018-09-11T09:12:00Z</cp:lastPrinted>
  <dcterms:created xsi:type="dcterms:W3CDTF">2018-08-30T12:05:00Z</dcterms:created>
  <dcterms:modified xsi:type="dcterms:W3CDTF">2018-09-11T09:14:00Z</dcterms:modified>
</cp:coreProperties>
</file>