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E865AC">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E865AC" w:rsidP="00E865AC">
            <w:pPr>
              <w:jc w:val="right"/>
            </w:pPr>
            <w:r w:rsidRPr="00E865AC">
              <w:rPr>
                <w:sz w:val="40"/>
              </w:rPr>
              <w:t>ST</w:t>
            </w:r>
            <w:r>
              <w:t>/SG/AC.10/C.3/2018/76</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E865AC" w:rsidP="00F01738">
            <w:pPr>
              <w:spacing w:before="240"/>
            </w:pPr>
            <w:r>
              <w:t xml:space="preserve">Distr. </w:t>
            </w:r>
            <w:proofErr w:type="gramStart"/>
            <w:r>
              <w:t>générale</w:t>
            </w:r>
            <w:proofErr w:type="gramEnd"/>
          </w:p>
          <w:p w:rsidR="00E865AC" w:rsidRDefault="00E865AC" w:rsidP="00E865AC">
            <w:pPr>
              <w:spacing w:line="240" w:lineRule="exact"/>
            </w:pPr>
            <w:r>
              <w:t>7 septembre 2018</w:t>
            </w:r>
          </w:p>
          <w:p w:rsidR="00E865AC" w:rsidRDefault="00E865AC" w:rsidP="00E865AC">
            <w:pPr>
              <w:spacing w:line="240" w:lineRule="exact"/>
            </w:pPr>
            <w:r>
              <w:t>Français</w:t>
            </w:r>
          </w:p>
          <w:p w:rsidR="00E865AC" w:rsidRPr="00DB58B5" w:rsidRDefault="00E865AC" w:rsidP="00E865AC">
            <w:pPr>
              <w:spacing w:line="240" w:lineRule="exact"/>
            </w:pPr>
            <w:r>
              <w:t>Original : anglais</w:t>
            </w:r>
          </w:p>
        </w:tc>
      </w:tr>
    </w:tbl>
    <w:p w:rsidR="00E865AC" w:rsidRPr="00CA0680" w:rsidRDefault="00E865AC"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E865AC" w:rsidRPr="00CA0680" w:rsidRDefault="00E865AC" w:rsidP="000305D3">
      <w:pPr>
        <w:spacing w:before="120"/>
        <w:rPr>
          <w:b/>
        </w:rPr>
      </w:pPr>
      <w:r w:rsidRPr="00CA0680">
        <w:rPr>
          <w:b/>
        </w:rPr>
        <w:t>Sous</w:t>
      </w:r>
      <w:r>
        <w:rPr>
          <w:b/>
        </w:rPr>
        <w:t>-</w:t>
      </w:r>
      <w:r w:rsidRPr="00CA0680">
        <w:rPr>
          <w:b/>
        </w:rPr>
        <w:t>Comité d’experts du transport des marchandises dangereuses</w:t>
      </w:r>
    </w:p>
    <w:p w:rsidR="00E865AC" w:rsidRDefault="00E865AC" w:rsidP="000305D3">
      <w:pPr>
        <w:spacing w:before="120"/>
        <w:rPr>
          <w:b/>
        </w:rPr>
      </w:pPr>
      <w:r w:rsidRPr="006E3918">
        <w:rPr>
          <w:b/>
          <w:bCs/>
          <w:szCs w:val="28"/>
        </w:rPr>
        <w:t>Cinquante-quatrième</w:t>
      </w:r>
      <w:r w:rsidRPr="006E3918">
        <w:rPr>
          <w:b/>
          <w:szCs w:val="28"/>
        </w:rPr>
        <w:t xml:space="preserve"> session</w:t>
      </w:r>
    </w:p>
    <w:p w:rsidR="00E865AC" w:rsidRDefault="00E865AC" w:rsidP="000305D3">
      <w:r>
        <w:t xml:space="preserve">Genève, </w:t>
      </w:r>
      <w:r w:rsidRPr="006E3918">
        <w:rPr>
          <w:szCs w:val="28"/>
        </w:rPr>
        <w:t>26 novembre-4 décembre 2018</w:t>
      </w:r>
    </w:p>
    <w:p w:rsidR="00E865AC" w:rsidRDefault="00E865AC" w:rsidP="000305D3">
      <w:r>
        <w:t>Point 2 c) de l’ordre du jour provisoire</w:t>
      </w:r>
    </w:p>
    <w:p w:rsidR="00E865AC" w:rsidRDefault="00DF2B07" w:rsidP="00DF2B07">
      <w:r>
        <w:rPr>
          <w:b/>
          <w:bCs/>
        </w:rPr>
        <w:t xml:space="preserve">Recommandations du Sous-Comité formulées à ses cinquante et unième, </w:t>
      </w:r>
      <w:r>
        <w:rPr>
          <w:b/>
          <w:bCs/>
        </w:rPr>
        <w:br/>
        <w:t xml:space="preserve">cinquante-deuxième et cinquante-troisième sessions et questions en suspens : </w:t>
      </w:r>
      <w:r>
        <w:rPr>
          <w:b/>
          <w:bCs/>
        </w:rPr>
        <w:br/>
      </w:r>
      <w:r w:rsidR="00E865AC" w:rsidRPr="006E3918">
        <w:rPr>
          <w:b/>
          <w:szCs w:val="28"/>
        </w:rPr>
        <w:t>Inscription, classement et emballage</w:t>
      </w:r>
    </w:p>
    <w:p w:rsidR="00E865AC" w:rsidRPr="00E865AC" w:rsidRDefault="00E865AC" w:rsidP="00886427">
      <w:pPr>
        <w:pStyle w:val="HChG"/>
      </w:pPr>
      <w:r w:rsidRPr="00E865AC">
        <w:tab/>
      </w:r>
      <w:r w:rsidRPr="00E865AC">
        <w:tab/>
        <w:t>Modification des instructions d’emballage P400 et P404</w:t>
      </w:r>
    </w:p>
    <w:p w:rsidR="00E865AC" w:rsidRPr="00E865AC" w:rsidRDefault="00E865AC" w:rsidP="00886427">
      <w:pPr>
        <w:pStyle w:val="H1G"/>
      </w:pPr>
      <w:r w:rsidRPr="00E865AC">
        <w:tab/>
      </w:r>
      <w:r w:rsidRPr="00E865AC">
        <w:tab/>
        <w:t>Communication du Conseil européen de l’industrie chimique (CEFIC)</w:t>
      </w:r>
      <w:r w:rsidR="00886427" w:rsidRPr="00886427">
        <w:rPr>
          <w:rStyle w:val="FootnoteReference"/>
          <w:b w:val="0"/>
          <w:sz w:val="20"/>
          <w:vertAlign w:val="baseline"/>
        </w:rPr>
        <w:footnoteReference w:customMarkFollows="1" w:id="2"/>
        <w:t>*</w:t>
      </w:r>
    </w:p>
    <w:p w:rsidR="00E865AC" w:rsidRPr="00E865AC" w:rsidRDefault="00E865AC" w:rsidP="00886427">
      <w:pPr>
        <w:pStyle w:val="HChG"/>
      </w:pPr>
      <w:r w:rsidRPr="00E865AC">
        <w:tab/>
      </w:r>
      <w:r w:rsidRPr="00E865AC">
        <w:tab/>
        <w:t>Introduction</w:t>
      </w:r>
    </w:p>
    <w:p w:rsidR="00E865AC" w:rsidRPr="00E865AC" w:rsidRDefault="00E865AC" w:rsidP="00E865AC">
      <w:pPr>
        <w:pStyle w:val="SingleTxtG"/>
      </w:pPr>
      <w:r w:rsidRPr="00E865AC">
        <w:t>1.</w:t>
      </w:r>
      <w:r w:rsidRPr="00E865AC">
        <w:tab/>
        <w:t xml:space="preserve">À la cinquante-troisième session du Sous-Comité d’experts du transport des marchandises dangereuses, le Conseil européen de l’industrie chimique (CEFIC) a appelé l’attention sur les problèmes de sécurité qui se posent dans le cadre de la manutention des récipients intérieurs des emballages combinés remplis de matières solides pyrophoriques en application des prescriptions énoncées dans l’instruction d’emballage P404. </w:t>
      </w:r>
    </w:p>
    <w:p w:rsidR="00E865AC" w:rsidRPr="00E865AC" w:rsidRDefault="00E865AC" w:rsidP="00E865AC">
      <w:pPr>
        <w:pStyle w:val="SingleTxtG"/>
      </w:pPr>
      <w:r w:rsidRPr="00E865AC">
        <w:t>2.</w:t>
      </w:r>
      <w:r w:rsidRPr="00E865AC">
        <w:tab/>
        <w:t>La proposition de modifier en conséquence l’instruction d’emballage P404 énoncée dans le document informel INF.23 (cinquante-troisième session) a dans l’ensemble été accueillie favorablement. Le Sous-Comité a invité le CEFIC à revoir cette proposition en tenant compte des observations formulées et à soumettre un document officiel à la cinquante-quatrième session, tout en envisageant de modifier l’instruction d’emballage P400, qui s’applique, elle, aux matières pyrophoriques liquides.</w:t>
      </w:r>
    </w:p>
    <w:p w:rsidR="00E865AC" w:rsidRPr="00E865AC" w:rsidRDefault="00E865AC" w:rsidP="00886427">
      <w:pPr>
        <w:pStyle w:val="HChG"/>
      </w:pPr>
      <w:r w:rsidRPr="00E865AC">
        <w:tab/>
      </w:r>
      <w:r w:rsidRPr="00E865AC">
        <w:tab/>
        <w:t>Discussion</w:t>
      </w:r>
    </w:p>
    <w:p w:rsidR="00E865AC" w:rsidRPr="00E865AC" w:rsidRDefault="00E865AC" w:rsidP="00E865AC">
      <w:pPr>
        <w:pStyle w:val="SingleTxtG"/>
      </w:pPr>
      <w:r w:rsidRPr="00E865AC">
        <w:t>3.</w:t>
      </w:r>
      <w:r w:rsidRPr="00E865AC">
        <w:tab/>
        <w:t xml:space="preserve">Comme l’instruction d’emballage P404, l’instruction d’emballage P400 prévoit la mise en œuvre de mesures strictes pour que les emballages restent hermétiquement fermés pendant le transport. Pour les emballages combinés, les instructions d’emballage P400 et P404 énoncent des prescriptions détaillées relatives aux bouchons filetés destinés aux récipients de métal ou de verre servant d’emballage intérieur. </w:t>
      </w:r>
    </w:p>
    <w:p w:rsidR="00E865AC" w:rsidRPr="00E865AC" w:rsidRDefault="00E865AC" w:rsidP="00E865AC">
      <w:pPr>
        <w:pStyle w:val="SingleTxtG"/>
      </w:pPr>
      <w:r w:rsidRPr="00E865AC">
        <w:lastRenderedPageBreak/>
        <w:t>4.</w:t>
      </w:r>
      <w:r w:rsidRPr="00E865AC">
        <w:tab/>
        <w:t>L’expérience montre que les dispositions relatives à l’emballage énoncées dans les instructions d’emballage P400 et P404 garantissent un niveau de sécurité adéquat pendant le transport. Toutefois, la manutention de tel ou tel emballage intérieur autorisé met en évidence les problèmes que posent les bouchons filetés en matière de sécurité au travail lorsque les récipients sont refermés après qu’une partie du produit a été prélevée pour être distribuée et utilisée. Les traces de matière pyrophorique ayant adhéré au filetage peuvent réagir dangereusement à la friction qui se produit lorsque le bouchon est revissé.</w:t>
      </w:r>
    </w:p>
    <w:p w:rsidR="00E865AC" w:rsidRPr="00E865AC" w:rsidRDefault="00E865AC" w:rsidP="00E865AC">
      <w:pPr>
        <w:pStyle w:val="SingleTxtG"/>
      </w:pPr>
      <w:r w:rsidRPr="00E865AC">
        <w:t>5.</w:t>
      </w:r>
      <w:r w:rsidRPr="00E865AC">
        <w:tab/>
      </w:r>
      <w:r w:rsidRPr="00A201E4">
        <w:rPr>
          <w:spacing w:val="-2"/>
        </w:rPr>
        <w:t>Les bouchons filetés préviennent efficacement le dégagement ou le relâchement de la fermeture pendant le transport. Les prescriptions relatives aux fermetures des emballages intérieurs des instructions d’emballage P601, P602 et P804 ont les mêmes visées protectrices, mais elles laissent une certaine latitude dans le choix des solutions techniques adoptées pour obtenir des fermetures adéquates qui soient moins sensibles aux effets de la friction.</w:t>
      </w:r>
      <w:r w:rsidRPr="00E865AC">
        <w:t xml:space="preserve"> </w:t>
      </w:r>
    </w:p>
    <w:p w:rsidR="00E865AC" w:rsidRPr="00E865AC" w:rsidRDefault="00E865AC" w:rsidP="00E865AC">
      <w:pPr>
        <w:pStyle w:val="SingleTxtG"/>
      </w:pPr>
      <w:r w:rsidRPr="00E865AC">
        <w:t>6.</w:t>
      </w:r>
      <w:r w:rsidRPr="00E865AC">
        <w:tab/>
        <w:t>Le CEFIC propose donc que les prescriptions énoncées dans les instructions d’emballage P400 et P404 relatives aux bouchons filetés des emballages intérieurs soient complétées et qu’il soit autorisé d’avoir recours à d’autres moyens techniques pour empêcher le dégagement ou le relâchement de la fermeture en cas de choc ou de vibration au cours du transport, comme dans les instructions d’emballage P601, P602 et P804.</w:t>
      </w:r>
    </w:p>
    <w:p w:rsidR="00E865AC" w:rsidRPr="00E865AC" w:rsidRDefault="00E865AC" w:rsidP="00E865AC">
      <w:pPr>
        <w:pStyle w:val="SingleTxtG"/>
      </w:pPr>
      <w:r w:rsidRPr="00E865AC">
        <w:t>7.</w:t>
      </w:r>
      <w:r w:rsidRPr="00E865AC">
        <w:tab/>
        <w:t>Ainsi que l’avait demandé le Sous-Comité à sa cinquante-troisième session, le CEFIC a établi le présent document officiel, dans lequel il est proposé de modifier les instructions d’emballage P400 et P404 en employant un libellé qui a fait ses preuves.</w:t>
      </w:r>
    </w:p>
    <w:p w:rsidR="00E865AC" w:rsidRPr="00E865AC" w:rsidRDefault="00E865AC" w:rsidP="00E865AC">
      <w:pPr>
        <w:pStyle w:val="SingleTxtG"/>
      </w:pPr>
      <w:r w:rsidRPr="00E865AC">
        <w:t>8.</w:t>
      </w:r>
      <w:r w:rsidRPr="00E865AC">
        <w:tab/>
        <w:t>Un examen approfondi de l’</w:t>
      </w:r>
      <w:r w:rsidR="009211EA">
        <w:t>instruction</w:t>
      </w:r>
      <w:r w:rsidRPr="00E865AC">
        <w:t xml:space="preserve"> d’emballage P404 a mis au jour deux erreurs formelles. Le </w:t>
      </w:r>
      <w:r w:rsidR="009211EA">
        <w:t>No </w:t>
      </w:r>
      <w:r w:rsidRPr="00E865AC">
        <w:t>ONU 3461, qui figure dans liste des numéros ONU auxquels s’applique l’instruction, n’est actuellement assigné à aucune matière dans la liste des marchandises dangereuses. En outre, les fûts en aluminium à dessus amovible (1B2) semblent avoir été omis de la liste des emballages en métal autorisés</w:t>
      </w:r>
      <w:r w:rsidR="0095153E">
        <w:t xml:space="preserve"> du paragraphe </w:t>
      </w:r>
      <w:r w:rsidRPr="00E865AC">
        <w:t xml:space="preserve">2). Le CEFIC propose donc qu’il soit dûment remédié à ces incohérences. </w:t>
      </w:r>
    </w:p>
    <w:p w:rsidR="00E865AC" w:rsidRPr="00E865AC" w:rsidRDefault="00E865AC" w:rsidP="00886427">
      <w:pPr>
        <w:pStyle w:val="HChG"/>
      </w:pPr>
      <w:r w:rsidRPr="00E865AC">
        <w:tab/>
      </w:r>
      <w:r w:rsidRPr="00E865AC">
        <w:tab/>
        <w:t>Propositions</w:t>
      </w:r>
    </w:p>
    <w:p w:rsidR="00E865AC" w:rsidRPr="006E3918" w:rsidRDefault="00E865AC" w:rsidP="00E865AC">
      <w:pPr>
        <w:pStyle w:val="SingleTxtG"/>
        <w:rPr>
          <w:sz w:val="22"/>
        </w:rPr>
      </w:pPr>
      <w:r w:rsidRPr="006E3918">
        <w:rPr>
          <w:sz w:val="22"/>
        </w:rPr>
        <w:t>9.</w:t>
      </w:r>
      <w:r w:rsidRPr="006E3918">
        <w:rPr>
          <w:sz w:val="22"/>
        </w:rPr>
        <w:tab/>
      </w:r>
      <w:r w:rsidRPr="006E3918">
        <w:rPr>
          <w:szCs w:val="28"/>
        </w:rPr>
        <w:t>Modifier les instructions d</w:t>
      </w:r>
      <w:r>
        <w:rPr>
          <w:szCs w:val="28"/>
        </w:rPr>
        <w:t>’</w:t>
      </w:r>
      <w:r w:rsidRPr="006E3918">
        <w:rPr>
          <w:szCs w:val="28"/>
        </w:rPr>
        <w:t xml:space="preserve">emballage P400 et P404 </w:t>
      </w:r>
      <w:r w:rsidR="0095153E">
        <w:rPr>
          <w:szCs w:val="28"/>
        </w:rPr>
        <w:t xml:space="preserve">dans le 4.1.4.1 </w:t>
      </w:r>
      <w:r w:rsidRPr="007377CB">
        <w:rPr>
          <w:szCs w:val="28"/>
        </w:rPr>
        <w:t>comme</w:t>
      </w:r>
      <w:r>
        <w:rPr>
          <w:szCs w:val="28"/>
        </w:rPr>
        <w:t xml:space="preserve"> </w:t>
      </w:r>
      <w:r w:rsidRPr="007377CB">
        <w:rPr>
          <w:szCs w:val="28"/>
        </w:rPr>
        <w:t>suit</w:t>
      </w:r>
      <w:r w:rsidRPr="006E3918">
        <w:rPr>
          <w:szCs w:val="28"/>
        </w:rPr>
        <w:t xml:space="preserve"> </w:t>
      </w:r>
      <w:r w:rsidRPr="006E3918">
        <w:t xml:space="preserve">(texte supprimé </w:t>
      </w:r>
      <w:r w:rsidRPr="006E3918">
        <w:rPr>
          <w:strike/>
        </w:rPr>
        <w:t>en caractères biffés</w:t>
      </w:r>
      <w:r w:rsidRPr="006E3918">
        <w:t xml:space="preserve">, nouveau texte </w:t>
      </w:r>
      <w:r w:rsidRPr="006E3918">
        <w:rPr>
          <w:u w:val="single"/>
        </w:rPr>
        <w:t>souligné</w:t>
      </w:r>
      <w:r w:rsidRPr="006E3918">
        <w:t>)</w:t>
      </w:r>
      <w:r w:rsidRPr="006E3918">
        <w:rPr>
          <w:szCs w:val="28"/>
        </w:rPr>
        <w:t> :</w:t>
      </w:r>
    </w:p>
    <w:tbl>
      <w:tblPr>
        <w:tblW w:w="963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9639"/>
      </w:tblGrid>
      <w:tr w:rsidR="00E865AC" w:rsidRPr="00886427" w:rsidTr="00886427">
        <w:tc>
          <w:tcPr>
            <w:tcW w:w="9071" w:type="dxa"/>
          </w:tcPr>
          <w:p w:rsidR="00E865AC" w:rsidRPr="00886427" w:rsidRDefault="00E865AC" w:rsidP="003069BB">
            <w:pPr>
              <w:pStyle w:val="TableParagraph"/>
              <w:tabs>
                <w:tab w:val="left" w:pos="3133"/>
                <w:tab w:val="left" w:pos="9081"/>
              </w:tabs>
              <w:spacing w:before="60" w:after="60" w:line="240" w:lineRule="atLeast"/>
              <w:ind w:left="113" w:right="113"/>
              <w:rPr>
                <w:b/>
                <w:sz w:val="20"/>
                <w:szCs w:val="20"/>
                <w:lang w:val="fr-FR"/>
              </w:rPr>
            </w:pPr>
            <w:r w:rsidRPr="00886427">
              <w:rPr>
                <w:b/>
                <w:sz w:val="20"/>
                <w:szCs w:val="20"/>
                <w:lang w:val="fr-FR"/>
              </w:rPr>
              <w:t>P400</w:t>
            </w:r>
            <w:r w:rsidRPr="00886427">
              <w:rPr>
                <w:b/>
                <w:sz w:val="20"/>
                <w:szCs w:val="20"/>
                <w:lang w:val="fr-FR"/>
              </w:rPr>
              <w:tab/>
              <w:t>INSTRUCTION</w:t>
            </w:r>
            <w:r w:rsidRPr="00886427">
              <w:rPr>
                <w:b/>
                <w:spacing w:val="-13"/>
                <w:sz w:val="20"/>
                <w:szCs w:val="20"/>
                <w:lang w:val="fr-FR"/>
              </w:rPr>
              <w:t xml:space="preserve"> </w:t>
            </w:r>
            <w:r w:rsidRPr="00886427">
              <w:rPr>
                <w:b/>
                <w:sz w:val="20"/>
                <w:szCs w:val="20"/>
                <w:lang w:val="fr-FR"/>
              </w:rPr>
              <w:t>D’EMBALLAGE</w:t>
            </w:r>
            <w:r w:rsidRPr="00886427">
              <w:rPr>
                <w:b/>
                <w:sz w:val="20"/>
                <w:szCs w:val="20"/>
                <w:lang w:val="fr-FR"/>
              </w:rPr>
              <w:tab/>
              <w:t>P400</w:t>
            </w:r>
          </w:p>
        </w:tc>
      </w:tr>
      <w:tr w:rsidR="00E865AC" w:rsidRPr="00886427" w:rsidTr="00886427">
        <w:tc>
          <w:tcPr>
            <w:tcW w:w="9071" w:type="dxa"/>
          </w:tcPr>
          <w:p w:rsidR="00E865AC" w:rsidRPr="003069BB" w:rsidRDefault="00E865AC" w:rsidP="00A5590E">
            <w:pPr>
              <w:pStyle w:val="TableParagraph"/>
              <w:spacing w:before="60" w:after="60" w:line="240" w:lineRule="atLeast"/>
              <w:ind w:right="113" w:firstLine="567"/>
              <w:rPr>
                <w:sz w:val="20"/>
                <w:szCs w:val="20"/>
                <w:lang w:val="fr-FR"/>
              </w:rPr>
            </w:pPr>
            <w:r w:rsidRPr="00886427">
              <w:rPr>
                <w:sz w:val="20"/>
                <w:szCs w:val="20"/>
                <w:lang w:val="fr-FR"/>
              </w:rPr>
              <w:t xml:space="preserve">Les emballages suivants sont autorisés s’il est satisfait aux dispositions générales </w:t>
            </w:r>
            <w:r w:rsidRPr="003069BB">
              <w:rPr>
                <w:sz w:val="20"/>
                <w:szCs w:val="20"/>
                <w:lang w:val="fr-FR"/>
              </w:rPr>
              <w:t>des 4.1.1 et 4.1.3</w:t>
            </w:r>
            <w:r w:rsidR="003069BB">
              <w:rPr>
                <w:sz w:val="20"/>
                <w:szCs w:val="20"/>
                <w:lang w:val="fr-FR"/>
              </w:rPr>
              <w:t> </w:t>
            </w:r>
            <w:r w:rsidRPr="003069BB">
              <w:rPr>
                <w:sz w:val="20"/>
                <w:szCs w:val="20"/>
                <w:lang w:val="fr-FR"/>
              </w:rPr>
              <w:t>:</w:t>
            </w:r>
          </w:p>
          <w:p w:rsidR="00E865AC" w:rsidRPr="00886427" w:rsidRDefault="00D46D58" w:rsidP="00A5590E">
            <w:pPr>
              <w:pStyle w:val="TableParagraph"/>
              <w:spacing w:before="60" w:after="60" w:line="240" w:lineRule="atLeast"/>
              <w:ind w:left="1134" w:right="113" w:hanging="567"/>
              <w:rPr>
                <w:sz w:val="20"/>
                <w:szCs w:val="20"/>
                <w:lang w:val="fr-FR"/>
              </w:rPr>
            </w:pPr>
            <w:r>
              <w:rPr>
                <w:sz w:val="20"/>
                <w:szCs w:val="20"/>
                <w:lang w:val="fr-FR"/>
              </w:rPr>
              <w:t>1)</w:t>
            </w:r>
            <w:r>
              <w:rPr>
                <w:sz w:val="20"/>
                <w:szCs w:val="20"/>
                <w:lang w:val="fr-FR"/>
              </w:rPr>
              <w:tab/>
            </w:r>
            <w:r w:rsidR="00E865AC" w:rsidRPr="00A201E4">
              <w:rPr>
                <w:spacing w:val="-4"/>
                <w:sz w:val="20"/>
                <w:szCs w:val="20"/>
                <w:lang w:val="fr-FR"/>
              </w:rPr>
              <w:t xml:space="preserve">Récipients à pression, s’il est satisfait aux dispositions générales du 4.1.3.6. Ils doivent être en acier et doivent faire l’objet d’une épreuve initiale puis d’épreuves périodiques tous les </w:t>
            </w:r>
            <w:r w:rsidR="001329AC" w:rsidRPr="00A201E4">
              <w:rPr>
                <w:spacing w:val="-4"/>
                <w:sz w:val="20"/>
                <w:szCs w:val="20"/>
                <w:lang w:val="fr-FR"/>
              </w:rPr>
              <w:t>dix</w:t>
            </w:r>
            <w:r w:rsidR="00E865AC" w:rsidRPr="00A201E4">
              <w:rPr>
                <w:spacing w:val="-4"/>
                <w:sz w:val="20"/>
                <w:szCs w:val="20"/>
                <w:lang w:val="fr-FR"/>
              </w:rPr>
              <w:t xml:space="preserve"> ans à une pression</w:t>
            </w:r>
            <w:r w:rsidR="001329AC" w:rsidRPr="00A201E4">
              <w:rPr>
                <w:spacing w:val="-4"/>
                <w:sz w:val="20"/>
                <w:szCs w:val="20"/>
                <w:lang w:val="fr-FR"/>
              </w:rPr>
              <w:t xml:space="preserve"> qui ne soit pas inférieure à 1 MPa (10 </w:t>
            </w:r>
            <w:r w:rsidR="00E865AC" w:rsidRPr="00A201E4">
              <w:rPr>
                <w:spacing w:val="-4"/>
                <w:sz w:val="20"/>
                <w:szCs w:val="20"/>
                <w:lang w:val="fr-FR"/>
              </w:rPr>
              <w:t>bar) (pression manométrique). Pendant le transport, le liquide doit être recouvert d’une couche de gaz inerte dont la pression manométrique ne soit pas inférieure à 20</w:t>
            </w:r>
            <w:r w:rsidR="001329AC" w:rsidRPr="00A201E4">
              <w:rPr>
                <w:spacing w:val="-4"/>
                <w:sz w:val="20"/>
                <w:szCs w:val="20"/>
                <w:lang w:val="fr-FR"/>
              </w:rPr>
              <w:t> </w:t>
            </w:r>
            <w:r w:rsidR="00E865AC" w:rsidRPr="00A201E4">
              <w:rPr>
                <w:spacing w:val="-4"/>
                <w:sz w:val="20"/>
                <w:szCs w:val="20"/>
                <w:lang w:val="fr-FR"/>
              </w:rPr>
              <w:t>kPa (0,2</w:t>
            </w:r>
            <w:r w:rsidR="001329AC" w:rsidRPr="00A201E4">
              <w:rPr>
                <w:spacing w:val="-4"/>
                <w:sz w:val="20"/>
                <w:szCs w:val="20"/>
                <w:lang w:val="fr-FR"/>
              </w:rPr>
              <w:t> </w:t>
            </w:r>
            <w:r w:rsidR="00E865AC" w:rsidRPr="00A201E4">
              <w:rPr>
                <w:spacing w:val="-4"/>
                <w:sz w:val="20"/>
                <w:szCs w:val="20"/>
                <w:lang w:val="fr-FR"/>
              </w:rPr>
              <w:t>bar)</w:t>
            </w:r>
            <w:r w:rsidR="001329AC" w:rsidRPr="00A201E4">
              <w:rPr>
                <w:spacing w:val="-4"/>
                <w:sz w:val="20"/>
                <w:szCs w:val="20"/>
                <w:lang w:val="fr-FR"/>
              </w:rPr>
              <w:t> ;</w:t>
            </w:r>
          </w:p>
          <w:p w:rsidR="00E865AC" w:rsidRPr="00886427" w:rsidRDefault="00E865AC" w:rsidP="00A5590E">
            <w:pPr>
              <w:pStyle w:val="TableParagraph"/>
              <w:spacing w:before="60" w:after="60" w:line="240" w:lineRule="atLeast"/>
              <w:ind w:left="1134" w:right="113" w:hanging="567"/>
              <w:rPr>
                <w:sz w:val="20"/>
                <w:szCs w:val="20"/>
                <w:lang w:val="fr-FR"/>
              </w:rPr>
            </w:pPr>
            <w:r w:rsidRPr="00886427">
              <w:rPr>
                <w:sz w:val="20"/>
                <w:szCs w:val="20"/>
                <w:lang w:val="fr-FR"/>
              </w:rPr>
              <w:t>2)</w:t>
            </w:r>
            <w:r w:rsidRPr="00886427">
              <w:rPr>
                <w:sz w:val="20"/>
                <w:szCs w:val="20"/>
                <w:lang w:val="fr-FR"/>
              </w:rPr>
              <w:tab/>
              <w:t>Caisses</w:t>
            </w:r>
            <w:r w:rsidRPr="00886427">
              <w:rPr>
                <w:spacing w:val="12"/>
                <w:sz w:val="20"/>
                <w:szCs w:val="20"/>
                <w:lang w:val="fr-FR"/>
              </w:rPr>
              <w:t xml:space="preserve"> </w:t>
            </w:r>
            <w:r w:rsidRPr="00886427">
              <w:rPr>
                <w:sz w:val="20"/>
                <w:szCs w:val="20"/>
                <w:lang w:val="fr-FR"/>
              </w:rPr>
              <w:t>(4A,</w:t>
            </w:r>
            <w:r w:rsidRPr="00886427">
              <w:rPr>
                <w:spacing w:val="11"/>
                <w:sz w:val="20"/>
                <w:szCs w:val="20"/>
                <w:lang w:val="fr-FR"/>
              </w:rPr>
              <w:t xml:space="preserve"> </w:t>
            </w:r>
            <w:r w:rsidRPr="00886427">
              <w:rPr>
                <w:sz w:val="20"/>
                <w:szCs w:val="20"/>
                <w:lang w:val="fr-FR"/>
              </w:rPr>
              <w:t>4B,</w:t>
            </w:r>
            <w:r w:rsidRPr="00886427">
              <w:rPr>
                <w:spacing w:val="13"/>
                <w:sz w:val="20"/>
                <w:szCs w:val="20"/>
                <w:lang w:val="fr-FR"/>
              </w:rPr>
              <w:t xml:space="preserve"> </w:t>
            </w:r>
            <w:r w:rsidRPr="00886427">
              <w:rPr>
                <w:sz w:val="20"/>
                <w:szCs w:val="20"/>
                <w:lang w:val="fr-FR"/>
              </w:rPr>
              <w:t>4N,</w:t>
            </w:r>
            <w:r w:rsidRPr="00886427">
              <w:rPr>
                <w:spacing w:val="11"/>
                <w:sz w:val="20"/>
                <w:szCs w:val="20"/>
                <w:lang w:val="fr-FR"/>
              </w:rPr>
              <w:t xml:space="preserve"> </w:t>
            </w:r>
            <w:r w:rsidRPr="00886427">
              <w:rPr>
                <w:sz w:val="20"/>
                <w:szCs w:val="20"/>
                <w:lang w:val="fr-FR"/>
              </w:rPr>
              <w:t>4C1,</w:t>
            </w:r>
            <w:r w:rsidRPr="00886427">
              <w:rPr>
                <w:spacing w:val="12"/>
                <w:sz w:val="20"/>
                <w:szCs w:val="20"/>
                <w:lang w:val="fr-FR"/>
              </w:rPr>
              <w:t xml:space="preserve"> </w:t>
            </w:r>
            <w:r w:rsidRPr="00886427">
              <w:rPr>
                <w:sz w:val="20"/>
                <w:szCs w:val="20"/>
                <w:lang w:val="fr-FR"/>
              </w:rPr>
              <w:t>4C2,</w:t>
            </w:r>
            <w:r w:rsidRPr="00886427">
              <w:rPr>
                <w:spacing w:val="12"/>
                <w:sz w:val="20"/>
                <w:szCs w:val="20"/>
                <w:lang w:val="fr-FR"/>
              </w:rPr>
              <w:t xml:space="preserve"> </w:t>
            </w:r>
            <w:r w:rsidRPr="00886427">
              <w:rPr>
                <w:sz w:val="20"/>
                <w:szCs w:val="20"/>
                <w:lang w:val="fr-FR"/>
              </w:rPr>
              <w:t>4D,</w:t>
            </w:r>
            <w:r w:rsidRPr="00886427">
              <w:rPr>
                <w:spacing w:val="12"/>
                <w:sz w:val="20"/>
                <w:szCs w:val="20"/>
                <w:lang w:val="fr-FR"/>
              </w:rPr>
              <w:t xml:space="preserve"> </w:t>
            </w:r>
            <w:r w:rsidRPr="00886427">
              <w:rPr>
                <w:sz w:val="20"/>
                <w:szCs w:val="20"/>
                <w:lang w:val="fr-FR"/>
              </w:rPr>
              <w:t>4F</w:t>
            </w:r>
            <w:r w:rsidRPr="00886427">
              <w:rPr>
                <w:spacing w:val="12"/>
                <w:sz w:val="20"/>
                <w:szCs w:val="20"/>
                <w:lang w:val="fr-FR"/>
              </w:rPr>
              <w:t xml:space="preserve"> </w:t>
            </w:r>
            <w:r w:rsidRPr="00886427">
              <w:rPr>
                <w:sz w:val="20"/>
                <w:szCs w:val="20"/>
                <w:lang w:val="fr-FR"/>
              </w:rPr>
              <w:t>ou</w:t>
            </w:r>
            <w:r w:rsidRPr="00886427">
              <w:rPr>
                <w:spacing w:val="12"/>
                <w:sz w:val="20"/>
                <w:szCs w:val="20"/>
                <w:lang w:val="fr-FR"/>
              </w:rPr>
              <w:t xml:space="preserve"> </w:t>
            </w:r>
            <w:r w:rsidRPr="00886427">
              <w:rPr>
                <w:sz w:val="20"/>
                <w:szCs w:val="20"/>
                <w:lang w:val="fr-FR"/>
              </w:rPr>
              <w:t>4G),</w:t>
            </w:r>
            <w:r w:rsidRPr="00886427">
              <w:rPr>
                <w:spacing w:val="11"/>
                <w:sz w:val="20"/>
                <w:szCs w:val="20"/>
                <w:lang w:val="fr-FR"/>
              </w:rPr>
              <w:t xml:space="preserve"> </w:t>
            </w:r>
            <w:r w:rsidRPr="00886427">
              <w:rPr>
                <w:sz w:val="20"/>
                <w:szCs w:val="20"/>
                <w:lang w:val="fr-FR"/>
              </w:rPr>
              <w:t>fûts</w:t>
            </w:r>
            <w:r w:rsidRPr="00886427">
              <w:rPr>
                <w:spacing w:val="12"/>
                <w:sz w:val="20"/>
                <w:szCs w:val="20"/>
                <w:lang w:val="fr-FR"/>
              </w:rPr>
              <w:t xml:space="preserve"> </w:t>
            </w:r>
            <w:r w:rsidRPr="00886427">
              <w:rPr>
                <w:sz w:val="20"/>
                <w:szCs w:val="20"/>
                <w:lang w:val="fr-FR"/>
              </w:rPr>
              <w:t>(1A1,</w:t>
            </w:r>
            <w:r w:rsidRPr="00886427">
              <w:rPr>
                <w:spacing w:val="13"/>
                <w:sz w:val="20"/>
                <w:szCs w:val="20"/>
                <w:lang w:val="fr-FR"/>
              </w:rPr>
              <w:t xml:space="preserve"> </w:t>
            </w:r>
            <w:r w:rsidRPr="00886427">
              <w:rPr>
                <w:sz w:val="20"/>
                <w:szCs w:val="20"/>
                <w:lang w:val="fr-FR"/>
              </w:rPr>
              <w:t>1A2,</w:t>
            </w:r>
            <w:r w:rsidRPr="00886427">
              <w:rPr>
                <w:spacing w:val="11"/>
                <w:sz w:val="20"/>
                <w:szCs w:val="20"/>
                <w:lang w:val="fr-FR"/>
              </w:rPr>
              <w:t xml:space="preserve"> </w:t>
            </w:r>
            <w:r w:rsidRPr="00886427">
              <w:rPr>
                <w:sz w:val="20"/>
                <w:szCs w:val="20"/>
                <w:lang w:val="fr-FR"/>
              </w:rPr>
              <w:t>1B1,</w:t>
            </w:r>
            <w:r w:rsidRPr="00886427">
              <w:rPr>
                <w:spacing w:val="13"/>
                <w:sz w:val="20"/>
                <w:szCs w:val="20"/>
                <w:lang w:val="fr-FR"/>
              </w:rPr>
              <w:t xml:space="preserve"> </w:t>
            </w:r>
            <w:r w:rsidRPr="00886427">
              <w:rPr>
                <w:sz w:val="20"/>
                <w:szCs w:val="20"/>
                <w:lang w:val="fr-FR"/>
              </w:rPr>
              <w:t>1B2,</w:t>
            </w:r>
            <w:r w:rsidRPr="00886427">
              <w:rPr>
                <w:spacing w:val="12"/>
                <w:sz w:val="20"/>
                <w:szCs w:val="20"/>
                <w:lang w:val="fr-FR"/>
              </w:rPr>
              <w:t xml:space="preserve"> </w:t>
            </w:r>
            <w:r w:rsidRPr="00886427">
              <w:rPr>
                <w:sz w:val="20"/>
                <w:szCs w:val="20"/>
                <w:lang w:val="fr-FR"/>
              </w:rPr>
              <w:t>1N1,</w:t>
            </w:r>
            <w:r w:rsidRPr="00886427">
              <w:rPr>
                <w:spacing w:val="12"/>
                <w:sz w:val="20"/>
                <w:szCs w:val="20"/>
                <w:lang w:val="fr-FR"/>
              </w:rPr>
              <w:t xml:space="preserve"> </w:t>
            </w:r>
            <w:r w:rsidRPr="00886427">
              <w:rPr>
                <w:sz w:val="20"/>
                <w:szCs w:val="20"/>
                <w:lang w:val="fr-FR"/>
              </w:rPr>
              <w:t>1N2,</w:t>
            </w:r>
            <w:r w:rsidRPr="00886427">
              <w:rPr>
                <w:spacing w:val="13"/>
                <w:sz w:val="20"/>
                <w:szCs w:val="20"/>
                <w:lang w:val="fr-FR"/>
              </w:rPr>
              <w:t xml:space="preserve"> </w:t>
            </w:r>
            <w:r w:rsidRPr="00886427">
              <w:rPr>
                <w:sz w:val="20"/>
                <w:szCs w:val="20"/>
                <w:lang w:val="fr-FR"/>
              </w:rPr>
              <w:t>1D</w:t>
            </w:r>
            <w:r w:rsidRPr="00886427">
              <w:rPr>
                <w:spacing w:val="11"/>
                <w:sz w:val="20"/>
                <w:szCs w:val="20"/>
                <w:lang w:val="fr-FR"/>
              </w:rPr>
              <w:t xml:space="preserve"> </w:t>
            </w:r>
            <w:r w:rsidRPr="00886427">
              <w:rPr>
                <w:sz w:val="20"/>
                <w:szCs w:val="20"/>
                <w:lang w:val="fr-FR"/>
              </w:rPr>
              <w:t>ou</w:t>
            </w:r>
            <w:r w:rsidRPr="00886427">
              <w:rPr>
                <w:spacing w:val="13"/>
                <w:sz w:val="20"/>
                <w:szCs w:val="20"/>
                <w:lang w:val="fr-FR"/>
              </w:rPr>
              <w:t xml:space="preserve"> </w:t>
            </w:r>
            <w:r w:rsidRPr="00886427">
              <w:rPr>
                <w:sz w:val="20"/>
                <w:szCs w:val="20"/>
                <w:lang w:val="fr-FR"/>
              </w:rPr>
              <w:t>1G)</w:t>
            </w:r>
            <w:r w:rsidRPr="00886427">
              <w:rPr>
                <w:spacing w:val="12"/>
                <w:sz w:val="20"/>
                <w:szCs w:val="20"/>
                <w:lang w:val="fr-FR"/>
              </w:rPr>
              <w:t xml:space="preserve"> </w:t>
            </w:r>
            <w:r w:rsidRPr="00886427">
              <w:rPr>
                <w:sz w:val="20"/>
                <w:szCs w:val="20"/>
                <w:lang w:val="fr-FR"/>
              </w:rPr>
              <w:t>ou</w:t>
            </w:r>
            <w:r w:rsidRPr="00886427">
              <w:rPr>
                <w:spacing w:val="12"/>
                <w:sz w:val="20"/>
                <w:szCs w:val="20"/>
                <w:lang w:val="fr-FR"/>
              </w:rPr>
              <w:t xml:space="preserve"> </w:t>
            </w:r>
            <w:r w:rsidRPr="00886427">
              <w:rPr>
                <w:sz w:val="20"/>
                <w:szCs w:val="20"/>
                <w:lang w:val="fr-FR"/>
              </w:rPr>
              <w:t>bidons</w:t>
            </w:r>
            <w:r w:rsidR="00D46D58">
              <w:rPr>
                <w:sz w:val="20"/>
                <w:szCs w:val="20"/>
                <w:lang w:val="fr-FR"/>
              </w:rPr>
              <w:t xml:space="preserve"> </w:t>
            </w:r>
            <w:r w:rsidRPr="00886427">
              <w:rPr>
                <w:sz w:val="20"/>
                <w:szCs w:val="20"/>
                <w:lang w:val="fr-FR"/>
              </w:rPr>
              <w:t>(jerricanes)</w:t>
            </w:r>
            <w:r w:rsidRPr="00886427">
              <w:rPr>
                <w:spacing w:val="-6"/>
                <w:sz w:val="20"/>
                <w:szCs w:val="20"/>
                <w:lang w:val="fr-FR"/>
              </w:rPr>
              <w:t xml:space="preserve"> </w:t>
            </w:r>
            <w:r w:rsidRPr="00886427">
              <w:rPr>
                <w:sz w:val="20"/>
                <w:szCs w:val="20"/>
                <w:lang w:val="fr-FR"/>
              </w:rPr>
              <w:t>(3A1,</w:t>
            </w:r>
            <w:r w:rsidRPr="00886427">
              <w:rPr>
                <w:spacing w:val="-5"/>
                <w:sz w:val="20"/>
                <w:szCs w:val="20"/>
                <w:lang w:val="fr-FR"/>
              </w:rPr>
              <w:t xml:space="preserve"> </w:t>
            </w:r>
            <w:r w:rsidRPr="00886427">
              <w:rPr>
                <w:sz w:val="20"/>
                <w:szCs w:val="20"/>
                <w:lang w:val="fr-FR"/>
              </w:rPr>
              <w:t>3A2,</w:t>
            </w:r>
            <w:r w:rsidRPr="00886427">
              <w:rPr>
                <w:spacing w:val="-5"/>
                <w:sz w:val="20"/>
                <w:szCs w:val="20"/>
                <w:lang w:val="fr-FR"/>
              </w:rPr>
              <w:t xml:space="preserve"> </w:t>
            </w:r>
            <w:r w:rsidRPr="00886427">
              <w:rPr>
                <w:sz w:val="20"/>
                <w:szCs w:val="20"/>
                <w:lang w:val="fr-FR"/>
              </w:rPr>
              <w:t>3B1</w:t>
            </w:r>
            <w:r w:rsidRPr="00886427">
              <w:rPr>
                <w:spacing w:val="-7"/>
                <w:sz w:val="20"/>
                <w:szCs w:val="20"/>
                <w:lang w:val="fr-FR"/>
              </w:rPr>
              <w:t xml:space="preserve"> </w:t>
            </w:r>
            <w:r w:rsidRPr="00886427">
              <w:rPr>
                <w:sz w:val="20"/>
                <w:szCs w:val="20"/>
                <w:lang w:val="fr-FR"/>
              </w:rPr>
              <w:t>ou</w:t>
            </w:r>
            <w:r w:rsidRPr="00886427">
              <w:rPr>
                <w:spacing w:val="-5"/>
                <w:sz w:val="20"/>
                <w:szCs w:val="20"/>
                <w:lang w:val="fr-FR"/>
              </w:rPr>
              <w:t xml:space="preserve"> </w:t>
            </w:r>
            <w:r w:rsidRPr="00886427">
              <w:rPr>
                <w:sz w:val="20"/>
                <w:szCs w:val="20"/>
                <w:lang w:val="fr-FR"/>
              </w:rPr>
              <w:t>3B2)</w:t>
            </w:r>
            <w:r w:rsidRPr="00886427">
              <w:rPr>
                <w:spacing w:val="-5"/>
                <w:sz w:val="20"/>
                <w:szCs w:val="20"/>
                <w:lang w:val="fr-FR"/>
              </w:rPr>
              <w:t xml:space="preserve"> </w:t>
            </w:r>
            <w:r w:rsidRPr="00886427">
              <w:rPr>
                <w:sz w:val="20"/>
                <w:szCs w:val="20"/>
                <w:lang w:val="fr-FR"/>
              </w:rPr>
              <w:t>contenant</w:t>
            </w:r>
            <w:r w:rsidRPr="00886427">
              <w:rPr>
                <w:spacing w:val="-5"/>
                <w:sz w:val="20"/>
                <w:szCs w:val="20"/>
                <w:lang w:val="fr-FR"/>
              </w:rPr>
              <w:t xml:space="preserve"> </w:t>
            </w:r>
            <w:r w:rsidRPr="00886427">
              <w:rPr>
                <w:sz w:val="20"/>
                <w:szCs w:val="20"/>
                <w:lang w:val="fr-FR"/>
              </w:rPr>
              <w:t>des</w:t>
            </w:r>
            <w:r w:rsidRPr="00886427">
              <w:rPr>
                <w:spacing w:val="-4"/>
                <w:sz w:val="20"/>
                <w:szCs w:val="20"/>
                <w:lang w:val="fr-FR"/>
              </w:rPr>
              <w:t xml:space="preserve"> </w:t>
            </w:r>
            <w:r w:rsidRPr="00886427">
              <w:rPr>
                <w:sz w:val="20"/>
                <w:szCs w:val="20"/>
                <w:lang w:val="fr-FR"/>
              </w:rPr>
              <w:t>bidons</w:t>
            </w:r>
            <w:r w:rsidRPr="00886427">
              <w:rPr>
                <w:spacing w:val="-5"/>
                <w:sz w:val="20"/>
                <w:szCs w:val="20"/>
                <w:lang w:val="fr-FR"/>
              </w:rPr>
              <w:t xml:space="preserve"> </w:t>
            </w:r>
            <w:r w:rsidRPr="00886427">
              <w:rPr>
                <w:sz w:val="20"/>
                <w:szCs w:val="20"/>
                <w:lang w:val="fr-FR"/>
              </w:rPr>
              <w:t>hermétiquement</w:t>
            </w:r>
            <w:r w:rsidRPr="00886427">
              <w:rPr>
                <w:spacing w:val="-5"/>
                <w:sz w:val="20"/>
                <w:szCs w:val="20"/>
                <w:lang w:val="fr-FR"/>
              </w:rPr>
              <w:t xml:space="preserve"> </w:t>
            </w:r>
            <w:r w:rsidRPr="00886427">
              <w:rPr>
                <w:sz w:val="20"/>
                <w:szCs w:val="20"/>
                <w:lang w:val="fr-FR"/>
              </w:rPr>
              <w:t>fermés</w:t>
            </w:r>
            <w:r w:rsidRPr="00886427">
              <w:rPr>
                <w:spacing w:val="-5"/>
                <w:sz w:val="20"/>
                <w:szCs w:val="20"/>
                <w:lang w:val="fr-FR"/>
              </w:rPr>
              <w:t xml:space="preserve"> </w:t>
            </w:r>
            <w:r w:rsidRPr="00886427">
              <w:rPr>
                <w:sz w:val="20"/>
                <w:szCs w:val="20"/>
                <w:lang w:val="fr-FR"/>
              </w:rPr>
              <w:t>en</w:t>
            </w:r>
            <w:r w:rsidRPr="00886427">
              <w:rPr>
                <w:spacing w:val="-8"/>
                <w:sz w:val="20"/>
                <w:szCs w:val="20"/>
                <w:lang w:val="fr-FR"/>
              </w:rPr>
              <w:t xml:space="preserve"> </w:t>
            </w:r>
            <w:r w:rsidRPr="00886427">
              <w:rPr>
                <w:sz w:val="20"/>
                <w:szCs w:val="20"/>
                <w:lang w:val="fr-FR"/>
              </w:rPr>
              <w:t>métal</w:t>
            </w:r>
            <w:r w:rsidRPr="00886427">
              <w:rPr>
                <w:spacing w:val="-6"/>
                <w:sz w:val="20"/>
                <w:szCs w:val="20"/>
                <w:lang w:val="fr-FR"/>
              </w:rPr>
              <w:t xml:space="preserve"> </w:t>
            </w:r>
            <w:r w:rsidRPr="00886427">
              <w:rPr>
                <w:sz w:val="20"/>
                <w:szCs w:val="20"/>
                <w:lang w:val="fr-FR"/>
              </w:rPr>
              <w:t>munis</w:t>
            </w:r>
            <w:r w:rsidRPr="00886427">
              <w:rPr>
                <w:spacing w:val="-5"/>
                <w:sz w:val="20"/>
                <w:szCs w:val="20"/>
                <w:lang w:val="fr-FR"/>
              </w:rPr>
              <w:t xml:space="preserve"> </w:t>
            </w:r>
            <w:r w:rsidRPr="00886427">
              <w:rPr>
                <w:sz w:val="20"/>
                <w:szCs w:val="20"/>
                <w:lang w:val="fr-FR"/>
              </w:rPr>
              <w:t>d’emballages intérieurs</w:t>
            </w:r>
            <w:r w:rsidRPr="00886427">
              <w:rPr>
                <w:spacing w:val="-2"/>
                <w:sz w:val="20"/>
                <w:szCs w:val="20"/>
                <w:lang w:val="fr-FR"/>
              </w:rPr>
              <w:t xml:space="preserve"> </w:t>
            </w:r>
            <w:r w:rsidRPr="00886427">
              <w:rPr>
                <w:sz w:val="20"/>
                <w:szCs w:val="20"/>
                <w:lang w:val="fr-FR"/>
              </w:rPr>
              <w:t>en</w:t>
            </w:r>
            <w:r w:rsidRPr="00886427">
              <w:rPr>
                <w:spacing w:val="-3"/>
                <w:sz w:val="20"/>
                <w:szCs w:val="20"/>
                <w:lang w:val="fr-FR"/>
              </w:rPr>
              <w:t xml:space="preserve"> </w:t>
            </w:r>
            <w:r w:rsidRPr="00886427">
              <w:rPr>
                <w:sz w:val="20"/>
                <w:szCs w:val="20"/>
                <w:lang w:val="fr-FR"/>
              </w:rPr>
              <w:t>verre</w:t>
            </w:r>
            <w:r w:rsidRPr="00886427">
              <w:rPr>
                <w:spacing w:val="-2"/>
                <w:sz w:val="20"/>
                <w:szCs w:val="20"/>
                <w:lang w:val="fr-FR"/>
              </w:rPr>
              <w:t xml:space="preserve"> </w:t>
            </w:r>
            <w:r w:rsidRPr="00886427">
              <w:rPr>
                <w:sz w:val="20"/>
                <w:szCs w:val="20"/>
                <w:lang w:val="fr-FR"/>
              </w:rPr>
              <w:t>ou</w:t>
            </w:r>
            <w:r w:rsidRPr="00886427">
              <w:rPr>
                <w:spacing w:val="-2"/>
                <w:sz w:val="20"/>
                <w:szCs w:val="20"/>
                <w:lang w:val="fr-FR"/>
              </w:rPr>
              <w:t xml:space="preserve"> </w:t>
            </w:r>
            <w:r w:rsidRPr="00886427">
              <w:rPr>
                <w:sz w:val="20"/>
                <w:szCs w:val="20"/>
                <w:lang w:val="fr-FR"/>
              </w:rPr>
              <w:t>en</w:t>
            </w:r>
            <w:r w:rsidRPr="00886427">
              <w:rPr>
                <w:spacing w:val="-2"/>
                <w:sz w:val="20"/>
                <w:szCs w:val="20"/>
                <w:lang w:val="fr-FR"/>
              </w:rPr>
              <w:t xml:space="preserve"> </w:t>
            </w:r>
            <w:r w:rsidRPr="00886427">
              <w:rPr>
                <w:sz w:val="20"/>
                <w:szCs w:val="20"/>
                <w:lang w:val="fr-FR"/>
              </w:rPr>
              <w:t>métal,</w:t>
            </w:r>
            <w:r w:rsidRPr="00886427">
              <w:rPr>
                <w:spacing w:val="-2"/>
                <w:sz w:val="20"/>
                <w:szCs w:val="20"/>
                <w:lang w:val="fr-FR"/>
              </w:rPr>
              <w:t xml:space="preserve"> </w:t>
            </w:r>
            <w:r w:rsidRPr="00886427">
              <w:rPr>
                <w:sz w:val="20"/>
                <w:szCs w:val="20"/>
                <w:lang w:val="fr-FR"/>
              </w:rPr>
              <w:t>d’une</w:t>
            </w:r>
            <w:r w:rsidRPr="00886427">
              <w:rPr>
                <w:spacing w:val="-3"/>
                <w:sz w:val="20"/>
                <w:szCs w:val="20"/>
                <w:lang w:val="fr-FR"/>
              </w:rPr>
              <w:t xml:space="preserve"> </w:t>
            </w:r>
            <w:r w:rsidRPr="00886427">
              <w:rPr>
                <w:sz w:val="20"/>
                <w:szCs w:val="20"/>
                <w:lang w:val="fr-FR"/>
              </w:rPr>
              <w:t>contenance</w:t>
            </w:r>
            <w:r w:rsidRPr="00886427">
              <w:rPr>
                <w:spacing w:val="-3"/>
                <w:sz w:val="20"/>
                <w:szCs w:val="20"/>
                <w:lang w:val="fr-FR"/>
              </w:rPr>
              <w:t xml:space="preserve"> </w:t>
            </w:r>
            <w:r w:rsidRPr="00886427">
              <w:rPr>
                <w:sz w:val="20"/>
                <w:szCs w:val="20"/>
                <w:lang w:val="fr-FR"/>
              </w:rPr>
              <w:t>ne</w:t>
            </w:r>
            <w:r w:rsidRPr="00886427">
              <w:rPr>
                <w:spacing w:val="-3"/>
                <w:sz w:val="20"/>
                <w:szCs w:val="20"/>
                <w:lang w:val="fr-FR"/>
              </w:rPr>
              <w:t xml:space="preserve"> </w:t>
            </w:r>
            <w:r w:rsidRPr="00886427">
              <w:rPr>
                <w:sz w:val="20"/>
                <w:szCs w:val="20"/>
                <w:lang w:val="fr-FR"/>
              </w:rPr>
              <w:t>dépassant</w:t>
            </w:r>
            <w:r w:rsidRPr="00886427">
              <w:rPr>
                <w:spacing w:val="-2"/>
                <w:sz w:val="20"/>
                <w:szCs w:val="20"/>
                <w:lang w:val="fr-FR"/>
              </w:rPr>
              <w:t xml:space="preserve"> </w:t>
            </w:r>
            <w:r w:rsidRPr="00886427">
              <w:rPr>
                <w:sz w:val="20"/>
                <w:szCs w:val="20"/>
                <w:lang w:val="fr-FR"/>
              </w:rPr>
              <w:t>pas</w:t>
            </w:r>
            <w:r w:rsidRPr="00886427">
              <w:rPr>
                <w:spacing w:val="-2"/>
                <w:sz w:val="20"/>
                <w:szCs w:val="20"/>
                <w:lang w:val="fr-FR"/>
              </w:rPr>
              <w:t xml:space="preserve"> </w:t>
            </w:r>
            <w:r w:rsidRPr="00886427">
              <w:rPr>
                <w:sz w:val="20"/>
                <w:szCs w:val="20"/>
                <w:lang w:val="fr-FR"/>
              </w:rPr>
              <w:t>1</w:t>
            </w:r>
            <w:r w:rsidR="001329AC">
              <w:rPr>
                <w:spacing w:val="-8"/>
                <w:sz w:val="20"/>
                <w:szCs w:val="20"/>
                <w:lang w:val="fr-FR"/>
              </w:rPr>
              <w:t> </w:t>
            </w:r>
            <w:r w:rsidRPr="001329AC">
              <w:rPr>
                <w:sz w:val="20"/>
                <w:szCs w:val="20"/>
                <w:lang w:val="fr-FR"/>
              </w:rPr>
              <w:t>l</w:t>
            </w:r>
            <w:r w:rsidRPr="00886427">
              <w:rPr>
                <w:i/>
                <w:spacing w:val="-1"/>
                <w:sz w:val="20"/>
                <w:szCs w:val="20"/>
                <w:lang w:val="fr-FR"/>
              </w:rPr>
              <w:t xml:space="preserve"> </w:t>
            </w:r>
            <w:r w:rsidRPr="00886427">
              <w:rPr>
                <w:sz w:val="20"/>
                <w:szCs w:val="20"/>
                <w:lang w:val="fr-FR"/>
              </w:rPr>
              <w:t>chacun</w:t>
            </w:r>
            <w:r w:rsidRPr="00886427">
              <w:rPr>
                <w:spacing w:val="-3"/>
                <w:sz w:val="20"/>
                <w:szCs w:val="20"/>
                <w:lang w:val="fr-FR"/>
              </w:rPr>
              <w:t xml:space="preserve"> </w:t>
            </w:r>
            <w:r w:rsidRPr="00886427">
              <w:rPr>
                <w:sz w:val="20"/>
                <w:szCs w:val="20"/>
                <w:lang w:val="fr-FR"/>
              </w:rPr>
              <w:t xml:space="preserve">et équipés de fermetures à joint. </w:t>
            </w:r>
            <w:r w:rsidRPr="00886427">
              <w:rPr>
                <w:sz w:val="20"/>
                <w:szCs w:val="20"/>
                <w:u w:val="single"/>
                <w:lang w:val="fr-FR" w:eastAsia="fr-FR"/>
              </w:rPr>
              <w:t>Les emballages intérieurs doivent être munis de bouchons filetés ou de fermetures bloquées par tout moyen physique empêchant leur dégagement ou leur relâchement en cas de choc ou de vibration au cours du transport.</w:t>
            </w:r>
            <w:r w:rsidRPr="00886427">
              <w:rPr>
                <w:sz w:val="20"/>
                <w:szCs w:val="20"/>
                <w:lang w:val="fr-FR"/>
              </w:rPr>
              <w:t xml:space="preserve"> Les emballages intérieurs doivent être calés de tous les côtés avec un matériau de rembourrage sec, absorbant</w:t>
            </w:r>
            <w:r w:rsidRPr="00886427">
              <w:rPr>
                <w:spacing w:val="-8"/>
                <w:sz w:val="20"/>
                <w:szCs w:val="20"/>
                <w:lang w:val="fr-FR"/>
              </w:rPr>
              <w:t xml:space="preserve"> </w:t>
            </w:r>
            <w:r w:rsidRPr="00886427">
              <w:rPr>
                <w:sz w:val="20"/>
                <w:szCs w:val="20"/>
                <w:lang w:val="fr-FR"/>
              </w:rPr>
              <w:t>et</w:t>
            </w:r>
            <w:r w:rsidRPr="00886427">
              <w:rPr>
                <w:spacing w:val="-8"/>
                <w:sz w:val="20"/>
                <w:szCs w:val="20"/>
                <w:lang w:val="fr-FR"/>
              </w:rPr>
              <w:t xml:space="preserve"> </w:t>
            </w:r>
            <w:r w:rsidRPr="00886427">
              <w:rPr>
                <w:sz w:val="20"/>
                <w:szCs w:val="20"/>
                <w:lang w:val="fr-FR"/>
              </w:rPr>
              <w:t>incombustible,</w:t>
            </w:r>
            <w:r w:rsidRPr="00886427">
              <w:rPr>
                <w:spacing w:val="-8"/>
                <w:sz w:val="20"/>
                <w:szCs w:val="20"/>
                <w:lang w:val="fr-FR"/>
              </w:rPr>
              <w:t xml:space="preserve"> </w:t>
            </w:r>
            <w:r w:rsidRPr="00886427">
              <w:rPr>
                <w:sz w:val="20"/>
                <w:szCs w:val="20"/>
                <w:lang w:val="fr-FR"/>
              </w:rPr>
              <w:t>en</w:t>
            </w:r>
            <w:r w:rsidRPr="00886427">
              <w:rPr>
                <w:spacing w:val="-6"/>
                <w:sz w:val="20"/>
                <w:szCs w:val="20"/>
                <w:lang w:val="fr-FR"/>
              </w:rPr>
              <w:t xml:space="preserve"> </w:t>
            </w:r>
            <w:r w:rsidRPr="00886427">
              <w:rPr>
                <w:sz w:val="20"/>
                <w:szCs w:val="20"/>
                <w:lang w:val="fr-FR"/>
              </w:rPr>
              <w:t>quantité</w:t>
            </w:r>
            <w:r w:rsidRPr="00886427">
              <w:rPr>
                <w:spacing w:val="-8"/>
                <w:sz w:val="20"/>
                <w:szCs w:val="20"/>
                <w:lang w:val="fr-FR"/>
              </w:rPr>
              <w:t xml:space="preserve"> </w:t>
            </w:r>
            <w:r w:rsidRPr="00886427">
              <w:rPr>
                <w:sz w:val="20"/>
                <w:szCs w:val="20"/>
                <w:lang w:val="fr-FR"/>
              </w:rPr>
              <w:t>suffisante</w:t>
            </w:r>
            <w:r w:rsidRPr="00886427">
              <w:rPr>
                <w:spacing w:val="-8"/>
                <w:sz w:val="20"/>
                <w:szCs w:val="20"/>
                <w:lang w:val="fr-FR"/>
              </w:rPr>
              <w:t xml:space="preserve"> </w:t>
            </w:r>
            <w:r w:rsidRPr="00886427">
              <w:rPr>
                <w:sz w:val="20"/>
                <w:szCs w:val="20"/>
                <w:lang w:val="fr-FR"/>
              </w:rPr>
              <w:t>pour</w:t>
            </w:r>
            <w:r w:rsidRPr="00886427">
              <w:rPr>
                <w:spacing w:val="-8"/>
                <w:sz w:val="20"/>
                <w:szCs w:val="20"/>
                <w:lang w:val="fr-FR"/>
              </w:rPr>
              <w:t xml:space="preserve"> </w:t>
            </w:r>
            <w:r w:rsidRPr="00886427">
              <w:rPr>
                <w:sz w:val="20"/>
                <w:szCs w:val="20"/>
                <w:lang w:val="fr-FR"/>
              </w:rPr>
              <w:t>absorber</w:t>
            </w:r>
            <w:r w:rsidRPr="00886427">
              <w:rPr>
                <w:spacing w:val="-7"/>
                <w:sz w:val="20"/>
                <w:szCs w:val="20"/>
                <w:lang w:val="fr-FR"/>
              </w:rPr>
              <w:t xml:space="preserve"> </w:t>
            </w:r>
            <w:r w:rsidRPr="00886427">
              <w:rPr>
                <w:sz w:val="20"/>
                <w:szCs w:val="20"/>
                <w:lang w:val="fr-FR"/>
              </w:rPr>
              <w:t>la</w:t>
            </w:r>
            <w:r w:rsidRPr="00886427">
              <w:rPr>
                <w:spacing w:val="-8"/>
                <w:sz w:val="20"/>
                <w:szCs w:val="20"/>
                <w:lang w:val="fr-FR"/>
              </w:rPr>
              <w:t xml:space="preserve"> </w:t>
            </w:r>
            <w:r w:rsidRPr="00886427">
              <w:rPr>
                <w:sz w:val="20"/>
                <w:szCs w:val="20"/>
                <w:lang w:val="fr-FR"/>
              </w:rPr>
              <w:t>totalité</w:t>
            </w:r>
            <w:r w:rsidRPr="00886427">
              <w:rPr>
                <w:spacing w:val="-8"/>
                <w:sz w:val="20"/>
                <w:szCs w:val="20"/>
                <w:lang w:val="fr-FR"/>
              </w:rPr>
              <w:t xml:space="preserve"> </w:t>
            </w:r>
            <w:r w:rsidRPr="00886427">
              <w:rPr>
                <w:sz w:val="20"/>
                <w:szCs w:val="20"/>
                <w:lang w:val="fr-FR"/>
              </w:rPr>
              <w:t>du</w:t>
            </w:r>
            <w:r w:rsidRPr="00886427">
              <w:rPr>
                <w:spacing w:val="-8"/>
                <w:sz w:val="20"/>
                <w:szCs w:val="20"/>
                <w:lang w:val="fr-FR"/>
              </w:rPr>
              <w:t xml:space="preserve"> </w:t>
            </w:r>
            <w:r w:rsidRPr="00886427">
              <w:rPr>
                <w:sz w:val="20"/>
                <w:szCs w:val="20"/>
                <w:lang w:val="fr-FR"/>
              </w:rPr>
              <w:t>contenu.</w:t>
            </w:r>
            <w:r w:rsidRPr="00886427">
              <w:rPr>
                <w:spacing w:val="-8"/>
                <w:sz w:val="20"/>
                <w:szCs w:val="20"/>
                <w:lang w:val="fr-FR"/>
              </w:rPr>
              <w:t xml:space="preserve"> </w:t>
            </w:r>
            <w:r w:rsidRPr="00886427">
              <w:rPr>
                <w:sz w:val="20"/>
                <w:szCs w:val="20"/>
                <w:lang w:val="fr-FR"/>
              </w:rPr>
              <w:t>Les</w:t>
            </w:r>
            <w:r w:rsidRPr="00886427">
              <w:rPr>
                <w:spacing w:val="-7"/>
                <w:sz w:val="20"/>
                <w:szCs w:val="20"/>
                <w:lang w:val="fr-FR"/>
              </w:rPr>
              <w:t xml:space="preserve"> </w:t>
            </w:r>
            <w:r w:rsidRPr="00886427">
              <w:rPr>
                <w:sz w:val="20"/>
                <w:szCs w:val="20"/>
                <w:lang w:val="fr-FR"/>
              </w:rPr>
              <w:t>emballages</w:t>
            </w:r>
            <w:r w:rsidRPr="00886427">
              <w:rPr>
                <w:spacing w:val="-7"/>
                <w:sz w:val="20"/>
                <w:szCs w:val="20"/>
                <w:lang w:val="fr-FR"/>
              </w:rPr>
              <w:t xml:space="preserve"> </w:t>
            </w:r>
            <w:r w:rsidRPr="00886427">
              <w:rPr>
                <w:sz w:val="20"/>
                <w:szCs w:val="20"/>
                <w:lang w:val="fr-FR"/>
              </w:rPr>
              <w:t>intérieurs ne doivent pas être remplis à plus de 90</w:t>
            </w:r>
            <w:r w:rsidR="001329AC">
              <w:rPr>
                <w:sz w:val="20"/>
                <w:szCs w:val="20"/>
                <w:lang w:val="fr-FR"/>
              </w:rPr>
              <w:t> </w:t>
            </w:r>
            <w:r w:rsidRPr="00886427">
              <w:rPr>
                <w:sz w:val="20"/>
                <w:szCs w:val="20"/>
                <w:lang w:val="fr-FR"/>
              </w:rPr>
              <w:t>% de leur contenance. La masse nette maximale des emballages extérieurs est de 125</w:t>
            </w:r>
            <w:r w:rsidR="001329AC">
              <w:rPr>
                <w:spacing w:val="-24"/>
                <w:sz w:val="20"/>
                <w:szCs w:val="20"/>
                <w:lang w:val="fr-FR"/>
              </w:rPr>
              <w:t> </w:t>
            </w:r>
            <w:r w:rsidRPr="00886427">
              <w:rPr>
                <w:sz w:val="20"/>
                <w:szCs w:val="20"/>
                <w:lang w:val="fr-FR"/>
              </w:rPr>
              <w:t>kg</w:t>
            </w:r>
            <w:r w:rsidR="001329AC">
              <w:rPr>
                <w:sz w:val="20"/>
                <w:szCs w:val="20"/>
                <w:lang w:val="fr-FR"/>
              </w:rPr>
              <w:t> ;</w:t>
            </w:r>
          </w:p>
          <w:p w:rsidR="00E865AC" w:rsidRPr="00886427" w:rsidRDefault="00D46D58" w:rsidP="00A201E4">
            <w:pPr>
              <w:pStyle w:val="TableParagraph"/>
              <w:spacing w:before="60" w:after="60" w:line="240" w:lineRule="atLeast"/>
              <w:ind w:left="1134" w:right="113" w:hanging="567"/>
              <w:rPr>
                <w:sz w:val="20"/>
                <w:szCs w:val="20"/>
                <w:lang w:val="fr-FR"/>
              </w:rPr>
            </w:pPr>
            <w:r>
              <w:rPr>
                <w:sz w:val="20"/>
                <w:szCs w:val="20"/>
                <w:lang w:val="fr-FR"/>
              </w:rPr>
              <w:t>3)</w:t>
            </w:r>
            <w:r>
              <w:rPr>
                <w:sz w:val="20"/>
                <w:szCs w:val="20"/>
                <w:lang w:val="fr-FR"/>
              </w:rPr>
              <w:tab/>
            </w:r>
            <w:r w:rsidR="00E865AC" w:rsidRPr="00886427">
              <w:rPr>
                <w:sz w:val="20"/>
                <w:szCs w:val="20"/>
                <w:lang w:val="fr-FR"/>
              </w:rPr>
              <w:t xml:space="preserve">Fûts en acier, en aluminium ou en un autre métal (1A1, 1A2, 1B1, 1B2, 1N1 </w:t>
            </w:r>
            <w:r w:rsidR="00A201E4">
              <w:rPr>
                <w:sz w:val="20"/>
                <w:szCs w:val="20"/>
                <w:lang w:val="fr-FR"/>
              </w:rPr>
              <w:t>ou</w:t>
            </w:r>
            <w:r w:rsidR="00E865AC" w:rsidRPr="00886427">
              <w:rPr>
                <w:sz w:val="20"/>
                <w:szCs w:val="20"/>
                <w:lang w:val="fr-FR"/>
              </w:rPr>
              <w:t xml:space="preserve"> 1N2), bidons (jerricanes) (3A1, 3A2, 3B1 </w:t>
            </w:r>
            <w:r w:rsidR="00A201E4">
              <w:rPr>
                <w:sz w:val="20"/>
                <w:szCs w:val="20"/>
                <w:lang w:val="fr-FR"/>
              </w:rPr>
              <w:t>ou</w:t>
            </w:r>
            <w:r w:rsidR="00E865AC" w:rsidRPr="00886427">
              <w:rPr>
                <w:sz w:val="20"/>
                <w:szCs w:val="20"/>
                <w:lang w:val="fr-FR"/>
              </w:rPr>
              <w:t xml:space="preserve"> 3B2) ou caisses (4A, 4B ou 4N) d’une masse </w:t>
            </w:r>
            <w:r w:rsidR="00A201E4">
              <w:rPr>
                <w:sz w:val="20"/>
                <w:szCs w:val="20"/>
                <w:lang w:val="fr-FR"/>
              </w:rPr>
              <w:t>nette maximale de 150 </w:t>
            </w:r>
            <w:r w:rsidR="00E865AC" w:rsidRPr="00886427">
              <w:rPr>
                <w:sz w:val="20"/>
                <w:szCs w:val="20"/>
                <w:lang w:val="fr-FR"/>
              </w:rPr>
              <w:t>kg chacun et contenant des bidons métalliques hermétiquement fermés d’une contenance ne dépassant pas 4</w:t>
            </w:r>
            <w:r w:rsidR="00A201E4">
              <w:rPr>
                <w:sz w:val="20"/>
                <w:szCs w:val="20"/>
                <w:lang w:val="fr-FR"/>
              </w:rPr>
              <w:t> </w:t>
            </w:r>
            <w:r w:rsidR="00E865AC" w:rsidRPr="00A201E4">
              <w:rPr>
                <w:sz w:val="20"/>
                <w:szCs w:val="20"/>
                <w:lang w:val="fr-FR"/>
              </w:rPr>
              <w:t>l</w:t>
            </w:r>
            <w:r w:rsidR="00E865AC" w:rsidRPr="00886427">
              <w:rPr>
                <w:i/>
                <w:sz w:val="20"/>
                <w:szCs w:val="20"/>
                <w:lang w:val="fr-FR"/>
              </w:rPr>
              <w:t xml:space="preserve"> </w:t>
            </w:r>
            <w:r w:rsidR="00E865AC" w:rsidRPr="00886427">
              <w:rPr>
                <w:sz w:val="20"/>
                <w:szCs w:val="20"/>
                <w:lang w:val="fr-FR"/>
              </w:rPr>
              <w:t xml:space="preserve">chacun et équipés de fermetures à joint. </w:t>
            </w:r>
            <w:r w:rsidR="00E865AC" w:rsidRPr="00886427">
              <w:rPr>
                <w:sz w:val="20"/>
                <w:szCs w:val="20"/>
                <w:u w:val="single"/>
                <w:lang w:val="fr-FR" w:eastAsia="fr-FR"/>
              </w:rPr>
              <w:t>Les emballages intérieurs doivent être munis de bouchons filetés ou de fermetures bloquées par tout moyen physique empêchant leur dégagement ou leur relâchement en cas de choc ou de vibration au cours du transport.</w:t>
            </w:r>
            <w:r w:rsidR="00E865AC" w:rsidRPr="00886427">
              <w:rPr>
                <w:sz w:val="20"/>
                <w:szCs w:val="20"/>
                <w:lang w:val="fr-FR"/>
              </w:rPr>
              <w:t xml:space="preserve"> Les emballages intérieurs doivent être calés de tous les côtés avec un matériau de rembourrage sec, absorbant et incombustible, en quantité suffisante pour absorber la totalité du contenu. Chaque couche d’emballage intérieur doit être séparée </w:t>
            </w:r>
            <w:r w:rsidR="00E865AC" w:rsidRPr="00886427">
              <w:rPr>
                <w:sz w:val="20"/>
                <w:szCs w:val="20"/>
                <w:lang w:val="fr-FR"/>
              </w:rPr>
              <w:lastRenderedPageBreak/>
              <w:t>des autres par une cloison en plus du matériau de rembourrage. Les emballages intérieurs ne doiven</w:t>
            </w:r>
            <w:r w:rsidR="00A201E4">
              <w:rPr>
                <w:sz w:val="20"/>
                <w:szCs w:val="20"/>
                <w:lang w:val="fr-FR"/>
              </w:rPr>
              <w:t>t pas être remplis à plus de 90 </w:t>
            </w:r>
            <w:r w:rsidR="00E865AC" w:rsidRPr="00886427">
              <w:rPr>
                <w:sz w:val="20"/>
                <w:szCs w:val="20"/>
                <w:lang w:val="fr-FR"/>
              </w:rPr>
              <w:t>% de leur contenance.</w:t>
            </w:r>
          </w:p>
        </w:tc>
      </w:tr>
      <w:tr w:rsidR="00E865AC" w:rsidRPr="00886427" w:rsidTr="00886427">
        <w:tc>
          <w:tcPr>
            <w:tcW w:w="9071" w:type="dxa"/>
          </w:tcPr>
          <w:p w:rsidR="00E865AC" w:rsidRPr="00886427" w:rsidRDefault="00E865AC" w:rsidP="00D46D58">
            <w:pPr>
              <w:pStyle w:val="TableParagraph"/>
              <w:spacing w:before="60" w:after="60" w:line="240" w:lineRule="atLeast"/>
              <w:ind w:left="113" w:right="113"/>
              <w:rPr>
                <w:b/>
                <w:sz w:val="20"/>
                <w:szCs w:val="20"/>
                <w:lang w:val="fr-FR"/>
              </w:rPr>
            </w:pPr>
            <w:r w:rsidRPr="00886427">
              <w:rPr>
                <w:b/>
                <w:sz w:val="20"/>
                <w:szCs w:val="20"/>
                <w:lang w:val="fr-FR"/>
              </w:rPr>
              <w:lastRenderedPageBreak/>
              <w:t>Disposition spéciale d’emballage</w:t>
            </w:r>
            <w:r w:rsidR="00A201E4">
              <w:rPr>
                <w:b/>
                <w:sz w:val="20"/>
                <w:szCs w:val="20"/>
                <w:lang w:val="fr-FR"/>
              </w:rPr>
              <w:t> </w:t>
            </w:r>
            <w:r w:rsidRPr="00886427">
              <w:rPr>
                <w:b/>
                <w:sz w:val="20"/>
                <w:szCs w:val="20"/>
                <w:lang w:val="fr-FR"/>
              </w:rPr>
              <w:t>:</w:t>
            </w:r>
          </w:p>
          <w:p w:rsidR="00E865AC" w:rsidRPr="00886427" w:rsidRDefault="00E865AC" w:rsidP="003A6C3E">
            <w:pPr>
              <w:pStyle w:val="TableParagraph"/>
              <w:spacing w:before="60" w:after="60" w:line="240" w:lineRule="atLeast"/>
              <w:ind w:left="680" w:right="113" w:hanging="567"/>
              <w:rPr>
                <w:sz w:val="20"/>
                <w:szCs w:val="20"/>
                <w:lang w:val="fr-FR"/>
              </w:rPr>
            </w:pPr>
            <w:r w:rsidRPr="00886427">
              <w:rPr>
                <w:b/>
                <w:sz w:val="20"/>
                <w:szCs w:val="20"/>
                <w:lang w:val="fr-FR"/>
              </w:rPr>
              <w:t>PP86</w:t>
            </w:r>
            <w:r w:rsidR="00D46D58">
              <w:rPr>
                <w:b/>
                <w:sz w:val="20"/>
                <w:szCs w:val="20"/>
                <w:lang w:val="fr-FR"/>
              </w:rPr>
              <w:tab/>
            </w:r>
            <w:r w:rsidRPr="00886427">
              <w:rPr>
                <w:sz w:val="20"/>
                <w:szCs w:val="20"/>
                <w:lang w:val="fr-FR"/>
              </w:rPr>
              <w:t>Pour les Nos ONU 3392 et 3394, l’air doit être évacué de la phase gazeuse au moyen d’azote ou par un autre moyen.</w:t>
            </w:r>
          </w:p>
        </w:tc>
      </w:tr>
    </w:tbl>
    <w:p w:rsidR="00446FE5" w:rsidRDefault="00446FE5" w:rsidP="00E865AC">
      <w:pPr>
        <w:pStyle w:val="SingleTxtG"/>
      </w:pPr>
    </w:p>
    <w:tbl>
      <w:tblPr>
        <w:tblW w:w="963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9639"/>
      </w:tblGrid>
      <w:tr w:rsidR="00E865AC" w:rsidRPr="003A6C3E" w:rsidTr="003A6C3E">
        <w:tc>
          <w:tcPr>
            <w:tcW w:w="9071" w:type="dxa"/>
          </w:tcPr>
          <w:p w:rsidR="00E865AC" w:rsidRPr="003A6C3E" w:rsidRDefault="00E865AC" w:rsidP="00A201E4">
            <w:pPr>
              <w:pStyle w:val="TableParagraph"/>
              <w:tabs>
                <w:tab w:val="left" w:pos="3133"/>
                <w:tab w:val="left" w:pos="9081"/>
              </w:tabs>
              <w:spacing w:before="60" w:after="60" w:line="240" w:lineRule="atLeast"/>
              <w:ind w:left="113" w:right="113"/>
              <w:rPr>
                <w:b/>
                <w:sz w:val="20"/>
                <w:szCs w:val="20"/>
                <w:lang w:val="fr-FR"/>
              </w:rPr>
            </w:pPr>
            <w:r w:rsidRPr="003A6C3E">
              <w:rPr>
                <w:b/>
                <w:sz w:val="20"/>
                <w:szCs w:val="20"/>
                <w:lang w:val="fr-FR"/>
              </w:rPr>
              <w:t>P404</w:t>
            </w:r>
            <w:r w:rsidRPr="003A6C3E">
              <w:rPr>
                <w:b/>
                <w:sz w:val="20"/>
                <w:szCs w:val="20"/>
                <w:lang w:val="fr-FR"/>
              </w:rPr>
              <w:tab/>
              <w:t>INSTRUCTION</w:t>
            </w:r>
            <w:r w:rsidRPr="003A6C3E">
              <w:rPr>
                <w:b/>
                <w:spacing w:val="-13"/>
                <w:sz w:val="20"/>
                <w:szCs w:val="20"/>
                <w:lang w:val="fr-FR"/>
              </w:rPr>
              <w:t xml:space="preserve"> </w:t>
            </w:r>
            <w:r w:rsidRPr="003A6C3E">
              <w:rPr>
                <w:b/>
                <w:sz w:val="20"/>
                <w:szCs w:val="20"/>
                <w:lang w:val="fr-FR"/>
              </w:rPr>
              <w:t>D’EMBALLAGE</w:t>
            </w:r>
            <w:r w:rsidRPr="003A6C3E">
              <w:rPr>
                <w:b/>
                <w:sz w:val="20"/>
                <w:szCs w:val="20"/>
                <w:lang w:val="fr-FR"/>
              </w:rPr>
              <w:tab/>
              <w:t>P404</w:t>
            </w:r>
          </w:p>
        </w:tc>
      </w:tr>
      <w:tr w:rsidR="00E865AC" w:rsidRPr="003A6C3E" w:rsidTr="003A6C3E">
        <w:tc>
          <w:tcPr>
            <w:tcW w:w="9071" w:type="dxa"/>
          </w:tcPr>
          <w:p w:rsidR="00E865AC" w:rsidRPr="003A6C3E" w:rsidRDefault="00A201E4" w:rsidP="002E1D71">
            <w:pPr>
              <w:pStyle w:val="TableParagraph"/>
              <w:spacing w:before="60" w:after="60" w:line="240" w:lineRule="atLeast"/>
              <w:ind w:left="113" w:right="113"/>
              <w:rPr>
                <w:sz w:val="20"/>
                <w:szCs w:val="20"/>
                <w:lang w:val="fr-FR"/>
              </w:rPr>
            </w:pPr>
            <w:r>
              <w:rPr>
                <w:sz w:val="20"/>
                <w:szCs w:val="20"/>
                <w:lang w:val="fr-FR"/>
              </w:rPr>
              <w:tab/>
            </w:r>
            <w:r w:rsidR="00E865AC" w:rsidRPr="003A6C3E">
              <w:rPr>
                <w:sz w:val="20"/>
                <w:szCs w:val="20"/>
                <w:lang w:val="fr-FR"/>
              </w:rPr>
              <w:t>Cette instruction s’applique aux matières solides pyrophoriques (Nos ONU 1383, 1854, 1855, 2008, 2441, 2545,</w:t>
            </w:r>
            <w:r w:rsidR="002E1D71">
              <w:rPr>
                <w:sz w:val="20"/>
                <w:szCs w:val="20"/>
                <w:lang w:val="fr-FR"/>
              </w:rPr>
              <w:t xml:space="preserve"> </w:t>
            </w:r>
            <w:r w:rsidR="00E865AC" w:rsidRPr="003A6C3E">
              <w:rPr>
                <w:sz w:val="20"/>
                <w:szCs w:val="20"/>
                <w:lang w:val="fr-FR"/>
              </w:rPr>
              <w:t>2546, 2846, 2881, 3200, 3391</w:t>
            </w:r>
            <w:r w:rsidR="00E865AC" w:rsidRPr="003A6C3E">
              <w:rPr>
                <w:strike/>
                <w:sz w:val="20"/>
                <w:szCs w:val="20"/>
                <w:lang w:val="fr-FR"/>
              </w:rPr>
              <w:t xml:space="preserve">, </w:t>
            </w:r>
            <w:r w:rsidR="00E865AC" w:rsidRPr="003A6C3E">
              <w:rPr>
                <w:sz w:val="20"/>
                <w:szCs w:val="20"/>
                <w:u w:val="single"/>
                <w:lang w:val="fr-FR"/>
              </w:rPr>
              <w:t>et</w:t>
            </w:r>
            <w:r w:rsidR="00E865AC" w:rsidRPr="003A6C3E">
              <w:rPr>
                <w:sz w:val="20"/>
                <w:szCs w:val="20"/>
                <w:lang w:val="fr-FR"/>
              </w:rPr>
              <w:t xml:space="preserve"> 3393</w:t>
            </w:r>
            <w:r w:rsidR="00E865AC" w:rsidRPr="003A6C3E">
              <w:rPr>
                <w:strike/>
                <w:sz w:val="20"/>
                <w:szCs w:val="20"/>
                <w:lang w:val="fr-FR"/>
              </w:rPr>
              <w:t xml:space="preserve"> et 3461</w:t>
            </w:r>
            <w:r w:rsidR="00E865AC" w:rsidRPr="003A6C3E">
              <w:rPr>
                <w:sz w:val="20"/>
                <w:szCs w:val="20"/>
                <w:lang w:val="fr-FR"/>
              </w:rPr>
              <w:t>).</w:t>
            </w:r>
          </w:p>
        </w:tc>
      </w:tr>
      <w:tr w:rsidR="00E865AC" w:rsidRPr="003A6C3E" w:rsidTr="003A6C3E">
        <w:tc>
          <w:tcPr>
            <w:tcW w:w="9071" w:type="dxa"/>
          </w:tcPr>
          <w:p w:rsidR="00E865AC" w:rsidRPr="002E1D71" w:rsidRDefault="00E865AC" w:rsidP="00A5590E">
            <w:pPr>
              <w:pStyle w:val="TableParagraph"/>
              <w:spacing w:before="60" w:after="60" w:line="240" w:lineRule="atLeast"/>
              <w:ind w:right="113" w:firstLine="567"/>
              <w:rPr>
                <w:sz w:val="20"/>
                <w:szCs w:val="20"/>
                <w:lang w:val="fr-FR"/>
              </w:rPr>
            </w:pPr>
            <w:r w:rsidRPr="003A6C3E">
              <w:rPr>
                <w:sz w:val="20"/>
                <w:szCs w:val="20"/>
                <w:lang w:val="fr-FR"/>
              </w:rPr>
              <w:t>Les emballages suivants sont autorisés s’il est satisfait aux dispositions générales de</w:t>
            </w:r>
            <w:r w:rsidRPr="002E1D71">
              <w:rPr>
                <w:sz w:val="20"/>
                <w:szCs w:val="20"/>
                <w:lang w:val="fr-FR"/>
              </w:rPr>
              <w:t>s 4.1.1 et 4.1.3</w:t>
            </w:r>
            <w:r w:rsidR="002E1D71">
              <w:rPr>
                <w:sz w:val="20"/>
                <w:szCs w:val="20"/>
                <w:lang w:val="fr-FR"/>
              </w:rPr>
              <w:t> </w:t>
            </w:r>
            <w:r w:rsidRPr="002E1D71">
              <w:rPr>
                <w:sz w:val="20"/>
                <w:szCs w:val="20"/>
                <w:lang w:val="fr-FR"/>
              </w:rPr>
              <w:t>:</w:t>
            </w:r>
          </w:p>
          <w:p w:rsidR="00E865AC" w:rsidRPr="003A6C3E" w:rsidRDefault="00E865AC" w:rsidP="00A5590E">
            <w:pPr>
              <w:pStyle w:val="TableParagraph"/>
              <w:spacing w:before="60" w:after="60" w:line="240" w:lineRule="atLeast"/>
              <w:ind w:left="1134" w:right="113" w:hanging="567"/>
              <w:rPr>
                <w:b/>
                <w:sz w:val="20"/>
                <w:szCs w:val="20"/>
                <w:lang w:val="fr-FR"/>
              </w:rPr>
            </w:pPr>
            <w:r w:rsidRPr="003A6C3E">
              <w:rPr>
                <w:w w:val="99"/>
                <w:sz w:val="20"/>
                <w:szCs w:val="20"/>
                <w:lang w:val="fr-FR"/>
              </w:rPr>
              <w:t>1)</w:t>
            </w:r>
            <w:r w:rsidRPr="003A6C3E">
              <w:rPr>
                <w:b/>
                <w:w w:val="99"/>
                <w:sz w:val="20"/>
                <w:szCs w:val="20"/>
                <w:lang w:val="fr-FR"/>
              </w:rPr>
              <w:tab/>
            </w:r>
            <w:r w:rsidRPr="003A6C3E">
              <w:rPr>
                <w:b/>
                <w:sz w:val="20"/>
                <w:szCs w:val="20"/>
                <w:lang w:val="fr-FR"/>
              </w:rPr>
              <w:t>Emballages</w:t>
            </w:r>
            <w:r w:rsidRPr="003A6C3E">
              <w:rPr>
                <w:b/>
                <w:spacing w:val="-24"/>
                <w:sz w:val="20"/>
                <w:szCs w:val="20"/>
                <w:lang w:val="fr-FR"/>
              </w:rPr>
              <w:t xml:space="preserve"> </w:t>
            </w:r>
            <w:r w:rsidRPr="003A6C3E">
              <w:rPr>
                <w:b/>
                <w:sz w:val="20"/>
                <w:szCs w:val="20"/>
                <w:lang w:val="fr-FR"/>
              </w:rPr>
              <w:t>combinés</w:t>
            </w:r>
          </w:p>
          <w:p w:rsidR="00E865AC" w:rsidRPr="003A6C3E" w:rsidRDefault="00E865AC" w:rsidP="00C50EE5">
            <w:pPr>
              <w:pStyle w:val="TableParagraph"/>
              <w:tabs>
                <w:tab w:val="left" w:pos="3512"/>
              </w:tabs>
              <w:spacing w:before="60" w:after="60" w:line="240" w:lineRule="atLeast"/>
              <w:ind w:left="3402" w:right="113" w:hanging="2268"/>
              <w:rPr>
                <w:sz w:val="20"/>
                <w:szCs w:val="20"/>
                <w:lang w:val="fr-FR"/>
              </w:rPr>
            </w:pPr>
            <w:r w:rsidRPr="003A6C3E">
              <w:rPr>
                <w:b/>
                <w:sz w:val="20"/>
                <w:szCs w:val="20"/>
                <w:lang w:val="fr-FR"/>
              </w:rPr>
              <w:t>Emballages</w:t>
            </w:r>
            <w:r w:rsidRPr="003A6C3E">
              <w:rPr>
                <w:b/>
                <w:spacing w:val="-8"/>
                <w:sz w:val="20"/>
                <w:szCs w:val="20"/>
                <w:lang w:val="fr-FR"/>
              </w:rPr>
              <w:t xml:space="preserve"> </w:t>
            </w:r>
            <w:r w:rsidRPr="003A6C3E">
              <w:rPr>
                <w:b/>
                <w:sz w:val="20"/>
                <w:szCs w:val="20"/>
                <w:lang w:val="fr-FR"/>
              </w:rPr>
              <w:t>extérieurs</w:t>
            </w:r>
            <w:r w:rsidR="002E1D71">
              <w:rPr>
                <w:b/>
                <w:sz w:val="20"/>
                <w:szCs w:val="20"/>
                <w:lang w:val="fr-FR"/>
              </w:rPr>
              <w:t> </w:t>
            </w:r>
            <w:r w:rsidRPr="003A6C3E">
              <w:rPr>
                <w:b/>
                <w:sz w:val="20"/>
                <w:szCs w:val="20"/>
                <w:lang w:val="fr-FR"/>
              </w:rPr>
              <w:t>:</w:t>
            </w:r>
            <w:r w:rsidRPr="003A6C3E">
              <w:rPr>
                <w:b/>
                <w:sz w:val="20"/>
                <w:szCs w:val="20"/>
                <w:lang w:val="fr-FR"/>
              </w:rPr>
              <w:tab/>
            </w:r>
            <w:r w:rsidRPr="003A6C3E">
              <w:rPr>
                <w:sz w:val="20"/>
                <w:szCs w:val="20"/>
                <w:lang w:val="fr-FR"/>
              </w:rPr>
              <w:t>(1A1, 1A2, 1B1, 1B2, 1N1, 1N2, 1H1, 1H2, 1D, 1G, 4A, 4B, 4N,</w:t>
            </w:r>
            <w:r w:rsidRPr="003A6C3E">
              <w:rPr>
                <w:spacing w:val="6"/>
                <w:sz w:val="20"/>
                <w:szCs w:val="20"/>
                <w:lang w:val="fr-FR"/>
              </w:rPr>
              <w:t xml:space="preserve"> </w:t>
            </w:r>
            <w:r w:rsidRPr="003A6C3E">
              <w:rPr>
                <w:sz w:val="20"/>
                <w:szCs w:val="20"/>
                <w:lang w:val="fr-FR"/>
              </w:rPr>
              <w:t>4C1,</w:t>
            </w:r>
            <w:r w:rsidRPr="003A6C3E">
              <w:rPr>
                <w:w w:val="99"/>
                <w:sz w:val="20"/>
                <w:szCs w:val="20"/>
                <w:lang w:val="fr-FR"/>
              </w:rPr>
              <w:t xml:space="preserve"> </w:t>
            </w:r>
            <w:r w:rsidRPr="003A6C3E">
              <w:rPr>
                <w:sz w:val="20"/>
                <w:szCs w:val="20"/>
                <w:lang w:val="fr-FR"/>
              </w:rPr>
              <w:t>4C2, 4D, 4F, 4G ou</w:t>
            </w:r>
            <w:r w:rsidRPr="003A6C3E">
              <w:rPr>
                <w:spacing w:val="-28"/>
                <w:sz w:val="20"/>
                <w:szCs w:val="20"/>
                <w:lang w:val="fr-FR"/>
              </w:rPr>
              <w:t xml:space="preserve"> </w:t>
            </w:r>
            <w:r w:rsidRPr="003A6C3E">
              <w:rPr>
                <w:sz w:val="20"/>
                <w:szCs w:val="20"/>
                <w:lang w:val="fr-FR"/>
              </w:rPr>
              <w:t>4H2)</w:t>
            </w:r>
          </w:p>
          <w:p w:rsidR="00E865AC" w:rsidRPr="003A6C3E" w:rsidRDefault="00E865AC" w:rsidP="00C50EE5">
            <w:pPr>
              <w:pStyle w:val="TableParagraph"/>
              <w:tabs>
                <w:tab w:val="left" w:pos="3512"/>
              </w:tabs>
              <w:spacing w:before="60" w:after="60" w:line="240" w:lineRule="atLeast"/>
              <w:ind w:left="3402" w:right="113" w:hanging="2268"/>
              <w:rPr>
                <w:sz w:val="20"/>
                <w:szCs w:val="20"/>
                <w:lang w:val="fr-FR"/>
              </w:rPr>
            </w:pPr>
            <w:r w:rsidRPr="003A6C3E">
              <w:rPr>
                <w:b/>
                <w:sz w:val="20"/>
                <w:szCs w:val="20"/>
                <w:lang w:val="fr-FR"/>
              </w:rPr>
              <w:t>Emballages</w:t>
            </w:r>
            <w:r w:rsidRPr="003A6C3E">
              <w:rPr>
                <w:b/>
                <w:spacing w:val="-8"/>
                <w:sz w:val="20"/>
                <w:szCs w:val="20"/>
                <w:lang w:val="fr-FR"/>
              </w:rPr>
              <w:t xml:space="preserve"> </w:t>
            </w:r>
            <w:r w:rsidRPr="003A6C3E">
              <w:rPr>
                <w:b/>
                <w:sz w:val="20"/>
                <w:szCs w:val="20"/>
                <w:lang w:val="fr-FR"/>
              </w:rPr>
              <w:t>intérieurs</w:t>
            </w:r>
            <w:r w:rsidR="002E1D71">
              <w:rPr>
                <w:b/>
                <w:sz w:val="20"/>
                <w:szCs w:val="20"/>
                <w:lang w:val="fr-FR"/>
              </w:rPr>
              <w:t> </w:t>
            </w:r>
            <w:r w:rsidRPr="003A6C3E">
              <w:rPr>
                <w:b/>
                <w:sz w:val="20"/>
                <w:szCs w:val="20"/>
                <w:lang w:val="fr-FR"/>
              </w:rPr>
              <w:t>:</w:t>
            </w:r>
            <w:r w:rsidRPr="003A6C3E">
              <w:rPr>
                <w:b/>
                <w:sz w:val="20"/>
                <w:szCs w:val="20"/>
                <w:lang w:val="fr-FR"/>
              </w:rPr>
              <w:tab/>
            </w:r>
            <w:r w:rsidRPr="003A6C3E">
              <w:rPr>
                <w:sz w:val="20"/>
                <w:szCs w:val="20"/>
                <w:lang w:val="fr-FR"/>
              </w:rPr>
              <w:t>Récipients en métal d’</w:t>
            </w:r>
            <w:r w:rsidR="002E1D71">
              <w:rPr>
                <w:sz w:val="20"/>
                <w:szCs w:val="20"/>
                <w:lang w:val="fr-FR"/>
              </w:rPr>
              <w:t>une masse nette maximale de 15 </w:t>
            </w:r>
            <w:r w:rsidRPr="003A6C3E">
              <w:rPr>
                <w:sz w:val="20"/>
                <w:szCs w:val="20"/>
                <w:lang w:val="fr-FR"/>
              </w:rPr>
              <w:t>kg chacun.</w:t>
            </w:r>
            <w:r w:rsidRPr="003A6C3E">
              <w:rPr>
                <w:spacing w:val="9"/>
                <w:sz w:val="20"/>
                <w:szCs w:val="20"/>
                <w:lang w:val="fr-FR"/>
              </w:rPr>
              <w:t xml:space="preserve"> </w:t>
            </w:r>
            <w:r w:rsidRPr="003A6C3E">
              <w:rPr>
                <w:sz w:val="20"/>
                <w:szCs w:val="20"/>
                <w:lang w:val="fr-FR"/>
              </w:rPr>
              <w:t>Les</w:t>
            </w:r>
            <w:r w:rsidRPr="003A6C3E">
              <w:rPr>
                <w:w w:val="99"/>
                <w:sz w:val="20"/>
                <w:szCs w:val="20"/>
                <w:lang w:val="fr-FR"/>
              </w:rPr>
              <w:t xml:space="preserve"> </w:t>
            </w:r>
            <w:r w:rsidRPr="003A6C3E">
              <w:rPr>
                <w:sz w:val="20"/>
                <w:szCs w:val="20"/>
                <w:lang w:val="fr-FR"/>
              </w:rPr>
              <w:t>emballages</w:t>
            </w:r>
            <w:r w:rsidRPr="003A6C3E">
              <w:rPr>
                <w:spacing w:val="-10"/>
                <w:sz w:val="20"/>
                <w:szCs w:val="20"/>
                <w:lang w:val="fr-FR"/>
              </w:rPr>
              <w:t xml:space="preserve"> </w:t>
            </w:r>
            <w:r w:rsidRPr="003A6C3E">
              <w:rPr>
                <w:sz w:val="20"/>
                <w:szCs w:val="20"/>
                <w:lang w:val="fr-FR"/>
              </w:rPr>
              <w:t>intérieurs</w:t>
            </w:r>
            <w:r w:rsidRPr="003A6C3E">
              <w:rPr>
                <w:spacing w:val="-9"/>
                <w:sz w:val="20"/>
                <w:szCs w:val="20"/>
                <w:lang w:val="fr-FR"/>
              </w:rPr>
              <w:t xml:space="preserve"> </w:t>
            </w:r>
            <w:r w:rsidRPr="003A6C3E">
              <w:rPr>
                <w:sz w:val="20"/>
                <w:szCs w:val="20"/>
                <w:lang w:val="fr-FR"/>
              </w:rPr>
              <w:t>doivent</w:t>
            </w:r>
            <w:r w:rsidRPr="003A6C3E">
              <w:rPr>
                <w:spacing w:val="-10"/>
                <w:sz w:val="20"/>
                <w:szCs w:val="20"/>
                <w:lang w:val="fr-FR"/>
              </w:rPr>
              <w:t xml:space="preserve"> </w:t>
            </w:r>
            <w:r w:rsidRPr="003A6C3E">
              <w:rPr>
                <w:sz w:val="20"/>
                <w:szCs w:val="20"/>
                <w:lang w:val="fr-FR"/>
              </w:rPr>
              <w:t>être</w:t>
            </w:r>
            <w:r w:rsidRPr="003A6C3E">
              <w:rPr>
                <w:spacing w:val="-10"/>
                <w:sz w:val="20"/>
                <w:szCs w:val="20"/>
                <w:lang w:val="fr-FR"/>
              </w:rPr>
              <w:t xml:space="preserve"> </w:t>
            </w:r>
            <w:r w:rsidRPr="003A6C3E">
              <w:rPr>
                <w:sz w:val="20"/>
                <w:szCs w:val="20"/>
                <w:lang w:val="fr-FR"/>
              </w:rPr>
              <w:t>hermétiquement</w:t>
            </w:r>
            <w:r w:rsidRPr="003A6C3E">
              <w:rPr>
                <w:spacing w:val="-9"/>
                <w:sz w:val="20"/>
                <w:szCs w:val="20"/>
                <w:lang w:val="fr-FR"/>
              </w:rPr>
              <w:t xml:space="preserve"> </w:t>
            </w:r>
            <w:r w:rsidRPr="003A6C3E">
              <w:rPr>
                <w:sz w:val="20"/>
                <w:szCs w:val="20"/>
                <w:lang w:val="fr-FR"/>
              </w:rPr>
              <w:t>fermés</w:t>
            </w:r>
            <w:r w:rsidRPr="003A6C3E">
              <w:rPr>
                <w:spacing w:val="-9"/>
                <w:sz w:val="20"/>
                <w:szCs w:val="20"/>
                <w:lang w:val="fr-FR"/>
              </w:rPr>
              <w:t xml:space="preserve"> </w:t>
            </w:r>
            <w:r w:rsidRPr="003A6C3E">
              <w:rPr>
                <w:strike/>
                <w:sz w:val="20"/>
                <w:szCs w:val="20"/>
                <w:lang w:val="fr-FR"/>
              </w:rPr>
              <w:t>et</w:t>
            </w:r>
            <w:r w:rsidRPr="003A6C3E">
              <w:rPr>
                <w:strike/>
                <w:spacing w:val="-9"/>
                <w:sz w:val="20"/>
                <w:szCs w:val="20"/>
                <w:lang w:val="fr-FR"/>
              </w:rPr>
              <w:t xml:space="preserve"> </w:t>
            </w:r>
            <w:r w:rsidRPr="003A6C3E">
              <w:rPr>
                <w:strike/>
                <w:sz w:val="20"/>
                <w:szCs w:val="20"/>
                <w:lang w:val="fr-FR"/>
              </w:rPr>
              <w:t>munis</w:t>
            </w:r>
            <w:r w:rsidRPr="003A6C3E">
              <w:rPr>
                <w:strike/>
                <w:spacing w:val="-10"/>
                <w:sz w:val="20"/>
                <w:szCs w:val="20"/>
                <w:lang w:val="fr-FR"/>
              </w:rPr>
              <w:t xml:space="preserve"> </w:t>
            </w:r>
            <w:r w:rsidRPr="003A6C3E">
              <w:rPr>
                <w:strike/>
                <w:sz w:val="20"/>
                <w:szCs w:val="20"/>
                <w:lang w:val="fr-FR"/>
              </w:rPr>
              <w:t>d’un</w:t>
            </w:r>
            <w:r w:rsidRPr="003A6C3E">
              <w:rPr>
                <w:strike/>
                <w:spacing w:val="-9"/>
                <w:sz w:val="20"/>
                <w:szCs w:val="20"/>
                <w:lang w:val="fr-FR"/>
              </w:rPr>
              <w:t xml:space="preserve"> </w:t>
            </w:r>
            <w:r w:rsidRPr="003A6C3E">
              <w:rPr>
                <w:strike/>
                <w:sz w:val="20"/>
                <w:szCs w:val="20"/>
                <w:lang w:val="fr-FR"/>
              </w:rPr>
              <w:t>bouchon</w:t>
            </w:r>
            <w:r w:rsidRPr="003A6C3E">
              <w:rPr>
                <w:strike/>
                <w:spacing w:val="-10"/>
                <w:sz w:val="20"/>
                <w:szCs w:val="20"/>
                <w:lang w:val="fr-FR"/>
              </w:rPr>
              <w:t xml:space="preserve"> </w:t>
            </w:r>
            <w:r w:rsidRPr="003A6C3E">
              <w:rPr>
                <w:strike/>
                <w:sz w:val="20"/>
                <w:szCs w:val="20"/>
                <w:lang w:val="fr-FR"/>
              </w:rPr>
              <w:t>fileté</w:t>
            </w:r>
            <w:r w:rsidR="002E1D71" w:rsidRPr="002E1D71">
              <w:rPr>
                <w:sz w:val="20"/>
                <w:szCs w:val="20"/>
                <w:lang w:val="fr-FR"/>
              </w:rPr>
              <w:t> </w:t>
            </w:r>
            <w:r w:rsidRPr="003A6C3E">
              <w:rPr>
                <w:sz w:val="20"/>
                <w:szCs w:val="20"/>
                <w:lang w:val="fr-FR"/>
              </w:rPr>
              <w:t>;</w:t>
            </w:r>
          </w:p>
          <w:p w:rsidR="00E865AC" w:rsidRPr="003A6C3E" w:rsidRDefault="00E865AC" w:rsidP="00C50EE5">
            <w:pPr>
              <w:pStyle w:val="TableParagraph"/>
              <w:spacing w:before="60" w:after="60" w:line="240" w:lineRule="atLeast"/>
              <w:ind w:left="3402" w:right="113"/>
              <w:rPr>
                <w:sz w:val="20"/>
                <w:szCs w:val="20"/>
                <w:lang w:val="fr-FR"/>
              </w:rPr>
            </w:pPr>
            <w:r w:rsidRPr="003A6C3E">
              <w:rPr>
                <w:sz w:val="20"/>
                <w:szCs w:val="20"/>
                <w:lang w:val="fr-FR"/>
              </w:rPr>
              <w:t>Récipients en verre d’</w:t>
            </w:r>
            <w:r w:rsidR="00936250">
              <w:rPr>
                <w:sz w:val="20"/>
                <w:szCs w:val="20"/>
                <w:lang w:val="fr-FR"/>
              </w:rPr>
              <w:t>une masse nette maximale de 1 </w:t>
            </w:r>
            <w:r w:rsidRPr="003A6C3E">
              <w:rPr>
                <w:sz w:val="20"/>
                <w:szCs w:val="20"/>
                <w:lang w:val="fr-FR"/>
              </w:rPr>
              <w:t xml:space="preserve">kg chacun, munis de fermetures </w:t>
            </w:r>
            <w:r w:rsidRPr="003A6C3E">
              <w:rPr>
                <w:strike/>
                <w:sz w:val="20"/>
                <w:szCs w:val="20"/>
                <w:lang w:val="fr-FR"/>
              </w:rPr>
              <w:t>filetés</w:t>
            </w:r>
            <w:r w:rsidRPr="00936250">
              <w:rPr>
                <w:strike/>
                <w:sz w:val="20"/>
                <w:szCs w:val="20"/>
                <w:lang w:val="fr-FR"/>
              </w:rPr>
              <w:t xml:space="preserve"> </w:t>
            </w:r>
            <w:r w:rsidRPr="003A6C3E">
              <w:rPr>
                <w:sz w:val="20"/>
                <w:szCs w:val="20"/>
                <w:lang w:val="fr-FR"/>
              </w:rPr>
              <w:t>à joint, calés de tous les côtés et contenus dans des bidons hermétiquement fermés en métal.</w:t>
            </w:r>
          </w:p>
          <w:p w:rsidR="00E865AC" w:rsidRPr="003A6C3E" w:rsidRDefault="00E865AC" w:rsidP="00C50EE5">
            <w:pPr>
              <w:pStyle w:val="TableParagraph"/>
              <w:spacing w:before="60" w:after="60" w:line="240" w:lineRule="atLeast"/>
              <w:ind w:left="1134" w:right="113"/>
              <w:rPr>
                <w:sz w:val="20"/>
                <w:szCs w:val="20"/>
                <w:lang w:val="fr-FR"/>
              </w:rPr>
            </w:pPr>
            <w:r w:rsidRPr="003A6C3E">
              <w:rPr>
                <w:sz w:val="20"/>
                <w:szCs w:val="20"/>
                <w:u w:val="single"/>
                <w:lang w:val="fr-FR" w:eastAsia="fr-FR"/>
              </w:rPr>
              <w:t>Les emballages intérieurs doivent être munis de bouchons filetés ou de fermetures bloquées par tout moyen physique empêchant leur dégagement ou leur relâchement en cas de choc ou de vibration au cours du transport.</w:t>
            </w:r>
          </w:p>
          <w:p w:rsidR="00E865AC" w:rsidRPr="003A6C3E" w:rsidRDefault="00E865AC" w:rsidP="00647DCF">
            <w:pPr>
              <w:pStyle w:val="TableParagraph"/>
              <w:spacing w:before="60" w:after="60" w:line="240" w:lineRule="atLeast"/>
              <w:ind w:left="1134" w:right="113"/>
              <w:rPr>
                <w:sz w:val="20"/>
                <w:szCs w:val="20"/>
                <w:lang w:val="fr-FR"/>
              </w:rPr>
            </w:pPr>
            <w:r w:rsidRPr="003A6C3E">
              <w:rPr>
                <w:sz w:val="20"/>
                <w:szCs w:val="20"/>
                <w:lang w:val="fr-FR"/>
              </w:rPr>
              <w:t>La masse nette maximale des e</w:t>
            </w:r>
            <w:r w:rsidR="00936250">
              <w:rPr>
                <w:sz w:val="20"/>
                <w:szCs w:val="20"/>
                <w:lang w:val="fr-FR"/>
              </w:rPr>
              <w:t>mballages extérieurs est de 125 </w:t>
            </w:r>
            <w:r w:rsidRPr="003A6C3E">
              <w:rPr>
                <w:sz w:val="20"/>
                <w:szCs w:val="20"/>
                <w:lang w:val="fr-FR"/>
              </w:rPr>
              <w:t>kg.</w:t>
            </w:r>
          </w:p>
          <w:p w:rsidR="00E865AC" w:rsidRPr="003A6C3E" w:rsidRDefault="00E865AC" w:rsidP="00A5590E">
            <w:pPr>
              <w:pStyle w:val="TableParagraph"/>
              <w:tabs>
                <w:tab w:val="left" w:pos="3411"/>
              </w:tabs>
              <w:spacing w:before="60" w:after="60" w:line="240" w:lineRule="atLeast"/>
              <w:ind w:left="1134" w:right="113" w:hanging="567"/>
              <w:rPr>
                <w:sz w:val="20"/>
                <w:szCs w:val="20"/>
                <w:lang w:val="fr-FR"/>
              </w:rPr>
            </w:pPr>
            <w:r w:rsidRPr="003A6C3E">
              <w:rPr>
                <w:w w:val="99"/>
                <w:sz w:val="20"/>
                <w:szCs w:val="20"/>
                <w:lang w:val="fr-FR"/>
              </w:rPr>
              <w:t>2)</w:t>
            </w:r>
            <w:r w:rsidRPr="003A6C3E">
              <w:rPr>
                <w:w w:val="99"/>
                <w:sz w:val="20"/>
                <w:szCs w:val="20"/>
                <w:lang w:val="fr-FR"/>
              </w:rPr>
              <w:tab/>
            </w:r>
            <w:r w:rsidRPr="003A6C3E">
              <w:rPr>
                <w:b/>
                <w:sz w:val="20"/>
                <w:szCs w:val="20"/>
                <w:lang w:val="fr-FR"/>
              </w:rPr>
              <w:t>Emballages</w:t>
            </w:r>
            <w:r w:rsidRPr="003A6C3E">
              <w:rPr>
                <w:b/>
                <w:spacing w:val="-5"/>
                <w:sz w:val="20"/>
                <w:szCs w:val="20"/>
                <w:lang w:val="fr-FR"/>
              </w:rPr>
              <w:t xml:space="preserve"> </w:t>
            </w:r>
            <w:r w:rsidRPr="003A6C3E">
              <w:rPr>
                <w:b/>
                <w:sz w:val="20"/>
                <w:szCs w:val="20"/>
                <w:lang w:val="fr-FR"/>
              </w:rPr>
              <w:t>en</w:t>
            </w:r>
            <w:r w:rsidRPr="003A6C3E">
              <w:rPr>
                <w:b/>
                <w:spacing w:val="-7"/>
                <w:sz w:val="20"/>
                <w:szCs w:val="20"/>
                <w:lang w:val="fr-FR"/>
              </w:rPr>
              <w:t xml:space="preserve"> </w:t>
            </w:r>
            <w:r w:rsidRPr="003A6C3E">
              <w:rPr>
                <w:b/>
                <w:sz w:val="20"/>
                <w:szCs w:val="20"/>
                <w:lang w:val="fr-FR"/>
              </w:rPr>
              <w:t>métal</w:t>
            </w:r>
            <w:r w:rsidR="00647DCF">
              <w:rPr>
                <w:b/>
                <w:sz w:val="20"/>
                <w:szCs w:val="20"/>
                <w:lang w:val="fr-FR"/>
              </w:rPr>
              <w:t> </w:t>
            </w:r>
            <w:r w:rsidRPr="003A6C3E">
              <w:rPr>
                <w:b/>
                <w:sz w:val="20"/>
                <w:szCs w:val="20"/>
                <w:lang w:val="fr-FR"/>
              </w:rPr>
              <w:t>:</w:t>
            </w:r>
            <w:r w:rsidRPr="003A6C3E">
              <w:rPr>
                <w:b/>
                <w:sz w:val="20"/>
                <w:szCs w:val="20"/>
                <w:lang w:val="fr-FR"/>
              </w:rPr>
              <w:tab/>
            </w:r>
            <w:r w:rsidRPr="003A6C3E">
              <w:rPr>
                <w:sz w:val="20"/>
                <w:szCs w:val="20"/>
                <w:lang w:val="fr-FR"/>
              </w:rPr>
              <w:t>(1A1,</w:t>
            </w:r>
            <w:r w:rsidRPr="003A6C3E">
              <w:rPr>
                <w:spacing w:val="-6"/>
                <w:sz w:val="20"/>
                <w:szCs w:val="20"/>
                <w:lang w:val="fr-FR"/>
              </w:rPr>
              <w:t xml:space="preserve"> </w:t>
            </w:r>
            <w:r w:rsidRPr="003A6C3E">
              <w:rPr>
                <w:sz w:val="20"/>
                <w:szCs w:val="20"/>
                <w:lang w:val="fr-FR"/>
              </w:rPr>
              <w:t>1A2,</w:t>
            </w:r>
            <w:r w:rsidRPr="003A6C3E">
              <w:rPr>
                <w:spacing w:val="-6"/>
                <w:sz w:val="20"/>
                <w:szCs w:val="20"/>
                <w:lang w:val="fr-FR"/>
              </w:rPr>
              <w:t xml:space="preserve"> </w:t>
            </w:r>
            <w:r w:rsidRPr="003A6C3E">
              <w:rPr>
                <w:sz w:val="20"/>
                <w:szCs w:val="20"/>
                <w:lang w:val="fr-FR"/>
              </w:rPr>
              <w:t>1B1,</w:t>
            </w:r>
            <w:r w:rsidRPr="003A6C3E">
              <w:rPr>
                <w:spacing w:val="-7"/>
                <w:sz w:val="20"/>
                <w:szCs w:val="20"/>
                <w:lang w:val="fr-FR"/>
              </w:rPr>
              <w:t xml:space="preserve"> </w:t>
            </w:r>
            <w:r w:rsidRPr="003A6C3E">
              <w:rPr>
                <w:spacing w:val="-7"/>
                <w:sz w:val="20"/>
                <w:szCs w:val="20"/>
                <w:u w:val="single"/>
                <w:lang w:val="fr-FR"/>
              </w:rPr>
              <w:t>1B2</w:t>
            </w:r>
            <w:r w:rsidRPr="003A6C3E">
              <w:rPr>
                <w:spacing w:val="-7"/>
                <w:sz w:val="20"/>
                <w:szCs w:val="20"/>
                <w:lang w:val="fr-FR"/>
              </w:rPr>
              <w:t xml:space="preserve">, </w:t>
            </w:r>
            <w:r w:rsidRPr="003A6C3E">
              <w:rPr>
                <w:sz w:val="20"/>
                <w:szCs w:val="20"/>
                <w:lang w:val="fr-FR"/>
              </w:rPr>
              <w:t>1N1,</w:t>
            </w:r>
            <w:r w:rsidRPr="003A6C3E">
              <w:rPr>
                <w:spacing w:val="-7"/>
                <w:sz w:val="20"/>
                <w:szCs w:val="20"/>
                <w:lang w:val="fr-FR"/>
              </w:rPr>
              <w:t xml:space="preserve"> </w:t>
            </w:r>
            <w:r w:rsidRPr="003A6C3E">
              <w:rPr>
                <w:sz w:val="20"/>
                <w:szCs w:val="20"/>
                <w:lang w:val="fr-FR"/>
              </w:rPr>
              <w:t>1N2,</w:t>
            </w:r>
            <w:r w:rsidRPr="003A6C3E">
              <w:rPr>
                <w:spacing w:val="-7"/>
                <w:sz w:val="20"/>
                <w:szCs w:val="20"/>
                <w:lang w:val="fr-FR"/>
              </w:rPr>
              <w:t xml:space="preserve"> </w:t>
            </w:r>
            <w:r w:rsidRPr="003A6C3E">
              <w:rPr>
                <w:sz w:val="20"/>
                <w:szCs w:val="20"/>
                <w:lang w:val="fr-FR"/>
              </w:rPr>
              <w:t>3A1,</w:t>
            </w:r>
            <w:r w:rsidRPr="003A6C3E">
              <w:rPr>
                <w:spacing w:val="-7"/>
                <w:sz w:val="20"/>
                <w:szCs w:val="20"/>
                <w:lang w:val="fr-FR"/>
              </w:rPr>
              <w:t xml:space="preserve"> </w:t>
            </w:r>
            <w:r w:rsidRPr="003A6C3E">
              <w:rPr>
                <w:sz w:val="20"/>
                <w:szCs w:val="20"/>
                <w:lang w:val="fr-FR"/>
              </w:rPr>
              <w:t>3A2,</w:t>
            </w:r>
            <w:r w:rsidRPr="003A6C3E">
              <w:rPr>
                <w:spacing w:val="-7"/>
                <w:sz w:val="20"/>
                <w:szCs w:val="20"/>
                <w:lang w:val="fr-FR"/>
              </w:rPr>
              <w:t xml:space="preserve"> </w:t>
            </w:r>
            <w:r w:rsidRPr="003A6C3E">
              <w:rPr>
                <w:sz w:val="20"/>
                <w:szCs w:val="20"/>
                <w:lang w:val="fr-FR"/>
              </w:rPr>
              <w:t>3B1</w:t>
            </w:r>
            <w:r w:rsidRPr="003A6C3E">
              <w:rPr>
                <w:spacing w:val="-6"/>
                <w:sz w:val="20"/>
                <w:szCs w:val="20"/>
                <w:lang w:val="fr-FR"/>
              </w:rPr>
              <w:t xml:space="preserve"> </w:t>
            </w:r>
            <w:r w:rsidRPr="003A6C3E">
              <w:rPr>
                <w:sz w:val="20"/>
                <w:szCs w:val="20"/>
                <w:lang w:val="fr-FR"/>
              </w:rPr>
              <w:t>et</w:t>
            </w:r>
            <w:r w:rsidRPr="003A6C3E">
              <w:rPr>
                <w:spacing w:val="-6"/>
                <w:sz w:val="20"/>
                <w:szCs w:val="20"/>
                <w:lang w:val="fr-FR"/>
              </w:rPr>
              <w:t xml:space="preserve"> </w:t>
            </w:r>
            <w:r w:rsidRPr="003A6C3E">
              <w:rPr>
                <w:sz w:val="20"/>
                <w:szCs w:val="20"/>
                <w:lang w:val="fr-FR"/>
              </w:rPr>
              <w:t>3B2).</w:t>
            </w:r>
            <w:r w:rsidRPr="003A6C3E">
              <w:rPr>
                <w:spacing w:val="-7"/>
                <w:sz w:val="20"/>
                <w:szCs w:val="20"/>
                <w:lang w:val="fr-FR"/>
              </w:rPr>
              <w:t xml:space="preserve"> </w:t>
            </w:r>
            <w:r w:rsidR="00C665B9">
              <w:rPr>
                <w:spacing w:val="-7"/>
                <w:sz w:val="20"/>
                <w:szCs w:val="20"/>
                <w:lang w:val="fr-FR"/>
              </w:rPr>
              <w:br/>
            </w:r>
            <w:r w:rsidR="00C665B9">
              <w:rPr>
                <w:spacing w:val="-7"/>
                <w:sz w:val="20"/>
                <w:szCs w:val="20"/>
                <w:lang w:val="fr-FR"/>
              </w:rPr>
              <w:tab/>
            </w:r>
            <w:r w:rsidRPr="003A6C3E">
              <w:rPr>
                <w:sz w:val="20"/>
                <w:szCs w:val="20"/>
                <w:lang w:val="fr-FR"/>
              </w:rPr>
              <w:t>Masse</w:t>
            </w:r>
            <w:r w:rsidRPr="003A6C3E">
              <w:rPr>
                <w:spacing w:val="-7"/>
                <w:sz w:val="20"/>
                <w:szCs w:val="20"/>
                <w:lang w:val="fr-FR"/>
              </w:rPr>
              <w:t xml:space="preserve"> </w:t>
            </w:r>
            <w:r w:rsidRPr="003A6C3E">
              <w:rPr>
                <w:sz w:val="20"/>
                <w:szCs w:val="20"/>
                <w:lang w:val="fr-FR"/>
              </w:rPr>
              <w:t>brute</w:t>
            </w:r>
            <w:r w:rsidRPr="003A6C3E">
              <w:rPr>
                <w:spacing w:val="-7"/>
                <w:sz w:val="20"/>
                <w:szCs w:val="20"/>
                <w:lang w:val="fr-FR"/>
              </w:rPr>
              <w:t xml:space="preserve"> </w:t>
            </w:r>
            <w:r w:rsidRPr="003A6C3E">
              <w:rPr>
                <w:sz w:val="20"/>
                <w:szCs w:val="20"/>
                <w:lang w:val="fr-FR"/>
              </w:rPr>
              <w:t>maximale</w:t>
            </w:r>
            <w:r w:rsidR="00C665B9">
              <w:rPr>
                <w:sz w:val="20"/>
                <w:szCs w:val="20"/>
                <w:lang w:val="fr-FR"/>
              </w:rPr>
              <w:t> </w:t>
            </w:r>
            <w:r w:rsidRPr="003A6C3E">
              <w:rPr>
                <w:sz w:val="20"/>
                <w:szCs w:val="20"/>
                <w:lang w:val="fr-FR"/>
              </w:rPr>
              <w:t>:</w:t>
            </w:r>
            <w:r w:rsidR="00C665B9">
              <w:rPr>
                <w:sz w:val="20"/>
                <w:szCs w:val="20"/>
                <w:lang w:val="fr-FR"/>
              </w:rPr>
              <w:t xml:space="preserve"> </w:t>
            </w:r>
            <w:r w:rsidR="00936250">
              <w:rPr>
                <w:sz w:val="20"/>
                <w:szCs w:val="20"/>
                <w:lang w:val="fr-FR"/>
              </w:rPr>
              <w:t>150 </w:t>
            </w:r>
            <w:r w:rsidRPr="003A6C3E">
              <w:rPr>
                <w:sz w:val="20"/>
                <w:szCs w:val="20"/>
                <w:lang w:val="fr-FR"/>
              </w:rPr>
              <w:t>kg.</w:t>
            </w:r>
          </w:p>
          <w:p w:rsidR="00E865AC" w:rsidRPr="003A6C3E" w:rsidRDefault="00E865AC" w:rsidP="00A5590E">
            <w:pPr>
              <w:pStyle w:val="TableParagraph"/>
              <w:tabs>
                <w:tab w:val="left" w:pos="3411"/>
              </w:tabs>
              <w:spacing w:before="60" w:after="60" w:line="240" w:lineRule="atLeast"/>
              <w:ind w:left="1134" w:right="113" w:hanging="567"/>
              <w:rPr>
                <w:sz w:val="20"/>
                <w:szCs w:val="20"/>
                <w:lang w:val="fr-FR"/>
              </w:rPr>
            </w:pPr>
            <w:r w:rsidRPr="003A6C3E">
              <w:rPr>
                <w:w w:val="99"/>
                <w:sz w:val="20"/>
                <w:szCs w:val="20"/>
                <w:lang w:val="fr-FR"/>
              </w:rPr>
              <w:t>3)</w:t>
            </w:r>
            <w:r w:rsidRPr="003A6C3E">
              <w:rPr>
                <w:w w:val="99"/>
                <w:sz w:val="20"/>
                <w:szCs w:val="20"/>
                <w:lang w:val="fr-FR"/>
              </w:rPr>
              <w:tab/>
            </w:r>
            <w:r w:rsidRPr="003A6C3E">
              <w:rPr>
                <w:b/>
                <w:sz w:val="20"/>
                <w:szCs w:val="20"/>
                <w:lang w:val="fr-FR"/>
              </w:rPr>
              <w:t>Emballages</w:t>
            </w:r>
            <w:r w:rsidRPr="003A6C3E">
              <w:rPr>
                <w:b/>
                <w:spacing w:val="-7"/>
                <w:sz w:val="20"/>
                <w:szCs w:val="20"/>
                <w:lang w:val="fr-FR"/>
              </w:rPr>
              <w:t xml:space="preserve"> </w:t>
            </w:r>
            <w:r w:rsidR="00936250">
              <w:rPr>
                <w:b/>
                <w:sz w:val="20"/>
                <w:szCs w:val="20"/>
                <w:lang w:val="fr-FR"/>
              </w:rPr>
              <w:t>composites </w:t>
            </w:r>
            <w:r w:rsidRPr="003A6C3E">
              <w:rPr>
                <w:b/>
                <w:sz w:val="20"/>
                <w:szCs w:val="20"/>
                <w:lang w:val="fr-FR"/>
              </w:rPr>
              <w:t>:</w:t>
            </w:r>
            <w:r w:rsidR="00647DCF">
              <w:rPr>
                <w:b/>
                <w:sz w:val="20"/>
                <w:szCs w:val="20"/>
                <w:lang w:val="fr-FR"/>
              </w:rPr>
              <w:tab/>
            </w:r>
            <w:r w:rsidRPr="003A6C3E">
              <w:rPr>
                <w:sz w:val="20"/>
                <w:szCs w:val="20"/>
                <w:lang w:val="fr-FR"/>
              </w:rPr>
              <w:t>Récipient</w:t>
            </w:r>
            <w:r w:rsidRPr="003A6C3E">
              <w:rPr>
                <w:spacing w:val="-8"/>
                <w:sz w:val="20"/>
                <w:szCs w:val="20"/>
                <w:lang w:val="fr-FR"/>
              </w:rPr>
              <w:t xml:space="preserve"> </w:t>
            </w:r>
            <w:r w:rsidRPr="003A6C3E">
              <w:rPr>
                <w:sz w:val="20"/>
                <w:szCs w:val="20"/>
                <w:lang w:val="fr-FR"/>
              </w:rPr>
              <w:t>en</w:t>
            </w:r>
            <w:r w:rsidRPr="003A6C3E">
              <w:rPr>
                <w:spacing w:val="-7"/>
                <w:sz w:val="20"/>
                <w:szCs w:val="20"/>
                <w:lang w:val="fr-FR"/>
              </w:rPr>
              <w:t xml:space="preserve"> </w:t>
            </w:r>
            <w:r w:rsidRPr="003A6C3E">
              <w:rPr>
                <w:sz w:val="20"/>
                <w:szCs w:val="20"/>
                <w:lang w:val="fr-FR"/>
              </w:rPr>
              <w:t>plastique</w:t>
            </w:r>
            <w:r w:rsidRPr="003A6C3E">
              <w:rPr>
                <w:spacing w:val="-8"/>
                <w:sz w:val="20"/>
                <w:szCs w:val="20"/>
                <w:lang w:val="fr-FR"/>
              </w:rPr>
              <w:t xml:space="preserve"> </w:t>
            </w:r>
            <w:r w:rsidRPr="003A6C3E">
              <w:rPr>
                <w:sz w:val="20"/>
                <w:szCs w:val="20"/>
                <w:lang w:val="fr-FR"/>
              </w:rPr>
              <w:t>dans</w:t>
            </w:r>
            <w:r w:rsidRPr="003A6C3E">
              <w:rPr>
                <w:spacing w:val="-7"/>
                <w:sz w:val="20"/>
                <w:szCs w:val="20"/>
                <w:lang w:val="fr-FR"/>
              </w:rPr>
              <w:t xml:space="preserve"> </w:t>
            </w:r>
            <w:r w:rsidRPr="00936250">
              <w:rPr>
                <w:spacing w:val="-4"/>
                <w:sz w:val="20"/>
                <w:szCs w:val="20"/>
                <w:lang w:val="fr-FR"/>
              </w:rPr>
              <w:t>un fût en acier ou en aluminium (6HA1 ou 6HB1).</w:t>
            </w:r>
            <w:r w:rsidRPr="003A6C3E">
              <w:rPr>
                <w:sz w:val="20"/>
                <w:szCs w:val="20"/>
                <w:lang w:val="fr-FR"/>
              </w:rPr>
              <w:t xml:space="preserve"> </w:t>
            </w:r>
            <w:r w:rsidR="00936250">
              <w:rPr>
                <w:sz w:val="20"/>
                <w:szCs w:val="20"/>
                <w:lang w:val="fr-FR"/>
              </w:rPr>
              <w:tab/>
            </w:r>
            <w:r w:rsidRPr="003A6C3E">
              <w:rPr>
                <w:sz w:val="20"/>
                <w:szCs w:val="20"/>
                <w:lang w:val="fr-FR"/>
              </w:rPr>
              <w:t>Masse brute maximale</w:t>
            </w:r>
            <w:r w:rsidR="00936250">
              <w:rPr>
                <w:sz w:val="20"/>
                <w:szCs w:val="20"/>
                <w:lang w:val="fr-FR"/>
              </w:rPr>
              <w:t> :</w:t>
            </w:r>
            <w:r w:rsidRPr="003A6C3E">
              <w:rPr>
                <w:sz w:val="20"/>
                <w:szCs w:val="20"/>
                <w:lang w:val="fr-FR"/>
              </w:rPr>
              <w:t xml:space="preserve"> 150</w:t>
            </w:r>
            <w:r w:rsidR="00EC3905">
              <w:rPr>
                <w:sz w:val="20"/>
                <w:szCs w:val="20"/>
                <w:lang w:val="fr-FR"/>
              </w:rPr>
              <w:t> </w:t>
            </w:r>
            <w:r w:rsidRPr="003A6C3E">
              <w:rPr>
                <w:sz w:val="20"/>
                <w:szCs w:val="20"/>
                <w:lang w:val="fr-FR"/>
              </w:rPr>
              <w:t>kg.</w:t>
            </w:r>
          </w:p>
          <w:p w:rsidR="00E865AC" w:rsidRPr="003A6C3E" w:rsidRDefault="00E865AC" w:rsidP="003A6C3E">
            <w:pPr>
              <w:pStyle w:val="TableParagraph"/>
              <w:spacing w:before="60" w:after="60" w:line="240" w:lineRule="atLeast"/>
              <w:ind w:left="113" w:right="113"/>
              <w:rPr>
                <w:sz w:val="20"/>
                <w:szCs w:val="20"/>
                <w:lang w:val="fr-FR"/>
              </w:rPr>
            </w:pPr>
            <w:r w:rsidRPr="003A6C3E">
              <w:rPr>
                <w:b/>
                <w:sz w:val="20"/>
                <w:szCs w:val="20"/>
                <w:lang w:val="fr-FR"/>
              </w:rPr>
              <w:t xml:space="preserve">Récipients à pression, </w:t>
            </w:r>
            <w:r w:rsidRPr="003A6C3E">
              <w:rPr>
                <w:sz w:val="20"/>
                <w:szCs w:val="20"/>
                <w:lang w:val="fr-FR"/>
              </w:rPr>
              <w:t>s’il est satisfait aux dispositions générales du 4.1.3.6.</w:t>
            </w:r>
          </w:p>
        </w:tc>
      </w:tr>
      <w:tr w:rsidR="00E865AC" w:rsidRPr="003A6C3E" w:rsidTr="003A6C3E">
        <w:tc>
          <w:tcPr>
            <w:tcW w:w="9071" w:type="dxa"/>
          </w:tcPr>
          <w:p w:rsidR="00E865AC" w:rsidRPr="003A6C3E" w:rsidRDefault="00E865AC" w:rsidP="003A6C3E">
            <w:pPr>
              <w:pStyle w:val="TableParagraph"/>
              <w:spacing w:before="60" w:after="60" w:line="240" w:lineRule="atLeast"/>
              <w:ind w:left="113" w:right="113"/>
              <w:rPr>
                <w:b/>
                <w:sz w:val="20"/>
                <w:szCs w:val="20"/>
                <w:lang w:val="fr-FR"/>
              </w:rPr>
            </w:pPr>
            <w:r w:rsidRPr="003A6C3E">
              <w:rPr>
                <w:b/>
                <w:sz w:val="20"/>
                <w:szCs w:val="20"/>
                <w:lang w:val="fr-FR"/>
              </w:rPr>
              <w:t>Disposition spéciale d’</w:t>
            </w:r>
            <w:r w:rsidR="00C665B9">
              <w:rPr>
                <w:b/>
                <w:sz w:val="20"/>
                <w:szCs w:val="20"/>
                <w:lang w:val="fr-FR"/>
              </w:rPr>
              <w:t>emballage </w:t>
            </w:r>
            <w:r w:rsidRPr="003A6C3E">
              <w:rPr>
                <w:b/>
                <w:sz w:val="20"/>
                <w:szCs w:val="20"/>
                <w:lang w:val="fr-FR"/>
              </w:rPr>
              <w:t>:</w:t>
            </w:r>
          </w:p>
          <w:p w:rsidR="00E865AC" w:rsidRPr="003A6C3E" w:rsidRDefault="00E865AC" w:rsidP="00936250">
            <w:pPr>
              <w:pStyle w:val="TableParagraph"/>
              <w:spacing w:before="60" w:after="60" w:line="240" w:lineRule="atLeast"/>
              <w:ind w:left="680" w:right="113" w:hanging="567"/>
              <w:rPr>
                <w:sz w:val="20"/>
                <w:szCs w:val="20"/>
                <w:lang w:val="fr-FR"/>
              </w:rPr>
            </w:pPr>
            <w:r w:rsidRPr="003A6C3E">
              <w:rPr>
                <w:b/>
                <w:sz w:val="20"/>
                <w:szCs w:val="20"/>
                <w:lang w:val="fr-FR"/>
              </w:rPr>
              <w:t>PP86</w:t>
            </w:r>
            <w:r w:rsidR="00647DCF">
              <w:rPr>
                <w:b/>
                <w:sz w:val="20"/>
                <w:szCs w:val="20"/>
                <w:lang w:val="fr-FR"/>
              </w:rPr>
              <w:tab/>
            </w:r>
            <w:r w:rsidRPr="003A6C3E">
              <w:rPr>
                <w:sz w:val="20"/>
                <w:szCs w:val="20"/>
                <w:lang w:val="fr-FR"/>
              </w:rPr>
              <w:t xml:space="preserve">Pour les </w:t>
            </w:r>
            <w:r w:rsidR="00936250">
              <w:rPr>
                <w:sz w:val="20"/>
                <w:szCs w:val="20"/>
                <w:lang w:val="fr-FR"/>
              </w:rPr>
              <w:t>Nos </w:t>
            </w:r>
            <w:r w:rsidRPr="003A6C3E">
              <w:rPr>
                <w:sz w:val="20"/>
                <w:szCs w:val="20"/>
                <w:lang w:val="fr-FR"/>
              </w:rPr>
              <w:t>ONU 3391 et 3393, l’air doit être évacué de la phase gazeuse au moyen d’azote ou par un autre moyen.</w:t>
            </w:r>
          </w:p>
        </w:tc>
      </w:tr>
    </w:tbl>
    <w:p w:rsidR="00E865AC" w:rsidRPr="00886427" w:rsidRDefault="00886427" w:rsidP="00886427">
      <w:pPr>
        <w:pStyle w:val="SingleTxtG"/>
        <w:spacing w:before="240" w:after="0"/>
        <w:jc w:val="center"/>
        <w:rPr>
          <w:u w:val="single"/>
        </w:rPr>
      </w:pPr>
      <w:r>
        <w:rPr>
          <w:u w:val="single"/>
        </w:rPr>
        <w:tab/>
      </w:r>
      <w:r>
        <w:rPr>
          <w:u w:val="single"/>
        </w:rPr>
        <w:tab/>
      </w:r>
      <w:r>
        <w:rPr>
          <w:u w:val="single"/>
        </w:rPr>
        <w:tab/>
      </w:r>
    </w:p>
    <w:sectPr w:rsidR="00E865AC" w:rsidRPr="00886427" w:rsidSect="00E865A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CC2" w:rsidRDefault="003E0CC2" w:rsidP="00F95C08">
      <w:pPr>
        <w:spacing w:line="240" w:lineRule="auto"/>
      </w:pPr>
    </w:p>
  </w:endnote>
  <w:endnote w:type="continuationSeparator" w:id="0">
    <w:p w:rsidR="003E0CC2" w:rsidRPr="00AC3823" w:rsidRDefault="003E0CC2" w:rsidP="00AC3823">
      <w:pPr>
        <w:pStyle w:val="Footer"/>
      </w:pPr>
    </w:p>
  </w:endnote>
  <w:endnote w:type="continuationNotice" w:id="1">
    <w:p w:rsidR="003E0CC2" w:rsidRDefault="003E0C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5AC" w:rsidRPr="00E865AC" w:rsidRDefault="00E865AC" w:rsidP="00E865AC">
    <w:pPr>
      <w:pStyle w:val="Footer"/>
      <w:tabs>
        <w:tab w:val="right" w:pos="9638"/>
      </w:tabs>
    </w:pPr>
    <w:r w:rsidRPr="00E865AC">
      <w:rPr>
        <w:b/>
        <w:sz w:val="18"/>
      </w:rPr>
      <w:fldChar w:fldCharType="begin"/>
    </w:r>
    <w:r w:rsidRPr="00E865AC">
      <w:rPr>
        <w:b/>
        <w:sz w:val="18"/>
      </w:rPr>
      <w:instrText xml:space="preserve"> PAGE  \* MERGEFORMAT </w:instrText>
    </w:r>
    <w:r w:rsidRPr="00E865AC">
      <w:rPr>
        <w:b/>
        <w:sz w:val="18"/>
      </w:rPr>
      <w:fldChar w:fldCharType="separate"/>
    </w:r>
    <w:r w:rsidR="00D42D56">
      <w:rPr>
        <w:b/>
        <w:noProof/>
        <w:sz w:val="18"/>
      </w:rPr>
      <w:t>2</w:t>
    </w:r>
    <w:r w:rsidRPr="00E865AC">
      <w:rPr>
        <w:b/>
        <w:sz w:val="18"/>
      </w:rPr>
      <w:fldChar w:fldCharType="end"/>
    </w:r>
    <w:r>
      <w:rPr>
        <w:b/>
        <w:sz w:val="18"/>
      </w:rPr>
      <w:tab/>
    </w:r>
    <w:r>
      <w:t>GE.18-14866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5AC" w:rsidRPr="00E865AC" w:rsidRDefault="00E865AC" w:rsidP="00E865AC">
    <w:pPr>
      <w:pStyle w:val="Footer"/>
      <w:tabs>
        <w:tab w:val="right" w:pos="9638"/>
      </w:tabs>
      <w:rPr>
        <w:b/>
        <w:sz w:val="18"/>
      </w:rPr>
    </w:pPr>
    <w:r>
      <w:t>GE.18-14866</w:t>
    </w:r>
    <w:r>
      <w:tab/>
    </w:r>
    <w:r w:rsidRPr="00E865AC">
      <w:rPr>
        <w:b/>
        <w:sz w:val="18"/>
      </w:rPr>
      <w:fldChar w:fldCharType="begin"/>
    </w:r>
    <w:r w:rsidRPr="00E865AC">
      <w:rPr>
        <w:b/>
        <w:sz w:val="18"/>
      </w:rPr>
      <w:instrText xml:space="preserve"> PAGE  \* MERGEFORMAT </w:instrText>
    </w:r>
    <w:r w:rsidRPr="00E865AC">
      <w:rPr>
        <w:b/>
        <w:sz w:val="18"/>
      </w:rPr>
      <w:fldChar w:fldCharType="separate"/>
    </w:r>
    <w:r w:rsidR="000D10C2">
      <w:rPr>
        <w:b/>
        <w:noProof/>
        <w:sz w:val="18"/>
      </w:rPr>
      <w:t>3</w:t>
    </w:r>
    <w:r w:rsidRPr="00E865A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E865AC" w:rsidRDefault="00E865AC" w:rsidP="00E865AC">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14866  (</w:t>
    </w:r>
    <w:proofErr w:type="gramEnd"/>
    <w:r>
      <w:rPr>
        <w:sz w:val="20"/>
      </w:rPr>
      <w:t>F)    091018    101018</w:t>
    </w:r>
    <w:r>
      <w:rPr>
        <w:sz w:val="20"/>
      </w:rPr>
      <w:br/>
    </w:r>
    <w:r w:rsidRPr="00E865AC">
      <w:rPr>
        <w:rFonts w:ascii="C39T30Lfz" w:hAnsi="C39T30Lfz"/>
        <w:sz w:val="56"/>
      </w:rPr>
      <w:t></w:t>
    </w:r>
    <w:r w:rsidRPr="00E865AC">
      <w:rPr>
        <w:rFonts w:ascii="C39T30Lfz" w:hAnsi="C39T30Lfz"/>
        <w:sz w:val="56"/>
      </w:rPr>
      <w:t></w:t>
    </w:r>
    <w:r w:rsidRPr="00E865AC">
      <w:rPr>
        <w:rFonts w:ascii="C39T30Lfz" w:hAnsi="C39T30Lfz"/>
        <w:sz w:val="56"/>
      </w:rPr>
      <w:t></w:t>
    </w:r>
    <w:r w:rsidRPr="00E865AC">
      <w:rPr>
        <w:rFonts w:ascii="C39T30Lfz" w:hAnsi="C39T30Lfz"/>
        <w:sz w:val="56"/>
      </w:rPr>
      <w:t></w:t>
    </w:r>
    <w:r w:rsidRPr="00E865AC">
      <w:rPr>
        <w:rFonts w:ascii="C39T30Lfz" w:hAnsi="C39T30Lfz"/>
        <w:sz w:val="56"/>
      </w:rPr>
      <w:t></w:t>
    </w:r>
    <w:r w:rsidRPr="00E865AC">
      <w:rPr>
        <w:rFonts w:ascii="C39T30Lfz" w:hAnsi="C39T30Lfz"/>
        <w:sz w:val="56"/>
      </w:rPr>
      <w:t></w:t>
    </w:r>
    <w:r w:rsidRPr="00E865AC">
      <w:rPr>
        <w:rFonts w:ascii="C39T30Lfz" w:hAnsi="C39T30Lfz"/>
        <w:sz w:val="56"/>
      </w:rPr>
      <w:t></w:t>
    </w:r>
    <w:r w:rsidRPr="00E865AC">
      <w:rPr>
        <w:rFonts w:ascii="C39T30Lfz" w:hAnsi="C39T30Lfz"/>
        <w:sz w:val="56"/>
      </w:rPr>
      <w:t></w:t>
    </w:r>
    <w:r w:rsidRPr="00E865A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7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7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CC2" w:rsidRPr="00AC3823" w:rsidRDefault="003E0CC2" w:rsidP="00AC3823">
      <w:pPr>
        <w:pStyle w:val="Footer"/>
        <w:tabs>
          <w:tab w:val="right" w:pos="2155"/>
        </w:tabs>
        <w:spacing w:after="80" w:line="240" w:lineRule="atLeast"/>
        <w:ind w:left="680"/>
        <w:rPr>
          <w:u w:val="single"/>
        </w:rPr>
      </w:pPr>
      <w:r>
        <w:rPr>
          <w:u w:val="single"/>
        </w:rPr>
        <w:tab/>
      </w:r>
    </w:p>
  </w:footnote>
  <w:footnote w:type="continuationSeparator" w:id="0">
    <w:p w:rsidR="003E0CC2" w:rsidRPr="00AC3823" w:rsidRDefault="003E0CC2" w:rsidP="00AC3823">
      <w:pPr>
        <w:pStyle w:val="Footer"/>
        <w:tabs>
          <w:tab w:val="right" w:pos="2155"/>
        </w:tabs>
        <w:spacing w:after="80" w:line="240" w:lineRule="atLeast"/>
        <w:ind w:left="680"/>
        <w:rPr>
          <w:u w:val="single"/>
        </w:rPr>
      </w:pPr>
      <w:r>
        <w:rPr>
          <w:u w:val="single"/>
        </w:rPr>
        <w:tab/>
      </w:r>
    </w:p>
  </w:footnote>
  <w:footnote w:type="continuationNotice" w:id="1">
    <w:p w:rsidR="003E0CC2" w:rsidRPr="00AC3823" w:rsidRDefault="003E0CC2">
      <w:pPr>
        <w:spacing w:line="240" w:lineRule="auto"/>
        <w:rPr>
          <w:sz w:val="2"/>
          <w:szCs w:val="2"/>
        </w:rPr>
      </w:pPr>
    </w:p>
  </w:footnote>
  <w:footnote w:id="2">
    <w:p w:rsidR="00886427" w:rsidRPr="00886427" w:rsidRDefault="00886427" w:rsidP="00A810FB">
      <w:pPr>
        <w:pStyle w:val="FootnoteText"/>
      </w:pPr>
      <w:r>
        <w:rPr>
          <w:rStyle w:val="FootnoteReference"/>
        </w:rPr>
        <w:tab/>
      </w:r>
      <w:r w:rsidRPr="00886427">
        <w:rPr>
          <w:rStyle w:val="FootnoteReference"/>
          <w:sz w:val="20"/>
          <w:vertAlign w:val="baseline"/>
        </w:rPr>
        <w:t>*</w:t>
      </w:r>
      <w:r>
        <w:rPr>
          <w:rStyle w:val="FootnoteReference"/>
          <w:sz w:val="20"/>
          <w:vertAlign w:val="baseline"/>
        </w:rPr>
        <w:tab/>
      </w:r>
      <w:r w:rsidRPr="00A810FB">
        <w:t>Conformément</w:t>
      </w:r>
      <w:r w:rsidRPr="006E3918">
        <w:t xml:space="preserve"> au programme de travail du Sous-Comité pour la période 20</w:t>
      </w:r>
      <w:r w:rsidR="00A810FB">
        <w:t>17</w:t>
      </w:r>
      <w:r w:rsidRPr="006E3918">
        <w:t>-2018, approuvé par le Comité à sa huitième session (voir ST/SG/AC.10/C.</w:t>
      </w:r>
      <w:r w:rsidR="00A810FB">
        <w:t>3/100, par. </w:t>
      </w:r>
      <w:r w:rsidRPr="00886427">
        <w:t>98, et</w:t>
      </w:r>
      <w:r w:rsidR="00A810FB">
        <w:t xml:space="preserve"> ST/SG/AC.10/44, par. </w:t>
      </w:r>
      <w:r w:rsidRPr="006E3918">
        <w:t>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5AC" w:rsidRPr="00E865AC" w:rsidRDefault="00C17BBA">
    <w:pPr>
      <w:pStyle w:val="Header"/>
    </w:pPr>
    <w:r>
      <w:fldChar w:fldCharType="begin"/>
    </w:r>
    <w:r>
      <w:instrText xml:space="preserve"> TITLE  \* MERGEFORMAT </w:instrText>
    </w:r>
    <w:r>
      <w:fldChar w:fldCharType="separate"/>
    </w:r>
    <w:r>
      <w:t>ST/SG/AC.10/C.3/2018/76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5AC" w:rsidRPr="00E865AC" w:rsidRDefault="00C17BBA" w:rsidP="00E865AC">
    <w:pPr>
      <w:pStyle w:val="Header"/>
      <w:jc w:val="right"/>
    </w:pPr>
    <w:r>
      <w:fldChar w:fldCharType="begin"/>
    </w:r>
    <w:r>
      <w:instrText xml:space="preserve"> TITLE  \* MERGEFORMAT </w:instrText>
    </w:r>
    <w:r>
      <w:fldChar w:fldCharType="separate"/>
    </w:r>
    <w:r>
      <w:t>ST/SG/AC.10/C.3/2018/76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C2"/>
    <w:rsid w:val="00017F94"/>
    <w:rsid w:val="00023842"/>
    <w:rsid w:val="000305D3"/>
    <w:rsid w:val="000334F9"/>
    <w:rsid w:val="0007796D"/>
    <w:rsid w:val="000B7790"/>
    <w:rsid w:val="000D10C2"/>
    <w:rsid w:val="00111F2F"/>
    <w:rsid w:val="001329AC"/>
    <w:rsid w:val="00132EA9"/>
    <w:rsid w:val="0014365E"/>
    <w:rsid w:val="00176178"/>
    <w:rsid w:val="001F525A"/>
    <w:rsid w:val="00223272"/>
    <w:rsid w:val="0024779E"/>
    <w:rsid w:val="00283190"/>
    <w:rsid w:val="002832AC"/>
    <w:rsid w:val="002D7C93"/>
    <w:rsid w:val="002E1D71"/>
    <w:rsid w:val="003069BB"/>
    <w:rsid w:val="003A6C3E"/>
    <w:rsid w:val="003E0CC2"/>
    <w:rsid w:val="00441C3B"/>
    <w:rsid w:val="00446FE5"/>
    <w:rsid w:val="00452396"/>
    <w:rsid w:val="004E468C"/>
    <w:rsid w:val="005505B7"/>
    <w:rsid w:val="00573BE5"/>
    <w:rsid w:val="00584DC4"/>
    <w:rsid w:val="00586ED3"/>
    <w:rsid w:val="00596AA9"/>
    <w:rsid w:val="00647DCF"/>
    <w:rsid w:val="0068456F"/>
    <w:rsid w:val="0071601D"/>
    <w:rsid w:val="007A62E6"/>
    <w:rsid w:val="0080684C"/>
    <w:rsid w:val="00871C75"/>
    <w:rsid w:val="008776DC"/>
    <w:rsid w:val="00886427"/>
    <w:rsid w:val="008B40CD"/>
    <w:rsid w:val="009211EA"/>
    <w:rsid w:val="00936250"/>
    <w:rsid w:val="0095153E"/>
    <w:rsid w:val="009705C8"/>
    <w:rsid w:val="009C1CF4"/>
    <w:rsid w:val="00A201E4"/>
    <w:rsid w:val="00A30353"/>
    <w:rsid w:val="00A5590E"/>
    <w:rsid w:val="00A810FB"/>
    <w:rsid w:val="00AC3823"/>
    <w:rsid w:val="00AE323C"/>
    <w:rsid w:val="00B00181"/>
    <w:rsid w:val="00B00B0D"/>
    <w:rsid w:val="00B765F7"/>
    <w:rsid w:val="00BA0CA9"/>
    <w:rsid w:val="00C02897"/>
    <w:rsid w:val="00C17BBA"/>
    <w:rsid w:val="00C50EE5"/>
    <w:rsid w:val="00C665B9"/>
    <w:rsid w:val="00D3439C"/>
    <w:rsid w:val="00D42D56"/>
    <w:rsid w:val="00D46D58"/>
    <w:rsid w:val="00DB1831"/>
    <w:rsid w:val="00DD3BFD"/>
    <w:rsid w:val="00DF2B07"/>
    <w:rsid w:val="00DF6678"/>
    <w:rsid w:val="00E7384B"/>
    <w:rsid w:val="00E865AC"/>
    <w:rsid w:val="00EC3905"/>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9423AC9-F177-4D14-928E-2237D2C9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rsid w:val="00E865AC"/>
    <w:rPr>
      <w:rFonts w:ascii="Times New Roman" w:eastAsiaTheme="minorHAnsi" w:hAnsi="Times New Roman" w:cs="Times New Roman"/>
      <w:sz w:val="20"/>
      <w:szCs w:val="20"/>
      <w:lang w:eastAsia="en-US"/>
    </w:rPr>
  </w:style>
  <w:style w:type="paragraph" w:customStyle="1" w:styleId="TableParagraph">
    <w:name w:val="Table Paragraph"/>
    <w:basedOn w:val="Normal"/>
    <w:uiPriority w:val="1"/>
    <w:qFormat/>
    <w:rsid w:val="00E865AC"/>
    <w:pPr>
      <w:widowControl w:val="0"/>
      <w:suppressAutoHyphens w:val="0"/>
      <w:kinsoku/>
      <w:overflowPunct/>
      <w:adjustRightInd/>
      <w:snapToGrid/>
      <w:spacing w:line="240" w:lineRule="auto"/>
    </w:pPr>
    <w:rPr>
      <w:rFonts w:eastAsia="Times New Roman"/>
      <w:sz w:val="22"/>
      <w:szCs w:val="22"/>
      <w:lang w:val="en-US"/>
    </w:rPr>
  </w:style>
  <w:style w:type="paragraph" w:customStyle="1" w:styleId="Default">
    <w:name w:val="Default"/>
    <w:rsid w:val="00DF2B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7347</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ST/SG/AC.10/C.3/2018/76</vt:lpstr>
      <vt:lpstr>ST/SG/AC.10/C.3/2018/76</vt:lpstr>
    </vt:vector>
  </TitlesOfParts>
  <Company>DCM</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ST/SG/AC.10/C.3/2018/76</dc:title>
  <dc:subject/>
  <dc:creator>Sandrine CLERE</dc:creator>
  <cp:keywords/>
  <cp:lastModifiedBy>Laurence Berthet</cp:lastModifiedBy>
  <cp:revision>3</cp:revision>
  <cp:lastPrinted>2018-10-10T14:37:00Z</cp:lastPrinted>
  <dcterms:created xsi:type="dcterms:W3CDTF">2018-10-10T14:37:00Z</dcterms:created>
  <dcterms:modified xsi:type="dcterms:W3CDTF">2018-10-10T14:37:00Z</dcterms:modified>
</cp:coreProperties>
</file>