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3F6DCA" w:rsidTr="00F01738">
        <w:trPr>
          <w:trHeight w:hRule="exact" w:val="851"/>
        </w:trPr>
        <w:tc>
          <w:tcPr>
            <w:tcW w:w="1276" w:type="dxa"/>
            <w:tcBorders>
              <w:bottom w:val="single" w:sz="4" w:space="0" w:color="auto"/>
            </w:tcBorders>
          </w:tcPr>
          <w:p w:rsidR="00132EA9" w:rsidRPr="00DB58B5" w:rsidRDefault="00132EA9" w:rsidP="0010182F">
            <w:bookmarkStart w:id="0" w:name="_GoBack"/>
            <w:bookmarkEnd w:id="0"/>
          </w:p>
        </w:tc>
        <w:tc>
          <w:tcPr>
            <w:tcW w:w="2268" w:type="dxa"/>
            <w:tcBorders>
              <w:bottom w:val="single" w:sz="4" w:space="0" w:color="auto"/>
            </w:tcBorders>
            <w:vAlign w:val="bottom"/>
          </w:tcPr>
          <w:p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10182F" w:rsidRPr="0010182F" w:rsidRDefault="0010182F" w:rsidP="0010182F">
            <w:pPr>
              <w:jc w:val="right"/>
              <w:rPr>
                <w:lang w:val="en-US"/>
              </w:rPr>
            </w:pPr>
            <w:r w:rsidRPr="0010182F">
              <w:rPr>
                <w:sz w:val="40"/>
                <w:lang w:val="en-US"/>
              </w:rPr>
              <w:t>ST</w:t>
            </w:r>
            <w:r w:rsidRPr="0010182F">
              <w:rPr>
                <w:lang w:val="en-US"/>
              </w:rPr>
              <w:t>/SG/AC.10/C.3/2018/67−</w:t>
            </w:r>
            <w:r w:rsidRPr="0010182F">
              <w:rPr>
                <w:sz w:val="40"/>
                <w:lang w:val="en-US"/>
              </w:rPr>
              <w:t>ST</w:t>
            </w:r>
            <w:r w:rsidRPr="0010182F">
              <w:rPr>
                <w:lang w:val="en-US"/>
              </w:rPr>
              <w:t>/SG/AC.10/C.4/2018/17</w:t>
            </w:r>
          </w:p>
        </w:tc>
      </w:tr>
      <w:tr w:rsidR="00132EA9" w:rsidRPr="00DB58B5" w:rsidTr="00F01738">
        <w:trPr>
          <w:trHeight w:hRule="exact" w:val="2835"/>
        </w:trPr>
        <w:tc>
          <w:tcPr>
            <w:tcW w:w="1276" w:type="dxa"/>
            <w:tcBorders>
              <w:top w:val="single" w:sz="4" w:space="0" w:color="auto"/>
              <w:bottom w:val="single" w:sz="12" w:space="0" w:color="auto"/>
            </w:tcBorders>
          </w:tcPr>
          <w:p w:rsidR="00132EA9" w:rsidRPr="00DB58B5" w:rsidRDefault="00132EA9" w:rsidP="00F01738">
            <w:pPr>
              <w:spacing w:before="120"/>
              <w:jc w:val="center"/>
            </w:pPr>
            <w:r>
              <w:rPr>
                <w:noProof/>
                <w:lang w:eastAsia="fr-CH"/>
              </w:rPr>
              <w:drawing>
                <wp:inline distT="0" distB="0" distL="0" distR="0" wp14:anchorId="185DA4CF" wp14:editId="5B88504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rsidR="00132EA9" w:rsidRDefault="0010182F" w:rsidP="00F01738">
            <w:pPr>
              <w:spacing w:before="240"/>
            </w:pPr>
            <w:proofErr w:type="spellStart"/>
            <w:r>
              <w:t>Distr</w:t>
            </w:r>
            <w:proofErr w:type="spellEnd"/>
            <w:r>
              <w:t xml:space="preserve">. </w:t>
            </w:r>
            <w:proofErr w:type="gramStart"/>
            <w:r>
              <w:t>générale</w:t>
            </w:r>
            <w:proofErr w:type="gramEnd"/>
          </w:p>
          <w:p w:rsidR="0010182F" w:rsidRDefault="0010182F" w:rsidP="0010182F">
            <w:pPr>
              <w:spacing w:line="240" w:lineRule="exact"/>
            </w:pPr>
            <w:r>
              <w:t>13 septembre 2018</w:t>
            </w:r>
          </w:p>
          <w:p w:rsidR="0010182F" w:rsidRDefault="0010182F" w:rsidP="0010182F">
            <w:pPr>
              <w:spacing w:line="240" w:lineRule="exact"/>
            </w:pPr>
            <w:r>
              <w:t>Français</w:t>
            </w:r>
          </w:p>
          <w:p w:rsidR="0010182F" w:rsidRPr="00DB58B5" w:rsidRDefault="0010182F" w:rsidP="0010182F">
            <w:pPr>
              <w:spacing w:line="240" w:lineRule="exact"/>
            </w:pPr>
            <w:r>
              <w:t>Original : anglais</w:t>
            </w:r>
          </w:p>
        </w:tc>
      </w:tr>
    </w:tbl>
    <w:p w:rsidR="0010182F" w:rsidRPr="00CA0680" w:rsidRDefault="0010182F" w:rsidP="000305D3">
      <w:pPr>
        <w:spacing w:before="120"/>
        <w:rPr>
          <w:b/>
          <w:sz w:val="24"/>
          <w:szCs w:val="24"/>
        </w:rPr>
      </w:pPr>
      <w:r w:rsidRPr="00CA0680">
        <w:rPr>
          <w:b/>
          <w:sz w:val="24"/>
          <w:szCs w:val="24"/>
        </w:rPr>
        <w:t>Comité d’experts du transport</w:t>
      </w:r>
      <w:r>
        <w:rPr>
          <w:b/>
          <w:sz w:val="24"/>
          <w:szCs w:val="24"/>
        </w:rPr>
        <w:t xml:space="preserve"> </w:t>
      </w:r>
      <w:r w:rsidRPr="00CA0680">
        <w:rPr>
          <w:b/>
          <w:sz w:val="24"/>
          <w:szCs w:val="24"/>
        </w:rPr>
        <w:t>des marchandises</w:t>
      </w:r>
      <w:r>
        <w:rPr>
          <w:b/>
          <w:sz w:val="24"/>
          <w:szCs w:val="24"/>
        </w:rPr>
        <w:t xml:space="preserve"> </w:t>
      </w:r>
      <w:r w:rsidRPr="00CA0680">
        <w:rPr>
          <w:b/>
          <w:sz w:val="24"/>
          <w:szCs w:val="24"/>
        </w:rPr>
        <w:t>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d’étiquetage</w:t>
      </w:r>
      <w:r>
        <w:rPr>
          <w:b/>
          <w:sz w:val="24"/>
          <w:szCs w:val="24"/>
        </w:rPr>
        <w:t xml:space="preserve"> </w:t>
      </w:r>
      <w:r w:rsidRPr="00CA0680">
        <w:rPr>
          <w:b/>
          <w:sz w:val="24"/>
          <w:szCs w:val="24"/>
        </w:rPr>
        <w:t>des produits chimiques</w:t>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820"/>
        <w:gridCol w:w="4820"/>
      </w:tblGrid>
      <w:tr w:rsidR="0010182F" w:rsidTr="009C3129">
        <w:tc>
          <w:tcPr>
            <w:tcW w:w="4820" w:type="dxa"/>
          </w:tcPr>
          <w:p w:rsidR="0010182F" w:rsidRDefault="0010182F" w:rsidP="009C3129">
            <w:pPr>
              <w:spacing w:before="120"/>
              <w:rPr>
                <w:b/>
              </w:rPr>
            </w:pPr>
            <w:r w:rsidRPr="00CA0680">
              <w:rPr>
                <w:b/>
              </w:rPr>
              <w:t>Sous</w:t>
            </w:r>
            <w:r>
              <w:rPr>
                <w:b/>
              </w:rPr>
              <w:t>-</w:t>
            </w:r>
            <w:r w:rsidRPr="00CA0680">
              <w:rPr>
                <w:b/>
              </w:rPr>
              <w:t>Comité d’experts du transport</w:t>
            </w:r>
            <w:r>
              <w:rPr>
                <w:b/>
              </w:rPr>
              <w:br/>
            </w:r>
            <w:r w:rsidRPr="00CA0680">
              <w:rPr>
                <w:b/>
              </w:rPr>
              <w:t>des marchandises dangereuses</w:t>
            </w:r>
          </w:p>
        </w:tc>
        <w:tc>
          <w:tcPr>
            <w:tcW w:w="4820" w:type="dxa"/>
          </w:tcPr>
          <w:p w:rsidR="0010182F" w:rsidRDefault="0010182F" w:rsidP="009C3129">
            <w:pPr>
              <w:spacing w:before="120"/>
              <w:rPr>
                <w:b/>
              </w:rPr>
            </w:pPr>
            <w:r>
              <w:rPr>
                <w:b/>
              </w:rPr>
              <w:t>Sous-Comité d’experts du Système général harmonisé de classification et d’étiquetage des produits chimiques</w:t>
            </w:r>
          </w:p>
        </w:tc>
      </w:tr>
      <w:tr w:rsidR="0010182F" w:rsidTr="009C3129">
        <w:tc>
          <w:tcPr>
            <w:tcW w:w="4820" w:type="dxa"/>
          </w:tcPr>
          <w:p w:rsidR="0010182F" w:rsidRPr="00CA0680" w:rsidRDefault="0010182F" w:rsidP="009C3129">
            <w:pPr>
              <w:spacing w:before="120"/>
              <w:rPr>
                <w:b/>
              </w:rPr>
            </w:pPr>
            <w:r>
              <w:rPr>
                <w:b/>
              </w:rPr>
              <w:t xml:space="preserve">Cinquante-quatrième </w:t>
            </w:r>
            <w:r w:rsidRPr="00CA0680">
              <w:rPr>
                <w:b/>
              </w:rPr>
              <w:t>session</w:t>
            </w:r>
          </w:p>
        </w:tc>
        <w:tc>
          <w:tcPr>
            <w:tcW w:w="4820" w:type="dxa"/>
          </w:tcPr>
          <w:p w:rsidR="0010182F" w:rsidRDefault="00667911" w:rsidP="00667911">
            <w:pPr>
              <w:spacing w:before="120"/>
              <w:rPr>
                <w:b/>
              </w:rPr>
            </w:pPr>
            <w:r>
              <w:rPr>
                <w:b/>
              </w:rPr>
              <w:t xml:space="preserve">Trente-sixième </w:t>
            </w:r>
            <w:r w:rsidR="0010182F">
              <w:rPr>
                <w:b/>
              </w:rPr>
              <w:t>session</w:t>
            </w:r>
          </w:p>
        </w:tc>
      </w:tr>
      <w:tr w:rsidR="0010182F" w:rsidTr="009C3129">
        <w:tc>
          <w:tcPr>
            <w:tcW w:w="4820" w:type="dxa"/>
          </w:tcPr>
          <w:p w:rsidR="0010182F" w:rsidRDefault="0010182F" w:rsidP="009C3129">
            <w:r>
              <w:t xml:space="preserve">Genève, </w:t>
            </w:r>
            <w:r w:rsidR="00667911">
              <w:t>26 novembre-4 décembre 2018</w:t>
            </w:r>
          </w:p>
          <w:p w:rsidR="0010182F" w:rsidRDefault="0010182F" w:rsidP="009C3129">
            <w:r>
              <w:t xml:space="preserve">Point </w:t>
            </w:r>
            <w:r w:rsidR="00667911">
              <w:t>2 b)</w:t>
            </w:r>
            <w:r>
              <w:t xml:space="preserve"> de l’ordre du jour provisoire</w:t>
            </w:r>
          </w:p>
          <w:p w:rsidR="0010182F" w:rsidRPr="003B79D9" w:rsidRDefault="00667911" w:rsidP="003F6DCA">
            <w:pPr>
              <w:rPr>
                <w:b/>
              </w:rPr>
            </w:pPr>
            <w:r w:rsidRPr="00374635">
              <w:rPr>
                <w:b/>
                <w:bCs/>
                <w:lang w:val="fr-FR"/>
              </w:rPr>
              <w:t xml:space="preserve">Recommandations du Sous-Comité formulées </w:t>
            </w:r>
            <w:r w:rsidR="00FA57A7">
              <w:rPr>
                <w:b/>
                <w:bCs/>
                <w:lang w:val="fr-FR"/>
              </w:rPr>
              <w:br/>
            </w:r>
            <w:r w:rsidRPr="00374635">
              <w:rPr>
                <w:b/>
                <w:bCs/>
                <w:lang w:val="fr-FR"/>
              </w:rPr>
              <w:t>à ses cinquante et unième, cinquante</w:t>
            </w:r>
            <w:r w:rsidR="003F6DCA">
              <w:rPr>
                <w:b/>
                <w:bCs/>
                <w:lang w:val="fr-FR"/>
              </w:rPr>
              <w:t>-</w:t>
            </w:r>
            <w:r w:rsidRPr="00374635">
              <w:rPr>
                <w:b/>
                <w:bCs/>
                <w:lang w:val="fr-FR"/>
              </w:rPr>
              <w:t>deuxième et cinquante</w:t>
            </w:r>
            <w:r w:rsidR="003F6DCA">
              <w:rPr>
                <w:b/>
                <w:bCs/>
                <w:lang w:val="fr-FR"/>
              </w:rPr>
              <w:t>-</w:t>
            </w:r>
            <w:r w:rsidRPr="00374635">
              <w:rPr>
                <w:b/>
                <w:bCs/>
                <w:lang w:val="fr-FR"/>
              </w:rPr>
              <w:t>troisième sessions et questions en suspens :</w:t>
            </w:r>
            <w:r w:rsidRPr="00374635">
              <w:rPr>
                <w:lang w:val="fr-FR"/>
              </w:rPr>
              <w:t xml:space="preserve"> </w:t>
            </w:r>
            <w:r w:rsidRPr="00374635">
              <w:rPr>
                <w:b/>
                <w:lang w:val="fr-FR"/>
              </w:rPr>
              <w:t>Explosifs et questions connexes</w:t>
            </w:r>
          </w:p>
        </w:tc>
        <w:tc>
          <w:tcPr>
            <w:tcW w:w="4820" w:type="dxa"/>
          </w:tcPr>
          <w:p w:rsidR="0010182F" w:rsidRDefault="00667911" w:rsidP="009C3129">
            <w:r>
              <w:t>Genève, 5-7 décembre 2018</w:t>
            </w:r>
          </w:p>
          <w:p w:rsidR="0010182F" w:rsidRDefault="0010182F" w:rsidP="009C3129">
            <w:r>
              <w:t xml:space="preserve">Point </w:t>
            </w:r>
            <w:r w:rsidR="00667911">
              <w:t>3 a)</w:t>
            </w:r>
            <w:r>
              <w:t xml:space="preserve"> de l’ordre du jour provisoire</w:t>
            </w:r>
          </w:p>
          <w:p w:rsidR="0010182F" w:rsidRPr="003B79D9" w:rsidRDefault="00667911" w:rsidP="009C3129">
            <w:pPr>
              <w:rPr>
                <w:b/>
              </w:rPr>
            </w:pPr>
            <w:r w:rsidRPr="00374635">
              <w:rPr>
                <w:b/>
                <w:bCs/>
                <w:lang w:val="fr-FR"/>
              </w:rPr>
              <w:t>Critères de classification et communication des dangers y relatifs : Travaux du Sous-Comité d</w:t>
            </w:r>
            <w:r>
              <w:rPr>
                <w:b/>
                <w:bCs/>
                <w:lang w:val="fr-FR"/>
              </w:rPr>
              <w:t>’</w:t>
            </w:r>
            <w:r w:rsidRPr="00374635">
              <w:rPr>
                <w:b/>
                <w:bCs/>
                <w:lang w:val="fr-FR"/>
              </w:rPr>
              <w:t xml:space="preserve">experts </w:t>
            </w:r>
            <w:r w:rsidR="00FA57A7">
              <w:rPr>
                <w:b/>
                <w:bCs/>
                <w:lang w:val="fr-FR"/>
              </w:rPr>
              <w:br/>
            </w:r>
            <w:r w:rsidRPr="00374635">
              <w:rPr>
                <w:b/>
                <w:bCs/>
                <w:lang w:val="fr-FR"/>
              </w:rPr>
              <w:t xml:space="preserve">du transport des marchandises dangereuses (TMD) </w:t>
            </w:r>
            <w:r w:rsidR="00FA57A7">
              <w:rPr>
                <w:b/>
                <w:bCs/>
                <w:lang w:val="fr-FR"/>
              </w:rPr>
              <w:br/>
            </w:r>
            <w:r w:rsidRPr="00374635">
              <w:rPr>
                <w:b/>
                <w:bCs/>
                <w:lang w:val="fr-FR"/>
              </w:rPr>
              <w:t>sur des questions intéressant le Sous-Comité SGH</w:t>
            </w:r>
          </w:p>
        </w:tc>
      </w:tr>
    </w:tbl>
    <w:p w:rsidR="00FA57A7" w:rsidRPr="00374635" w:rsidRDefault="00FA57A7" w:rsidP="00FA57A7">
      <w:pPr>
        <w:pStyle w:val="HChG"/>
        <w:rPr>
          <w:rFonts w:eastAsia="Times New Roman"/>
          <w:lang w:val="fr-FR"/>
        </w:rPr>
      </w:pPr>
      <w:r w:rsidRPr="00374635">
        <w:rPr>
          <w:lang w:val="fr-FR"/>
        </w:rPr>
        <w:tab/>
      </w:r>
      <w:r w:rsidRPr="00374635">
        <w:rPr>
          <w:lang w:val="fr-FR"/>
        </w:rPr>
        <w:tab/>
        <w:t>Recommandations concernant les épreuves de la série 8</w:t>
      </w:r>
    </w:p>
    <w:p w:rsidR="00FA57A7" w:rsidRPr="00374635" w:rsidRDefault="00FA57A7" w:rsidP="00FA57A7">
      <w:pPr>
        <w:pStyle w:val="H1G"/>
        <w:rPr>
          <w:lang w:val="fr-FR"/>
        </w:rPr>
      </w:pPr>
      <w:r w:rsidRPr="00374635">
        <w:rPr>
          <w:lang w:val="fr-FR"/>
        </w:rPr>
        <w:tab/>
      </w:r>
      <w:r w:rsidRPr="00374635">
        <w:rPr>
          <w:lang w:val="fr-FR"/>
        </w:rPr>
        <w:tab/>
        <w:t>Communication de l</w:t>
      </w:r>
      <w:r>
        <w:rPr>
          <w:lang w:val="fr-FR"/>
        </w:rPr>
        <w:t>’</w:t>
      </w:r>
      <w:r w:rsidRPr="00374635">
        <w:rPr>
          <w:lang w:val="fr-FR"/>
        </w:rPr>
        <w:t>expert du Canada et de l</w:t>
      </w:r>
      <w:r>
        <w:rPr>
          <w:lang w:val="fr-FR"/>
        </w:rPr>
        <w:t>’</w:t>
      </w:r>
      <w:r w:rsidRPr="00374635">
        <w:rPr>
          <w:lang w:val="fr-FR"/>
        </w:rPr>
        <w:t xml:space="preserve">Institute of </w:t>
      </w:r>
      <w:proofErr w:type="spellStart"/>
      <w:r w:rsidRPr="00374635">
        <w:rPr>
          <w:lang w:val="fr-FR"/>
        </w:rPr>
        <w:t>Makers</w:t>
      </w:r>
      <w:proofErr w:type="spellEnd"/>
      <w:r w:rsidRPr="00374635">
        <w:rPr>
          <w:lang w:val="fr-FR"/>
        </w:rPr>
        <w:t xml:space="preserve"> </w:t>
      </w:r>
      <w:r w:rsidR="00B20A67">
        <w:rPr>
          <w:lang w:val="fr-FR"/>
        </w:rPr>
        <w:br/>
      </w:r>
      <w:r w:rsidRPr="00374635">
        <w:rPr>
          <w:lang w:val="fr-FR"/>
        </w:rPr>
        <w:t>of Explosives (IME)</w:t>
      </w:r>
      <w:r w:rsidRPr="004C0D27">
        <w:rPr>
          <w:b w:val="0"/>
          <w:sz w:val="20"/>
          <w:lang w:val="fr-FR"/>
        </w:rPr>
        <w:footnoteReference w:customMarkFollows="1" w:id="2"/>
        <w:t>*</w:t>
      </w:r>
    </w:p>
    <w:p w:rsidR="00FA57A7" w:rsidRPr="00374635" w:rsidRDefault="00FA57A7" w:rsidP="00B20A67">
      <w:pPr>
        <w:pStyle w:val="HChG"/>
        <w:rPr>
          <w:lang w:val="fr-FR"/>
        </w:rPr>
      </w:pPr>
      <w:r w:rsidRPr="00374635">
        <w:rPr>
          <w:lang w:val="fr-FR"/>
        </w:rPr>
        <w:tab/>
      </w:r>
      <w:r w:rsidRPr="00374635">
        <w:rPr>
          <w:lang w:val="fr-FR"/>
        </w:rPr>
        <w:tab/>
        <w:t>Introduction</w:t>
      </w:r>
    </w:p>
    <w:p w:rsidR="00FA57A7" w:rsidRPr="00374635" w:rsidRDefault="00FA57A7" w:rsidP="00B20A67">
      <w:pPr>
        <w:pStyle w:val="SingleTxtG"/>
        <w:rPr>
          <w:lang w:val="fr-FR"/>
        </w:rPr>
      </w:pPr>
      <w:r w:rsidRPr="00374635">
        <w:rPr>
          <w:lang w:val="fr-FR"/>
        </w:rPr>
        <w:t>1.</w:t>
      </w:r>
      <w:r w:rsidRPr="00374635">
        <w:rPr>
          <w:lang w:val="fr-FR"/>
        </w:rPr>
        <w:tab/>
        <w:t>Comme indiqué dans la section « Généralités » ci-dessous, le Groupe de travail des explosifs du Sous-Comité d</w:t>
      </w:r>
      <w:r>
        <w:rPr>
          <w:lang w:val="fr-FR"/>
        </w:rPr>
        <w:t>’</w:t>
      </w:r>
      <w:r w:rsidRPr="00374635">
        <w:rPr>
          <w:lang w:val="fr-FR"/>
        </w:rPr>
        <w:t>experts du transport des marchandises dangereuses est parvenu à la conclusion que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(épreuve 8 c)) était inadaptée pour l</w:t>
      </w:r>
      <w:r>
        <w:rPr>
          <w:lang w:val="fr-FR"/>
        </w:rPr>
        <w:t>’</w:t>
      </w:r>
      <w:r w:rsidRPr="00374635">
        <w:rPr>
          <w:lang w:val="fr-FR"/>
        </w:rPr>
        <w:t>évaluation de certaines émulsions susceptibles d</w:t>
      </w:r>
      <w:r>
        <w:rPr>
          <w:lang w:val="fr-FR"/>
        </w:rPr>
        <w:t>’</w:t>
      </w:r>
      <w:r w:rsidRPr="00374635">
        <w:rPr>
          <w:lang w:val="fr-FR"/>
        </w:rPr>
        <w:t xml:space="preserve">être affectées au </w:t>
      </w:r>
      <w:r w:rsidR="00C56957">
        <w:rPr>
          <w:lang w:val="fr-FR"/>
        </w:rPr>
        <w:t>No</w:t>
      </w:r>
      <w:r w:rsidRPr="00374635">
        <w:rPr>
          <w:lang w:val="fr-FR"/>
        </w:rPr>
        <w:t> ONU 3375, Division 5.1, NITRATE D</w:t>
      </w:r>
      <w:r>
        <w:rPr>
          <w:lang w:val="fr-FR"/>
        </w:rPr>
        <w:t>’</w:t>
      </w:r>
      <w:r w:rsidRPr="00374635">
        <w:rPr>
          <w:lang w:val="fr-FR"/>
        </w:rPr>
        <w:t>AMMONIUM EN ÉMULSION, SUSPENSION ou GEL, servant à la fabrication d</w:t>
      </w:r>
      <w:r>
        <w:rPr>
          <w:lang w:val="fr-FR"/>
        </w:rPr>
        <w:t>’</w:t>
      </w:r>
      <w:r w:rsidRPr="00374635">
        <w:rPr>
          <w:lang w:val="fr-FR"/>
        </w:rPr>
        <w:t>explosifs de mine (ENA). Cette question a été débattue dans le cadre du groupe de travail des explosifs à partir de la quarante-septième session et une solution possible a été identifiée, à savoir l</w:t>
      </w:r>
      <w:r>
        <w:rPr>
          <w:lang w:val="fr-FR"/>
        </w:rPr>
        <w:t>’</w:t>
      </w:r>
      <w:r w:rsidRPr="00374635">
        <w:rPr>
          <w:lang w:val="fr-FR"/>
        </w:rPr>
        <w:t>épreuve de pression minimale de combustion. Néanmoins, à la dernière session, malgré l</w:t>
      </w:r>
      <w:r>
        <w:rPr>
          <w:lang w:val="fr-FR"/>
        </w:rPr>
        <w:t>’</w:t>
      </w:r>
      <w:r w:rsidRPr="00374635">
        <w:rPr>
          <w:lang w:val="fr-FR"/>
        </w:rPr>
        <w:t>appui général manifesté concernant cette épreuve, le Groupe de travail des explosifs est arrivé à la conclusion qu</w:t>
      </w:r>
      <w:r>
        <w:rPr>
          <w:lang w:val="fr-FR"/>
        </w:rPr>
        <w:t>’</w:t>
      </w:r>
      <w:r w:rsidRPr="00374635">
        <w:rPr>
          <w:lang w:val="fr-FR"/>
        </w:rPr>
        <w:t>un consensus était peu probable et il a suggéré que l</w:t>
      </w:r>
      <w:r>
        <w:rPr>
          <w:lang w:val="fr-FR"/>
        </w:rPr>
        <w:t>’</w:t>
      </w:r>
      <w:r w:rsidRPr="00A8363F">
        <w:rPr>
          <w:lang w:val="fr-FR"/>
        </w:rPr>
        <w:t xml:space="preserve">Institute of </w:t>
      </w:r>
      <w:proofErr w:type="spellStart"/>
      <w:r w:rsidRPr="00A8363F">
        <w:rPr>
          <w:lang w:val="fr-FR"/>
        </w:rPr>
        <w:t>Makers</w:t>
      </w:r>
      <w:proofErr w:type="spellEnd"/>
      <w:r w:rsidRPr="00A8363F">
        <w:rPr>
          <w:lang w:val="fr-FR"/>
        </w:rPr>
        <w:t xml:space="preserve"> of Explosives (</w:t>
      </w:r>
      <w:r w:rsidRPr="00374635">
        <w:rPr>
          <w:lang w:val="fr-FR"/>
        </w:rPr>
        <w:t xml:space="preserve">IME) établisse une proposition officielle en vue de la </w:t>
      </w:r>
      <w:r w:rsidRPr="00A8363F">
        <w:rPr>
          <w:lang w:val="fr-FR"/>
        </w:rPr>
        <w:t>cinquante</w:t>
      </w:r>
      <w:r w:rsidRPr="00374635">
        <w:rPr>
          <w:lang w:val="fr-FR"/>
        </w:rPr>
        <w:t>-quatrième session pour que cette question soit mise aux voix</w:t>
      </w:r>
      <w:r w:rsidRPr="00A8363F">
        <w:rPr>
          <w:rStyle w:val="FootnoteReference"/>
        </w:rPr>
        <w:footnoteReference w:id="3"/>
      </w:r>
      <w:r w:rsidRPr="00374635">
        <w:rPr>
          <w:lang w:val="fr-FR"/>
        </w:rPr>
        <w:t>. Le Canada, en tant que créateur initial et utilisateur de l</w:t>
      </w:r>
      <w:r>
        <w:rPr>
          <w:lang w:val="fr-FR"/>
        </w:rPr>
        <w:t>’</w:t>
      </w:r>
      <w:r w:rsidRPr="00374635">
        <w:rPr>
          <w:lang w:val="fr-FR"/>
        </w:rPr>
        <w:t>épreuve aux fins de la classification des matières susceptibles d</w:t>
      </w:r>
      <w:r>
        <w:rPr>
          <w:lang w:val="fr-FR"/>
        </w:rPr>
        <w:t>’</w:t>
      </w:r>
      <w:r w:rsidRPr="00374635">
        <w:rPr>
          <w:lang w:val="fr-FR"/>
        </w:rPr>
        <w:t>être classées dans la catégorie des ENA, s</w:t>
      </w:r>
      <w:r>
        <w:rPr>
          <w:lang w:val="fr-FR"/>
        </w:rPr>
        <w:t>’</w:t>
      </w:r>
      <w:r w:rsidRPr="00374635">
        <w:rPr>
          <w:lang w:val="fr-FR"/>
        </w:rPr>
        <w:t>est porté volontaire pour seconder l</w:t>
      </w:r>
      <w:r>
        <w:rPr>
          <w:lang w:val="fr-FR"/>
        </w:rPr>
        <w:t>’</w:t>
      </w:r>
      <w:r w:rsidRPr="00374635">
        <w:rPr>
          <w:lang w:val="fr-FR"/>
        </w:rPr>
        <w:t>IME dans l</w:t>
      </w:r>
      <w:r>
        <w:rPr>
          <w:lang w:val="fr-FR"/>
        </w:rPr>
        <w:t>’</w:t>
      </w:r>
      <w:r w:rsidRPr="00374635">
        <w:rPr>
          <w:lang w:val="fr-FR"/>
        </w:rPr>
        <w:t>élaboration de la proposition officielle et la mise au point de la procédure d</w:t>
      </w:r>
      <w:r>
        <w:rPr>
          <w:lang w:val="fr-FR"/>
        </w:rPr>
        <w:t>’</w:t>
      </w:r>
      <w:r w:rsidRPr="00374635">
        <w:rPr>
          <w:lang w:val="fr-FR"/>
        </w:rPr>
        <w:t>épreuve.</w:t>
      </w:r>
    </w:p>
    <w:p w:rsidR="00FA57A7" w:rsidRPr="00374635" w:rsidRDefault="00FA57A7" w:rsidP="001E55F3">
      <w:pPr>
        <w:pStyle w:val="HChG"/>
        <w:rPr>
          <w:lang w:val="fr-FR"/>
        </w:rPr>
      </w:pPr>
      <w:r w:rsidRPr="00374635">
        <w:rPr>
          <w:lang w:val="fr-FR"/>
        </w:rPr>
        <w:lastRenderedPageBreak/>
        <w:tab/>
      </w:r>
      <w:r w:rsidRPr="00374635">
        <w:rPr>
          <w:lang w:val="fr-FR"/>
        </w:rPr>
        <w:tab/>
        <w:t>Généralités</w:t>
      </w:r>
    </w:p>
    <w:p w:rsidR="00FA57A7" w:rsidRPr="00374635" w:rsidRDefault="00FA57A7" w:rsidP="001E55F3">
      <w:pPr>
        <w:pStyle w:val="SingleTxtG"/>
        <w:rPr>
          <w:lang w:val="fr-FR"/>
        </w:rPr>
      </w:pPr>
      <w:r w:rsidRPr="00374635">
        <w:rPr>
          <w:lang w:val="fr-FR"/>
        </w:rPr>
        <w:t>2.</w:t>
      </w:r>
      <w:r w:rsidRPr="00374635">
        <w:rPr>
          <w:lang w:val="fr-FR"/>
        </w:rPr>
        <w:tab/>
        <w:t>L</w:t>
      </w:r>
      <w:r>
        <w:rPr>
          <w:lang w:val="fr-FR"/>
        </w:rPr>
        <w:t>’</w:t>
      </w:r>
      <w:r w:rsidR="001E55F3">
        <w:rPr>
          <w:lang w:val="fr-FR"/>
        </w:rPr>
        <w:t xml:space="preserve">épreuve de </w:t>
      </w:r>
      <w:proofErr w:type="spellStart"/>
      <w:r w:rsidR="001E55F3">
        <w:rPr>
          <w:lang w:val="fr-FR"/>
        </w:rPr>
        <w:t>Koenen</w:t>
      </w:r>
      <w:proofErr w:type="spellEnd"/>
      <w:r w:rsidR="001E55F3">
        <w:rPr>
          <w:lang w:val="fr-FR"/>
        </w:rPr>
        <w:t xml:space="preserve"> fait partie</w:t>
      </w:r>
      <w:r w:rsidRPr="00374635">
        <w:rPr>
          <w:lang w:val="fr-FR"/>
        </w:rPr>
        <w:t xml:space="preserve"> des épreuves prévues initialement dans le cadre de la série 8, laquelle porte sur les matières susceptibles d</w:t>
      </w:r>
      <w:r>
        <w:rPr>
          <w:lang w:val="fr-FR"/>
        </w:rPr>
        <w:t>’</w:t>
      </w:r>
      <w:r w:rsidRPr="00374635">
        <w:rPr>
          <w:lang w:val="fr-FR"/>
        </w:rPr>
        <w:t>être classées dans la catégorie des ENA, mais aussi de la série 2, qui sert à déterminer si une matière/un mélange a des propriétés explosives. Une épreuve d</w:t>
      </w:r>
      <w:r>
        <w:rPr>
          <w:lang w:val="fr-FR"/>
        </w:rPr>
        <w:t>’</w:t>
      </w:r>
      <w:r w:rsidRPr="00374635">
        <w:rPr>
          <w:lang w:val="fr-FR"/>
        </w:rPr>
        <w:t>amorçage plus intense (8 b)) a également été ajoutée afin de garantir le faible degré de sensibilité de ces précurseurs d</w:t>
      </w:r>
      <w:r>
        <w:rPr>
          <w:lang w:val="fr-FR"/>
        </w:rPr>
        <w:t>’</w:t>
      </w:r>
      <w:r w:rsidRPr="00374635">
        <w:rPr>
          <w:lang w:val="fr-FR"/>
        </w:rPr>
        <w:t>explosifs.</w:t>
      </w:r>
    </w:p>
    <w:p w:rsidR="00FA57A7" w:rsidRPr="00374635" w:rsidRDefault="00FA57A7" w:rsidP="001E55F3">
      <w:pPr>
        <w:pStyle w:val="SingleTxtG"/>
        <w:rPr>
          <w:lang w:val="fr-FR"/>
        </w:rPr>
      </w:pPr>
      <w:r w:rsidRPr="00374635">
        <w:rPr>
          <w:lang w:val="fr-FR"/>
        </w:rPr>
        <w:t>3.</w:t>
      </w:r>
      <w:r w:rsidRPr="00374635">
        <w:rPr>
          <w:lang w:val="fr-FR"/>
        </w:rPr>
        <w:tab/>
        <w:t>Cependant, au fil du temps, la réalisation de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s</w:t>
      </w:r>
      <w:r>
        <w:rPr>
          <w:lang w:val="fr-FR"/>
        </w:rPr>
        <w:t>’</w:t>
      </w:r>
      <w:r w:rsidRPr="00374635">
        <w:rPr>
          <w:lang w:val="fr-FR"/>
        </w:rPr>
        <w:t>est révélée problématique pour certaines formulations de cette gamme particulière de matières/mélanges en raison des longs temps de réaction et/ou d</w:t>
      </w:r>
      <w:r>
        <w:rPr>
          <w:lang w:val="fr-FR"/>
        </w:rPr>
        <w:t>’</w:t>
      </w:r>
      <w:r w:rsidRPr="00374635">
        <w:rPr>
          <w:lang w:val="fr-FR"/>
        </w:rPr>
        <w:t>un phénomène d</w:t>
      </w:r>
      <w:r>
        <w:rPr>
          <w:lang w:val="fr-FR"/>
        </w:rPr>
        <w:t>’</w:t>
      </w:r>
      <w:r w:rsidRPr="00374635">
        <w:rPr>
          <w:lang w:val="fr-FR"/>
        </w:rPr>
        <w:t>obturation des orifices. À la quarante-septième session, le Groupe de travail des explosifs est parvenu à la conclusion que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(8 c)) était inadaptée aux ENA</w:t>
      </w:r>
      <w:r w:rsidRPr="00A8363F">
        <w:rPr>
          <w:rStyle w:val="FootnoteReference"/>
        </w:rPr>
        <w:footnoteReference w:id="4"/>
      </w:r>
      <w:r w:rsidRPr="00374635">
        <w:rPr>
          <w:lang w:val="fr-FR"/>
        </w:rPr>
        <w:t>. Des études antérieures ont apporté la preuve irréfutable que les longs délais de réaction enregistrés dans le cadre de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réalisée sur les ENA, tout particulièrement les émulsions à forte teneur en eau et dont les huiles sont faiblement volatiles, provoquaient la dégradation du tube en acier. Ce phénomène, et la défaillance du tube qu</w:t>
      </w:r>
      <w:r>
        <w:rPr>
          <w:lang w:val="fr-FR"/>
        </w:rPr>
        <w:t>’</w:t>
      </w:r>
      <w:r w:rsidRPr="00374635">
        <w:rPr>
          <w:lang w:val="fr-FR"/>
        </w:rPr>
        <w:t>il entraîne, produisent un résultat faussement positif, puisque le schéma de fragmentation du tube s</w:t>
      </w:r>
      <w:r>
        <w:rPr>
          <w:lang w:val="fr-FR"/>
        </w:rPr>
        <w:t>’</w:t>
      </w:r>
      <w:r w:rsidRPr="00374635">
        <w:rPr>
          <w:lang w:val="fr-FR"/>
        </w:rPr>
        <w:t>explique par la dégradation de l</w:t>
      </w:r>
      <w:r>
        <w:rPr>
          <w:lang w:val="fr-FR"/>
        </w:rPr>
        <w:t>’</w:t>
      </w:r>
      <w:r w:rsidRPr="00374635">
        <w:rPr>
          <w:lang w:val="fr-FR"/>
        </w:rPr>
        <w:t>acier et non par la réaction de la matière éprouvée.</w:t>
      </w:r>
    </w:p>
    <w:p w:rsidR="00FA57A7" w:rsidRPr="00374635" w:rsidRDefault="00FA57A7" w:rsidP="001E55F3">
      <w:pPr>
        <w:pStyle w:val="SingleTxtG"/>
        <w:rPr>
          <w:lang w:val="fr-FR"/>
        </w:rPr>
      </w:pPr>
      <w:r w:rsidRPr="00374635">
        <w:rPr>
          <w:lang w:val="fr-FR"/>
        </w:rPr>
        <w:t>4.</w:t>
      </w:r>
      <w:r w:rsidRPr="00374635">
        <w:rPr>
          <w:lang w:val="fr-FR"/>
        </w:rPr>
        <w:tab/>
        <w:t>Les fabricants d</w:t>
      </w:r>
      <w:r>
        <w:rPr>
          <w:lang w:val="fr-FR"/>
        </w:rPr>
        <w:t>’</w:t>
      </w:r>
      <w:r w:rsidRPr="00374635">
        <w:rPr>
          <w:lang w:val="fr-FR"/>
        </w:rPr>
        <w:t>émulsion se trouvent donc actuellement dans l</w:t>
      </w:r>
      <w:r>
        <w:rPr>
          <w:lang w:val="fr-FR"/>
        </w:rPr>
        <w:t>’</w:t>
      </w:r>
      <w:r w:rsidRPr="00374635">
        <w:rPr>
          <w:lang w:val="fr-FR"/>
        </w:rPr>
        <w:t>impossibilité de classer convenablement ce type d</w:t>
      </w:r>
      <w:r>
        <w:rPr>
          <w:lang w:val="fr-FR"/>
        </w:rPr>
        <w:t>’</w:t>
      </w:r>
      <w:r w:rsidRPr="00374635">
        <w:rPr>
          <w:lang w:val="fr-FR"/>
        </w:rPr>
        <w:t>ENA puisque l</w:t>
      </w:r>
      <w:r>
        <w:rPr>
          <w:lang w:val="fr-FR"/>
        </w:rPr>
        <w:t>’</w:t>
      </w:r>
      <w:r w:rsidRPr="00374635">
        <w:rPr>
          <w:lang w:val="fr-FR"/>
        </w:rPr>
        <w:t>une des épreuves employées à cet effet a été jugée inadaptée.</w:t>
      </w:r>
    </w:p>
    <w:p w:rsidR="00FA57A7" w:rsidRPr="00374635" w:rsidRDefault="00FA57A7" w:rsidP="001E55F3">
      <w:pPr>
        <w:pStyle w:val="SingleTxtG"/>
        <w:rPr>
          <w:lang w:val="fr-FR"/>
        </w:rPr>
      </w:pPr>
      <w:r w:rsidRPr="00374635">
        <w:rPr>
          <w:lang w:val="fr-FR"/>
        </w:rPr>
        <w:t>5.</w:t>
      </w:r>
      <w:r w:rsidRPr="00374635">
        <w:rPr>
          <w:lang w:val="fr-FR"/>
        </w:rPr>
        <w:tab/>
        <w:t>À la cinquante et unième session, il a été proposé que l</w:t>
      </w:r>
      <w:r>
        <w:rPr>
          <w:lang w:val="fr-FR"/>
        </w:rPr>
        <w:t>’</w:t>
      </w:r>
      <w:r w:rsidRPr="00374635">
        <w:rPr>
          <w:lang w:val="fr-FR"/>
        </w:rPr>
        <w:t>IME dirige des travaux visant à étudier la possibilité de modifier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(8 c)) et à déterminer s</w:t>
      </w:r>
      <w:r>
        <w:rPr>
          <w:lang w:val="fr-FR"/>
        </w:rPr>
        <w:t>’</w:t>
      </w:r>
      <w:r w:rsidRPr="00374635">
        <w:rPr>
          <w:lang w:val="fr-FR"/>
        </w:rPr>
        <w:t>il serait indiqué de remplacer celle-ci, dans le cadre des épreuves de la série 8, par l</w:t>
      </w:r>
      <w:r>
        <w:rPr>
          <w:lang w:val="fr-FR"/>
        </w:rPr>
        <w:t>’</w:t>
      </w:r>
      <w:r w:rsidRPr="00374635">
        <w:rPr>
          <w:lang w:val="fr-FR"/>
        </w:rPr>
        <w:t>épreuve de pression minimale de combustion</w:t>
      </w:r>
      <w:r w:rsidRPr="00A8363F">
        <w:rPr>
          <w:rStyle w:val="FootnoteReference"/>
        </w:rPr>
        <w:footnoteReference w:id="5"/>
      </w:r>
      <w:r w:rsidRPr="00374635">
        <w:rPr>
          <w:lang w:val="fr-FR"/>
        </w:rPr>
        <w:t>.</w:t>
      </w:r>
    </w:p>
    <w:p w:rsidR="00FA57A7" w:rsidRPr="00374635" w:rsidRDefault="00FA57A7" w:rsidP="001E55F3">
      <w:pPr>
        <w:pStyle w:val="SingleTxtG"/>
        <w:rPr>
          <w:lang w:val="fr-FR"/>
        </w:rPr>
      </w:pPr>
      <w:r w:rsidRPr="00374635">
        <w:rPr>
          <w:lang w:val="fr-FR"/>
        </w:rPr>
        <w:t>6.</w:t>
      </w:r>
      <w:r w:rsidRPr="00374635">
        <w:rPr>
          <w:lang w:val="fr-FR"/>
        </w:rPr>
        <w:tab/>
        <w:t>De nouvelles formules peuvent être créées de sorte à produire des émulsions ayant une plus faible teneur en eau et/ou des huiles plus fortement volatiles. On obtiendrait ainsi un résultat négatif à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au prix toutefois de l</w:t>
      </w:r>
      <w:r>
        <w:rPr>
          <w:lang w:val="fr-FR"/>
        </w:rPr>
        <w:t>’</w:t>
      </w:r>
      <w:r w:rsidRPr="00374635">
        <w:rPr>
          <w:lang w:val="fr-FR"/>
        </w:rPr>
        <w:t>introduction d</w:t>
      </w:r>
      <w:r>
        <w:rPr>
          <w:lang w:val="fr-FR"/>
        </w:rPr>
        <w:t>’</w:t>
      </w:r>
      <w:r w:rsidRPr="00374635">
        <w:rPr>
          <w:lang w:val="fr-FR"/>
        </w:rPr>
        <w:t>un effet délétère dans le processus en aval au moment du pompage de la matière en émulsion, la pression minimale de combustion des émulsions créées au moyen de ces nouvelles formules étant plus basse.</w:t>
      </w:r>
    </w:p>
    <w:p w:rsidR="00FA57A7" w:rsidRPr="00374635" w:rsidRDefault="00FA57A7" w:rsidP="001E55F3">
      <w:pPr>
        <w:pStyle w:val="SingleTxtG"/>
        <w:rPr>
          <w:lang w:val="fr-FR"/>
        </w:rPr>
      </w:pPr>
      <w:r w:rsidRPr="00374635">
        <w:rPr>
          <w:lang w:val="fr-FR"/>
        </w:rPr>
        <w:t>7.</w:t>
      </w:r>
      <w:r w:rsidRPr="00374635">
        <w:rPr>
          <w:lang w:val="fr-FR"/>
        </w:rPr>
        <w:tab/>
        <w:t>En raison de l</w:t>
      </w:r>
      <w:r>
        <w:rPr>
          <w:lang w:val="fr-FR"/>
        </w:rPr>
        <w:t>’</w:t>
      </w:r>
      <w:r w:rsidRPr="00374635">
        <w:rPr>
          <w:lang w:val="fr-FR"/>
        </w:rPr>
        <w:t>introduction de certaines nouvelles formules d</w:t>
      </w:r>
      <w:r>
        <w:rPr>
          <w:lang w:val="fr-FR"/>
        </w:rPr>
        <w:t>’</w:t>
      </w:r>
      <w:r w:rsidRPr="00374635">
        <w:rPr>
          <w:lang w:val="fr-FR"/>
        </w:rPr>
        <w:t>émulsions, il sera sans aucun doute nécessaire de procéder à des épreuves de classification, que les fabricants ne seront pas en mesure d</w:t>
      </w:r>
      <w:r>
        <w:rPr>
          <w:lang w:val="fr-FR"/>
        </w:rPr>
        <w:t>’</w:t>
      </w:r>
      <w:r w:rsidRPr="00374635">
        <w:rPr>
          <w:lang w:val="fr-FR"/>
        </w:rPr>
        <w:t>effectuer à défaut d</w:t>
      </w:r>
      <w:r>
        <w:rPr>
          <w:lang w:val="fr-FR"/>
        </w:rPr>
        <w:t>’</w:t>
      </w:r>
      <w:r w:rsidRPr="00374635">
        <w:rPr>
          <w:lang w:val="fr-FR"/>
        </w:rPr>
        <w:t>une épreuve adaptée pour les émulsions.</w:t>
      </w:r>
    </w:p>
    <w:p w:rsidR="00FA57A7" w:rsidRPr="00374635" w:rsidRDefault="00FA57A7" w:rsidP="001E55F3">
      <w:pPr>
        <w:pStyle w:val="SingleTxtG"/>
        <w:rPr>
          <w:lang w:val="fr-FR"/>
        </w:rPr>
      </w:pPr>
      <w:r w:rsidRPr="00374635">
        <w:rPr>
          <w:lang w:val="fr-FR"/>
        </w:rPr>
        <w:t>8.</w:t>
      </w:r>
      <w:r w:rsidRPr="00374635">
        <w:rPr>
          <w:lang w:val="fr-FR"/>
        </w:rPr>
        <w:tab/>
        <w:t>La plupart des fabricants d</w:t>
      </w:r>
      <w:r>
        <w:rPr>
          <w:lang w:val="fr-FR"/>
        </w:rPr>
        <w:t>’</w:t>
      </w:r>
      <w:r w:rsidRPr="00374635">
        <w:rPr>
          <w:lang w:val="fr-FR"/>
        </w:rPr>
        <w:t>ENA, sinon tous, se fondent sur la pression minimale de combustion comme base d</w:t>
      </w:r>
      <w:r>
        <w:rPr>
          <w:lang w:val="fr-FR"/>
        </w:rPr>
        <w:t>’</w:t>
      </w:r>
      <w:r w:rsidRPr="00374635">
        <w:rPr>
          <w:lang w:val="fr-FR"/>
        </w:rPr>
        <w:t>appréciation de la sécurité étant donné que le pompage est le principal moyen de transfert des ENA, notamment pour le chargement d</w:t>
      </w:r>
      <w:r>
        <w:rPr>
          <w:lang w:val="fr-FR"/>
        </w:rPr>
        <w:t>’</w:t>
      </w:r>
      <w:r w:rsidRPr="00374635">
        <w:rPr>
          <w:lang w:val="fr-FR"/>
        </w:rPr>
        <w:t>orifices avec des explosifs fabriqués au moyen d</w:t>
      </w:r>
      <w:r>
        <w:rPr>
          <w:lang w:val="fr-FR"/>
        </w:rPr>
        <w:t>’</w:t>
      </w:r>
      <w:r w:rsidRPr="00374635">
        <w:rPr>
          <w:lang w:val="fr-FR"/>
        </w:rPr>
        <w:t>ENA.</w:t>
      </w:r>
    </w:p>
    <w:p w:rsidR="00FA57A7" w:rsidRPr="00374635" w:rsidRDefault="00FA57A7" w:rsidP="001E55F3">
      <w:pPr>
        <w:pStyle w:val="SingleTxtG"/>
        <w:rPr>
          <w:lang w:val="fr-FR"/>
        </w:rPr>
      </w:pPr>
      <w:r w:rsidRPr="00374635">
        <w:rPr>
          <w:lang w:val="fr-FR"/>
        </w:rPr>
        <w:t>9.</w:t>
      </w:r>
      <w:r w:rsidRPr="00374635">
        <w:rPr>
          <w:lang w:val="fr-FR"/>
        </w:rPr>
        <w:tab/>
        <w:t>Depuis 2008, le Canada rend l</w:t>
      </w:r>
      <w:r>
        <w:rPr>
          <w:lang w:val="fr-FR"/>
        </w:rPr>
        <w:t>’</w:t>
      </w:r>
      <w:r w:rsidRPr="00374635">
        <w:rPr>
          <w:lang w:val="fr-FR"/>
        </w:rPr>
        <w:t>agrément de certains ENA tributaire de prescriptions relatives à la pression minimale de combustion.</w:t>
      </w:r>
    </w:p>
    <w:p w:rsidR="00FA57A7" w:rsidRPr="00374635" w:rsidRDefault="00FA57A7" w:rsidP="001E55F3">
      <w:pPr>
        <w:pStyle w:val="HChG"/>
        <w:rPr>
          <w:i/>
          <w:lang w:val="fr-FR"/>
        </w:rPr>
      </w:pPr>
      <w:r w:rsidRPr="00374635">
        <w:rPr>
          <w:lang w:val="fr-FR"/>
        </w:rPr>
        <w:tab/>
      </w:r>
      <w:r w:rsidRPr="00374635">
        <w:rPr>
          <w:lang w:val="fr-FR"/>
        </w:rPr>
        <w:tab/>
        <w:t>Examen</w:t>
      </w:r>
    </w:p>
    <w:p w:rsidR="00FA57A7" w:rsidRPr="00374635" w:rsidRDefault="00FA57A7" w:rsidP="006635ED">
      <w:pPr>
        <w:pStyle w:val="SingleTxtG"/>
        <w:rPr>
          <w:lang w:val="fr-FR"/>
        </w:rPr>
      </w:pPr>
      <w:r w:rsidRPr="00374635">
        <w:rPr>
          <w:lang w:val="fr-FR"/>
        </w:rPr>
        <w:t>10.</w:t>
      </w:r>
      <w:r w:rsidRPr="00374635">
        <w:rPr>
          <w:lang w:val="fr-FR"/>
        </w:rPr>
        <w:tab/>
        <w:t xml:space="preserve">Depuis plus de </w:t>
      </w:r>
      <w:r w:rsidR="003F6DCA">
        <w:rPr>
          <w:lang w:val="fr-FR"/>
        </w:rPr>
        <w:t xml:space="preserve">quarante </w:t>
      </w:r>
      <w:r w:rsidRPr="00374635">
        <w:rPr>
          <w:lang w:val="fr-FR"/>
        </w:rPr>
        <w:t xml:space="preserve">ans, les ENA sont </w:t>
      </w:r>
      <w:proofErr w:type="gramStart"/>
      <w:r w:rsidRPr="00374635">
        <w:rPr>
          <w:lang w:val="fr-FR"/>
        </w:rPr>
        <w:t>fabriqués et transportés</w:t>
      </w:r>
      <w:proofErr w:type="gramEnd"/>
      <w:r w:rsidRPr="00374635">
        <w:rPr>
          <w:lang w:val="fr-FR"/>
        </w:rPr>
        <w:t xml:space="preserve"> en toute sécurité. Pour les incidents au cours desquels s</w:t>
      </w:r>
      <w:r>
        <w:rPr>
          <w:lang w:val="fr-FR"/>
        </w:rPr>
        <w:t>’</w:t>
      </w:r>
      <w:r w:rsidRPr="00374635">
        <w:rPr>
          <w:lang w:val="fr-FR"/>
        </w:rPr>
        <w:t>est produite une explosion accidentelle, il reste un doute plausible quant à savoir si l</w:t>
      </w:r>
      <w:r>
        <w:rPr>
          <w:lang w:val="fr-FR"/>
        </w:rPr>
        <w:t>’</w:t>
      </w:r>
      <w:r w:rsidRPr="00374635">
        <w:rPr>
          <w:lang w:val="fr-FR"/>
        </w:rPr>
        <w:t xml:space="preserve">ENA en cause relevait réellement du </w:t>
      </w:r>
      <w:r w:rsidR="006635ED">
        <w:rPr>
          <w:lang w:val="fr-FR"/>
        </w:rPr>
        <w:t>No</w:t>
      </w:r>
      <w:r w:rsidRPr="00374635">
        <w:rPr>
          <w:lang w:val="fr-FR"/>
        </w:rPr>
        <w:t> ONU 3375. Le</w:t>
      </w:r>
      <w:r w:rsidR="006635ED">
        <w:rPr>
          <w:lang w:val="fr-FR"/>
        </w:rPr>
        <w:t> </w:t>
      </w:r>
      <w:r w:rsidRPr="00374635">
        <w:rPr>
          <w:lang w:val="fr-FR"/>
        </w:rPr>
        <w:t>comportement relativement « inerte » d</w:t>
      </w:r>
      <w:r>
        <w:rPr>
          <w:lang w:val="fr-FR"/>
        </w:rPr>
        <w:t>’</w:t>
      </w:r>
      <w:r w:rsidRPr="00374635">
        <w:rPr>
          <w:lang w:val="fr-FR"/>
        </w:rPr>
        <w:t>un ENA en cas d</w:t>
      </w:r>
      <w:r>
        <w:rPr>
          <w:lang w:val="fr-FR"/>
        </w:rPr>
        <w:t>’</w:t>
      </w:r>
      <w:r w:rsidRPr="00374635">
        <w:rPr>
          <w:lang w:val="fr-FR"/>
        </w:rPr>
        <w:t>inflammation est largement imputable à sa forte teneur en eau. Ce facteur, couplé à l</w:t>
      </w:r>
      <w:r>
        <w:rPr>
          <w:lang w:val="fr-FR"/>
        </w:rPr>
        <w:t>’</w:t>
      </w:r>
      <w:r w:rsidRPr="00374635">
        <w:rPr>
          <w:lang w:val="fr-FR"/>
        </w:rPr>
        <w:t>utilisation d</w:t>
      </w:r>
      <w:r>
        <w:rPr>
          <w:lang w:val="fr-FR"/>
        </w:rPr>
        <w:t>’</w:t>
      </w:r>
      <w:r w:rsidRPr="00374635">
        <w:rPr>
          <w:lang w:val="fr-FR"/>
        </w:rPr>
        <w:t>une huile faiblement volatile, contribue à la longue durée de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généralement supérieure à 100 secondes. Par contraste, les matières employées à des fins expérimentales pendant les </w:t>
      </w:r>
      <w:r w:rsidRPr="00374635">
        <w:rPr>
          <w:lang w:val="fr-FR"/>
        </w:rPr>
        <w:lastRenderedPageBreak/>
        <w:t>phases de validation et de mise au point de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avaient un temps de réaction de l</w:t>
      </w:r>
      <w:r>
        <w:rPr>
          <w:lang w:val="fr-FR"/>
        </w:rPr>
        <w:t>’</w:t>
      </w:r>
      <w:r w:rsidRPr="00374635">
        <w:rPr>
          <w:lang w:val="fr-FR"/>
        </w:rPr>
        <w:t xml:space="preserve">ordre </w:t>
      </w:r>
      <w:r w:rsidR="003F6DCA">
        <w:rPr>
          <w:lang w:val="fr-FR"/>
        </w:rPr>
        <w:t xml:space="preserve">de 1 </w:t>
      </w:r>
      <w:r w:rsidRPr="00374635">
        <w:rPr>
          <w:lang w:val="fr-FR"/>
        </w:rPr>
        <w:t>à 10 secondes. Le temps de chauffe élevé du tube en acier entraîne la dégradation du matériau et produit un résultat faussement positif.</w:t>
      </w:r>
    </w:p>
    <w:p w:rsidR="00FA57A7" w:rsidRPr="00374635" w:rsidRDefault="00FA57A7" w:rsidP="006635ED">
      <w:pPr>
        <w:pStyle w:val="SingleTxtG"/>
        <w:rPr>
          <w:lang w:val="fr-FR"/>
        </w:rPr>
      </w:pPr>
      <w:r w:rsidRPr="00374635">
        <w:rPr>
          <w:lang w:val="fr-FR"/>
        </w:rPr>
        <w:t>11.</w:t>
      </w:r>
      <w:r w:rsidRPr="00374635">
        <w:rPr>
          <w:lang w:val="fr-FR"/>
        </w:rPr>
        <w:tab/>
        <w:t>La pression minimale de combustion est une propriété intrinsèque de toutes les matières énergétiques. À des valeurs inférieures à la pression minimale de combustion, ces matières ne peuvent maintenir une combustion stable quelle que soit leur taille et la quantité d</w:t>
      </w:r>
      <w:r>
        <w:rPr>
          <w:lang w:val="fr-FR"/>
        </w:rPr>
        <w:t>’</w:t>
      </w:r>
      <w:r w:rsidRPr="00374635">
        <w:rPr>
          <w:lang w:val="fr-FR"/>
        </w:rPr>
        <w:t>énergie utilisée pour les enflammer ; en d</w:t>
      </w:r>
      <w:r>
        <w:rPr>
          <w:lang w:val="fr-FR"/>
        </w:rPr>
        <w:t>’</w:t>
      </w:r>
      <w:r w:rsidRPr="00374635">
        <w:rPr>
          <w:lang w:val="fr-FR"/>
        </w:rPr>
        <w:t>autres termes, elles ne permettront pas la propagation d</w:t>
      </w:r>
      <w:r>
        <w:rPr>
          <w:lang w:val="fr-FR"/>
        </w:rPr>
        <w:t>’</w:t>
      </w:r>
      <w:r w:rsidRPr="00374635">
        <w:rPr>
          <w:lang w:val="fr-FR"/>
        </w:rPr>
        <w:t>une explosion. En cela, l</w:t>
      </w:r>
      <w:r>
        <w:rPr>
          <w:lang w:val="fr-FR"/>
        </w:rPr>
        <w:t>’</w:t>
      </w:r>
      <w:r w:rsidRPr="00374635">
        <w:rPr>
          <w:lang w:val="fr-FR"/>
        </w:rPr>
        <w:t>épreuve de pression minimale de combustion permet de mieux apprécier le comportement des ENA, en particulier des émulsions, qui possèdent une pression minimale de combustion relativement élevée.</w:t>
      </w:r>
    </w:p>
    <w:p w:rsidR="00FA57A7" w:rsidRPr="00374635" w:rsidRDefault="00FA57A7" w:rsidP="006635ED">
      <w:pPr>
        <w:pStyle w:val="SingleTxtG"/>
        <w:rPr>
          <w:lang w:val="fr-FR"/>
        </w:rPr>
      </w:pPr>
      <w:r w:rsidRPr="00374635">
        <w:rPr>
          <w:lang w:val="fr-FR"/>
        </w:rPr>
        <w:t>12.</w:t>
      </w:r>
      <w:r w:rsidRPr="00374635">
        <w:rPr>
          <w:lang w:val="fr-FR"/>
        </w:rPr>
        <w:tab/>
        <w:t>À la lumière des études citées dans l</w:t>
      </w:r>
      <w:r>
        <w:rPr>
          <w:lang w:val="fr-FR"/>
        </w:rPr>
        <w:t>’</w:t>
      </w:r>
      <w:r w:rsidRPr="00374635">
        <w:rPr>
          <w:lang w:val="fr-FR"/>
        </w:rPr>
        <w:t>appendice du document informel INF.22 (cinquante-troisième session), on peut affirmer avec un degré de certitude encore plus élevé que, dans le cas des émulsions de nitrate d</w:t>
      </w:r>
      <w:r>
        <w:rPr>
          <w:lang w:val="fr-FR"/>
        </w:rPr>
        <w:t>’</w:t>
      </w:r>
      <w:r w:rsidRPr="00374635">
        <w:rPr>
          <w:lang w:val="fr-FR"/>
        </w:rPr>
        <w:t>ammonium,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ne permet pas de différencier entre les ENA à forte ou faible teneur en eau, à la différence de l</w:t>
      </w:r>
      <w:r>
        <w:rPr>
          <w:lang w:val="fr-FR"/>
        </w:rPr>
        <w:t>’</w:t>
      </w:r>
      <w:r w:rsidRPr="00374635">
        <w:rPr>
          <w:lang w:val="fr-FR"/>
        </w:rPr>
        <w:t>épreuve de pression minimale de combustion. Le comportement des ENA, et plus généralement de celles qui ont une pression minimale de combustion élevée en raison de leur forte teneur en eau ou de la faible volatilité de leur huile, est différent en cas d</w:t>
      </w:r>
      <w:r>
        <w:rPr>
          <w:lang w:val="fr-FR"/>
        </w:rPr>
        <w:t>’</w:t>
      </w:r>
      <w:r w:rsidRPr="00374635">
        <w:rPr>
          <w:lang w:val="fr-FR"/>
        </w:rPr>
        <w:t>inflammation.</w:t>
      </w:r>
    </w:p>
    <w:p w:rsidR="00FA57A7" w:rsidRPr="00374635" w:rsidRDefault="00FA57A7" w:rsidP="006635ED">
      <w:pPr>
        <w:pStyle w:val="SingleTxtG"/>
        <w:rPr>
          <w:lang w:val="fr-FR"/>
        </w:rPr>
      </w:pPr>
      <w:r w:rsidRPr="00374635">
        <w:rPr>
          <w:lang w:val="fr-FR"/>
        </w:rPr>
        <w:t>13.</w:t>
      </w:r>
      <w:r w:rsidRPr="00374635">
        <w:rPr>
          <w:lang w:val="fr-FR"/>
        </w:rPr>
        <w:tab/>
        <w:t>On trouve aussi des exemples de résultats d</w:t>
      </w:r>
      <w:r>
        <w:rPr>
          <w:lang w:val="fr-FR"/>
        </w:rPr>
        <w:t>’</w:t>
      </w:r>
      <w:r w:rsidRPr="00374635">
        <w:rPr>
          <w:lang w:val="fr-FR"/>
        </w:rPr>
        <w:t>épreuves de pression minimale de combustion dans le descriptif d</w:t>
      </w:r>
      <w:r>
        <w:rPr>
          <w:lang w:val="fr-FR"/>
        </w:rPr>
        <w:t>’</w:t>
      </w:r>
      <w:r w:rsidRPr="00374635">
        <w:rPr>
          <w:lang w:val="fr-FR"/>
        </w:rPr>
        <w:t>épreuve proposé à l</w:t>
      </w:r>
      <w:r>
        <w:rPr>
          <w:lang w:val="fr-FR"/>
        </w:rPr>
        <w:t>’</w:t>
      </w:r>
      <w:r w:rsidRPr="00374635">
        <w:rPr>
          <w:lang w:val="fr-FR"/>
        </w:rPr>
        <w:t>annexe 2 :</w:t>
      </w:r>
    </w:p>
    <w:p w:rsidR="00FA57A7" w:rsidRPr="00374635" w:rsidRDefault="00FA57A7" w:rsidP="00D422F4">
      <w:pPr>
        <w:pStyle w:val="SingleTxtG"/>
        <w:ind w:left="2268" w:hanging="567"/>
        <w:rPr>
          <w:lang w:val="fr-FR"/>
        </w:rPr>
      </w:pPr>
      <w:r w:rsidRPr="00374635">
        <w:rPr>
          <w:lang w:val="fr-FR"/>
        </w:rPr>
        <w:t>a)</w:t>
      </w:r>
      <w:r w:rsidRPr="00374635">
        <w:rPr>
          <w:lang w:val="fr-FR"/>
        </w:rPr>
        <w:tab/>
        <w:t>Les exemples 1 et 2 ne sont pas représentatifs du comportement des ENA étant donné que les matières sont activées par des microsphères (pression minimale de combustion</w:t>
      </w:r>
      <w:r w:rsidR="006635ED">
        <w:rPr>
          <w:lang w:val="fr-FR"/>
        </w:rPr>
        <w:t xml:space="preserve"> &lt;</w:t>
      </w:r>
      <w:r w:rsidR="00294054">
        <w:rPr>
          <w:lang w:val="fr-FR"/>
        </w:rPr>
        <w:t> </w:t>
      </w:r>
      <w:r w:rsidRPr="00374635">
        <w:rPr>
          <w:lang w:val="fr-FR"/>
        </w:rPr>
        <w:t xml:space="preserve">2,2 MPa (300 </w:t>
      </w:r>
      <w:proofErr w:type="spellStart"/>
      <w:r w:rsidRPr="00374635">
        <w:rPr>
          <w:lang w:val="fr-FR"/>
        </w:rPr>
        <w:t>psig</w:t>
      </w:r>
      <w:proofErr w:type="spellEnd"/>
      <w:r w:rsidRPr="00374635">
        <w:rPr>
          <w:lang w:val="fr-FR"/>
        </w:rPr>
        <w:t>)) ;</w:t>
      </w:r>
    </w:p>
    <w:p w:rsidR="00FA57A7" w:rsidRPr="00374635" w:rsidRDefault="00FA57A7" w:rsidP="00D422F4">
      <w:pPr>
        <w:pStyle w:val="SingleTxtG"/>
        <w:ind w:left="2268" w:hanging="567"/>
        <w:rPr>
          <w:lang w:val="fr-FR"/>
        </w:rPr>
      </w:pPr>
      <w:r w:rsidRPr="00374635">
        <w:rPr>
          <w:lang w:val="fr-FR"/>
        </w:rPr>
        <w:t>b)</w:t>
      </w:r>
      <w:r w:rsidRPr="00374635">
        <w:rPr>
          <w:lang w:val="fr-FR"/>
        </w:rPr>
        <w:tab/>
        <w:t>Les exemples 3 et 4 montrent l</w:t>
      </w:r>
      <w:r>
        <w:rPr>
          <w:lang w:val="fr-FR"/>
        </w:rPr>
        <w:t>’</w:t>
      </w:r>
      <w:r w:rsidRPr="00374635">
        <w:rPr>
          <w:lang w:val="fr-FR"/>
        </w:rPr>
        <w:t>incidence d</w:t>
      </w:r>
      <w:r>
        <w:rPr>
          <w:lang w:val="fr-FR"/>
        </w:rPr>
        <w:t>’</w:t>
      </w:r>
      <w:r w:rsidRPr="00374635">
        <w:rPr>
          <w:lang w:val="fr-FR"/>
        </w:rPr>
        <w:t xml:space="preserve">une teneur en eau faible (5 à 12 %) ou moyenne (13 à 16 %) (2,2 MPa (300 </w:t>
      </w:r>
      <w:proofErr w:type="spellStart"/>
      <w:r w:rsidRPr="00374635">
        <w:rPr>
          <w:lang w:val="fr-FR"/>
        </w:rPr>
        <w:t>psig</w:t>
      </w:r>
      <w:proofErr w:type="spellEnd"/>
      <w:r w:rsidRPr="00374635">
        <w:rPr>
          <w:lang w:val="fr-FR"/>
        </w:rPr>
        <w:t>) &lt;</w:t>
      </w:r>
      <w:r w:rsidR="00294054">
        <w:rPr>
          <w:lang w:val="fr-FR"/>
        </w:rPr>
        <w:t> </w:t>
      </w:r>
      <w:r w:rsidRPr="00374635">
        <w:rPr>
          <w:lang w:val="fr-FR"/>
        </w:rPr>
        <w:t>pression minimale de combustion &lt;</w:t>
      </w:r>
      <w:r w:rsidR="006635ED">
        <w:rPr>
          <w:lang w:val="fr-FR"/>
        </w:rPr>
        <w:t> </w:t>
      </w:r>
      <w:r w:rsidRPr="00374635">
        <w:rPr>
          <w:lang w:val="fr-FR"/>
        </w:rPr>
        <w:t xml:space="preserve">5,6 MPa (800 </w:t>
      </w:r>
      <w:proofErr w:type="spellStart"/>
      <w:r w:rsidRPr="00374635">
        <w:rPr>
          <w:lang w:val="fr-FR"/>
        </w:rPr>
        <w:t>psig</w:t>
      </w:r>
      <w:proofErr w:type="spellEnd"/>
      <w:r w:rsidRPr="00374635">
        <w:rPr>
          <w:lang w:val="fr-FR"/>
        </w:rPr>
        <w:t>)) ;</w:t>
      </w:r>
    </w:p>
    <w:p w:rsidR="00FA57A7" w:rsidRPr="00374635" w:rsidRDefault="00FA57A7" w:rsidP="00D422F4">
      <w:pPr>
        <w:pStyle w:val="SingleTxtG"/>
        <w:ind w:left="2268" w:hanging="567"/>
        <w:rPr>
          <w:lang w:val="fr-FR"/>
        </w:rPr>
      </w:pPr>
      <w:r w:rsidRPr="00374635">
        <w:rPr>
          <w:lang w:val="fr-FR"/>
        </w:rPr>
        <w:t>c)</w:t>
      </w:r>
      <w:r w:rsidRPr="00374635">
        <w:rPr>
          <w:lang w:val="fr-FR"/>
        </w:rPr>
        <w:tab/>
        <w:t>L</w:t>
      </w:r>
      <w:r>
        <w:rPr>
          <w:lang w:val="fr-FR"/>
        </w:rPr>
        <w:t>’</w:t>
      </w:r>
      <w:r w:rsidRPr="00374635">
        <w:rPr>
          <w:lang w:val="fr-FR"/>
        </w:rPr>
        <w:t>exemple 5 montre l</w:t>
      </w:r>
      <w:r>
        <w:rPr>
          <w:lang w:val="fr-FR"/>
        </w:rPr>
        <w:t>’</w:t>
      </w:r>
      <w:r w:rsidRPr="00374635">
        <w:rPr>
          <w:lang w:val="fr-FR"/>
        </w:rPr>
        <w:t>incidence d</w:t>
      </w:r>
      <w:r>
        <w:rPr>
          <w:lang w:val="fr-FR"/>
        </w:rPr>
        <w:t>’</w:t>
      </w:r>
      <w:r w:rsidRPr="00374635">
        <w:rPr>
          <w:lang w:val="fr-FR"/>
        </w:rPr>
        <w:t>une absence de sensibilisation chimique couplée à une faible teneur en eau (pression minimale de combustion</w:t>
      </w:r>
      <w:r w:rsidR="006635ED">
        <w:rPr>
          <w:lang w:val="fr-FR"/>
        </w:rPr>
        <w:t xml:space="preserve"> &lt;</w:t>
      </w:r>
      <w:r w:rsidR="00294054">
        <w:rPr>
          <w:lang w:val="fr-FR"/>
        </w:rPr>
        <w:t> </w:t>
      </w:r>
      <w:r w:rsidRPr="00374635">
        <w:rPr>
          <w:lang w:val="fr-FR"/>
        </w:rPr>
        <w:t>5,6 MPa (800</w:t>
      </w:r>
      <w:r w:rsidR="006635ED">
        <w:rPr>
          <w:lang w:val="fr-FR"/>
        </w:rPr>
        <w:t> </w:t>
      </w:r>
      <w:proofErr w:type="spellStart"/>
      <w:r w:rsidRPr="00374635">
        <w:rPr>
          <w:lang w:val="fr-FR"/>
        </w:rPr>
        <w:t>psig</w:t>
      </w:r>
      <w:proofErr w:type="spellEnd"/>
      <w:r w:rsidRPr="00374635">
        <w:rPr>
          <w:lang w:val="fr-FR"/>
        </w:rPr>
        <w:t>)) ;</w:t>
      </w:r>
    </w:p>
    <w:p w:rsidR="00FA57A7" w:rsidRPr="00374635" w:rsidRDefault="00FA57A7" w:rsidP="00D422F4">
      <w:pPr>
        <w:pStyle w:val="SingleTxtG"/>
        <w:ind w:left="2268" w:hanging="567"/>
        <w:rPr>
          <w:lang w:val="fr-FR"/>
        </w:rPr>
      </w:pPr>
      <w:r w:rsidRPr="00374635">
        <w:rPr>
          <w:lang w:val="fr-FR"/>
        </w:rPr>
        <w:t>d)</w:t>
      </w:r>
      <w:r w:rsidRPr="00374635">
        <w:rPr>
          <w:lang w:val="fr-FR"/>
        </w:rPr>
        <w:tab/>
        <w:t>L</w:t>
      </w:r>
      <w:r>
        <w:rPr>
          <w:lang w:val="fr-FR"/>
        </w:rPr>
        <w:t>’</w:t>
      </w:r>
      <w:r w:rsidRPr="00374635">
        <w:rPr>
          <w:lang w:val="fr-FR"/>
        </w:rPr>
        <w:t>exemple 6 montre l</w:t>
      </w:r>
      <w:r>
        <w:rPr>
          <w:lang w:val="fr-FR"/>
        </w:rPr>
        <w:t>’</w:t>
      </w:r>
      <w:r w:rsidRPr="00374635">
        <w:rPr>
          <w:lang w:val="fr-FR"/>
        </w:rPr>
        <w:t>incidence d</w:t>
      </w:r>
      <w:r>
        <w:rPr>
          <w:lang w:val="fr-FR"/>
        </w:rPr>
        <w:t>’</w:t>
      </w:r>
      <w:r w:rsidRPr="00374635">
        <w:rPr>
          <w:lang w:val="fr-FR"/>
        </w:rPr>
        <w:t xml:space="preserve">une teneur en eau élevée (17 à 20 %) (5,6 MPa (800 </w:t>
      </w:r>
      <w:proofErr w:type="spellStart"/>
      <w:r w:rsidRPr="00374635">
        <w:rPr>
          <w:lang w:val="fr-FR"/>
        </w:rPr>
        <w:t>psig</w:t>
      </w:r>
      <w:proofErr w:type="spellEnd"/>
      <w:r w:rsidRPr="00374635">
        <w:rPr>
          <w:lang w:val="fr-FR"/>
        </w:rPr>
        <w:t>) &lt; pression minimale de combustion &lt; 7,0 MPa (1</w:t>
      </w:r>
      <w:r w:rsidR="003F6DCA">
        <w:rPr>
          <w:lang w:val="fr-FR"/>
        </w:rPr>
        <w:t> </w:t>
      </w:r>
      <w:r w:rsidRPr="00374635">
        <w:rPr>
          <w:lang w:val="fr-FR"/>
        </w:rPr>
        <w:t>000 </w:t>
      </w:r>
      <w:proofErr w:type="spellStart"/>
      <w:r w:rsidRPr="00374635">
        <w:rPr>
          <w:lang w:val="fr-FR"/>
        </w:rPr>
        <w:t>psig</w:t>
      </w:r>
      <w:proofErr w:type="spellEnd"/>
      <w:r w:rsidRPr="00374635">
        <w:rPr>
          <w:lang w:val="fr-FR"/>
        </w:rPr>
        <w:t>)) ;</w:t>
      </w:r>
    </w:p>
    <w:p w:rsidR="00FA57A7" w:rsidRDefault="00FA57A7" w:rsidP="00D422F4">
      <w:pPr>
        <w:pStyle w:val="SingleTxtG"/>
        <w:ind w:left="2268" w:hanging="567"/>
        <w:rPr>
          <w:lang w:val="fr-FR"/>
        </w:rPr>
      </w:pPr>
      <w:r w:rsidRPr="00374635">
        <w:rPr>
          <w:lang w:val="fr-FR"/>
        </w:rPr>
        <w:t>e)</w:t>
      </w:r>
      <w:r w:rsidRPr="00374635">
        <w:rPr>
          <w:lang w:val="fr-FR"/>
        </w:rPr>
        <w:tab/>
        <w:t>Les exemples 7 à 9 montrent l</w:t>
      </w:r>
      <w:r>
        <w:rPr>
          <w:lang w:val="fr-FR"/>
        </w:rPr>
        <w:t>’</w:t>
      </w:r>
      <w:r w:rsidRPr="00374635">
        <w:rPr>
          <w:lang w:val="fr-FR"/>
        </w:rPr>
        <w:t>incidence d</w:t>
      </w:r>
      <w:r>
        <w:rPr>
          <w:lang w:val="fr-FR"/>
        </w:rPr>
        <w:t>’</w:t>
      </w:r>
      <w:r w:rsidRPr="00374635">
        <w:rPr>
          <w:lang w:val="fr-FR"/>
        </w:rPr>
        <w:t>une teneur en eau moyenne (13 à 16 %), élevé</w:t>
      </w:r>
      <w:r w:rsidR="003F6DCA">
        <w:rPr>
          <w:lang w:val="fr-FR"/>
        </w:rPr>
        <w:t>e (17 à 20 %) ou très élevée (&gt;</w:t>
      </w:r>
      <w:r w:rsidRPr="00374635">
        <w:rPr>
          <w:lang w:val="fr-FR"/>
        </w:rPr>
        <w:t>20 %).</w:t>
      </w:r>
    </w:p>
    <w:p w:rsidR="00FA57A7" w:rsidRPr="00374635" w:rsidRDefault="00FA57A7" w:rsidP="00294054">
      <w:pPr>
        <w:pStyle w:val="SingleTxtG"/>
        <w:rPr>
          <w:lang w:val="fr-FR"/>
        </w:rPr>
      </w:pPr>
      <w:r w:rsidRPr="00374635">
        <w:rPr>
          <w:lang w:val="fr-FR"/>
        </w:rPr>
        <w:t>14.</w:t>
      </w:r>
      <w:r w:rsidRPr="00374635">
        <w:rPr>
          <w:lang w:val="fr-FR"/>
        </w:rPr>
        <w:tab/>
        <w:t>L</w:t>
      </w:r>
      <w:r>
        <w:rPr>
          <w:lang w:val="fr-FR"/>
        </w:rPr>
        <w:t>’</w:t>
      </w:r>
      <w:r w:rsidRPr="00374635">
        <w:rPr>
          <w:lang w:val="fr-FR"/>
        </w:rPr>
        <w:t>analyse des résultats de ces épreuves laisse à penser qu</w:t>
      </w:r>
      <w:r>
        <w:rPr>
          <w:lang w:val="fr-FR"/>
        </w:rPr>
        <w:t>’</w:t>
      </w:r>
      <w:r w:rsidRPr="00374635">
        <w:rPr>
          <w:lang w:val="fr-FR"/>
        </w:rPr>
        <w:t>il convient d</w:t>
      </w:r>
      <w:r>
        <w:rPr>
          <w:lang w:val="fr-FR"/>
        </w:rPr>
        <w:t>’</w:t>
      </w:r>
      <w:r w:rsidRPr="00374635">
        <w:rPr>
          <w:lang w:val="fr-FR"/>
        </w:rPr>
        <w:t>adopter une pression minimale de combustion limite de 5,</w:t>
      </w:r>
      <w:r w:rsidR="00294054">
        <w:rPr>
          <w:lang w:val="fr-FR"/>
        </w:rPr>
        <w:t>6 MPa (800 </w:t>
      </w:r>
      <w:proofErr w:type="spellStart"/>
      <w:r w:rsidRPr="00374635">
        <w:rPr>
          <w:lang w:val="fr-FR"/>
        </w:rPr>
        <w:t>psig</w:t>
      </w:r>
      <w:proofErr w:type="spellEnd"/>
      <w:r w:rsidRPr="00374635">
        <w:rPr>
          <w:lang w:val="fr-FR"/>
        </w:rPr>
        <w:t>), qui permettrait d</w:t>
      </w:r>
      <w:r>
        <w:rPr>
          <w:lang w:val="fr-FR"/>
        </w:rPr>
        <w:t>’</w:t>
      </w:r>
      <w:r w:rsidRPr="00374635">
        <w:rPr>
          <w:lang w:val="fr-FR"/>
        </w:rPr>
        <w:t xml:space="preserve">exclure toutes les émulsions qui sont activées (et ne sont donc pas des ENA), toutes les émulsions à faible teneur en eau </w:t>
      </w:r>
      <w:r w:rsidR="00294054">
        <w:rPr>
          <w:lang w:val="fr-FR"/>
        </w:rPr>
        <w:t>(&lt;</w:t>
      </w:r>
      <w:r w:rsidRPr="00374635">
        <w:rPr>
          <w:lang w:val="fr-FR"/>
        </w:rPr>
        <w:t>12 %) et les émulsions à teneur en eau intermédiaire (13 à 16 %).</w:t>
      </w:r>
    </w:p>
    <w:p w:rsidR="00FA57A7" w:rsidRPr="00374635" w:rsidRDefault="00FA57A7" w:rsidP="00294054">
      <w:pPr>
        <w:pStyle w:val="HChG"/>
        <w:rPr>
          <w:lang w:val="fr-FR"/>
        </w:rPr>
      </w:pPr>
      <w:r w:rsidRPr="00374635">
        <w:rPr>
          <w:lang w:val="fr-FR"/>
        </w:rPr>
        <w:tab/>
      </w:r>
      <w:r w:rsidRPr="00374635">
        <w:rPr>
          <w:lang w:val="fr-FR"/>
        </w:rPr>
        <w:tab/>
        <w:t>Proposition</w:t>
      </w:r>
    </w:p>
    <w:p w:rsidR="00FA57A7" w:rsidRPr="00374635" w:rsidRDefault="00FA57A7" w:rsidP="00294054">
      <w:pPr>
        <w:pStyle w:val="SingleTxtG"/>
        <w:rPr>
          <w:lang w:val="fr-FR"/>
        </w:rPr>
      </w:pPr>
      <w:r w:rsidRPr="00374635">
        <w:rPr>
          <w:lang w:val="fr-FR"/>
        </w:rPr>
        <w:t>15.</w:t>
      </w:r>
      <w:r w:rsidRPr="00374635">
        <w:rPr>
          <w:lang w:val="fr-FR"/>
        </w:rPr>
        <w:tab/>
        <w:t>Pour permettre aux fabricants d</w:t>
      </w:r>
      <w:r>
        <w:rPr>
          <w:lang w:val="fr-FR"/>
        </w:rPr>
        <w:t>’</w:t>
      </w:r>
      <w:r w:rsidRPr="00374635">
        <w:rPr>
          <w:lang w:val="fr-FR"/>
        </w:rPr>
        <w:t>émulsions d</w:t>
      </w:r>
      <w:r>
        <w:rPr>
          <w:lang w:val="fr-FR"/>
        </w:rPr>
        <w:t>’</w:t>
      </w:r>
      <w:r w:rsidRPr="00374635">
        <w:rPr>
          <w:lang w:val="fr-FR"/>
        </w:rPr>
        <w:t>éprouver et de classer convenablement leurs produits, le Sous-Comité devrait envisager d</w:t>
      </w:r>
      <w:r>
        <w:rPr>
          <w:lang w:val="fr-FR"/>
        </w:rPr>
        <w:t>’</w:t>
      </w:r>
      <w:r w:rsidRPr="00374635">
        <w:rPr>
          <w:lang w:val="fr-FR"/>
        </w:rPr>
        <w:t>adopter, pour les émulsions, l</w:t>
      </w:r>
      <w:r>
        <w:rPr>
          <w:lang w:val="fr-FR"/>
        </w:rPr>
        <w:t>’</w:t>
      </w:r>
      <w:r w:rsidRPr="00374635">
        <w:rPr>
          <w:lang w:val="fr-FR"/>
        </w:rPr>
        <w:t>épreuve de pression minimale de combustion dans le cadre des épreuves de la série 8, assortie d</w:t>
      </w:r>
      <w:r>
        <w:rPr>
          <w:lang w:val="fr-FR"/>
        </w:rPr>
        <w:t>’</w:t>
      </w:r>
      <w:r w:rsidRPr="00374635">
        <w:rPr>
          <w:lang w:val="fr-FR"/>
        </w:rPr>
        <w:t>une valeur limite, en tant qu</w:t>
      </w:r>
      <w:r>
        <w:rPr>
          <w:lang w:val="fr-FR"/>
        </w:rPr>
        <w:t>’</w:t>
      </w:r>
      <w:r w:rsidRPr="00374635">
        <w:rPr>
          <w:lang w:val="fr-FR"/>
        </w:rPr>
        <w:t>épreuve 8 c) ii) (en renumérotant l</w:t>
      </w:r>
      <w:r>
        <w:rPr>
          <w:lang w:val="fr-FR"/>
        </w:rPr>
        <w:t>’</w:t>
      </w:r>
      <w:r w:rsidRPr="00374635">
        <w:rPr>
          <w:lang w:val="fr-FR"/>
        </w:rPr>
        <w:t xml:space="preserve">actuelle épreuve de </w:t>
      </w:r>
      <w:proofErr w:type="spellStart"/>
      <w:r w:rsidRPr="00374635">
        <w:rPr>
          <w:lang w:val="fr-FR"/>
        </w:rPr>
        <w:t>Koenen</w:t>
      </w:r>
      <w:proofErr w:type="spellEnd"/>
      <w:r w:rsidRPr="00374635">
        <w:rPr>
          <w:lang w:val="fr-FR"/>
        </w:rPr>
        <w:t xml:space="preserve"> du type 8 c) en tant qu</w:t>
      </w:r>
      <w:r>
        <w:rPr>
          <w:lang w:val="fr-FR"/>
        </w:rPr>
        <w:t>’</w:t>
      </w:r>
      <w:r w:rsidRPr="00374635">
        <w:rPr>
          <w:lang w:val="fr-FR"/>
        </w:rPr>
        <w:t>épreuve 8 c) i)). Cette épreuve ne serait nécessaire que si la matière donnait un résultat positif à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actuelle (8 c)</w:t>
      </w:r>
      <w:r w:rsidR="003F6DCA">
        <w:rPr>
          <w:lang w:val="fr-FR"/>
        </w:rPr>
        <w:t>)</w:t>
      </w:r>
      <w:r w:rsidRPr="00374635">
        <w:rPr>
          <w:lang w:val="fr-FR"/>
        </w:rPr>
        <w:t>.</w:t>
      </w:r>
    </w:p>
    <w:p w:rsidR="00FA57A7" w:rsidRPr="00374635" w:rsidRDefault="00FA57A7" w:rsidP="00294054">
      <w:pPr>
        <w:pStyle w:val="SingleTxtG"/>
        <w:rPr>
          <w:lang w:val="fr-FR"/>
        </w:rPr>
      </w:pPr>
      <w:r w:rsidRPr="00374635">
        <w:rPr>
          <w:lang w:val="fr-FR"/>
        </w:rPr>
        <w:t>16.</w:t>
      </w:r>
      <w:r w:rsidRPr="00374635">
        <w:rPr>
          <w:lang w:val="fr-FR"/>
        </w:rPr>
        <w:tab/>
        <w:t>Les matières qui donnent un résultat favorable à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ainsi qu</w:t>
      </w:r>
      <w:r>
        <w:rPr>
          <w:lang w:val="fr-FR"/>
        </w:rPr>
        <w:t>’</w:t>
      </w:r>
      <w:r w:rsidRPr="00374635">
        <w:rPr>
          <w:lang w:val="fr-FR"/>
        </w:rPr>
        <w:t>aux</w:t>
      </w:r>
      <w:r w:rsidR="003F6DCA">
        <w:rPr>
          <w:lang w:val="fr-FR"/>
        </w:rPr>
        <w:t> </w:t>
      </w:r>
      <w:r w:rsidRPr="00374635">
        <w:rPr>
          <w:lang w:val="fr-FR"/>
        </w:rPr>
        <w:t>épreuves 8 a) et 8 b) continueraient d</w:t>
      </w:r>
      <w:r>
        <w:rPr>
          <w:lang w:val="fr-FR"/>
        </w:rPr>
        <w:t>’</w:t>
      </w:r>
      <w:r w:rsidRPr="00374635">
        <w:rPr>
          <w:lang w:val="fr-FR"/>
        </w:rPr>
        <w:t>être classées dans la catégorie des ENA (</w:t>
      </w:r>
      <w:r w:rsidR="00294054">
        <w:rPr>
          <w:lang w:val="fr-FR"/>
        </w:rPr>
        <w:t>No</w:t>
      </w:r>
      <w:r w:rsidRPr="00374635">
        <w:rPr>
          <w:lang w:val="fr-FR"/>
        </w:rPr>
        <w:t> ONU 3375) sans qu</w:t>
      </w:r>
      <w:r>
        <w:rPr>
          <w:lang w:val="fr-FR"/>
        </w:rPr>
        <w:t>’</w:t>
      </w:r>
      <w:r w:rsidRPr="00374635">
        <w:rPr>
          <w:lang w:val="fr-FR"/>
        </w:rPr>
        <w:t>il soit nécessaire de les soumettre à l</w:t>
      </w:r>
      <w:r>
        <w:rPr>
          <w:lang w:val="fr-FR"/>
        </w:rPr>
        <w:t>’</w:t>
      </w:r>
      <w:r w:rsidRPr="00374635">
        <w:rPr>
          <w:lang w:val="fr-FR"/>
        </w:rPr>
        <w:t>épreuve de pression minimale de combustion.</w:t>
      </w:r>
    </w:p>
    <w:p w:rsidR="00FA57A7" w:rsidRPr="00374635" w:rsidRDefault="00FA57A7" w:rsidP="00294054">
      <w:pPr>
        <w:pStyle w:val="SingleTxtG"/>
        <w:keepNext/>
        <w:rPr>
          <w:lang w:val="fr-FR"/>
        </w:rPr>
      </w:pPr>
      <w:r w:rsidRPr="00374635">
        <w:rPr>
          <w:lang w:val="fr-FR"/>
        </w:rPr>
        <w:lastRenderedPageBreak/>
        <w:t>17.</w:t>
      </w:r>
      <w:r w:rsidRPr="00374635">
        <w:rPr>
          <w:lang w:val="fr-FR"/>
        </w:rPr>
        <w:tab/>
        <w:t>Il est proposé :</w:t>
      </w:r>
    </w:p>
    <w:p w:rsidR="00FA57A7" w:rsidRPr="00374635" w:rsidRDefault="00FA57A7" w:rsidP="00D422F4">
      <w:pPr>
        <w:pStyle w:val="SingleTxtG"/>
        <w:ind w:left="2268" w:hanging="567"/>
        <w:rPr>
          <w:rFonts w:eastAsia="Times New Roman"/>
          <w:lang w:val="fr-FR"/>
        </w:rPr>
      </w:pPr>
      <w:r w:rsidRPr="00374635">
        <w:rPr>
          <w:rFonts w:eastAsia="Times New Roman"/>
          <w:lang w:val="fr-FR"/>
        </w:rPr>
        <w:t>a)</w:t>
      </w:r>
      <w:r w:rsidRPr="00374635">
        <w:rPr>
          <w:rFonts w:eastAsia="Times New Roman"/>
          <w:lang w:val="fr-FR"/>
        </w:rPr>
        <w:tab/>
        <w:t>De remplacer, dans la troisième case de la figure 10.4 du Manuel d</w:t>
      </w:r>
      <w:r>
        <w:rPr>
          <w:rFonts w:eastAsia="Times New Roman"/>
          <w:lang w:val="fr-FR"/>
        </w:rPr>
        <w:t>’</w:t>
      </w:r>
      <w:r w:rsidRPr="00374635">
        <w:rPr>
          <w:rFonts w:eastAsia="Times New Roman"/>
          <w:lang w:val="fr-FR"/>
        </w:rPr>
        <w:t>épreuves et de critères, « Épreuve 8 c) » par « Épreuve 8 c) i) », en ajoutant la « nouvelle case » qui figure à l</w:t>
      </w:r>
      <w:r>
        <w:rPr>
          <w:rFonts w:eastAsia="Times New Roman"/>
          <w:lang w:val="fr-FR"/>
        </w:rPr>
        <w:t>’</w:t>
      </w:r>
      <w:r w:rsidRPr="00374635">
        <w:rPr>
          <w:rFonts w:eastAsia="Times New Roman"/>
          <w:lang w:val="fr-FR"/>
        </w:rPr>
        <w:t>annexe I du présent document ;</w:t>
      </w:r>
    </w:p>
    <w:p w:rsidR="00FA57A7" w:rsidRPr="00374635" w:rsidRDefault="00FA57A7" w:rsidP="00D422F4">
      <w:pPr>
        <w:pStyle w:val="SingleTxtG"/>
        <w:ind w:left="2268" w:hanging="567"/>
        <w:rPr>
          <w:rFonts w:eastAsia="Times New Roman"/>
          <w:lang w:val="fr-FR"/>
        </w:rPr>
      </w:pPr>
      <w:r w:rsidRPr="00374635">
        <w:rPr>
          <w:rFonts w:eastAsia="Times New Roman"/>
          <w:lang w:val="fr-FR"/>
        </w:rPr>
        <w:t>b)</w:t>
      </w:r>
      <w:r w:rsidRPr="00374635">
        <w:rPr>
          <w:rFonts w:eastAsia="Times New Roman"/>
          <w:lang w:val="fr-FR"/>
        </w:rPr>
        <w:tab/>
        <w:t>De remplacer, dans la troisième case de la figure 2.1.4 du SGH, « Épreuve 8 c) » par « Épreuve 8 c) i) », en ajoutant la « nouvelle case » qui figure à l</w:t>
      </w:r>
      <w:r>
        <w:rPr>
          <w:rFonts w:eastAsia="Times New Roman"/>
          <w:lang w:val="fr-FR"/>
        </w:rPr>
        <w:t>’</w:t>
      </w:r>
      <w:r w:rsidRPr="00374635">
        <w:rPr>
          <w:rFonts w:eastAsia="Times New Roman"/>
          <w:lang w:val="fr-FR"/>
        </w:rPr>
        <w:t>annexe I du présent document ;</w:t>
      </w:r>
    </w:p>
    <w:p w:rsidR="00FA57A7" w:rsidRPr="00374635" w:rsidRDefault="00FA57A7" w:rsidP="00D422F4">
      <w:pPr>
        <w:pStyle w:val="SingleTxtG"/>
        <w:ind w:left="2268" w:hanging="567"/>
        <w:rPr>
          <w:rFonts w:eastAsia="Times New Roman"/>
          <w:lang w:val="fr-FR"/>
        </w:rPr>
      </w:pPr>
      <w:r w:rsidRPr="00374635">
        <w:rPr>
          <w:rFonts w:eastAsia="Times New Roman"/>
          <w:lang w:val="fr-FR"/>
        </w:rPr>
        <w:t>c)</w:t>
      </w:r>
      <w:r w:rsidRPr="00374635">
        <w:rPr>
          <w:rFonts w:eastAsia="Times New Roman"/>
          <w:lang w:val="fr-FR"/>
        </w:rPr>
        <w:tab/>
        <w:t>De remplacer, dans le Manuel d</w:t>
      </w:r>
      <w:r>
        <w:rPr>
          <w:rFonts w:eastAsia="Times New Roman"/>
          <w:lang w:val="fr-FR"/>
        </w:rPr>
        <w:t>’</w:t>
      </w:r>
      <w:r w:rsidRPr="00374635">
        <w:rPr>
          <w:rFonts w:eastAsia="Times New Roman"/>
          <w:lang w:val="fr-FR"/>
        </w:rPr>
        <w:t xml:space="preserve">épreuves et de critères, le titre du 18.6.1 par « Épreuve 8 c) i) : Épreuve de </w:t>
      </w:r>
      <w:proofErr w:type="spellStart"/>
      <w:r w:rsidRPr="00374635">
        <w:rPr>
          <w:rFonts w:eastAsia="Times New Roman"/>
          <w:lang w:val="fr-FR"/>
        </w:rPr>
        <w:t>Koenen</w:t>
      </w:r>
      <w:proofErr w:type="spellEnd"/>
      <w:r w:rsidRPr="00374635">
        <w:rPr>
          <w:rFonts w:eastAsia="Times New Roman"/>
          <w:lang w:val="fr-FR"/>
        </w:rPr>
        <w:t> » ; et</w:t>
      </w:r>
    </w:p>
    <w:p w:rsidR="00FA57A7" w:rsidRPr="00374635" w:rsidRDefault="00FA57A7" w:rsidP="0091397D">
      <w:pPr>
        <w:pStyle w:val="SingleTxtG"/>
        <w:keepNext/>
        <w:ind w:left="2268" w:hanging="567"/>
        <w:rPr>
          <w:rFonts w:eastAsia="Times New Roman"/>
          <w:lang w:val="fr-FR"/>
        </w:rPr>
      </w:pPr>
      <w:r w:rsidRPr="00374635">
        <w:rPr>
          <w:rFonts w:eastAsia="Times New Roman"/>
          <w:lang w:val="fr-FR"/>
        </w:rPr>
        <w:t>d)</w:t>
      </w:r>
      <w:r w:rsidRPr="00374635">
        <w:rPr>
          <w:rFonts w:eastAsia="Times New Roman"/>
          <w:lang w:val="fr-FR"/>
        </w:rPr>
        <w:tab/>
        <w:t>De modifier le paragraphe 18.6.1.4 comme suit :</w:t>
      </w:r>
    </w:p>
    <w:p w:rsidR="00FA57A7" w:rsidRPr="00374635" w:rsidRDefault="00FA57A7" w:rsidP="00D422F4">
      <w:pPr>
        <w:pStyle w:val="SingleTxtG"/>
        <w:ind w:left="2268"/>
        <w:rPr>
          <w:rFonts w:eastAsia="Times New Roman"/>
          <w:u w:val="single"/>
          <w:lang w:val="fr-FR"/>
        </w:rPr>
      </w:pPr>
      <w:r w:rsidRPr="00374635">
        <w:rPr>
          <w:rFonts w:eastAsia="Times New Roman"/>
          <w:lang w:val="fr-FR"/>
        </w:rPr>
        <w:t xml:space="preserve">« On considère que le résultat est positif (+) </w:t>
      </w:r>
      <w:r w:rsidRPr="00374635">
        <w:rPr>
          <w:rFonts w:eastAsia="Times New Roman"/>
          <w:strike/>
          <w:color w:val="FF0000"/>
          <w:lang w:val="fr-FR"/>
        </w:rPr>
        <w:t xml:space="preserve">et que la matière ne doit pas être classée dans la division 5.1 </w:t>
      </w:r>
      <w:r w:rsidRPr="00374635">
        <w:rPr>
          <w:rFonts w:eastAsia="Times New Roman"/>
          <w:lang w:val="fr-FR"/>
        </w:rPr>
        <w:t>si trois résultats négatifs (-) ne peuvent être obtenus lors de cinq épreuves au maximum.</w:t>
      </w:r>
      <w:r w:rsidRPr="0091397D">
        <w:rPr>
          <w:rFonts w:eastAsia="Times New Roman"/>
          <w:color w:val="0070C0"/>
          <w:lang w:val="fr-FR"/>
        </w:rPr>
        <w:t xml:space="preserve"> </w:t>
      </w:r>
      <w:r w:rsidRPr="00374635">
        <w:rPr>
          <w:rFonts w:eastAsia="Times New Roman"/>
          <w:color w:val="0070C0"/>
          <w:u w:val="single"/>
          <w:lang w:val="fr-FR"/>
        </w:rPr>
        <w:t>En pareil cas, la matière susceptible d</w:t>
      </w:r>
      <w:r>
        <w:rPr>
          <w:rFonts w:eastAsia="Times New Roman"/>
          <w:color w:val="0070C0"/>
          <w:u w:val="single"/>
          <w:lang w:val="fr-FR"/>
        </w:rPr>
        <w:t>’</w:t>
      </w:r>
      <w:r w:rsidRPr="00374635">
        <w:rPr>
          <w:rFonts w:eastAsia="Times New Roman"/>
          <w:color w:val="0070C0"/>
          <w:u w:val="single"/>
          <w:lang w:val="fr-FR"/>
        </w:rPr>
        <w:t>être classée comme nitrate d</w:t>
      </w:r>
      <w:r>
        <w:rPr>
          <w:rFonts w:eastAsia="Times New Roman"/>
          <w:color w:val="0070C0"/>
          <w:u w:val="single"/>
          <w:lang w:val="fr-FR"/>
        </w:rPr>
        <w:t>’</w:t>
      </w:r>
      <w:r w:rsidRPr="00374635">
        <w:rPr>
          <w:rFonts w:eastAsia="Times New Roman"/>
          <w:color w:val="0070C0"/>
          <w:u w:val="single"/>
          <w:lang w:val="fr-FR"/>
        </w:rPr>
        <w:t>ammonium en émulsion peut soit être affectée à la classe des matières explosibles, soit être éprouvée conformément à l</w:t>
      </w:r>
      <w:r>
        <w:rPr>
          <w:rFonts w:eastAsia="Times New Roman"/>
          <w:color w:val="0070C0"/>
          <w:u w:val="single"/>
          <w:lang w:val="fr-FR"/>
        </w:rPr>
        <w:t>’</w:t>
      </w:r>
      <w:r w:rsidRPr="00374635">
        <w:rPr>
          <w:rFonts w:eastAsia="Times New Roman"/>
          <w:color w:val="0070C0"/>
          <w:u w:val="single"/>
          <w:lang w:val="fr-FR"/>
        </w:rPr>
        <w:t>épreuve 8 c) ii) (telle qu</w:t>
      </w:r>
      <w:r>
        <w:rPr>
          <w:rFonts w:eastAsia="Times New Roman"/>
          <w:color w:val="0070C0"/>
          <w:u w:val="single"/>
          <w:lang w:val="fr-FR"/>
        </w:rPr>
        <w:t>’</w:t>
      </w:r>
      <w:r w:rsidRPr="00374635">
        <w:rPr>
          <w:rFonts w:eastAsia="Times New Roman"/>
          <w:color w:val="0070C0"/>
          <w:u w:val="single"/>
          <w:lang w:val="fr-FR"/>
        </w:rPr>
        <w:t>elle est décrite au 18.6.2) afin de déterminer si elle peut être classée dans la division 5.1.</w:t>
      </w:r>
      <w:r w:rsidRPr="00AE130B">
        <w:rPr>
          <w:rFonts w:eastAsia="Times New Roman"/>
          <w:lang w:val="fr-FR"/>
        </w:rPr>
        <w:t> </w:t>
      </w:r>
      <w:r w:rsidRPr="0091397D">
        <w:rPr>
          <w:rFonts w:eastAsia="Times New Roman"/>
          <w:lang w:val="fr-FR"/>
        </w:rPr>
        <w:t>».</w:t>
      </w:r>
    </w:p>
    <w:p w:rsidR="00FA57A7" w:rsidRPr="00374635" w:rsidRDefault="00FA57A7" w:rsidP="00D422F4">
      <w:pPr>
        <w:pStyle w:val="SingleTxtG"/>
        <w:ind w:left="2268" w:hanging="567"/>
        <w:rPr>
          <w:rFonts w:eastAsia="Times New Roman"/>
          <w:lang w:val="fr-FR"/>
        </w:rPr>
      </w:pPr>
      <w:r w:rsidRPr="00374635">
        <w:rPr>
          <w:rFonts w:eastAsia="Times New Roman"/>
          <w:lang w:val="fr-FR"/>
        </w:rPr>
        <w:t>e)</w:t>
      </w:r>
      <w:r w:rsidRPr="00374635">
        <w:rPr>
          <w:rFonts w:eastAsia="Times New Roman"/>
          <w:lang w:val="fr-FR"/>
        </w:rPr>
        <w:tab/>
        <w:t>D</w:t>
      </w:r>
      <w:r>
        <w:rPr>
          <w:rFonts w:eastAsia="Times New Roman"/>
          <w:lang w:val="fr-FR"/>
        </w:rPr>
        <w:t>’</w:t>
      </w:r>
      <w:r w:rsidRPr="00374635">
        <w:rPr>
          <w:rFonts w:eastAsia="Times New Roman"/>
          <w:lang w:val="fr-FR"/>
        </w:rPr>
        <w:t>ajouter, dans le Manuel d</w:t>
      </w:r>
      <w:r>
        <w:rPr>
          <w:rFonts w:eastAsia="Times New Roman"/>
          <w:lang w:val="fr-FR"/>
        </w:rPr>
        <w:t>’</w:t>
      </w:r>
      <w:r w:rsidRPr="00374635">
        <w:rPr>
          <w:rFonts w:eastAsia="Times New Roman"/>
          <w:lang w:val="fr-FR"/>
        </w:rPr>
        <w:t>épreuves et de critères, la nouvelle section 18.6.2, telle qu</w:t>
      </w:r>
      <w:r>
        <w:rPr>
          <w:rFonts w:eastAsia="Times New Roman"/>
          <w:lang w:val="fr-FR"/>
        </w:rPr>
        <w:t>’</w:t>
      </w:r>
      <w:r w:rsidRPr="00374635">
        <w:rPr>
          <w:rFonts w:eastAsia="Times New Roman"/>
          <w:lang w:val="fr-FR"/>
        </w:rPr>
        <w:t>elle figure à l</w:t>
      </w:r>
      <w:r>
        <w:rPr>
          <w:rFonts w:eastAsia="Times New Roman"/>
          <w:lang w:val="fr-FR"/>
        </w:rPr>
        <w:t>’</w:t>
      </w:r>
      <w:r w:rsidRPr="00374635">
        <w:rPr>
          <w:rFonts w:eastAsia="Times New Roman"/>
          <w:lang w:val="fr-FR"/>
        </w:rPr>
        <w:t>annexe II du présent document.</w:t>
      </w:r>
    </w:p>
    <w:p w:rsidR="00FA57A7" w:rsidRPr="0091397D" w:rsidRDefault="00FA57A7" w:rsidP="0091397D">
      <w:pPr>
        <w:pStyle w:val="HChG"/>
        <w:rPr>
          <w:sz w:val="20"/>
          <w:lang w:val="fr-FR"/>
        </w:rPr>
      </w:pPr>
      <w:r w:rsidRPr="00374635">
        <w:rPr>
          <w:lang w:val="fr-FR"/>
        </w:rPr>
        <w:br w:type="page"/>
      </w:r>
      <w:r w:rsidRPr="00374635">
        <w:rPr>
          <w:lang w:val="fr-FR"/>
        </w:rPr>
        <w:lastRenderedPageBreak/>
        <w:t>Annexe I</w:t>
      </w:r>
    </w:p>
    <w:p w:rsidR="00FA57A7" w:rsidRPr="00374635" w:rsidRDefault="00FA57A7" w:rsidP="0091397D">
      <w:pPr>
        <w:pStyle w:val="H1G"/>
        <w:rPr>
          <w:lang w:val="fr-FR"/>
        </w:rPr>
      </w:pPr>
      <w:r w:rsidRPr="00374635">
        <w:rPr>
          <w:lang w:val="fr-FR"/>
        </w:rPr>
        <w:tab/>
        <w:t>A.</w:t>
      </w:r>
      <w:r w:rsidRPr="00374635">
        <w:rPr>
          <w:lang w:val="fr-FR"/>
        </w:rPr>
        <w:tab/>
        <w:t>Amendement au Manuel d</w:t>
      </w:r>
      <w:r>
        <w:rPr>
          <w:lang w:val="fr-FR"/>
        </w:rPr>
        <w:t>’</w:t>
      </w:r>
      <w:r w:rsidRPr="00374635">
        <w:rPr>
          <w:lang w:val="fr-FR"/>
        </w:rPr>
        <w:t>épreuves et de critères</w:t>
      </w:r>
    </w:p>
    <w:p w:rsidR="00FA57A7" w:rsidRPr="00374635" w:rsidRDefault="00FA57A7" w:rsidP="00F86CF7">
      <w:pPr>
        <w:pStyle w:val="SingleTxtG"/>
        <w:rPr>
          <w:i/>
          <w:iCs/>
          <w:lang w:val="fr-FR"/>
        </w:rPr>
      </w:pPr>
      <w:r w:rsidRPr="00374635">
        <w:rPr>
          <w:lang w:val="fr-FR"/>
        </w:rPr>
        <w:t>Modifier la figure 10.4 du Manuel d</w:t>
      </w:r>
      <w:r>
        <w:rPr>
          <w:lang w:val="fr-FR"/>
        </w:rPr>
        <w:t>’</w:t>
      </w:r>
      <w:r w:rsidRPr="00374635">
        <w:rPr>
          <w:lang w:val="fr-FR"/>
        </w:rPr>
        <w:t>épreuves et de critères comme suit (</w:t>
      </w:r>
      <w:r w:rsidRPr="005F2F59">
        <w:rPr>
          <w:i/>
          <w:lang w:val="fr-FR"/>
        </w:rPr>
        <w:t xml:space="preserve">les parties nouvelles figurent </w:t>
      </w:r>
      <w:r w:rsidRPr="005F2F59">
        <w:rPr>
          <w:i/>
          <w:iCs/>
          <w:lang w:val="fr-FR"/>
        </w:rPr>
        <w:t xml:space="preserve">en caractères </w:t>
      </w:r>
      <w:r w:rsidRPr="005F2F59">
        <w:rPr>
          <w:i/>
          <w:iCs/>
          <w:color w:val="4F81BD"/>
          <w:lang w:val="fr-FR"/>
        </w:rPr>
        <w:t>bleus</w:t>
      </w:r>
      <w:r w:rsidRPr="005F2F59">
        <w:rPr>
          <w:i/>
          <w:iCs/>
          <w:lang w:val="fr-FR"/>
        </w:rPr>
        <w:t xml:space="preserve"> ou </w:t>
      </w:r>
      <w:r w:rsidRPr="005F2F59">
        <w:rPr>
          <w:i/>
          <w:iCs/>
          <w:color w:val="4F81BD"/>
          <w:u w:val="single"/>
          <w:lang w:val="fr-FR"/>
        </w:rPr>
        <w:t>bleus soulignés</w:t>
      </w:r>
      <w:r w:rsidRPr="005F2F59">
        <w:rPr>
          <w:i/>
          <w:iCs/>
          <w:lang w:val="fr-FR"/>
        </w:rPr>
        <w:t xml:space="preserve"> ; le texte en </w:t>
      </w:r>
      <w:r w:rsidRPr="005F2F59">
        <w:rPr>
          <w:i/>
          <w:iCs/>
          <w:color w:val="00B050"/>
          <w:lang w:val="fr-FR"/>
        </w:rPr>
        <w:t>vert</w:t>
      </w:r>
      <w:r w:rsidRPr="005F2F59">
        <w:rPr>
          <w:i/>
          <w:iCs/>
          <w:lang w:val="fr-FR"/>
        </w:rPr>
        <w:t xml:space="preserve"> est indiqué à titre purement explicatif</w:t>
      </w:r>
      <w:r w:rsidRPr="00374635">
        <w:rPr>
          <w:iCs/>
          <w:lang w:val="fr-FR"/>
        </w:rPr>
        <w:t>) :</w:t>
      </w:r>
    </w:p>
    <w:p w:rsidR="00FA57A7" w:rsidRDefault="00FA57A7" w:rsidP="00317B13">
      <w:pPr>
        <w:pStyle w:val="Heading1"/>
        <w:spacing w:after="240"/>
        <w:rPr>
          <w:b/>
          <w:lang w:val="fr-FR"/>
        </w:rPr>
      </w:pPr>
      <w:r w:rsidRPr="00374635">
        <w:rPr>
          <w:lang w:val="fr-FR"/>
        </w:rPr>
        <w:t xml:space="preserve">Figure </w:t>
      </w:r>
      <w:r w:rsidRPr="00374635">
        <w:rPr>
          <w:lang w:val="fr-FR"/>
        </w:rPr>
        <w:fldChar w:fldCharType="begin"/>
      </w:r>
      <w:r w:rsidRPr="00374635">
        <w:rPr>
          <w:lang w:val="fr-FR"/>
        </w:rPr>
        <w:instrText xml:space="preserve"> SEQ Figure \* ARABIC </w:instrText>
      </w:r>
      <w:r w:rsidRPr="00374635">
        <w:rPr>
          <w:lang w:val="fr-FR"/>
        </w:rPr>
        <w:fldChar w:fldCharType="separate"/>
      </w:r>
      <w:r>
        <w:rPr>
          <w:noProof/>
          <w:lang w:val="fr-FR"/>
        </w:rPr>
        <w:t>1</w:t>
      </w:r>
      <w:r w:rsidRPr="00374635">
        <w:rPr>
          <w:lang w:val="fr-FR"/>
        </w:rPr>
        <w:fldChar w:fldCharType="end"/>
      </w:r>
      <w:r w:rsidR="005F2F59">
        <w:rPr>
          <w:lang w:val="fr-FR"/>
        </w:rPr>
        <w:t>0.4</w:t>
      </w:r>
      <w:r w:rsidR="005F2F59">
        <w:rPr>
          <w:lang w:val="fr-FR"/>
        </w:rPr>
        <w:br/>
      </w:r>
      <w:r w:rsidR="005F2F59" w:rsidRPr="005F2F59">
        <w:rPr>
          <w:b/>
          <w:lang w:val="fr-FR"/>
        </w:rPr>
        <w:t>Procédure pour les nitrates d’ammonium en émulsion, suspension ou gel (</w:t>
      </w:r>
      <w:proofErr w:type="spellStart"/>
      <w:r w:rsidR="005F2F59" w:rsidRPr="005F2F59">
        <w:rPr>
          <w:b/>
          <w:lang w:val="fr-FR"/>
        </w:rPr>
        <w:t>ena</w:t>
      </w:r>
      <w:proofErr w:type="spellEnd"/>
      <w:r w:rsidR="005F2F59" w:rsidRPr="005F2F59">
        <w:rPr>
          <w:b/>
          <w:lang w:val="fr-FR"/>
        </w:rPr>
        <w:t xml:space="preserve">) </w:t>
      </w:r>
      <w:r w:rsidR="005F2F59" w:rsidRPr="005F2F59">
        <w:rPr>
          <w:b/>
          <w:lang w:val="fr-FR"/>
        </w:rPr>
        <w:br/>
        <w:t>servant à la fabrication d’explosifs de mine</w:t>
      </w:r>
    </w:p>
    <w:p w:rsidR="00FA57A7" w:rsidRPr="00FF5545" w:rsidRDefault="00633FD4" w:rsidP="00FF5545">
      <w:pPr>
        <w:pStyle w:val="SingleTxtG"/>
        <w:ind w:right="0"/>
        <w:rPr>
          <w:lang w:val="fr-FR"/>
        </w:rPr>
      </w:pPr>
      <w:r>
        <w:object w:dxaOrig="10125" w:dyaOrig="9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90pt" o:ole="">
            <v:imagedata r:id="rId8" o:title=""/>
          </v:shape>
          <o:OLEObject Type="Embed" ProgID="Visio.Drawing.15" ShapeID="_x0000_i1025" DrawAspect="Content" ObjectID="_1600671974" r:id="rId9"/>
        </w:object>
      </w:r>
    </w:p>
    <w:p w:rsidR="00FA57A7" w:rsidRPr="00374635" w:rsidRDefault="00FA57A7" w:rsidP="00317B13">
      <w:pPr>
        <w:pStyle w:val="H1G"/>
        <w:rPr>
          <w:lang w:val="fr-FR"/>
        </w:rPr>
      </w:pPr>
      <w:r w:rsidRPr="00374635">
        <w:rPr>
          <w:lang w:val="fr-FR"/>
        </w:rPr>
        <w:lastRenderedPageBreak/>
        <w:tab/>
        <w:t>B.</w:t>
      </w:r>
      <w:r w:rsidRPr="00374635">
        <w:rPr>
          <w:lang w:val="fr-FR"/>
        </w:rPr>
        <w:tab/>
        <w:t>Amendement au SGH</w:t>
      </w:r>
    </w:p>
    <w:p w:rsidR="00FA57A7" w:rsidRPr="00374635" w:rsidRDefault="00FA57A7" w:rsidP="00317B13">
      <w:pPr>
        <w:pStyle w:val="SingleTxtG"/>
        <w:keepNext/>
        <w:keepLines/>
        <w:rPr>
          <w:i/>
          <w:lang w:val="fr-FR"/>
        </w:rPr>
      </w:pPr>
      <w:r w:rsidRPr="00374635">
        <w:rPr>
          <w:lang w:val="fr-FR"/>
        </w:rPr>
        <w:t xml:space="preserve">Modifier la figure 2.1.4 du SGH comme suit (les parties nouvelles figurent en caractères </w:t>
      </w:r>
      <w:r w:rsidRPr="00374635">
        <w:rPr>
          <w:color w:val="4F81BD"/>
          <w:lang w:val="fr-FR"/>
        </w:rPr>
        <w:t>bleus</w:t>
      </w:r>
      <w:r w:rsidRPr="00374635">
        <w:rPr>
          <w:lang w:val="fr-FR"/>
        </w:rPr>
        <w:t xml:space="preserve"> ou </w:t>
      </w:r>
      <w:r w:rsidRPr="00374635">
        <w:rPr>
          <w:color w:val="4F81BD"/>
          <w:u w:val="single"/>
          <w:lang w:val="fr-FR"/>
        </w:rPr>
        <w:t>bleus soulignés</w:t>
      </w:r>
      <w:r w:rsidRPr="00374635">
        <w:rPr>
          <w:lang w:val="fr-FR"/>
        </w:rPr>
        <w:t xml:space="preserve"> ; le texte en </w:t>
      </w:r>
      <w:r w:rsidRPr="00374635">
        <w:rPr>
          <w:color w:val="00B050"/>
          <w:lang w:val="fr-FR"/>
        </w:rPr>
        <w:t>vert</w:t>
      </w:r>
      <w:r w:rsidRPr="00374635">
        <w:rPr>
          <w:lang w:val="fr-FR"/>
        </w:rPr>
        <w:t xml:space="preserve"> est indiqué à titre purement explicatif) :</w:t>
      </w:r>
    </w:p>
    <w:p w:rsidR="00FA57A7" w:rsidRDefault="00FA57A7" w:rsidP="00317B13">
      <w:pPr>
        <w:keepNext/>
        <w:keepLines/>
        <w:kinsoku/>
        <w:overflowPunct/>
        <w:autoSpaceDE/>
        <w:autoSpaceDN/>
        <w:adjustRightInd/>
        <w:snapToGrid/>
        <w:spacing w:after="240" w:line="240" w:lineRule="auto"/>
        <w:ind w:left="1134"/>
        <w:rPr>
          <w:b/>
          <w:lang w:val="fr-FR"/>
        </w:rPr>
      </w:pPr>
      <w:r w:rsidRPr="00374635">
        <w:rPr>
          <w:lang w:val="fr-FR"/>
        </w:rPr>
        <w:t xml:space="preserve">Figure </w:t>
      </w:r>
      <w:r w:rsidRPr="00374635">
        <w:rPr>
          <w:lang w:val="fr-FR"/>
        </w:rPr>
        <w:fldChar w:fldCharType="begin"/>
      </w:r>
      <w:r w:rsidRPr="00374635">
        <w:rPr>
          <w:lang w:val="fr-FR"/>
        </w:rPr>
        <w:instrText xml:space="preserve"> SEQ Figure \* ARABIC </w:instrText>
      </w:r>
      <w:r w:rsidRPr="00374635">
        <w:rPr>
          <w:lang w:val="fr-FR"/>
        </w:rPr>
        <w:fldChar w:fldCharType="separate"/>
      </w:r>
      <w:r>
        <w:rPr>
          <w:noProof/>
          <w:lang w:val="fr-FR"/>
        </w:rPr>
        <w:t>2</w:t>
      </w:r>
      <w:r w:rsidRPr="00374635">
        <w:rPr>
          <w:lang w:val="fr-FR"/>
        </w:rPr>
        <w:fldChar w:fldCharType="end"/>
      </w:r>
      <w:r w:rsidRPr="00374635">
        <w:rPr>
          <w:lang w:val="fr-FR"/>
        </w:rPr>
        <w:t>.1.4</w:t>
      </w:r>
      <w:r w:rsidR="0078429B">
        <w:rPr>
          <w:lang w:val="fr-FR"/>
        </w:rPr>
        <w:br/>
      </w:r>
      <w:r w:rsidRPr="0078429B">
        <w:rPr>
          <w:b/>
          <w:lang w:val="fr-FR"/>
        </w:rPr>
        <w:t>Procédure de classification des nitrates d’ammonium en émulsion, suspension ou gel (ENA)</w:t>
      </w:r>
    </w:p>
    <w:p w:rsidR="00FA57A7" w:rsidRPr="00317B13" w:rsidRDefault="00317B13" w:rsidP="00317B13">
      <w:pPr>
        <w:pStyle w:val="SingleTxtG"/>
        <w:keepNext/>
        <w:keepLines/>
        <w:ind w:right="0"/>
        <w:rPr>
          <w:lang w:val="fr-FR"/>
        </w:rPr>
      </w:pPr>
      <w:r>
        <w:object w:dxaOrig="10921" w:dyaOrig="11086">
          <v:shape id="_x0000_i1026" type="#_x0000_t75" style="width:425.25pt;height:6in" o:ole="">
            <v:imagedata r:id="rId10" o:title=""/>
          </v:shape>
          <o:OLEObject Type="Embed" ProgID="Visio.Drawing.15" ShapeID="_x0000_i1026" DrawAspect="Content" ObjectID="_1600671975" r:id="rId11"/>
        </w:object>
      </w:r>
    </w:p>
    <w:p w:rsidR="00FA57A7" w:rsidRPr="00374635" w:rsidRDefault="0078429B" w:rsidP="0078429B">
      <w:pPr>
        <w:pStyle w:val="HChG"/>
        <w:rPr>
          <w:lang w:val="fr-FR"/>
        </w:rPr>
      </w:pPr>
      <w:r>
        <w:rPr>
          <w:lang w:val="fr-FR"/>
        </w:rPr>
        <w:br w:type="page"/>
      </w:r>
      <w:r w:rsidR="00FA57A7" w:rsidRPr="00374635">
        <w:rPr>
          <w:lang w:val="fr-FR"/>
        </w:rPr>
        <w:lastRenderedPageBreak/>
        <w:t>Annexe II</w:t>
      </w:r>
    </w:p>
    <w:p w:rsidR="00FA57A7" w:rsidRDefault="00FA57A7" w:rsidP="0078429B">
      <w:pPr>
        <w:pStyle w:val="SingleTxtG"/>
        <w:rPr>
          <w:lang w:val="fr-FR"/>
        </w:rPr>
      </w:pPr>
      <w:r w:rsidRPr="00374635">
        <w:rPr>
          <w:lang w:val="fr-FR"/>
        </w:rPr>
        <w:t>Ajouter, dans le Manuel d</w:t>
      </w:r>
      <w:r>
        <w:rPr>
          <w:lang w:val="fr-FR"/>
        </w:rPr>
        <w:t>’</w:t>
      </w:r>
      <w:r w:rsidRPr="00374635">
        <w:rPr>
          <w:lang w:val="fr-FR"/>
        </w:rPr>
        <w:t>épreuves et de critères, une nouvelle section 18.6.2, comme suit :</w:t>
      </w:r>
    </w:p>
    <w:p w:rsidR="00FA57A7" w:rsidRDefault="00FA57A7" w:rsidP="00CF296B">
      <w:pPr>
        <w:pStyle w:val="SingleTxtG"/>
        <w:ind w:left="2268" w:hanging="1134"/>
        <w:jc w:val="left"/>
        <w:rPr>
          <w:lang w:val="fr-FR"/>
        </w:rPr>
      </w:pPr>
      <w:r w:rsidRPr="00374635">
        <w:rPr>
          <w:lang w:val="fr-FR"/>
        </w:rPr>
        <w:t>« </w:t>
      </w:r>
      <w:r w:rsidRPr="009619B5">
        <w:rPr>
          <w:b/>
          <w:lang w:val="fr-FR"/>
        </w:rPr>
        <w:t>18.6.2</w:t>
      </w:r>
      <w:r w:rsidRPr="009619B5">
        <w:rPr>
          <w:b/>
          <w:lang w:val="fr-FR"/>
        </w:rPr>
        <w:tab/>
      </w:r>
      <w:r w:rsidRPr="009619B5">
        <w:rPr>
          <w:b/>
          <w:i/>
          <w:lang w:val="fr-FR"/>
        </w:rPr>
        <w:t xml:space="preserve">Épreuve 8 c) ii) : Épreuve de pression minimale de combustion </w:t>
      </w:r>
      <w:r w:rsidR="00CF296B">
        <w:rPr>
          <w:b/>
          <w:i/>
          <w:lang w:val="fr-FR"/>
        </w:rPr>
        <w:br/>
      </w:r>
      <w:r w:rsidRPr="009619B5">
        <w:rPr>
          <w:b/>
          <w:i/>
          <w:lang w:val="fr-FR"/>
        </w:rPr>
        <w:t xml:space="preserve">du </w:t>
      </w:r>
      <w:proofErr w:type="spellStart"/>
      <w:r w:rsidRPr="009619B5">
        <w:rPr>
          <w:b/>
          <w:i/>
          <w:lang w:val="fr-FR"/>
        </w:rPr>
        <w:t>CanmetLCRE</w:t>
      </w:r>
      <w:proofErr w:type="spellEnd"/>
    </w:p>
    <w:p w:rsidR="00FA57A7" w:rsidRPr="00374635" w:rsidRDefault="00FA57A7" w:rsidP="00C13659">
      <w:pPr>
        <w:pStyle w:val="SingleTxtG"/>
        <w:keepNext/>
        <w:ind w:left="2268" w:hanging="1134"/>
        <w:jc w:val="left"/>
        <w:rPr>
          <w:rFonts w:eastAsia="Times New Roman"/>
          <w:i/>
          <w:iCs/>
          <w:lang w:val="fr-FR"/>
        </w:rPr>
      </w:pPr>
      <w:r w:rsidRPr="00374635">
        <w:rPr>
          <w:rFonts w:eastAsia="Times New Roman"/>
          <w:lang w:val="fr-FR"/>
        </w:rPr>
        <w:t>18.6.2.1</w:t>
      </w:r>
      <w:r w:rsidRPr="00374635">
        <w:rPr>
          <w:rFonts w:eastAsia="Times New Roman"/>
          <w:lang w:val="fr-FR"/>
        </w:rPr>
        <w:tab/>
      </w:r>
      <w:r w:rsidRPr="00374635">
        <w:rPr>
          <w:rFonts w:eastAsia="Times New Roman"/>
          <w:i/>
          <w:iCs/>
          <w:lang w:val="fr-FR"/>
        </w:rPr>
        <w:t>Introduction</w:t>
      </w:r>
    </w:p>
    <w:p w:rsidR="00FA57A7" w:rsidRPr="00374635" w:rsidRDefault="00FA57A7" w:rsidP="009619B5">
      <w:pPr>
        <w:tabs>
          <w:tab w:val="left" w:pos="2268"/>
        </w:tabs>
        <w:kinsoku/>
        <w:overflowPunct/>
        <w:autoSpaceDE/>
        <w:autoSpaceDN/>
        <w:adjustRightInd/>
        <w:snapToGrid/>
        <w:spacing w:after="120" w:line="240" w:lineRule="auto"/>
        <w:ind w:left="2268" w:right="1134"/>
        <w:jc w:val="both"/>
        <w:rPr>
          <w:rFonts w:eastAsia="Times New Roman"/>
          <w:lang w:val="fr-FR"/>
        </w:rPr>
      </w:pPr>
      <w:r w:rsidRPr="00374635">
        <w:rPr>
          <w:rFonts w:eastAsia="Times New Roman"/>
          <w:lang w:val="fr-FR"/>
        </w:rPr>
        <w:tab/>
        <w:t>Cette épreuve sert à déterminer la sensibilité d</w:t>
      </w:r>
      <w:r>
        <w:rPr>
          <w:rFonts w:eastAsia="Times New Roman"/>
          <w:lang w:val="fr-FR"/>
        </w:rPr>
        <w:t>’</w:t>
      </w:r>
      <w:r w:rsidRPr="00374635">
        <w:rPr>
          <w:rFonts w:eastAsia="Times New Roman"/>
          <w:lang w:val="fr-FR"/>
        </w:rPr>
        <w:t>une matière susceptible d</w:t>
      </w:r>
      <w:r>
        <w:rPr>
          <w:rFonts w:eastAsia="Times New Roman"/>
          <w:lang w:val="fr-FR"/>
        </w:rPr>
        <w:t>’</w:t>
      </w:r>
      <w:r w:rsidRPr="00374635">
        <w:rPr>
          <w:rFonts w:eastAsia="Times New Roman"/>
          <w:lang w:val="fr-FR"/>
        </w:rPr>
        <w:t>être classée comme nitrate d</w:t>
      </w:r>
      <w:r>
        <w:rPr>
          <w:rFonts w:eastAsia="Times New Roman"/>
          <w:lang w:val="fr-FR"/>
        </w:rPr>
        <w:t>’</w:t>
      </w:r>
      <w:r w:rsidRPr="00374635">
        <w:rPr>
          <w:rFonts w:eastAsia="Times New Roman"/>
          <w:lang w:val="fr-FR"/>
        </w:rPr>
        <w:t>ammonium en émulsion, suspension ou gel servant à la fabrication d</w:t>
      </w:r>
      <w:r>
        <w:rPr>
          <w:rFonts w:eastAsia="Times New Roman"/>
          <w:lang w:val="fr-FR"/>
        </w:rPr>
        <w:t>’</w:t>
      </w:r>
      <w:r w:rsidRPr="00374635">
        <w:rPr>
          <w:rFonts w:eastAsia="Times New Roman"/>
          <w:lang w:val="fr-FR"/>
        </w:rPr>
        <w:t>explosifs de mine à l</w:t>
      </w:r>
      <w:r>
        <w:rPr>
          <w:rFonts w:eastAsia="Times New Roman"/>
          <w:lang w:val="fr-FR"/>
        </w:rPr>
        <w:t>’</w:t>
      </w:r>
      <w:r w:rsidRPr="00374635">
        <w:rPr>
          <w:rFonts w:eastAsia="Times New Roman"/>
          <w:lang w:val="fr-FR"/>
        </w:rPr>
        <w:t>effet d</w:t>
      </w:r>
      <w:r>
        <w:rPr>
          <w:rFonts w:eastAsia="Times New Roman"/>
          <w:lang w:val="fr-FR"/>
        </w:rPr>
        <w:t>’</w:t>
      </w:r>
      <w:r w:rsidRPr="00374635">
        <w:rPr>
          <w:rFonts w:eastAsia="Times New Roman"/>
          <w:lang w:val="fr-FR"/>
        </w:rPr>
        <w:t xml:space="preserve">une inflammation localisée sous fort confinement. </w:t>
      </w:r>
      <w:r w:rsidRPr="009619B5">
        <w:rPr>
          <w:rFonts w:eastAsia="Times New Roman"/>
          <w:lang w:val="fr-FR"/>
        </w:rPr>
        <w:t>Elle peut être exécutée en cas de résultat positif (+) à l’épreuve 8 c) i).</w:t>
      </w:r>
    </w:p>
    <w:p w:rsidR="00FA57A7" w:rsidRPr="00374635" w:rsidRDefault="00FA57A7" w:rsidP="00C13659">
      <w:pPr>
        <w:pStyle w:val="SingleTxtG"/>
        <w:keepNext/>
        <w:ind w:left="2268" w:hanging="1134"/>
        <w:jc w:val="left"/>
        <w:rPr>
          <w:rFonts w:eastAsia="Times New Roman"/>
          <w:lang w:val="fr-FR" w:eastAsia="en-CA"/>
        </w:rPr>
      </w:pPr>
      <w:r w:rsidRPr="00374635">
        <w:rPr>
          <w:rFonts w:eastAsia="Times New Roman"/>
          <w:lang w:val="fr-FR"/>
        </w:rPr>
        <w:t>18.6.2.2</w:t>
      </w:r>
      <w:r w:rsidRPr="00374635">
        <w:rPr>
          <w:rFonts w:eastAsia="Times New Roman"/>
          <w:lang w:val="fr-FR"/>
        </w:rPr>
        <w:tab/>
      </w:r>
      <w:r w:rsidRPr="00374635">
        <w:rPr>
          <w:rFonts w:eastAsia="Times New Roman"/>
          <w:i/>
          <w:lang w:val="fr-FR"/>
        </w:rPr>
        <w:t>Appareillage et matériels</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18.6.2.2.1</w:t>
      </w:r>
      <w:r w:rsidRPr="00374635">
        <w:rPr>
          <w:rFonts w:eastAsia="Times New Roman"/>
          <w:lang w:val="fr-FR"/>
        </w:rPr>
        <w:tab/>
        <w:t>Les échantillons sont placés dans de petits tubes d</w:t>
      </w:r>
      <w:r>
        <w:rPr>
          <w:rFonts w:eastAsia="Times New Roman"/>
          <w:lang w:val="fr-FR"/>
        </w:rPr>
        <w:t>’</w:t>
      </w:r>
      <w:r w:rsidRPr="00374635">
        <w:rPr>
          <w:rFonts w:eastAsia="Times New Roman"/>
          <w:lang w:val="fr-FR"/>
        </w:rPr>
        <w:t>acier cylindriques (les chambres d</w:t>
      </w:r>
      <w:r>
        <w:rPr>
          <w:rFonts w:eastAsia="Times New Roman"/>
          <w:lang w:val="fr-FR"/>
        </w:rPr>
        <w:t>’</w:t>
      </w:r>
      <w:r w:rsidRPr="00374635">
        <w:rPr>
          <w:rFonts w:eastAsia="Times New Roman"/>
          <w:lang w:val="fr-FR"/>
        </w:rPr>
        <w:t>épreuve) d</w:t>
      </w:r>
      <w:r>
        <w:rPr>
          <w:rFonts w:eastAsia="Times New Roman"/>
          <w:lang w:val="fr-FR"/>
        </w:rPr>
        <w:t>’</w:t>
      </w:r>
      <w:r w:rsidRPr="00374635">
        <w:rPr>
          <w:rFonts w:eastAsia="Times New Roman"/>
          <w:lang w:val="fr-FR"/>
        </w:rPr>
        <w:t>une longueur de 7,6 cm et d</w:t>
      </w:r>
      <w:r>
        <w:rPr>
          <w:rFonts w:eastAsia="Times New Roman"/>
          <w:lang w:val="fr-FR"/>
        </w:rPr>
        <w:t>’</w:t>
      </w:r>
      <w:r w:rsidRPr="00374635">
        <w:rPr>
          <w:rFonts w:eastAsia="Times New Roman"/>
          <w:lang w:val="fr-FR"/>
        </w:rPr>
        <w:t>un diamètre intérieur d</w:t>
      </w:r>
      <w:r>
        <w:rPr>
          <w:rFonts w:eastAsia="Times New Roman"/>
          <w:lang w:val="fr-FR"/>
        </w:rPr>
        <w:t>’</w:t>
      </w:r>
      <w:r w:rsidRPr="00374635">
        <w:rPr>
          <w:rFonts w:eastAsia="Times New Roman"/>
          <w:lang w:val="fr-FR"/>
        </w:rPr>
        <w:t>au moins 1,6 cm. Une ouverture large de 3 mm doit être usinée dans l</w:t>
      </w:r>
      <w:r>
        <w:rPr>
          <w:rFonts w:eastAsia="Times New Roman"/>
          <w:lang w:val="fr-FR"/>
        </w:rPr>
        <w:t>’</w:t>
      </w:r>
      <w:r w:rsidRPr="00374635">
        <w:rPr>
          <w:rFonts w:eastAsia="Times New Roman"/>
          <w:lang w:val="fr-FR"/>
        </w:rPr>
        <w:t>axe de chaque chambre d</w:t>
      </w:r>
      <w:r>
        <w:rPr>
          <w:rFonts w:eastAsia="Times New Roman"/>
          <w:lang w:val="fr-FR"/>
        </w:rPr>
        <w:t>’</w:t>
      </w:r>
      <w:r w:rsidRPr="00374635">
        <w:rPr>
          <w:rFonts w:eastAsia="Times New Roman"/>
          <w:lang w:val="fr-FR"/>
        </w:rPr>
        <w:t>épreuve pour permettre l</w:t>
      </w:r>
      <w:r>
        <w:rPr>
          <w:rFonts w:eastAsia="Times New Roman"/>
          <w:lang w:val="fr-FR"/>
        </w:rPr>
        <w:t>’</w:t>
      </w:r>
      <w:r w:rsidRPr="00374635">
        <w:rPr>
          <w:rFonts w:eastAsia="Times New Roman"/>
          <w:lang w:val="fr-FR"/>
        </w:rPr>
        <w:t>échappement des gaz de combustion lors des épreuves (fig. 18.6.2.1). L</w:t>
      </w:r>
      <w:r>
        <w:rPr>
          <w:rFonts w:eastAsia="Times New Roman"/>
          <w:lang w:val="fr-FR"/>
        </w:rPr>
        <w:t>’</w:t>
      </w:r>
      <w:r w:rsidRPr="00374635">
        <w:rPr>
          <w:rFonts w:eastAsia="Times New Roman"/>
          <w:lang w:val="fr-FR"/>
        </w:rPr>
        <w:t>intérieur de chaque chambre doit être revêtu d</w:t>
      </w:r>
      <w:r>
        <w:rPr>
          <w:rFonts w:eastAsia="Times New Roman"/>
          <w:lang w:val="fr-FR"/>
        </w:rPr>
        <w:t>’</w:t>
      </w:r>
      <w:r w:rsidRPr="00374635">
        <w:rPr>
          <w:rFonts w:eastAsia="Times New Roman"/>
          <w:lang w:val="fr-FR"/>
        </w:rPr>
        <w:t>une peinture haute température non conductrice. L</w:t>
      </w:r>
      <w:r>
        <w:rPr>
          <w:rFonts w:eastAsia="Times New Roman"/>
          <w:lang w:val="fr-FR"/>
        </w:rPr>
        <w:t>’</w:t>
      </w:r>
      <w:r w:rsidRPr="00374635">
        <w:rPr>
          <w:rFonts w:eastAsia="Times New Roman"/>
          <w:lang w:val="fr-FR"/>
        </w:rPr>
        <w:t>échantillon doit être inséré avec prudence dans la chambre d</w:t>
      </w:r>
      <w:r>
        <w:rPr>
          <w:rFonts w:eastAsia="Times New Roman"/>
          <w:lang w:val="fr-FR"/>
        </w:rPr>
        <w:t>’</w:t>
      </w:r>
      <w:r w:rsidRPr="00374635">
        <w:rPr>
          <w:rFonts w:eastAsia="Times New Roman"/>
          <w:lang w:val="fr-FR"/>
        </w:rPr>
        <w:t>épreuve pour éviter la cristallisation de celui-ci et la création de vides d</w:t>
      </w:r>
      <w:r>
        <w:rPr>
          <w:rFonts w:eastAsia="Times New Roman"/>
          <w:lang w:val="fr-FR"/>
        </w:rPr>
        <w:t>’</w:t>
      </w:r>
      <w:r w:rsidRPr="00374635">
        <w:rPr>
          <w:rFonts w:eastAsia="Times New Roman"/>
          <w:lang w:val="fr-FR"/>
        </w:rPr>
        <w:t>air. Une fois le filament d</w:t>
      </w:r>
      <w:r>
        <w:rPr>
          <w:rFonts w:eastAsia="Times New Roman"/>
          <w:lang w:val="fr-FR"/>
        </w:rPr>
        <w:t>’</w:t>
      </w:r>
      <w:r w:rsidRPr="00374635">
        <w:rPr>
          <w:rFonts w:eastAsia="Times New Roman"/>
          <w:lang w:val="fr-FR"/>
        </w:rPr>
        <w:t>allumage placé dans l</w:t>
      </w:r>
      <w:r>
        <w:rPr>
          <w:rFonts w:eastAsia="Times New Roman"/>
          <w:lang w:val="fr-FR"/>
        </w:rPr>
        <w:t>’</w:t>
      </w:r>
      <w:r w:rsidRPr="00374635">
        <w:rPr>
          <w:rFonts w:eastAsia="Times New Roman"/>
          <w:lang w:val="fr-FR"/>
        </w:rPr>
        <w:t>échantillon (voir 18.6.2.2.2), chaque extrémité de la chambre est obturée à l</w:t>
      </w:r>
      <w:r>
        <w:rPr>
          <w:rFonts w:eastAsia="Times New Roman"/>
          <w:lang w:val="fr-FR"/>
        </w:rPr>
        <w:t>’</w:t>
      </w:r>
      <w:r w:rsidRPr="00374635">
        <w:rPr>
          <w:rFonts w:eastAsia="Times New Roman"/>
          <w:lang w:val="fr-FR"/>
        </w:rPr>
        <w:t>aide de bouchons en néoprène n</w:t>
      </w:r>
      <w:r w:rsidRPr="00374635">
        <w:rPr>
          <w:rFonts w:eastAsia="Times New Roman"/>
          <w:vertAlign w:val="superscript"/>
          <w:lang w:val="fr-FR"/>
        </w:rPr>
        <w:t>o</w:t>
      </w:r>
      <w:r w:rsidRPr="00374635">
        <w:rPr>
          <w:rFonts w:eastAsia="Times New Roman"/>
          <w:lang w:val="fr-FR"/>
        </w:rPr>
        <w:t> 0 dont la face intérieure doit être alésée de sorte à pouvoir recevoir les raccords du dispositif d</w:t>
      </w:r>
      <w:r>
        <w:rPr>
          <w:rFonts w:eastAsia="Times New Roman"/>
          <w:lang w:val="fr-FR"/>
        </w:rPr>
        <w:t>’</w:t>
      </w:r>
      <w:r w:rsidRPr="00374635">
        <w:rPr>
          <w:rFonts w:eastAsia="Times New Roman"/>
          <w:lang w:val="fr-FR"/>
        </w:rPr>
        <w:t xml:space="preserve">allumage. </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18.6.2.2.2</w:t>
      </w:r>
      <w:r w:rsidRPr="00374635">
        <w:rPr>
          <w:rFonts w:eastAsia="Times New Roman"/>
          <w:lang w:val="fr-FR"/>
        </w:rPr>
        <w:tab/>
        <w:t>L</w:t>
      </w:r>
      <w:r>
        <w:rPr>
          <w:rFonts w:eastAsia="Times New Roman"/>
          <w:lang w:val="fr-FR"/>
        </w:rPr>
        <w:t>’</w:t>
      </w:r>
      <w:r w:rsidRPr="00374635">
        <w:rPr>
          <w:rFonts w:eastAsia="Times New Roman"/>
          <w:lang w:val="fr-FR"/>
        </w:rPr>
        <w:t>allumage se fait au moyen d</w:t>
      </w:r>
      <w:r>
        <w:rPr>
          <w:rFonts w:eastAsia="Times New Roman"/>
          <w:lang w:val="fr-FR"/>
        </w:rPr>
        <w:t>’</w:t>
      </w:r>
      <w:r w:rsidRPr="00374635">
        <w:rPr>
          <w:rFonts w:eastAsia="Times New Roman"/>
          <w:lang w:val="fr-FR"/>
        </w:rPr>
        <w:t>un filament en alliage 60 % nickel-16 % chrome d</w:t>
      </w:r>
      <w:r>
        <w:rPr>
          <w:rFonts w:eastAsia="Times New Roman"/>
          <w:lang w:val="fr-FR"/>
        </w:rPr>
        <w:t>’</w:t>
      </w:r>
      <w:r w:rsidRPr="00374635">
        <w:rPr>
          <w:rFonts w:eastAsia="Times New Roman"/>
          <w:lang w:val="fr-FR"/>
        </w:rPr>
        <w:t>un diamètre de 0,51 mm (résistance nominale de 5,5 Ω m</w:t>
      </w:r>
      <w:r w:rsidRPr="00374635">
        <w:rPr>
          <w:rFonts w:eastAsia="Times New Roman"/>
          <w:vertAlign w:val="superscript"/>
          <w:lang w:val="fr-FR"/>
        </w:rPr>
        <w:t>-1</w:t>
      </w:r>
      <w:r w:rsidRPr="00374635">
        <w:rPr>
          <w:rFonts w:eastAsia="Times New Roman"/>
          <w:lang w:val="fr-FR"/>
        </w:rPr>
        <w:t xml:space="preserve"> à 20° C) et d</w:t>
      </w:r>
      <w:r>
        <w:rPr>
          <w:rFonts w:eastAsia="Times New Roman"/>
          <w:lang w:val="fr-FR"/>
        </w:rPr>
        <w:t>’</w:t>
      </w:r>
      <w:r w:rsidRPr="00374635">
        <w:rPr>
          <w:rFonts w:eastAsia="Times New Roman"/>
          <w:lang w:val="fr-FR"/>
        </w:rPr>
        <w:t>une longueur de 7 cm. À l</w:t>
      </w:r>
      <w:r>
        <w:rPr>
          <w:rFonts w:eastAsia="Times New Roman"/>
          <w:lang w:val="fr-FR"/>
        </w:rPr>
        <w:t>’</w:t>
      </w:r>
      <w:r w:rsidRPr="00374635">
        <w:rPr>
          <w:rFonts w:eastAsia="Times New Roman"/>
          <w:lang w:val="fr-FR"/>
        </w:rPr>
        <w:t>aide de raccords appropriés, les deux extrémités du filament d</w:t>
      </w:r>
      <w:r>
        <w:rPr>
          <w:rFonts w:eastAsia="Times New Roman"/>
          <w:lang w:val="fr-FR"/>
        </w:rPr>
        <w:t>’</w:t>
      </w:r>
      <w:r w:rsidRPr="00374635">
        <w:rPr>
          <w:rFonts w:eastAsia="Times New Roman"/>
          <w:lang w:val="fr-FR"/>
        </w:rPr>
        <w:t>allumage doivent être épissées sur 50 cm de fil de cuivre nu à âme pleine d</w:t>
      </w:r>
      <w:r>
        <w:rPr>
          <w:rFonts w:eastAsia="Times New Roman"/>
          <w:lang w:val="fr-FR"/>
        </w:rPr>
        <w:t>’</w:t>
      </w:r>
      <w:r w:rsidRPr="00374635">
        <w:rPr>
          <w:rFonts w:eastAsia="Times New Roman"/>
          <w:lang w:val="fr-FR"/>
        </w:rPr>
        <w:t>un diamètre de 14 AWG (American Wire Gauge) (1,628 mm). Le filament d</w:t>
      </w:r>
      <w:r>
        <w:rPr>
          <w:rFonts w:eastAsia="Times New Roman"/>
          <w:lang w:val="fr-FR"/>
        </w:rPr>
        <w:t>’</w:t>
      </w:r>
      <w:r w:rsidRPr="00374635">
        <w:rPr>
          <w:rFonts w:eastAsia="Times New Roman"/>
          <w:lang w:val="fr-FR"/>
        </w:rPr>
        <w:t>allumage est placé dans l</w:t>
      </w:r>
      <w:r>
        <w:rPr>
          <w:rFonts w:eastAsia="Times New Roman"/>
          <w:lang w:val="fr-FR"/>
        </w:rPr>
        <w:t>’</w:t>
      </w:r>
      <w:r w:rsidRPr="00374635">
        <w:rPr>
          <w:rFonts w:eastAsia="Times New Roman"/>
          <w:lang w:val="fr-FR"/>
        </w:rPr>
        <w:t>échantillon, dans l</w:t>
      </w:r>
      <w:r>
        <w:rPr>
          <w:rFonts w:eastAsia="Times New Roman"/>
          <w:lang w:val="fr-FR"/>
        </w:rPr>
        <w:t>’</w:t>
      </w:r>
      <w:r w:rsidRPr="00374635">
        <w:rPr>
          <w:rFonts w:eastAsia="Times New Roman"/>
          <w:lang w:val="fr-FR"/>
        </w:rPr>
        <w:t>axe de la chambre d</w:t>
      </w:r>
      <w:r>
        <w:rPr>
          <w:rFonts w:eastAsia="Times New Roman"/>
          <w:lang w:val="fr-FR"/>
        </w:rPr>
        <w:t>’</w:t>
      </w:r>
      <w:r w:rsidRPr="00374635">
        <w:rPr>
          <w:rFonts w:eastAsia="Times New Roman"/>
          <w:lang w:val="fr-FR"/>
        </w:rPr>
        <w:t>épreuve. Une fois les bouchons en néoprène en place, les fils en cuivre nus sont tordus à 90° de sorte que le filament d</w:t>
      </w:r>
      <w:r>
        <w:rPr>
          <w:rFonts w:eastAsia="Times New Roman"/>
          <w:lang w:val="fr-FR"/>
        </w:rPr>
        <w:t>’</w:t>
      </w:r>
      <w:r w:rsidRPr="00374635">
        <w:rPr>
          <w:rFonts w:eastAsia="Times New Roman"/>
          <w:lang w:val="fr-FR"/>
        </w:rPr>
        <w:t>allumage soit droit dans le sens de l</w:t>
      </w:r>
      <w:r>
        <w:rPr>
          <w:rFonts w:eastAsia="Times New Roman"/>
          <w:lang w:val="fr-FR"/>
        </w:rPr>
        <w:t>’</w:t>
      </w:r>
      <w:r w:rsidRPr="00374635">
        <w:rPr>
          <w:rFonts w:eastAsia="Times New Roman"/>
          <w:lang w:val="fr-FR"/>
        </w:rPr>
        <w:t>axe.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18.6.2.2.3</w:t>
      </w:r>
      <w:r w:rsidRPr="00374635">
        <w:rPr>
          <w:rFonts w:eastAsia="Times New Roman"/>
          <w:lang w:val="fr-FR"/>
        </w:rPr>
        <w:tab/>
        <w:t>La chambre d</w:t>
      </w:r>
      <w:r>
        <w:rPr>
          <w:rFonts w:eastAsia="Times New Roman"/>
          <w:lang w:val="fr-FR"/>
        </w:rPr>
        <w:t>’</w:t>
      </w:r>
      <w:r w:rsidRPr="00374635">
        <w:rPr>
          <w:rFonts w:eastAsia="Times New Roman"/>
          <w:lang w:val="fr-FR"/>
        </w:rPr>
        <w:t>épreuve susmentionnée est placée dans une bombe de sorte que son axe se trouve à l</w:t>
      </w:r>
      <w:r>
        <w:rPr>
          <w:rFonts w:eastAsia="Times New Roman"/>
          <w:lang w:val="fr-FR"/>
        </w:rPr>
        <w:t>’</w:t>
      </w:r>
      <w:r w:rsidRPr="00374635">
        <w:rPr>
          <w:rFonts w:eastAsia="Times New Roman"/>
          <w:lang w:val="fr-FR"/>
        </w:rPr>
        <w:t>horizontale, avec l</w:t>
      </w:r>
      <w:r>
        <w:rPr>
          <w:rFonts w:eastAsia="Times New Roman"/>
          <w:lang w:val="fr-FR"/>
        </w:rPr>
        <w:t>’</w:t>
      </w:r>
      <w:r w:rsidRPr="00374635">
        <w:rPr>
          <w:rFonts w:eastAsia="Times New Roman"/>
          <w:lang w:val="fr-FR"/>
        </w:rPr>
        <w:t>ouverture sur le dessus (fig. 18.6.2.2). Il est recommandé que la bombe ait un volume minimum de 4</w:t>
      </w:r>
      <w:r w:rsidR="00736B51">
        <w:rPr>
          <w:rFonts w:eastAsia="Times New Roman"/>
          <w:lang w:val="fr-FR"/>
        </w:rPr>
        <w:t> </w:t>
      </w:r>
      <w:r w:rsidRPr="00374635">
        <w:rPr>
          <w:rFonts w:eastAsia="Times New Roman"/>
          <w:lang w:val="fr-FR"/>
        </w:rPr>
        <w:t>l et une résistance à la pression de fonctionnement de 20,8 MPa (soit 3</w:t>
      </w:r>
      <w:r w:rsidR="00736B51">
        <w:rPr>
          <w:rFonts w:eastAsia="Times New Roman"/>
          <w:lang w:val="fr-FR"/>
        </w:rPr>
        <w:t> </w:t>
      </w:r>
      <w:r w:rsidRPr="00374635">
        <w:rPr>
          <w:rFonts w:eastAsia="Times New Roman"/>
          <w:lang w:val="fr-FR"/>
        </w:rPr>
        <w:t>000</w:t>
      </w:r>
      <w:r w:rsidR="00736B51">
        <w:rPr>
          <w:rFonts w:eastAsia="Times New Roman"/>
          <w:lang w:val="fr-FR"/>
        </w:rPr>
        <w:t> </w:t>
      </w:r>
      <w:r w:rsidRPr="00374635">
        <w:rPr>
          <w:rFonts w:eastAsia="Times New Roman"/>
          <w:lang w:val="fr-FR"/>
        </w:rPr>
        <w:t>psi effectifs). La bombe doit être pourvue de deux électrodes de traversée rigides isolées capables de transmettre un courant d</w:t>
      </w:r>
      <w:r>
        <w:rPr>
          <w:rFonts w:eastAsia="Times New Roman"/>
          <w:lang w:val="fr-FR"/>
        </w:rPr>
        <w:t>’</w:t>
      </w:r>
      <w:r w:rsidRPr="00374635">
        <w:rPr>
          <w:rFonts w:eastAsia="Times New Roman"/>
          <w:lang w:val="fr-FR"/>
        </w:rPr>
        <w:t>une intensité de 20 A et scellées de sorte à subir une pression nominale équivalente à celle de la bombe. Pour des raisons de sécurité, il est recommandé que la bombe soit placée dans une salle d</w:t>
      </w:r>
      <w:r>
        <w:rPr>
          <w:rFonts w:eastAsia="Times New Roman"/>
          <w:lang w:val="fr-FR"/>
        </w:rPr>
        <w:t>’</w:t>
      </w:r>
      <w:r w:rsidRPr="00374635">
        <w:rPr>
          <w:rFonts w:eastAsia="Times New Roman"/>
          <w:lang w:val="fr-FR"/>
        </w:rPr>
        <w:t>épreuve protégée et qu</w:t>
      </w:r>
      <w:r>
        <w:rPr>
          <w:rFonts w:eastAsia="Times New Roman"/>
          <w:lang w:val="fr-FR"/>
        </w:rPr>
        <w:t>’</w:t>
      </w:r>
      <w:r w:rsidRPr="00374635">
        <w:rPr>
          <w:rFonts w:eastAsia="Times New Roman"/>
          <w:lang w:val="fr-FR"/>
        </w:rPr>
        <w:t>elle soit équipée de disques de rupture pour permettre l</w:t>
      </w:r>
      <w:r>
        <w:rPr>
          <w:rFonts w:eastAsia="Times New Roman"/>
          <w:lang w:val="fr-FR"/>
        </w:rPr>
        <w:t>’</w:t>
      </w:r>
      <w:r w:rsidRPr="00374635">
        <w:rPr>
          <w:rFonts w:eastAsia="Times New Roman"/>
          <w:lang w:val="fr-FR"/>
        </w:rPr>
        <w:t>évacuation du contenu de la bombe à une pression légèrement inférieure à sa pression maximale de fonctionnement. La bombe doit aussi être équipée d</w:t>
      </w:r>
      <w:r>
        <w:rPr>
          <w:rFonts w:eastAsia="Times New Roman"/>
          <w:lang w:val="fr-FR"/>
        </w:rPr>
        <w:t>’</w:t>
      </w:r>
      <w:r w:rsidRPr="00374635">
        <w:rPr>
          <w:rFonts w:eastAsia="Times New Roman"/>
          <w:lang w:val="fr-FR"/>
        </w:rPr>
        <w:t>une entrée et d</w:t>
      </w:r>
      <w:r>
        <w:rPr>
          <w:rFonts w:eastAsia="Times New Roman"/>
          <w:lang w:val="fr-FR"/>
        </w:rPr>
        <w:t>’</w:t>
      </w:r>
      <w:r w:rsidRPr="00374635">
        <w:rPr>
          <w:rFonts w:eastAsia="Times New Roman"/>
          <w:lang w:val="fr-FR"/>
        </w:rPr>
        <w:t>une sortie. Afin que l</w:t>
      </w:r>
      <w:r>
        <w:rPr>
          <w:rFonts w:eastAsia="Times New Roman"/>
          <w:lang w:val="fr-FR"/>
        </w:rPr>
        <w:t>’</w:t>
      </w:r>
      <w:r w:rsidRPr="00374635">
        <w:rPr>
          <w:rFonts w:eastAsia="Times New Roman"/>
          <w:lang w:val="fr-FR"/>
        </w:rPr>
        <w:t>on puisse purger la bombe après une épreuve, la sortie doit être équipée d</w:t>
      </w:r>
      <w:r>
        <w:rPr>
          <w:rFonts w:eastAsia="Times New Roman"/>
          <w:lang w:val="fr-FR"/>
        </w:rPr>
        <w:t>’</w:t>
      </w:r>
      <w:r w:rsidRPr="00374635">
        <w:rPr>
          <w:rFonts w:eastAsia="Times New Roman"/>
          <w:lang w:val="fr-FR"/>
        </w:rPr>
        <w:t>une valve à haute pression pouvant être actionnée à distance. L</w:t>
      </w:r>
      <w:r>
        <w:rPr>
          <w:rFonts w:eastAsia="Times New Roman"/>
          <w:lang w:val="fr-FR"/>
        </w:rPr>
        <w:t>’</w:t>
      </w:r>
      <w:r w:rsidRPr="00374635">
        <w:rPr>
          <w:rFonts w:eastAsia="Times New Roman"/>
          <w:lang w:val="fr-FR"/>
        </w:rPr>
        <w:t>entrée sert à porter la pression interne de la bombe à une valeur initiale prédéfinie avant l</w:t>
      </w:r>
      <w:r>
        <w:rPr>
          <w:rFonts w:eastAsia="Times New Roman"/>
          <w:lang w:val="fr-FR"/>
        </w:rPr>
        <w:t>’</w:t>
      </w:r>
      <w:r w:rsidRPr="00374635">
        <w:rPr>
          <w:rFonts w:eastAsia="Times New Roman"/>
          <w:lang w:val="fr-FR"/>
        </w:rPr>
        <w:t>épreuve. Pour des raisons pratiques, il est recommandé que la bombe soit aussi pourvue d</w:t>
      </w:r>
      <w:r>
        <w:rPr>
          <w:rFonts w:eastAsia="Times New Roman"/>
          <w:lang w:val="fr-FR"/>
        </w:rPr>
        <w:t>’</w:t>
      </w:r>
      <w:r w:rsidRPr="00374635">
        <w:rPr>
          <w:rFonts w:eastAsia="Times New Roman"/>
          <w:lang w:val="fr-FR"/>
        </w:rPr>
        <w:t>un capteur de pression ayant une étendue de mesure de 0 à 25</w:t>
      </w:r>
      <w:r w:rsidR="00736B51">
        <w:rPr>
          <w:rFonts w:eastAsia="Times New Roman"/>
          <w:lang w:val="fr-FR"/>
        </w:rPr>
        <w:t> </w:t>
      </w:r>
      <w:r w:rsidRPr="00374635">
        <w:rPr>
          <w:rFonts w:eastAsia="Times New Roman"/>
          <w:lang w:val="fr-FR"/>
        </w:rPr>
        <w:t>MPa.</w:t>
      </w:r>
    </w:p>
    <w:p w:rsidR="00FA57A7" w:rsidRPr="00374635" w:rsidRDefault="00FA57A7" w:rsidP="001B10A6">
      <w:pPr>
        <w:pStyle w:val="SingleTxtG"/>
        <w:keepLines/>
        <w:ind w:left="2268" w:hanging="1134"/>
        <w:rPr>
          <w:rFonts w:eastAsia="Times New Roman"/>
          <w:lang w:val="fr-FR"/>
        </w:rPr>
      </w:pPr>
      <w:r w:rsidRPr="00374635">
        <w:rPr>
          <w:rFonts w:eastAsia="Times New Roman"/>
          <w:lang w:val="fr-FR"/>
        </w:rPr>
        <w:lastRenderedPageBreak/>
        <w:t>18.6.2.2.4</w:t>
      </w:r>
      <w:r w:rsidRPr="00374635">
        <w:rPr>
          <w:rFonts w:eastAsia="Times New Roman"/>
          <w:lang w:val="fr-FR"/>
        </w:rPr>
        <w:tab/>
        <w:t>Une rampe d</w:t>
      </w:r>
      <w:r>
        <w:rPr>
          <w:rFonts w:eastAsia="Times New Roman"/>
          <w:lang w:val="fr-FR"/>
        </w:rPr>
        <w:t>’</w:t>
      </w:r>
      <w:r w:rsidRPr="00374635">
        <w:rPr>
          <w:rFonts w:eastAsia="Times New Roman"/>
          <w:lang w:val="fr-FR"/>
        </w:rPr>
        <w:t>alimentation en gaz comprenant des bouteilles d</w:t>
      </w:r>
      <w:r>
        <w:rPr>
          <w:rFonts w:eastAsia="Times New Roman"/>
          <w:lang w:val="fr-FR"/>
        </w:rPr>
        <w:t>’</w:t>
      </w:r>
      <w:r w:rsidRPr="00374635">
        <w:rPr>
          <w:rFonts w:eastAsia="Times New Roman"/>
          <w:lang w:val="fr-FR"/>
        </w:rPr>
        <w:t>argon sous pression commandée depuis une pièce protégée située à proximité (la salle des instruments), permettant de soumettre la bombe à une pression initiale prédéfinie, doit être prévue. Pour des raisons pratiques, la rampe doit être pourvue d</w:t>
      </w:r>
      <w:r>
        <w:rPr>
          <w:rFonts w:eastAsia="Times New Roman"/>
          <w:lang w:val="fr-FR"/>
        </w:rPr>
        <w:t>’</w:t>
      </w:r>
      <w:r w:rsidRPr="00374635">
        <w:rPr>
          <w:rFonts w:eastAsia="Times New Roman"/>
          <w:lang w:val="fr-FR"/>
        </w:rPr>
        <w:t>une vanne à pointeau pouvant servir de vanne de purge afin d</w:t>
      </w:r>
      <w:r>
        <w:rPr>
          <w:rFonts w:eastAsia="Times New Roman"/>
          <w:lang w:val="fr-FR"/>
        </w:rPr>
        <w:t>’</w:t>
      </w:r>
      <w:r w:rsidRPr="00374635">
        <w:rPr>
          <w:rFonts w:eastAsia="Times New Roman"/>
          <w:lang w:val="fr-FR"/>
        </w:rPr>
        <w:t>ajuster la pression initiale à l</w:t>
      </w:r>
      <w:r>
        <w:rPr>
          <w:rFonts w:eastAsia="Times New Roman"/>
          <w:lang w:val="fr-FR"/>
        </w:rPr>
        <w:t>’</w:t>
      </w:r>
      <w:r w:rsidRPr="00374635">
        <w:rPr>
          <w:rFonts w:eastAsia="Times New Roman"/>
          <w:lang w:val="fr-FR"/>
        </w:rPr>
        <w:t>intérieur de la bombe.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18.6.2.2.5</w:t>
      </w:r>
      <w:r w:rsidRPr="00374635">
        <w:rPr>
          <w:rFonts w:eastAsia="Times New Roman"/>
          <w:lang w:val="fr-FR"/>
        </w:rPr>
        <w:tab/>
        <w:t>Une alimentation électrique à courant constant capable d</w:t>
      </w:r>
      <w:r>
        <w:rPr>
          <w:rFonts w:eastAsia="Times New Roman"/>
          <w:lang w:val="fr-FR"/>
        </w:rPr>
        <w:t>’</w:t>
      </w:r>
      <w:r w:rsidRPr="00374635">
        <w:rPr>
          <w:rFonts w:eastAsia="Times New Roman"/>
          <w:lang w:val="fr-FR"/>
        </w:rPr>
        <w:t>alimenter le système</w:t>
      </w:r>
      <w:r w:rsidR="001B10A6">
        <w:rPr>
          <w:rFonts w:eastAsia="Times New Roman"/>
          <w:lang w:val="fr-FR"/>
        </w:rPr>
        <w:t xml:space="preserve"> à une intensité maximale de 20 </w:t>
      </w:r>
      <w:r w:rsidRPr="00374635">
        <w:rPr>
          <w:rFonts w:eastAsia="Times New Roman"/>
          <w:lang w:val="fr-FR"/>
        </w:rPr>
        <w:t>A doit être prévue. Le courant peut être contrôlé en mesurant la tension aux bornes d</w:t>
      </w:r>
      <w:r>
        <w:rPr>
          <w:rFonts w:eastAsia="Times New Roman"/>
          <w:lang w:val="fr-FR"/>
        </w:rPr>
        <w:t>’</w:t>
      </w:r>
      <w:r w:rsidRPr="00374635">
        <w:rPr>
          <w:rFonts w:eastAsia="Times New Roman"/>
          <w:lang w:val="fr-FR"/>
        </w:rPr>
        <w:t xml:space="preserve">une résistance de </w:t>
      </w:r>
      <w:proofErr w:type="spellStart"/>
      <w:r w:rsidRPr="00374635">
        <w:rPr>
          <w:rFonts w:eastAsia="Times New Roman"/>
          <w:lang w:val="fr-FR"/>
        </w:rPr>
        <w:t>shuntage</w:t>
      </w:r>
      <w:proofErr w:type="spellEnd"/>
      <w:r w:rsidRPr="00374635">
        <w:rPr>
          <w:rFonts w:eastAsia="Times New Roman"/>
          <w:lang w:val="fr-FR"/>
        </w:rPr>
        <w:t xml:space="preserve"> à haute précision (de l</w:t>
      </w:r>
      <w:r>
        <w:rPr>
          <w:rFonts w:eastAsia="Times New Roman"/>
          <w:lang w:val="fr-FR"/>
        </w:rPr>
        <w:t>’</w:t>
      </w:r>
      <w:r w:rsidRPr="00374635">
        <w:rPr>
          <w:rFonts w:eastAsia="Times New Roman"/>
          <w:lang w:val="fr-FR"/>
        </w:rPr>
        <w:t xml:space="preserve">ordre de quelques </w:t>
      </w:r>
      <w:proofErr w:type="spellStart"/>
      <w:r w:rsidRPr="00374635">
        <w:rPr>
          <w:rFonts w:eastAsia="Times New Roman"/>
          <w:lang w:val="fr-FR"/>
        </w:rPr>
        <w:t>mΩ</w:t>
      </w:r>
      <w:proofErr w:type="spellEnd"/>
      <w:r w:rsidRPr="00374635">
        <w:rPr>
          <w:rFonts w:eastAsia="Times New Roman"/>
          <w:lang w:val="fr-FR"/>
        </w:rPr>
        <w:t>) branchée en série sur le filament d</w:t>
      </w:r>
      <w:r>
        <w:rPr>
          <w:rFonts w:eastAsia="Times New Roman"/>
          <w:lang w:val="fr-FR"/>
        </w:rPr>
        <w:t>’</w:t>
      </w:r>
      <w:r w:rsidRPr="00374635">
        <w:rPr>
          <w:rFonts w:eastAsia="Times New Roman"/>
          <w:lang w:val="fr-FR"/>
        </w:rPr>
        <w:t>allumage.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18.6.2.2.6</w:t>
      </w:r>
      <w:r w:rsidRPr="00374635">
        <w:rPr>
          <w:rFonts w:eastAsia="Times New Roman"/>
          <w:lang w:val="fr-FR"/>
        </w:rPr>
        <w:tab/>
        <w:t>Un oscilloscope ou un système informatique d</w:t>
      </w:r>
      <w:r>
        <w:rPr>
          <w:rFonts w:eastAsia="Times New Roman"/>
          <w:lang w:val="fr-FR"/>
        </w:rPr>
        <w:t>’</w:t>
      </w:r>
      <w:r w:rsidRPr="00374635">
        <w:rPr>
          <w:rFonts w:eastAsia="Times New Roman"/>
          <w:lang w:val="fr-FR"/>
        </w:rPr>
        <w:t>acquisition de données capable de recevoir le signal du capteur de pression ainsi que le courant du filament d</w:t>
      </w:r>
      <w:r>
        <w:rPr>
          <w:rFonts w:eastAsia="Times New Roman"/>
          <w:lang w:val="fr-FR"/>
        </w:rPr>
        <w:t>’</w:t>
      </w:r>
      <w:r w:rsidRPr="00374635">
        <w:rPr>
          <w:rFonts w:eastAsia="Times New Roman"/>
          <w:lang w:val="fr-FR"/>
        </w:rPr>
        <w:t>allumage doit être prévu. La fréquence minimale d</w:t>
      </w:r>
      <w:r>
        <w:rPr>
          <w:rFonts w:eastAsia="Times New Roman"/>
          <w:lang w:val="fr-FR"/>
        </w:rPr>
        <w:t>’</w:t>
      </w:r>
      <w:r w:rsidRPr="00374635">
        <w:rPr>
          <w:rFonts w:eastAsia="Times New Roman"/>
          <w:lang w:val="fr-FR"/>
        </w:rPr>
        <w:t>acquisition doit être de 100 Hz pour des périodes pouvant atteindre 5 minutes.</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18.6.2.2.7</w:t>
      </w:r>
      <w:r w:rsidRPr="00374635">
        <w:rPr>
          <w:rFonts w:eastAsia="Times New Roman"/>
          <w:lang w:val="fr-FR"/>
        </w:rPr>
        <w:tab/>
        <w:t>Un multimètre permettant de mesurer la résistance électrique pour une plage comprise entre 0,1 Ω et 10 MΩ doit être prévu.</w:t>
      </w:r>
    </w:p>
    <w:p w:rsidR="00FA57A7" w:rsidRPr="00374635" w:rsidRDefault="00FA57A7" w:rsidP="00C13659">
      <w:pPr>
        <w:pStyle w:val="SingleTxtG"/>
        <w:keepNext/>
        <w:ind w:left="2268" w:hanging="1134"/>
        <w:jc w:val="left"/>
        <w:rPr>
          <w:rFonts w:eastAsia="Times New Roman"/>
          <w:lang w:val="fr-FR"/>
        </w:rPr>
      </w:pPr>
      <w:r w:rsidRPr="00374635">
        <w:rPr>
          <w:rFonts w:eastAsia="Times New Roman"/>
          <w:lang w:val="fr-FR"/>
        </w:rPr>
        <w:t>18.6.2.3</w:t>
      </w:r>
      <w:r w:rsidRPr="00374635">
        <w:rPr>
          <w:rFonts w:eastAsia="Times New Roman"/>
          <w:lang w:val="fr-FR"/>
        </w:rPr>
        <w:tab/>
      </w:r>
      <w:r w:rsidRPr="00374635">
        <w:rPr>
          <w:rFonts w:eastAsia="Times New Roman"/>
          <w:i/>
          <w:lang w:val="fr-FR"/>
        </w:rPr>
        <w:t>Mode opératoire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18.6.2.3.1</w:t>
      </w:r>
      <w:r w:rsidRPr="00374635">
        <w:rPr>
          <w:rFonts w:eastAsia="Times New Roman"/>
          <w:lang w:val="fr-FR"/>
        </w:rPr>
        <w:tab/>
        <w:t>Insérer horizontalement dans la bombe une chambre d</w:t>
      </w:r>
      <w:r>
        <w:rPr>
          <w:rFonts w:eastAsia="Times New Roman"/>
          <w:lang w:val="fr-FR"/>
        </w:rPr>
        <w:t>’</w:t>
      </w:r>
      <w:r w:rsidRPr="00374635">
        <w:rPr>
          <w:rFonts w:eastAsia="Times New Roman"/>
          <w:lang w:val="fr-FR"/>
        </w:rPr>
        <w:t>épreuve préparée conformément aux prescriptions énoncées aux 18.6.2.2.1 et 18.6.2.2.2. Relier les fils nus en cuivre de la chambre aux électrodes de la bombe à l</w:t>
      </w:r>
      <w:r>
        <w:rPr>
          <w:rFonts w:eastAsia="Times New Roman"/>
          <w:lang w:val="fr-FR"/>
        </w:rPr>
        <w:t>’</w:t>
      </w:r>
      <w:r w:rsidRPr="00374635">
        <w:rPr>
          <w:rFonts w:eastAsia="Times New Roman"/>
          <w:lang w:val="fr-FR"/>
        </w:rPr>
        <w:t>intérieur de celle-ci et fermer la bombe.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18.6.2.3.2</w:t>
      </w:r>
      <w:r w:rsidRPr="00374635">
        <w:rPr>
          <w:rFonts w:eastAsia="Times New Roman"/>
          <w:lang w:val="fr-FR"/>
        </w:rPr>
        <w:tab/>
        <w:t>À l</w:t>
      </w:r>
      <w:r>
        <w:rPr>
          <w:rFonts w:eastAsia="Times New Roman"/>
          <w:lang w:val="fr-FR"/>
        </w:rPr>
        <w:t>’</w:t>
      </w:r>
      <w:r w:rsidRPr="00374635">
        <w:rPr>
          <w:rFonts w:eastAsia="Times New Roman"/>
          <w:lang w:val="fr-FR"/>
        </w:rPr>
        <w:t>aide du multimètre (voir 18.6.2.2.7), vérifier qu</w:t>
      </w:r>
      <w:r>
        <w:rPr>
          <w:rFonts w:eastAsia="Times New Roman"/>
          <w:lang w:val="fr-FR"/>
        </w:rPr>
        <w:t>’</w:t>
      </w:r>
      <w:r w:rsidRPr="00374635">
        <w:rPr>
          <w:rFonts w:eastAsia="Times New Roman"/>
          <w:lang w:val="fr-FR"/>
        </w:rPr>
        <w:t>aucun courant électrique ne passe entre chaque électrode et le corps de la bombe. Une fois cette vérification faite, relier les fils de l</w:t>
      </w:r>
      <w:r>
        <w:rPr>
          <w:rFonts w:eastAsia="Times New Roman"/>
          <w:lang w:val="fr-FR"/>
        </w:rPr>
        <w:t>’</w:t>
      </w:r>
      <w:r w:rsidRPr="00374635">
        <w:rPr>
          <w:rFonts w:eastAsia="Times New Roman"/>
          <w:lang w:val="fr-FR"/>
        </w:rPr>
        <w:t>alimentation électrique (voir 18.6.2.2.5) aux électrodes. En cas de contact entre les électrodes et le corps de la bombe, trouver la cause et l</w:t>
      </w:r>
      <w:r>
        <w:rPr>
          <w:rFonts w:eastAsia="Times New Roman"/>
          <w:lang w:val="fr-FR"/>
        </w:rPr>
        <w:t>’</w:t>
      </w:r>
      <w:r w:rsidRPr="00374635">
        <w:rPr>
          <w:rFonts w:eastAsia="Times New Roman"/>
          <w:lang w:val="fr-FR"/>
        </w:rPr>
        <w:t>éliminer avant de procéder à l</w:t>
      </w:r>
      <w:r>
        <w:rPr>
          <w:rFonts w:eastAsia="Times New Roman"/>
          <w:lang w:val="fr-FR"/>
        </w:rPr>
        <w:t>’</w:t>
      </w:r>
      <w:r w:rsidRPr="00374635">
        <w:rPr>
          <w:rFonts w:eastAsia="Times New Roman"/>
          <w:lang w:val="fr-FR"/>
        </w:rPr>
        <w:t>essai.</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18.6.2.3.3</w:t>
      </w:r>
      <w:r w:rsidRPr="00374635">
        <w:rPr>
          <w:rFonts w:eastAsia="Times New Roman"/>
          <w:lang w:val="fr-FR"/>
        </w:rPr>
        <w:tab/>
        <w:t>L</w:t>
      </w:r>
      <w:r>
        <w:rPr>
          <w:rFonts w:eastAsia="Times New Roman"/>
          <w:lang w:val="fr-FR"/>
        </w:rPr>
        <w:t>’</w:t>
      </w:r>
      <w:r w:rsidRPr="00374635">
        <w:rPr>
          <w:rFonts w:eastAsia="Times New Roman"/>
          <w:lang w:val="fr-FR"/>
        </w:rPr>
        <w:t>opérateur sort de la chambre d</w:t>
      </w:r>
      <w:r>
        <w:rPr>
          <w:rFonts w:eastAsia="Times New Roman"/>
          <w:lang w:val="fr-FR"/>
        </w:rPr>
        <w:t>’</w:t>
      </w:r>
      <w:r w:rsidRPr="00374635">
        <w:rPr>
          <w:rFonts w:eastAsia="Times New Roman"/>
          <w:lang w:val="fr-FR"/>
        </w:rPr>
        <w:t>essai et prend place dans la salle des instruments. Fermer la sortie de la bombe et ouvrir l</w:t>
      </w:r>
      <w:r>
        <w:rPr>
          <w:rFonts w:eastAsia="Times New Roman"/>
          <w:lang w:val="fr-FR"/>
        </w:rPr>
        <w:t>’</w:t>
      </w:r>
      <w:r w:rsidRPr="00374635">
        <w:rPr>
          <w:rFonts w:eastAsia="Times New Roman"/>
          <w:lang w:val="fr-FR"/>
        </w:rPr>
        <w:t>entrée. Depuis la salle des instruments, augmenter la pression à l</w:t>
      </w:r>
      <w:r>
        <w:rPr>
          <w:rFonts w:eastAsia="Times New Roman"/>
          <w:lang w:val="fr-FR"/>
        </w:rPr>
        <w:t>’</w:t>
      </w:r>
      <w:r w:rsidRPr="00374635">
        <w:rPr>
          <w:rFonts w:eastAsia="Times New Roman"/>
          <w:lang w:val="fr-FR"/>
        </w:rPr>
        <w:t>intérieur de la bombe jusqu</w:t>
      </w:r>
      <w:r>
        <w:rPr>
          <w:rFonts w:eastAsia="Times New Roman"/>
          <w:lang w:val="fr-FR"/>
        </w:rPr>
        <w:t>’</w:t>
      </w:r>
      <w:r w:rsidRPr="00374635">
        <w:rPr>
          <w:rFonts w:eastAsia="Times New Roman"/>
          <w:lang w:val="fr-FR"/>
        </w:rPr>
        <w:t>à atteindre approximativement la valeur initiale requise pour l</w:t>
      </w:r>
      <w:r>
        <w:rPr>
          <w:rFonts w:eastAsia="Times New Roman"/>
          <w:lang w:val="fr-FR"/>
        </w:rPr>
        <w:t>’</w:t>
      </w:r>
      <w:r w:rsidRPr="00374635">
        <w:rPr>
          <w:rFonts w:eastAsia="Times New Roman"/>
          <w:lang w:val="fr-FR"/>
        </w:rPr>
        <w:t>épreuve. S</w:t>
      </w:r>
      <w:r>
        <w:rPr>
          <w:rFonts w:eastAsia="Times New Roman"/>
          <w:lang w:val="fr-FR"/>
        </w:rPr>
        <w:t>’</w:t>
      </w:r>
      <w:r w:rsidRPr="00374635">
        <w:rPr>
          <w:rFonts w:eastAsia="Times New Roman"/>
          <w:lang w:val="fr-FR"/>
        </w:rPr>
        <w:t>il</w:t>
      </w:r>
      <w:r w:rsidR="001B10A6">
        <w:rPr>
          <w:rFonts w:eastAsia="Times New Roman"/>
          <w:lang w:val="fr-FR"/>
        </w:rPr>
        <w:t> </w:t>
      </w:r>
      <w:r w:rsidRPr="00374635">
        <w:rPr>
          <w:rFonts w:eastAsia="Times New Roman"/>
          <w:lang w:val="fr-FR"/>
        </w:rPr>
        <w:t>s</w:t>
      </w:r>
      <w:r>
        <w:rPr>
          <w:rFonts w:eastAsia="Times New Roman"/>
          <w:lang w:val="fr-FR"/>
        </w:rPr>
        <w:t>’</w:t>
      </w:r>
      <w:r w:rsidRPr="00374635">
        <w:rPr>
          <w:rFonts w:eastAsia="Times New Roman"/>
          <w:lang w:val="fr-FR"/>
        </w:rPr>
        <w:t>agit de la première épreuve réalisée avec une matière donnée, cette valeur doit être une estimation déduite de la pression minimale de combustion attendue en fonction de la formule de l</w:t>
      </w:r>
      <w:r>
        <w:rPr>
          <w:rFonts w:eastAsia="Times New Roman"/>
          <w:lang w:val="fr-FR"/>
        </w:rPr>
        <w:t>’</w:t>
      </w:r>
      <w:r w:rsidRPr="00374635">
        <w:rPr>
          <w:rFonts w:eastAsia="Times New Roman"/>
          <w:lang w:val="fr-FR"/>
        </w:rPr>
        <w:t>échantillon. Fermer l</w:t>
      </w:r>
      <w:r>
        <w:rPr>
          <w:rFonts w:eastAsia="Times New Roman"/>
          <w:lang w:val="fr-FR"/>
        </w:rPr>
        <w:t>’</w:t>
      </w:r>
      <w:r w:rsidRPr="00374635">
        <w:rPr>
          <w:rFonts w:eastAsia="Times New Roman"/>
          <w:lang w:val="fr-FR"/>
        </w:rPr>
        <w:t>entrée et maintenir la bombe sous pression pendant plusieurs minutes avant l</w:t>
      </w:r>
      <w:r>
        <w:rPr>
          <w:rFonts w:eastAsia="Times New Roman"/>
          <w:lang w:val="fr-FR"/>
        </w:rPr>
        <w:t>’</w:t>
      </w:r>
      <w:r w:rsidRPr="00374635">
        <w:rPr>
          <w:rFonts w:eastAsia="Times New Roman"/>
          <w:lang w:val="fr-FR"/>
        </w:rPr>
        <w:t>allumage afin de s</w:t>
      </w:r>
      <w:r>
        <w:rPr>
          <w:rFonts w:eastAsia="Times New Roman"/>
          <w:lang w:val="fr-FR"/>
        </w:rPr>
        <w:t>’</w:t>
      </w:r>
      <w:r w:rsidRPr="00374635">
        <w:rPr>
          <w:rFonts w:eastAsia="Times New Roman"/>
          <w:lang w:val="fr-FR"/>
        </w:rPr>
        <w:t>assurer que le système ne présente pas de fuites importantes. Une fois cette vérification faite, régler précisément la pression à la valeur initiale requise puis fermer l</w:t>
      </w:r>
      <w:r>
        <w:rPr>
          <w:rFonts w:eastAsia="Times New Roman"/>
          <w:lang w:val="fr-FR"/>
        </w:rPr>
        <w:t>’</w:t>
      </w:r>
      <w:r w:rsidRPr="00374635">
        <w:rPr>
          <w:rFonts w:eastAsia="Times New Roman"/>
          <w:lang w:val="fr-FR"/>
        </w:rPr>
        <w:t>entrée de la bombe.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18.6.2.3.4</w:t>
      </w:r>
      <w:r w:rsidRPr="00374635">
        <w:rPr>
          <w:rFonts w:eastAsia="Times New Roman"/>
          <w:lang w:val="fr-FR"/>
        </w:rPr>
        <w:tab/>
        <w:t>Déclencher l</w:t>
      </w:r>
      <w:r>
        <w:rPr>
          <w:rFonts w:eastAsia="Times New Roman"/>
          <w:lang w:val="fr-FR"/>
        </w:rPr>
        <w:t>’</w:t>
      </w:r>
      <w:r w:rsidRPr="00374635">
        <w:rPr>
          <w:rFonts w:eastAsia="Times New Roman"/>
          <w:lang w:val="fr-FR"/>
        </w:rPr>
        <w:t>acquisition des données (ou l</w:t>
      </w:r>
      <w:r>
        <w:rPr>
          <w:rFonts w:eastAsia="Times New Roman"/>
          <w:lang w:val="fr-FR"/>
        </w:rPr>
        <w:t>’</w:t>
      </w:r>
      <w:r w:rsidRPr="00374635">
        <w:rPr>
          <w:rFonts w:eastAsia="Times New Roman"/>
          <w:lang w:val="fr-FR"/>
        </w:rPr>
        <w:t>oscilloscope) et faire passer dans le filament d</w:t>
      </w:r>
      <w:r>
        <w:rPr>
          <w:rFonts w:eastAsia="Times New Roman"/>
          <w:lang w:val="fr-FR"/>
        </w:rPr>
        <w:t>’</w:t>
      </w:r>
      <w:r w:rsidRPr="00374635">
        <w:rPr>
          <w:rFonts w:eastAsia="Times New Roman"/>
          <w:lang w:val="fr-FR"/>
        </w:rPr>
        <w:t>allumage un courant de 10,5</w:t>
      </w:r>
      <w:r w:rsidR="001B10A6">
        <w:rPr>
          <w:rFonts w:eastAsia="Times New Roman"/>
          <w:lang w:val="fr-FR"/>
        </w:rPr>
        <w:t> </w:t>
      </w:r>
      <w:r w:rsidRPr="00374635">
        <w:rPr>
          <w:rFonts w:eastAsia="Times New Roman"/>
          <w:lang w:val="fr-FR"/>
        </w:rPr>
        <w:t>A pendant quelques secondes, jusqu</w:t>
      </w:r>
      <w:r>
        <w:rPr>
          <w:rFonts w:eastAsia="Times New Roman"/>
          <w:lang w:val="fr-FR"/>
        </w:rPr>
        <w:t>’</w:t>
      </w:r>
      <w:r w:rsidRPr="00374635">
        <w:rPr>
          <w:rFonts w:eastAsia="Times New Roman"/>
          <w:lang w:val="fr-FR"/>
        </w:rPr>
        <w:t>à ce que l</w:t>
      </w:r>
      <w:r>
        <w:rPr>
          <w:rFonts w:eastAsia="Times New Roman"/>
          <w:lang w:val="fr-FR"/>
        </w:rPr>
        <w:t>’</w:t>
      </w:r>
      <w:r w:rsidRPr="00374635">
        <w:rPr>
          <w:rFonts w:eastAsia="Times New Roman"/>
          <w:lang w:val="fr-FR"/>
        </w:rPr>
        <w:t>échantillon s</w:t>
      </w:r>
      <w:r>
        <w:rPr>
          <w:rFonts w:eastAsia="Times New Roman"/>
          <w:lang w:val="fr-FR"/>
        </w:rPr>
        <w:t>’</w:t>
      </w:r>
      <w:r w:rsidRPr="00374635">
        <w:rPr>
          <w:rFonts w:eastAsia="Times New Roman"/>
          <w:lang w:val="fr-FR"/>
        </w:rPr>
        <w:t>enflamme et fasse fondre le filament d</w:t>
      </w:r>
      <w:r>
        <w:rPr>
          <w:rFonts w:eastAsia="Times New Roman"/>
          <w:lang w:val="fr-FR"/>
        </w:rPr>
        <w:t>’</w:t>
      </w:r>
      <w:r w:rsidRPr="00374635">
        <w:rPr>
          <w:rFonts w:eastAsia="Times New Roman"/>
          <w:lang w:val="fr-FR"/>
        </w:rPr>
        <w:t>allumage, après quoi l</w:t>
      </w:r>
      <w:r>
        <w:rPr>
          <w:rFonts w:eastAsia="Times New Roman"/>
          <w:lang w:val="fr-FR"/>
        </w:rPr>
        <w:t>’</w:t>
      </w:r>
      <w:r w:rsidRPr="00374635">
        <w:rPr>
          <w:rFonts w:eastAsia="Times New Roman"/>
          <w:lang w:val="fr-FR"/>
        </w:rPr>
        <w:t>alimentation électrique doit être coupée.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18.6.2.3.5</w:t>
      </w:r>
      <w:r w:rsidRPr="00374635">
        <w:rPr>
          <w:rFonts w:eastAsia="Times New Roman"/>
          <w:lang w:val="fr-FR"/>
        </w:rPr>
        <w:tab/>
        <w:t>En cas de combustion totale de l</w:t>
      </w:r>
      <w:r>
        <w:rPr>
          <w:rFonts w:eastAsia="Times New Roman"/>
          <w:lang w:val="fr-FR"/>
        </w:rPr>
        <w:t>’</w:t>
      </w:r>
      <w:r w:rsidRPr="00374635">
        <w:rPr>
          <w:rFonts w:eastAsia="Times New Roman"/>
          <w:lang w:val="fr-FR"/>
        </w:rPr>
        <w:t>échantillon (si la combustion a atteint la paroi de la chambre d</w:t>
      </w:r>
      <w:r>
        <w:rPr>
          <w:rFonts w:eastAsia="Times New Roman"/>
          <w:lang w:val="fr-FR"/>
        </w:rPr>
        <w:t>’</w:t>
      </w:r>
      <w:r w:rsidRPr="00374635">
        <w:rPr>
          <w:rFonts w:eastAsia="Times New Roman"/>
          <w:lang w:val="fr-FR"/>
        </w:rPr>
        <w:t>épreuve ; il peut rester une faible quantité d</w:t>
      </w:r>
      <w:r>
        <w:rPr>
          <w:rFonts w:eastAsia="Times New Roman"/>
          <w:lang w:val="fr-FR"/>
        </w:rPr>
        <w:t>’</w:t>
      </w:r>
      <w:r w:rsidRPr="00374635">
        <w:rPr>
          <w:rFonts w:eastAsia="Times New Roman"/>
          <w:lang w:val="fr-FR"/>
        </w:rPr>
        <w:t>échantillon sur les bouchons en néoprène), le résultat est jugé concluant et le prochain essai doit être réalisé à une pression plus faible. Dans le cas contraire, le résultat est jugé non concluant et le prochain essai doit être réalisé à une pression plus élevée (fig. 18.6.2.3). Les valeurs de pression enregistrées par le capteur peuvent aussi fournir des données probantes pour déterminer s</w:t>
      </w:r>
      <w:r>
        <w:rPr>
          <w:rFonts w:eastAsia="Times New Roman"/>
          <w:lang w:val="fr-FR"/>
        </w:rPr>
        <w:t>’</w:t>
      </w:r>
      <w:r w:rsidRPr="00374635">
        <w:rPr>
          <w:rFonts w:eastAsia="Times New Roman"/>
          <w:lang w:val="fr-FR"/>
        </w:rPr>
        <w:t>il y</w:t>
      </w:r>
      <w:r w:rsidR="001B10A6">
        <w:rPr>
          <w:rFonts w:eastAsia="Times New Roman"/>
          <w:lang w:val="fr-FR"/>
        </w:rPr>
        <w:t> </w:t>
      </w:r>
      <w:r w:rsidRPr="00374635">
        <w:rPr>
          <w:rFonts w:eastAsia="Times New Roman"/>
          <w:lang w:val="fr-FR"/>
        </w:rPr>
        <w:t>a eu combustion ou non (fig. 18.6.2.4).</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18.6.2.3.6</w:t>
      </w:r>
      <w:r w:rsidRPr="00374635">
        <w:rPr>
          <w:rFonts w:eastAsia="Times New Roman"/>
          <w:lang w:val="fr-FR"/>
        </w:rPr>
        <w:tab/>
        <w:t>Une fois l</w:t>
      </w:r>
      <w:r>
        <w:rPr>
          <w:rFonts w:eastAsia="Times New Roman"/>
          <w:lang w:val="fr-FR"/>
        </w:rPr>
        <w:t>’</w:t>
      </w:r>
      <w:r w:rsidRPr="00374635">
        <w:rPr>
          <w:rFonts w:eastAsia="Times New Roman"/>
          <w:lang w:val="fr-FR"/>
        </w:rPr>
        <w:t>essai terminé, ouvrir la vanne de sortie afin de purger tous les gaz de combustion vers un système d</w:t>
      </w:r>
      <w:r>
        <w:rPr>
          <w:rFonts w:eastAsia="Times New Roman"/>
          <w:lang w:val="fr-FR"/>
        </w:rPr>
        <w:t>’</w:t>
      </w:r>
      <w:r w:rsidRPr="00374635">
        <w:rPr>
          <w:rFonts w:eastAsia="Times New Roman"/>
          <w:lang w:val="fr-FR"/>
        </w:rPr>
        <w:t>échappement. Il est également indiqué de procéder à une purge lente à l</w:t>
      </w:r>
      <w:r>
        <w:rPr>
          <w:rFonts w:eastAsia="Times New Roman"/>
          <w:lang w:val="fr-FR"/>
        </w:rPr>
        <w:t>’</w:t>
      </w:r>
      <w:r w:rsidRPr="00374635">
        <w:rPr>
          <w:rFonts w:eastAsia="Times New Roman"/>
          <w:lang w:val="fr-FR"/>
        </w:rPr>
        <w:t>argon pendant quelques minutes afin d</w:t>
      </w:r>
      <w:r>
        <w:rPr>
          <w:rFonts w:eastAsia="Times New Roman"/>
          <w:lang w:val="fr-FR"/>
        </w:rPr>
        <w:t>’</w:t>
      </w:r>
      <w:r w:rsidRPr="00374635">
        <w:rPr>
          <w:rFonts w:eastAsia="Times New Roman"/>
          <w:lang w:val="fr-FR"/>
        </w:rPr>
        <w:t>éliminer tous les gaz toxiques avant l</w:t>
      </w:r>
      <w:r>
        <w:rPr>
          <w:rFonts w:eastAsia="Times New Roman"/>
          <w:lang w:val="fr-FR"/>
        </w:rPr>
        <w:t>’</w:t>
      </w:r>
      <w:r w:rsidRPr="00374635">
        <w:rPr>
          <w:rFonts w:eastAsia="Times New Roman"/>
          <w:lang w:val="fr-FR"/>
        </w:rPr>
        <w:t>ouverture de la bombe.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lastRenderedPageBreak/>
        <w:t>18.6.2.3.7</w:t>
      </w:r>
      <w:r w:rsidRPr="00374635">
        <w:rPr>
          <w:rFonts w:eastAsia="Times New Roman"/>
          <w:lang w:val="fr-FR"/>
        </w:rPr>
        <w:tab/>
        <w:t>Débrancher les fils de l</w:t>
      </w:r>
      <w:r>
        <w:rPr>
          <w:rFonts w:eastAsia="Times New Roman"/>
          <w:lang w:val="fr-FR"/>
        </w:rPr>
        <w:t>’</w:t>
      </w:r>
      <w:r w:rsidRPr="00374635">
        <w:rPr>
          <w:rFonts w:eastAsia="Times New Roman"/>
          <w:lang w:val="fr-FR"/>
        </w:rPr>
        <w:t>alimentation électrique des électrodes du compartiment et ouvrir la bombe. Récupérer la chambre d</w:t>
      </w:r>
      <w:r>
        <w:rPr>
          <w:rFonts w:eastAsia="Times New Roman"/>
          <w:lang w:val="fr-FR"/>
        </w:rPr>
        <w:t>’</w:t>
      </w:r>
      <w:r w:rsidRPr="00374635">
        <w:rPr>
          <w:rFonts w:eastAsia="Times New Roman"/>
          <w:lang w:val="fr-FR"/>
        </w:rPr>
        <w:t>épreuve et noter toute observation visuelle. Prendre éventuellement des photos afin d</w:t>
      </w:r>
      <w:r>
        <w:rPr>
          <w:rFonts w:eastAsia="Times New Roman"/>
          <w:lang w:val="fr-FR"/>
        </w:rPr>
        <w:t>’</w:t>
      </w:r>
      <w:r w:rsidRPr="00374635">
        <w:rPr>
          <w:rFonts w:eastAsia="Times New Roman"/>
          <w:lang w:val="fr-FR"/>
        </w:rPr>
        <w:t>étayer ces observations. Nettoyer complétement la bombe.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18.6.2.3.8</w:t>
      </w:r>
      <w:r w:rsidRPr="00374635">
        <w:rPr>
          <w:rFonts w:eastAsia="Times New Roman"/>
          <w:lang w:val="fr-FR"/>
        </w:rPr>
        <w:tab/>
        <w:t>Répéter les étapes 18.6.2.3.1 à 18.6.2.3.7 en réduisant graduellement les écarts (positifs ou négatifs) de pression jusqu</w:t>
      </w:r>
      <w:r>
        <w:rPr>
          <w:rFonts w:eastAsia="Times New Roman"/>
          <w:lang w:val="fr-FR"/>
        </w:rPr>
        <w:t>’</w:t>
      </w:r>
      <w:r w:rsidRPr="00374635">
        <w:rPr>
          <w:rFonts w:eastAsia="Times New Roman"/>
          <w:lang w:val="fr-FR"/>
        </w:rPr>
        <w:t>à ce que la pression minimale de combustion ait été déterminée avec suffisamment de précision (voir quelques exemples représentatifs ci-dessous). Procéder, par paliers ascendants et descendants, à au moins 12 essais. La pression minimale de combustion retenue est la moyenne entre la pression initiale la plus élevée parmi les essais non concluants et la pression initiale la plus faible parmi les essais concluants</w:t>
      </w:r>
      <w:r w:rsidRPr="00374635">
        <w:rPr>
          <w:rFonts w:eastAsia="Times New Roman"/>
          <w:lang w:val="fr-FR" w:eastAsia="en-CA"/>
        </w:rPr>
        <w:t>.</w:t>
      </w:r>
    </w:p>
    <w:p w:rsidR="00FA57A7" w:rsidRPr="00374635" w:rsidRDefault="00FA57A7" w:rsidP="00C13659">
      <w:pPr>
        <w:pStyle w:val="SingleTxtG"/>
        <w:keepNext/>
        <w:ind w:left="2268" w:hanging="1134"/>
        <w:jc w:val="left"/>
        <w:rPr>
          <w:rFonts w:eastAsia="Times New Roman"/>
          <w:i/>
          <w:iCs/>
          <w:lang w:val="fr-FR" w:eastAsia="en-CA"/>
        </w:rPr>
      </w:pPr>
      <w:r w:rsidRPr="00374635">
        <w:rPr>
          <w:rFonts w:eastAsia="Times New Roman"/>
          <w:lang w:val="fr-FR"/>
        </w:rPr>
        <w:t>18.6.2.4</w:t>
      </w:r>
      <w:r w:rsidRPr="00374635">
        <w:rPr>
          <w:rFonts w:eastAsia="Times New Roman"/>
          <w:lang w:val="fr-FR"/>
        </w:rPr>
        <w:tab/>
      </w:r>
      <w:r w:rsidRPr="00374635">
        <w:rPr>
          <w:rFonts w:eastAsia="Times New Roman"/>
          <w:i/>
          <w:iCs/>
          <w:lang w:val="fr-FR" w:eastAsia="en-CA"/>
        </w:rPr>
        <w:t>Critères d</w:t>
      </w:r>
      <w:r>
        <w:rPr>
          <w:rFonts w:eastAsia="Times New Roman"/>
          <w:i/>
          <w:iCs/>
          <w:lang w:val="fr-FR" w:eastAsia="en-CA"/>
        </w:rPr>
        <w:t>’</w:t>
      </w:r>
      <w:r w:rsidRPr="00374635">
        <w:rPr>
          <w:rFonts w:eastAsia="Times New Roman"/>
          <w:i/>
          <w:iCs/>
          <w:lang w:val="fr-FR" w:eastAsia="en-CA"/>
        </w:rPr>
        <w:t>épreuve et méthode d</w:t>
      </w:r>
      <w:r>
        <w:rPr>
          <w:rFonts w:eastAsia="Times New Roman"/>
          <w:i/>
          <w:iCs/>
          <w:lang w:val="fr-FR" w:eastAsia="en-CA"/>
        </w:rPr>
        <w:t>’</w:t>
      </w:r>
      <w:r w:rsidRPr="00374635">
        <w:rPr>
          <w:rFonts w:eastAsia="Times New Roman"/>
          <w:i/>
          <w:iCs/>
          <w:lang w:val="fr-FR" w:eastAsia="en-CA"/>
        </w:rPr>
        <w:t>évaluation des résultats</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18.6.2.4.1</w:t>
      </w:r>
      <w:r w:rsidRPr="00374635">
        <w:rPr>
          <w:rFonts w:eastAsia="Times New Roman"/>
          <w:lang w:val="fr-FR"/>
        </w:rPr>
        <w:tab/>
        <w:t>On considère que le résultat d</w:t>
      </w:r>
      <w:r>
        <w:rPr>
          <w:rFonts w:eastAsia="Times New Roman"/>
          <w:lang w:val="fr-FR"/>
        </w:rPr>
        <w:t>’</w:t>
      </w:r>
      <w:r w:rsidRPr="00374635">
        <w:rPr>
          <w:rFonts w:eastAsia="Times New Roman"/>
          <w:lang w:val="fr-FR"/>
        </w:rPr>
        <w:t>une épreuve est négatif (</w:t>
      </w:r>
      <w:r w:rsidRPr="00374635">
        <w:rPr>
          <w:rFonts w:eastAsia="Times New Roman"/>
          <w:lang w:val="fr-FR" w:eastAsia="en-CA"/>
        </w:rPr>
        <w:t>–</w:t>
      </w:r>
      <w:r w:rsidR="00C13659">
        <w:rPr>
          <w:rFonts w:eastAsia="Times New Roman"/>
          <w:lang w:val="fr-FR"/>
        </w:rPr>
        <w:t>)</w:t>
      </w:r>
      <w:r w:rsidRPr="00374635">
        <w:rPr>
          <w:lang w:val="fr-FR"/>
        </w:rPr>
        <w:t xml:space="preserve"> </w:t>
      </w:r>
      <w:r w:rsidRPr="00374635">
        <w:rPr>
          <w:rFonts w:eastAsia="Times New Roman"/>
          <w:lang w:val="fr-FR"/>
        </w:rPr>
        <w:t>si la pression minimale de combustion mesurée pour la matière éprouvée susceptible d</w:t>
      </w:r>
      <w:r>
        <w:rPr>
          <w:rFonts w:eastAsia="Times New Roman"/>
          <w:lang w:val="fr-FR"/>
        </w:rPr>
        <w:t>’</w:t>
      </w:r>
      <w:r w:rsidRPr="00374635">
        <w:rPr>
          <w:rFonts w:eastAsia="Times New Roman"/>
          <w:lang w:val="fr-FR"/>
        </w:rPr>
        <w:t>être considérée comme nitrate d</w:t>
      </w:r>
      <w:r>
        <w:rPr>
          <w:rFonts w:eastAsia="Times New Roman"/>
          <w:lang w:val="fr-FR"/>
        </w:rPr>
        <w:t>’</w:t>
      </w:r>
      <w:r w:rsidRPr="00374635">
        <w:rPr>
          <w:rFonts w:eastAsia="Times New Roman"/>
          <w:lang w:val="fr-FR"/>
        </w:rPr>
        <w:t>ammonium en émulsion, suspension ou gel servant à la fabrication d</w:t>
      </w:r>
      <w:r>
        <w:rPr>
          <w:rFonts w:eastAsia="Times New Roman"/>
          <w:lang w:val="fr-FR"/>
        </w:rPr>
        <w:t>’</w:t>
      </w:r>
      <w:r w:rsidRPr="00374635">
        <w:rPr>
          <w:rFonts w:eastAsia="Times New Roman"/>
          <w:lang w:val="fr-FR"/>
        </w:rPr>
        <w:t>explosifs de mine est supérieure ou égale à 5,6 MPa (ou 800 psi effectifs). Dans ce cas, la matière éprouvée peut être affectée au No ONU 3375 et à la division 5.1.</w:t>
      </w:r>
    </w:p>
    <w:p w:rsidR="00FA57A7" w:rsidRPr="00374635" w:rsidRDefault="00FA57A7" w:rsidP="009619B5">
      <w:pPr>
        <w:pStyle w:val="SingleTxtG"/>
        <w:ind w:left="2268" w:hanging="1134"/>
        <w:rPr>
          <w:rFonts w:eastAsia="Times New Roman"/>
          <w:lang w:val="fr-FR" w:eastAsia="en-CA"/>
        </w:rPr>
      </w:pPr>
      <w:r w:rsidRPr="00374635">
        <w:rPr>
          <w:rFonts w:eastAsia="Times New Roman"/>
          <w:lang w:val="fr-FR"/>
        </w:rPr>
        <w:t>18.6.2.4.2</w:t>
      </w:r>
      <w:r w:rsidRPr="00374635">
        <w:rPr>
          <w:rFonts w:eastAsia="Times New Roman"/>
          <w:lang w:val="fr-FR"/>
        </w:rPr>
        <w:tab/>
        <w:t>Si la pression minimale de combustion mesurée est inférieure à 5,6 MPa (ou 800 psi effectifs), le résultat est considéré comme positif (+).</w:t>
      </w:r>
    </w:p>
    <w:p w:rsidR="00FA57A7" w:rsidRPr="00374635" w:rsidRDefault="00FA57A7" w:rsidP="00C13659">
      <w:pPr>
        <w:pStyle w:val="SingleTxtG"/>
        <w:keepNext/>
        <w:ind w:left="2268" w:hanging="1134"/>
        <w:jc w:val="left"/>
        <w:rPr>
          <w:rFonts w:eastAsia="Times New Roman"/>
          <w:i/>
          <w:lang w:val="fr-FR"/>
        </w:rPr>
      </w:pPr>
      <w:r w:rsidRPr="00374635">
        <w:rPr>
          <w:rFonts w:eastAsia="Times New Roman"/>
          <w:lang w:val="fr-FR"/>
        </w:rPr>
        <w:t>18.6.2.5</w:t>
      </w:r>
      <w:r w:rsidRPr="00374635">
        <w:rPr>
          <w:rFonts w:eastAsia="Times New Roman"/>
          <w:lang w:val="fr-FR"/>
        </w:rPr>
        <w:tab/>
      </w:r>
      <w:r w:rsidRPr="00374635">
        <w:rPr>
          <w:rFonts w:eastAsia="Times New Roman"/>
          <w:i/>
          <w:lang w:val="fr-FR"/>
        </w:rPr>
        <w:t>Exemples de résultats</w:t>
      </w:r>
    </w:p>
    <w:tbl>
      <w:tblPr>
        <w:tblStyle w:val="Grilledutableau1"/>
        <w:tblW w:w="7376" w:type="dxa"/>
        <w:tblInd w:w="1134" w:type="dxa"/>
        <w:tblLayout w:type="fixed"/>
        <w:tblLook w:val="04A0" w:firstRow="1" w:lastRow="0" w:firstColumn="1" w:lastColumn="0" w:noHBand="0" w:noVBand="1"/>
      </w:tblPr>
      <w:tblGrid>
        <w:gridCol w:w="360"/>
        <w:gridCol w:w="4252"/>
        <w:gridCol w:w="1914"/>
        <w:gridCol w:w="850"/>
      </w:tblGrid>
      <w:tr w:rsidR="00FA57A7" w:rsidRPr="00374635" w:rsidTr="0079728D">
        <w:tc>
          <w:tcPr>
            <w:tcW w:w="360" w:type="dxa"/>
            <w:vAlign w:val="bottom"/>
          </w:tcPr>
          <w:p w:rsidR="00FA57A7" w:rsidRPr="00374635" w:rsidRDefault="00FA57A7" w:rsidP="0079728D">
            <w:pPr>
              <w:kinsoku/>
              <w:overflowPunct/>
              <w:autoSpaceDE/>
              <w:autoSpaceDN/>
              <w:adjustRightInd/>
              <w:snapToGrid/>
              <w:spacing w:before="60" w:after="60" w:line="240" w:lineRule="auto"/>
              <w:ind w:left="57" w:right="57"/>
              <w:rPr>
                <w:b/>
                <w:bCs/>
                <w:lang w:val="fr-FR" w:eastAsia="en-CA"/>
              </w:rPr>
            </w:pPr>
          </w:p>
        </w:tc>
        <w:tc>
          <w:tcPr>
            <w:tcW w:w="4252" w:type="dxa"/>
            <w:vAlign w:val="bottom"/>
          </w:tcPr>
          <w:p w:rsidR="00FA57A7" w:rsidRPr="00374635" w:rsidRDefault="00FA57A7" w:rsidP="0079728D">
            <w:pPr>
              <w:kinsoku/>
              <w:overflowPunct/>
              <w:autoSpaceDE/>
              <w:autoSpaceDN/>
              <w:adjustRightInd/>
              <w:snapToGrid/>
              <w:spacing w:before="60" w:after="60" w:line="240" w:lineRule="auto"/>
              <w:ind w:left="57" w:right="57"/>
              <w:rPr>
                <w:b/>
                <w:bCs/>
                <w:i/>
                <w:lang w:val="fr-FR"/>
              </w:rPr>
            </w:pPr>
            <w:r w:rsidRPr="00374635">
              <w:rPr>
                <w:b/>
                <w:bCs/>
                <w:lang w:val="fr-FR" w:eastAsia="en-CA"/>
              </w:rPr>
              <w:t>Matière</w:t>
            </w:r>
          </w:p>
        </w:tc>
        <w:tc>
          <w:tcPr>
            <w:tcW w:w="1914" w:type="dxa"/>
            <w:vAlign w:val="bottom"/>
          </w:tcPr>
          <w:p w:rsidR="00FA57A7" w:rsidRPr="00374635" w:rsidRDefault="00FA57A7" w:rsidP="0079728D">
            <w:pPr>
              <w:kinsoku/>
              <w:overflowPunct/>
              <w:autoSpaceDE/>
              <w:autoSpaceDN/>
              <w:adjustRightInd/>
              <w:snapToGrid/>
              <w:spacing w:before="60" w:after="60" w:line="240" w:lineRule="auto"/>
              <w:ind w:left="57" w:right="57"/>
              <w:jc w:val="center"/>
              <w:rPr>
                <w:b/>
                <w:bCs/>
                <w:i/>
                <w:lang w:val="fr-FR"/>
              </w:rPr>
            </w:pPr>
            <w:r w:rsidRPr="00374635">
              <w:rPr>
                <w:b/>
                <w:bCs/>
                <w:lang w:val="fr-FR" w:eastAsia="en-CA"/>
              </w:rPr>
              <w:t>Pression minimale de combustion/MPa (psi)</w:t>
            </w:r>
            <w:r w:rsidRPr="0079728D">
              <w:rPr>
                <w:bCs/>
                <w:lang w:val="fr-FR" w:eastAsia="en-CA"/>
              </w:rPr>
              <w:t>*</w:t>
            </w:r>
          </w:p>
        </w:tc>
        <w:tc>
          <w:tcPr>
            <w:tcW w:w="850" w:type="dxa"/>
            <w:vAlign w:val="bottom"/>
          </w:tcPr>
          <w:p w:rsidR="00FA57A7" w:rsidRPr="0079728D" w:rsidRDefault="00FA57A7" w:rsidP="0079728D">
            <w:pPr>
              <w:kinsoku/>
              <w:overflowPunct/>
              <w:autoSpaceDE/>
              <w:autoSpaceDN/>
              <w:adjustRightInd/>
              <w:snapToGrid/>
              <w:spacing w:before="60" w:after="60" w:line="240" w:lineRule="auto"/>
              <w:ind w:left="57" w:right="57"/>
              <w:jc w:val="center"/>
              <w:rPr>
                <w:b/>
                <w:bCs/>
                <w:i/>
                <w:lang w:val="fr-FR"/>
              </w:rPr>
            </w:pPr>
            <w:r w:rsidRPr="0079728D">
              <w:rPr>
                <w:b/>
                <w:bCs/>
                <w:i/>
                <w:lang w:val="fr-FR"/>
              </w:rPr>
              <w:t>Résultat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1.</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i/>
                <w:lang w:val="fr-FR"/>
              </w:rPr>
            </w:pPr>
            <w:r w:rsidRPr="00374635">
              <w:rPr>
                <w:lang w:val="fr-FR" w:eastAsia="en-CA"/>
              </w:rPr>
              <w:t>72,5 nitrate d</w:t>
            </w:r>
            <w:r>
              <w:rPr>
                <w:lang w:val="fr-FR" w:eastAsia="en-CA"/>
              </w:rPr>
              <w:t>’</w:t>
            </w:r>
            <w:r w:rsidRPr="00374635">
              <w:rPr>
                <w:lang w:val="fr-FR" w:eastAsia="en-CA"/>
              </w:rPr>
              <w:t xml:space="preserve">ammonium/6,1 perchlorate de sodium/8,1 eau/5,3 </w:t>
            </w:r>
            <w:proofErr w:type="spellStart"/>
            <w:r w:rsidRPr="00374635">
              <w:rPr>
                <w:lang w:val="fr-FR" w:eastAsia="en-CA"/>
              </w:rPr>
              <w:t>huile+cire</w:t>
            </w:r>
            <w:proofErr w:type="spellEnd"/>
            <w:r w:rsidRPr="00374635">
              <w:rPr>
                <w:lang w:val="fr-FR" w:eastAsia="en-CA"/>
              </w:rPr>
              <w:t>/5,0 aluminium/3,0 </w:t>
            </w:r>
            <w:r w:rsidRPr="00374635">
              <w:rPr>
                <w:rFonts w:ascii="Symbol" w:hAnsi="Symbol"/>
                <w:lang w:val="fr-FR" w:eastAsia="en-CA"/>
              </w:rPr>
              <w:t></w:t>
            </w:r>
            <w:r w:rsidRPr="00374635">
              <w:rPr>
                <w:lang w:val="fr-FR" w:eastAsia="en-CA"/>
              </w:rPr>
              <w:t>S en verre**</w:t>
            </w:r>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i/>
                <w:lang w:val="fr-FR"/>
              </w:rPr>
            </w:pPr>
            <w:r w:rsidRPr="00374635">
              <w:rPr>
                <w:lang w:val="fr-FR" w:eastAsia="en-CA"/>
              </w:rPr>
              <w:t>0,93 (120)</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i/>
                <w:lang w:val="fr-FR"/>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2.</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69,4 nitrate d</w:t>
            </w:r>
            <w:r>
              <w:rPr>
                <w:lang w:val="fr-FR" w:eastAsia="en-CA"/>
              </w:rPr>
              <w:t>’</w:t>
            </w:r>
            <w:r w:rsidRPr="00374635">
              <w:rPr>
                <w:lang w:val="fr-FR" w:eastAsia="en-CA"/>
              </w:rPr>
              <w:t xml:space="preserve">ammonium/5,7 nitrate de sodium/6,4 perchlorate de sodium/7,8 eau/5,5 </w:t>
            </w:r>
            <w:proofErr w:type="spellStart"/>
            <w:r w:rsidRPr="00374635">
              <w:rPr>
                <w:lang w:val="fr-FR" w:eastAsia="en-CA"/>
              </w:rPr>
              <w:t>huile+cire</w:t>
            </w:r>
            <w:proofErr w:type="spellEnd"/>
            <w:r w:rsidRPr="00374635">
              <w:rPr>
                <w:lang w:val="fr-FR" w:eastAsia="en-CA"/>
              </w:rPr>
              <w:t>/5,0 aluminium/0,2 µS en plastique**</w:t>
            </w:r>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1,58 (215)</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3.</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72,1 nitrate d</w:t>
            </w:r>
            <w:r>
              <w:rPr>
                <w:lang w:val="fr-FR" w:eastAsia="en-CA"/>
              </w:rPr>
              <w:t>’</w:t>
            </w:r>
            <w:r w:rsidRPr="00374635">
              <w:rPr>
                <w:lang w:val="fr-FR" w:eastAsia="en-CA"/>
              </w:rPr>
              <w:t xml:space="preserve">ammonium/11,2 nitrate de sodium/11,2 eau/5,5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3,03 (425)</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4.</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69,3 nitrate d</w:t>
            </w:r>
            <w:r>
              <w:rPr>
                <w:lang w:val="fr-FR" w:eastAsia="en-CA"/>
              </w:rPr>
              <w:t>’</w:t>
            </w:r>
            <w:r w:rsidRPr="00374635">
              <w:rPr>
                <w:lang w:val="fr-FR" w:eastAsia="en-CA"/>
              </w:rPr>
              <w:t xml:space="preserve">ammonium/10,5 nitrate de sodium/14,7 eau/5,5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4,17 (590)</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5.</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83,0 nitrate d</w:t>
            </w:r>
            <w:r>
              <w:rPr>
                <w:lang w:val="fr-FR" w:eastAsia="en-CA"/>
              </w:rPr>
              <w:t>’</w:t>
            </w:r>
            <w:r w:rsidRPr="00374635">
              <w:rPr>
                <w:lang w:val="fr-FR" w:eastAsia="en-CA"/>
              </w:rPr>
              <w:t xml:space="preserve">ammonium/11,7 eau/5,3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4,48 (635)</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6.</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66,9 nitrate d</w:t>
            </w:r>
            <w:r>
              <w:rPr>
                <w:lang w:val="fr-FR" w:eastAsia="en-CA"/>
              </w:rPr>
              <w:t>’</w:t>
            </w:r>
            <w:r w:rsidRPr="00374635">
              <w:rPr>
                <w:lang w:val="fr-FR" w:eastAsia="en-CA"/>
              </w:rPr>
              <w:t xml:space="preserve">ammonium/10,4 nitrate de sodium/17,2 eau/5,5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5,72 (815)</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7.</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79,9 nitrate d</w:t>
            </w:r>
            <w:r>
              <w:rPr>
                <w:lang w:val="fr-FR" w:eastAsia="en-CA"/>
              </w:rPr>
              <w:t>’</w:t>
            </w:r>
            <w:r w:rsidRPr="00374635">
              <w:rPr>
                <w:lang w:val="fr-FR" w:eastAsia="en-CA"/>
              </w:rPr>
              <w:t xml:space="preserve">ammonium/14,6 eau/5,5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6,82 (975)</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8.</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77,2 nitrate d</w:t>
            </w:r>
            <w:r>
              <w:rPr>
                <w:lang w:val="fr-FR" w:eastAsia="en-CA"/>
              </w:rPr>
              <w:t>’</w:t>
            </w:r>
            <w:r w:rsidRPr="00374635">
              <w:rPr>
                <w:lang w:val="fr-FR" w:eastAsia="en-CA"/>
              </w:rPr>
              <w:t xml:space="preserve">ammonium/17,4 eau/5,4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8,18 (1 170)</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9.</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69,8 nitrate d</w:t>
            </w:r>
            <w:r>
              <w:rPr>
                <w:lang w:val="fr-FR" w:eastAsia="en-CA"/>
              </w:rPr>
              <w:t>’</w:t>
            </w:r>
            <w:r w:rsidRPr="00374635">
              <w:rPr>
                <w:lang w:val="fr-FR" w:eastAsia="en-CA"/>
              </w:rPr>
              <w:t xml:space="preserve">ammonium/24,8 eau/5,4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14,24 (2 050)</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bl>
    <w:p w:rsidR="00FA57A7" w:rsidRPr="0079728D" w:rsidRDefault="00FA57A7" w:rsidP="008F6503">
      <w:pPr>
        <w:kinsoku/>
        <w:overflowPunct/>
        <w:autoSpaceDE/>
        <w:autoSpaceDN/>
        <w:adjustRightInd/>
        <w:snapToGrid/>
        <w:spacing w:before="120" w:line="220" w:lineRule="atLeast"/>
        <w:ind w:left="1134" w:right="1134" w:firstLine="170"/>
        <w:rPr>
          <w:rFonts w:eastAsia="Times New Roman"/>
          <w:i/>
          <w:iCs/>
          <w:sz w:val="18"/>
          <w:szCs w:val="18"/>
          <w:lang w:val="fr-FR"/>
        </w:rPr>
      </w:pPr>
      <w:r w:rsidRPr="0079728D">
        <w:rPr>
          <w:rFonts w:eastAsia="Times New Roman"/>
          <w:sz w:val="18"/>
          <w:szCs w:val="18"/>
          <w:lang w:val="fr-FR"/>
        </w:rPr>
        <w:t xml:space="preserve">* </w:t>
      </w:r>
      <w:r w:rsidRPr="0079728D">
        <w:rPr>
          <w:rFonts w:eastAsia="Times New Roman"/>
          <w:i/>
          <w:iCs/>
          <w:sz w:val="18"/>
          <w:szCs w:val="18"/>
          <w:lang w:val="fr-FR"/>
        </w:rPr>
        <w:t>La valeur exprimée en MPa est la pression absolue tandis que la valeur exprimée en psi qui figure entre parenthèses est la pression manométrique.</w:t>
      </w:r>
    </w:p>
    <w:p w:rsidR="00FA57A7" w:rsidRPr="0079728D" w:rsidRDefault="00FA57A7" w:rsidP="0079728D">
      <w:pPr>
        <w:kinsoku/>
        <w:overflowPunct/>
        <w:autoSpaceDE/>
        <w:autoSpaceDN/>
        <w:adjustRightInd/>
        <w:snapToGrid/>
        <w:spacing w:after="120" w:line="220" w:lineRule="atLeast"/>
        <w:ind w:left="1134" w:right="1134" w:firstLine="170"/>
        <w:jc w:val="both"/>
        <w:rPr>
          <w:rFonts w:eastAsia="Times New Roman"/>
          <w:i/>
          <w:iCs/>
          <w:sz w:val="18"/>
          <w:szCs w:val="18"/>
          <w:lang w:val="fr-FR"/>
        </w:rPr>
      </w:pPr>
      <w:r w:rsidRPr="0079728D">
        <w:rPr>
          <w:rFonts w:eastAsia="Times New Roman"/>
          <w:i/>
          <w:iCs/>
          <w:sz w:val="18"/>
          <w:szCs w:val="18"/>
          <w:lang w:val="fr-FR"/>
        </w:rPr>
        <w:t xml:space="preserve">** </w:t>
      </w:r>
      <w:r w:rsidRPr="0079728D">
        <w:rPr>
          <w:rFonts w:ascii="Symbol" w:eastAsia="Times New Roman" w:hAnsi="Symbol"/>
          <w:i/>
          <w:iCs/>
          <w:sz w:val="18"/>
          <w:szCs w:val="18"/>
          <w:lang w:val="fr-FR" w:eastAsia="en-CA"/>
        </w:rPr>
        <w:t></w:t>
      </w:r>
      <w:r w:rsidRPr="0079728D">
        <w:rPr>
          <w:rFonts w:eastAsia="Times New Roman"/>
          <w:i/>
          <w:iCs/>
          <w:sz w:val="18"/>
          <w:szCs w:val="18"/>
          <w:lang w:val="fr-FR"/>
        </w:rPr>
        <w:t>S signifie «</w:t>
      </w:r>
      <w:r w:rsidR="008F6503">
        <w:rPr>
          <w:rFonts w:eastAsia="Times New Roman"/>
          <w:i/>
          <w:iCs/>
          <w:sz w:val="18"/>
          <w:szCs w:val="18"/>
          <w:lang w:val="fr-FR"/>
        </w:rPr>
        <w:t> </w:t>
      </w:r>
      <w:r w:rsidRPr="0079728D">
        <w:rPr>
          <w:rFonts w:eastAsia="Times New Roman"/>
          <w:i/>
          <w:iCs/>
          <w:sz w:val="18"/>
          <w:szCs w:val="18"/>
          <w:lang w:val="fr-FR"/>
        </w:rPr>
        <w:t>microsphères</w:t>
      </w:r>
      <w:r w:rsidR="008F6503">
        <w:rPr>
          <w:rFonts w:eastAsia="Times New Roman"/>
          <w:i/>
          <w:iCs/>
          <w:sz w:val="18"/>
          <w:szCs w:val="18"/>
          <w:lang w:val="fr-FR"/>
        </w:rPr>
        <w:t> </w:t>
      </w:r>
      <w:r w:rsidRPr="0079728D">
        <w:rPr>
          <w:rFonts w:eastAsia="Times New Roman"/>
          <w:i/>
          <w:iCs/>
          <w:sz w:val="18"/>
          <w:szCs w:val="18"/>
          <w:lang w:val="fr-FR"/>
        </w:rPr>
        <w:t>».</w:t>
      </w:r>
    </w:p>
    <w:p w:rsidR="00707A4A" w:rsidRDefault="00FA57A7" w:rsidP="00E86FE9">
      <w:pPr>
        <w:pStyle w:val="Heading1"/>
        <w:spacing w:after="120"/>
        <w:ind w:left="0"/>
        <w:rPr>
          <w:noProof/>
          <w:lang w:eastAsia="fr-CH"/>
        </w:rPr>
      </w:pPr>
      <w:r w:rsidRPr="00374635">
        <w:rPr>
          <w:rFonts w:eastAsia="Times New Roman"/>
          <w:i/>
          <w:iCs/>
          <w:lang w:val="fr-FR"/>
        </w:rPr>
        <w:br w:type="page"/>
      </w:r>
      <w:r w:rsidR="00E86FE9" w:rsidRPr="00374635">
        <w:rPr>
          <w:lang w:val="fr-FR"/>
        </w:rPr>
        <w:lastRenderedPageBreak/>
        <w:t>Figure 18.6.2.1</w:t>
      </w:r>
      <w:r w:rsidR="00E86FE9">
        <w:rPr>
          <w:lang w:val="fr-FR"/>
        </w:rPr>
        <w:br/>
      </w:r>
      <w:r w:rsidR="00E86FE9" w:rsidRPr="00E86FE9">
        <w:rPr>
          <w:b/>
          <w:lang w:val="fr-FR"/>
        </w:rPr>
        <w:t xml:space="preserve">Chambre d’épreuve pour l’épreuve de pression minimale de combustion du </w:t>
      </w:r>
      <w:proofErr w:type="spellStart"/>
      <w:r w:rsidR="00E86FE9" w:rsidRPr="00E86FE9">
        <w:rPr>
          <w:b/>
          <w:lang w:val="fr-FR"/>
        </w:rPr>
        <w:t>CanmetLCRE</w:t>
      </w:r>
      <w:proofErr w:type="spellEnd"/>
    </w:p>
    <w:p w:rsidR="00E86FE9" w:rsidRPr="00E86FE9" w:rsidRDefault="00E86FE9" w:rsidP="00FF6FB8">
      <w:pPr>
        <w:pStyle w:val="SingleTxtG"/>
        <w:spacing w:after="240"/>
        <w:ind w:left="0" w:right="0"/>
        <w:jc w:val="center"/>
        <w:rPr>
          <w:noProof/>
          <w:lang w:eastAsia="fr-CH"/>
        </w:rPr>
      </w:pPr>
      <w:r>
        <w:rPr>
          <w:noProof/>
          <w:lang w:eastAsia="fr-CH"/>
        </w:rPr>
        <w:drawing>
          <wp:inline distT="0" distB="0" distL="0" distR="0" wp14:anchorId="1D3696A9" wp14:editId="523E7FED">
            <wp:extent cx="6120130" cy="39141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914140"/>
                    </a:xfrm>
                    <a:prstGeom prst="rect">
                      <a:avLst/>
                    </a:prstGeom>
                  </pic:spPr>
                </pic:pic>
              </a:graphicData>
            </a:graphic>
          </wp:inline>
        </w:drawing>
      </w:r>
    </w:p>
    <w:tbl>
      <w:tblPr>
        <w:tblStyle w:val="Grilledutableau1"/>
        <w:tblW w:w="7370" w:type="dxa"/>
        <w:tblInd w:w="11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6"/>
        <w:gridCol w:w="2457"/>
        <w:gridCol w:w="2457"/>
      </w:tblGrid>
      <w:tr w:rsidR="00772814" w:rsidRPr="00BB6190" w:rsidTr="00772814">
        <w:trPr>
          <w:tblHeader/>
        </w:trPr>
        <w:tc>
          <w:tcPr>
            <w:tcW w:w="2456" w:type="dxa"/>
            <w:shd w:val="clear" w:color="auto" w:fill="auto"/>
            <w:vAlign w:val="bottom"/>
          </w:tcPr>
          <w:p w:rsidR="00FA57A7" w:rsidRPr="00BB6190" w:rsidRDefault="00FA57A7" w:rsidP="00BB6190">
            <w:pPr>
              <w:spacing w:before="80" w:after="80" w:line="200" w:lineRule="exact"/>
              <w:ind w:right="113"/>
              <w:rPr>
                <w:sz w:val="18"/>
                <w:szCs w:val="18"/>
                <w:lang w:val="fr-FR"/>
              </w:rPr>
            </w:pPr>
            <w:r w:rsidRPr="00BB6190">
              <w:rPr>
                <w:sz w:val="18"/>
                <w:szCs w:val="18"/>
                <w:lang w:val="fr-FR"/>
              </w:rPr>
              <w:t>(A)</w:t>
            </w:r>
            <w:r w:rsidRPr="00BB6190">
              <w:rPr>
                <w:sz w:val="18"/>
                <w:szCs w:val="18"/>
                <w:lang w:val="fr-FR"/>
              </w:rPr>
              <w:tab/>
              <w:t>Ouverture</w:t>
            </w:r>
          </w:p>
        </w:tc>
        <w:tc>
          <w:tcPr>
            <w:tcW w:w="2457" w:type="dxa"/>
            <w:shd w:val="clear" w:color="auto" w:fill="auto"/>
            <w:vAlign w:val="bottom"/>
          </w:tcPr>
          <w:p w:rsidR="00FA57A7" w:rsidRPr="00BB6190" w:rsidRDefault="00FA57A7" w:rsidP="00BB6190">
            <w:pPr>
              <w:spacing w:before="80" w:after="80" w:line="200" w:lineRule="exact"/>
              <w:ind w:right="113"/>
              <w:rPr>
                <w:sz w:val="18"/>
                <w:szCs w:val="18"/>
                <w:lang w:val="fr-FR"/>
              </w:rPr>
            </w:pPr>
            <w:r w:rsidRPr="00BB6190">
              <w:rPr>
                <w:sz w:val="18"/>
                <w:szCs w:val="18"/>
                <w:lang w:val="fr-FR"/>
              </w:rPr>
              <w:t>(D)</w:t>
            </w:r>
            <w:r w:rsidRPr="00BB6190">
              <w:rPr>
                <w:sz w:val="18"/>
                <w:szCs w:val="18"/>
                <w:lang w:val="fr-FR"/>
              </w:rPr>
              <w:tab/>
              <w:t>Filament Ni/Cr</w:t>
            </w:r>
          </w:p>
        </w:tc>
        <w:tc>
          <w:tcPr>
            <w:tcW w:w="2457" w:type="dxa"/>
            <w:shd w:val="clear" w:color="auto" w:fill="auto"/>
            <w:vAlign w:val="bottom"/>
          </w:tcPr>
          <w:p w:rsidR="00FA57A7" w:rsidRPr="00BB6190" w:rsidRDefault="00736B51" w:rsidP="00772814">
            <w:pPr>
              <w:spacing w:before="80" w:after="80" w:line="200" w:lineRule="exact"/>
              <w:ind w:right="113"/>
              <w:rPr>
                <w:sz w:val="18"/>
                <w:szCs w:val="18"/>
                <w:lang w:val="fr-FR"/>
              </w:rPr>
            </w:pPr>
            <w:r w:rsidRPr="00BB6190">
              <w:rPr>
                <w:sz w:val="18"/>
                <w:szCs w:val="18"/>
                <w:lang w:val="fr-FR"/>
              </w:rPr>
              <w:t>(G)</w:t>
            </w:r>
            <w:r w:rsidRPr="00BB6190">
              <w:rPr>
                <w:sz w:val="18"/>
                <w:szCs w:val="18"/>
                <w:lang w:val="fr-FR"/>
              </w:rPr>
              <w:tab/>
              <w:t>Épissure</w:t>
            </w:r>
          </w:p>
        </w:tc>
      </w:tr>
      <w:tr w:rsidR="00BB6190" w:rsidRPr="00BB6190" w:rsidTr="00223629">
        <w:trPr>
          <w:tblHeader/>
        </w:trPr>
        <w:tc>
          <w:tcPr>
            <w:tcW w:w="2456" w:type="dxa"/>
            <w:shd w:val="clear" w:color="auto" w:fill="auto"/>
            <w:vAlign w:val="bottom"/>
          </w:tcPr>
          <w:p w:rsidR="00BB6190" w:rsidRPr="00BB6190" w:rsidRDefault="00BB6190" w:rsidP="00223629">
            <w:pPr>
              <w:spacing w:before="80" w:after="80" w:line="200" w:lineRule="exact"/>
              <w:ind w:right="113"/>
              <w:rPr>
                <w:sz w:val="18"/>
                <w:szCs w:val="18"/>
                <w:lang w:val="fr-FR"/>
              </w:rPr>
            </w:pPr>
            <w:r w:rsidRPr="00BB6190">
              <w:rPr>
                <w:sz w:val="18"/>
                <w:szCs w:val="18"/>
                <w:lang w:val="fr-FR"/>
              </w:rPr>
              <w:t>(B)</w:t>
            </w:r>
            <w:r w:rsidRPr="00BB6190">
              <w:rPr>
                <w:sz w:val="18"/>
                <w:szCs w:val="18"/>
                <w:lang w:val="fr-FR"/>
              </w:rPr>
              <w:tab/>
              <w:t>Explosif</w:t>
            </w:r>
          </w:p>
        </w:tc>
        <w:tc>
          <w:tcPr>
            <w:tcW w:w="2457" w:type="dxa"/>
            <w:shd w:val="clear" w:color="auto" w:fill="auto"/>
            <w:vAlign w:val="bottom"/>
          </w:tcPr>
          <w:p w:rsidR="00BB6190" w:rsidRPr="00BB6190" w:rsidRDefault="00BB6190" w:rsidP="00223629">
            <w:pPr>
              <w:spacing w:before="80" w:after="80" w:line="200" w:lineRule="exact"/>
              <w:ind w:right="113"/>
              <w:rPr>
                <w:sz w:val="18"/>
                <w:szCs w:val="18"/>
                <w:lang w:val="fr-FR"/>
              </w:rPr>
            </w:pPr>
            <w:r w:rsidRPr="00BB6190">
              <w:rPr>
                <w:sz w:val="18"/>
                <w:szCs w:val="18"/>
                <w:lang w:val="fr-FR"/>
              </w:rPr>
              <w:t>(E)</w:t>
            </w:r>
            <w:r w:rsidRPr="00BB6190">
              <w:rPr>
                <w:sz w:val="18"/>
                <w:szCs w:val="18"/>
                <w:lang w:val="fr-FR"/>
              </w:rPr>
              <w:tab/>
              <w:t>Bouchon en caoutchouc</w:t>
            </w:r>
          </w:p>
        </w:tc>
        <w:tc>
          <w:tcPr>
            <w:tcW w:w="2457" w:type="dxa"/>
            <w:shd w:val="clear" w:color="auto" w:fill="auto"/>
            <w:vAlign w:val="bottom"/>
          </w:tcPr>
          <w:p w:rsidR="00BB6190" w:rsidRPr="00BB6190" w:rsidRDefault="00BB6190" w:rsidP="00223629">
            <w:pPr>
              <w:spacing w:before="80" w:after="80" w:line="200" w:lineRule="exact"/>
              <w:ind w:right="113"/>
              <w:rPr>
                <w:sz w:val="18"/>
                <w:szCs w:val="18"/>
                <w:lang w:val="fr-FR"/>
              </w:rPr>
            </w:pPr>
          </w:p>
        </w:tc>
      </w:tr>
      <w:tr w:rsidR="00BB6190" w:rsidRPr="00BB6190" w:rsidTr="00772814">
        <w:trPr>
          <w:tblHeader/>
        </w:trPr>
        <w:tc>
          <w:tcPr>
            <w:tcW w:w="2456" w:type="dxa"/>
            <w:shd w:val="clear" w:color="auto" w:fill="auto"/>
            <w:vAlign w:val="bottom"/>
          </w:tcPr>
          <w:p w:rsidR="00BB6190" w:rsidRPr="00BB6190" w:rsidRDefault="00BB6190" w:rsidP="00772814">
            <w:pPr>
              <w:spacing w:before="80" w:after="80" w:line="200" w:lineRule="exact"/>
              <w:ind w:right="113"/>
              <w:rPr>
                <w:sz w:val="18"/>
                <w:szCs w:val="18"/>
                <w:lang w:val="fr-FR"/>
              </w:rPr>
            </w:pPr>
            <w:r w:rsidRPr="00BB6190">
              <w:rPr>
                <w:sz w:val="18"/>
                <w:szCs w:val="18"/>
                <w:lang w:val="fr-FR"/>
              </w:rPr>
              <w:t>(C)</w:t>
            </w:r>
            <w:r w:rsidRPr="00BB6190">
              <w:rPr>
                <w:sz w:val="18"/>
                <w:szCs w:val="18"/>
                <w:lang w:val="fr-FR"/>
              </w:rPr>
              <w:tab/>
              <w:t>Conducteur en cuivre</w:t>
            </w:r>
          </w:p>
        </w:tc>
        <w:tc>
          <w:tcPr>
            <w:tcW w:w="2457" w:type="dxa"/>
            <w:shd w:val="clear" w:color="auto" w:fill="auto"/>
            <w:vAlign w:val="bottom"/>
          </w:tcPr>
          <w:p w:rsidR="00BB6190" w:rsidRPr="00BB6190" w:rsidRDefault="00BB6190" w:rsidP="00772814">
            <w:pPr>
              <w:spacing w:before="80" w:after="80" w:line="200" w:lineRule="exact"/>
              <w:ind w:right="113"/>
              <w:rPr>
                <w:sz w:val="18"/>
                <w:szCs w:val="18"/>
                <w:lang w:val="fr-FR"/>
              </w:rPr>
            </w:pPr>
            <w:r w:rsidRPr="00BB6190">
              <w:rPr>
                <w:sz w:val="18"/>
                <w:szCs w:val="18"/>
                <w:lang w:val="fr-FR"/>
              </w:rPr>
              <w:t>(F)</w:t>
            </w:r>
            <w:r w:rsidRPr="00BB6190">
              <w:rPr>
                <w:sz w:val="18"/>
                <w:szCs w:val="18"/>
                <w:lang w:val="fr-FR"/>
              </w:rPr>
              <w:tab/>
              <w:t>Tube en acier</w:t>
            </w:r>
          </w:p>
        </w:tc>
        <w:tc>
          <w:tcPr>
            <w:tcW w:w="2457" w:type="dxa"/>
            <w:shd w:val="clear" w:color="auto" w:fill="auto"/>
            <w:vAlign w:val="bottom"/>
          </w:tcPr>
          <w:p w:rsidR="00BB6190" w:rsidRPr="00BB6190" w:rsidRDefault="00BB6190" w:rsidP="00772814">
            <w:pPr>
              <w:spacing w:before="80" w:after="80" w:line="200" w:lineRule="exact"/>
              <w:ind w:right="113"/>
              <w:rPr>
                <w:sz w:val="18"/>
                <w:szCs w:val="18"/>
                <w:lang w:val="fr-FR"/>
              </w:rPr>
            </w:pPr>
          </w:p>
        </w:tc>
      </w:tr>
    </w:tbl>
    <w:p w:rsidR="00FA57A7" w:rsidRPr="007B271F" w:rsidRDefault="00FA57A7" w:rsidP="00AC617B">
      <w:pPr>
        <w:pStyle w:val="Heading1"/>
        <w:spacing w:after="120"/>
        <w:ind w:left="0"/>
        <w:rPr>
          <w:lang w:val="fr-FR"/>
        </w:rPr>
      </w:pPr>
      <w:r w:rsidRPr="007B271F">
        <w:rPr>
          <w:lang w:val="fr-FR"/>
        </w:rPr>
        <w:br w:type="page"/>
      </w:r>
      <w:r w:rsidRPr="007B271F">
        <w:rPr>
          <w:lang w:val="fr-FR"/>
        </w:rPr>
        <w:lastRenderedPageBreak/>
        <w:t>Figure 18.6.2.2</w:t>
      </w:r>
      <w:r w:rsidR="00AC617B">
        <w:rPr>
          <w:lang w:val="fr-FR"/>
        </w:rPr>
        <w:br/>
      </w:r>
      <w:r w:rsidR="00AC617B" w:rsidRPr="00AC617B">
        <w:rPr>
          <w:b/>
          <w:lang w:val="fr-FR"/>
        </w:rPr>
        <w:t xml:space="preserve">Chambre d’épreuve montée horizontalement sous le capot de la bombe </w:t>
      </w:r>
      <w:r w:rsidR="00AC617B">
        <w:rPr>
          <w:b/>
          <w:lang w:val="fr-FR"/>
        </w:rPr>
        <w:br/>
      </w:r>
      <w:r w:rsidR="00AC617B" w:rsidRPr="00AC617B">
        <w:rPr>
          <w:b/>
          <w:lang w:val="fr-FR"/>
        </w:rPr>
        <w:t>(conducteurs en cuivre reliés aux électrodes fixes de la bombe)</w:t>
      </w:r>
    </w:p>
    <w:p w:rsidR="00FA57A7" w:rsidRPr="007B271F" w:rsidRDefault="00924F6C" w:rsidP="009776CF">
      <w:pPr>
        <w:kinsoku/>
        <w:overflowPunct/>
        <w:autoSpaceDE/>
        <w:autoSpaceDN/>
        <w:adjustRightInd/>
        <w:snapToGrid/>
        <w:spacing w:after="360" w:line="240" w:lineRule="auto"/>
        <w:jc w:val="center"/>
        <w:rPr>
          <w:rFonts w:eastAsia="Times New Roman"/>
          <w:b/>
          <w:lang w:val="fr-FR"/>
        </w:rPr>
      </w:pPr>
      <w:r>
        <w:rPr>
          <w:noProof/>
          <w:lang w:eastAsia="fr-CH"/>
        </w:rPr>
        <w:drawing>
          <wp:inline distT="0" distB="0" distL="0" distR="0" wp14:anchorId="1080330B" wp14:editId="690E0CE9">
            <wp:extent cx="6120130" cy="439166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391660"/>
                    </a:xfrm>
                    <a:prstGeom prst="rect">
                      <a:avLst/>
                    </a:prstGeom>
                  </pic:spPr>
                </pic:pic>
              </a:graphicData>
            </a:graphic>
          </wp:inline>
        </w:drawing>
      </w:r>
    </w:p>
    <w:p w:rsidR="00B0178A" w:rsidRDefault="00AC617B" w:rsidP="007C56F9">
      <w:pPr>
        <w:pStyle w:val="Heading1"/>
        <w:spacing w:before="120" w:after="120"/>
        <w:ind w:left="0"/>
        <w:rPr>
          <w:b/>
          <w:lang w:val="fr-FR"/>
        </w:rPr>
      </w:pPr>
      <w:r w:rsidRPr="007B271F">
        <w:rPr>
          <w:lang w:val="fr-FR"/>
        </w:rPr>
        <w:t>Figure 18.6.2.3</w:t>
      </w:r>
      <w:r>
        <w:rPr>
          <w:lang w:val="fr-FR"/>
        </w:rPr>
        <w:br/>
      </w:r>
      <w:r w:rsidRPr="007C56F9">
        <w:rPr>
          <w:b/>
          <w:lang w:val="fr-FR"/>
        </w:rPr>
        <w:t>Apparence typique d’une chambre d’épreuve après un essai concluant (à gauche) ou non concluant (à droite)</w:t>
      </w:r>
    </w:p>
    <w:p w:rsidR="00B0178A" w:rsidRDefault="00B0178A" w:rsidP="00B0178A">
      <w:pPr>
        <w:pStyle w:val="Heading1"/>
        <w:keepNext w:val="0"/>
        <w:keepLines w:val="0"/>
        <w:spacing w:before="120" w:after="120"/>
        <w:ind w:left="0"/>
        <w:rPr>
          <w:b/>
          <w:lang w:val="fr-FR"/>
        </w:rPr>
      </w:pPr>
      <w:r>
        <w:rPr>
          <w:noProof/>
          <w:lang w:eastAsia="fr-CH"/>
        </w:rPr>
        <w:drawing>
          <wp:inline distT="0" distB="0" distL="0" distR="0" wp14:anchorId="445FEA34" wp14:editId="33E775A4">
            <wp:extent cx="6120130" cy="16097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609725"/>
                    </a:xfrm>
                    <a:prstGeom prst="rect">
                      <a:avLst/>
                    </a:prstGeom>
                  </pic:spPr>
                </pic:pic>
              </a:graphicData>
            </a:graphic>
          </wp:inline>
        </w:drawing>
      </w:r>
    </w:p>
    <w:p w:rsidR="008771F3" w:rsidRPr="008771F3" w:rsidRDefault="008771F3" w:rsidP="00D31163">
      <w:pPr>
        <w:pStyle w:val="Heading1"/>
        <w:spacing w:after="120"/>
        <w:rPr>
          <w:lang w:val="fr-FR"/>
        </w:rPr>
      </w:pPr>
      <w:r>
        <w:rPr>
          <w:lang w:val="fr-FR"/>
        </w:rPr>
        <w:br w:type="page"/>
      </w:r>
      <w:r w:rsidRPr="007B271F">
        <w:rPr>
          <w:lang w:val="fr-FR"/>
        </w:rPr>
        <w:lastRenderedPageBreak/>
        <w:t>Figure 18.6.2.4</w:t>
      </w:r>
      <w:r>
        <w:rPr>
          <w:lang w:val="fr-FR"/>
        </w:rPr>
        <w:br/>
      </w:r>
      <w:r w:rsidRPr="008771F3">
        <w:rPr>
          <w:b/>
          <w:lang w:val="fr-FR"/>
        </w:rPr>
        <w:t>Valeurs de pression typiques pour des essais concluants et non concluants</w:t>
      </w:r>
    </w:p>
    <w:p w:rsidR="00FA57A7" w:rsidRPr="007B271F" w:rsidRDefault="00D31163" w:rsidP="00DA4654">
      <w:pPr>
        <w:pStyle w:val="SingleTxtG"/>
        <w:rPr>
          <w:lang w:val="fr-FR"/>
        </w:rPr>
      </w:pPr>
      <w:r>
        <w:rPr>
          <w:noProof/>
          <w:lang w:eastAsia="fr-CH"/>
        </w:rPr>
        <w:drawing>
          <wp:inline distT="0" distB="0" distL="0" distR="0" wp14:anchorId="5C291C48" wp14:editId="036FF1A6">
            <wp:extent cx="5378400" cy="5338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8400" cy="5338800"/>
                    </a:xfrm>
                    <a:prstGeom prst="rect">
                      <a:avLst/>
                    </a:prstGeom>
                  </pic:spPr>
                </pic:pic>
              </a:graphicData>
            </a:graphic>
          </wp:inline>
        </w:drawing>
      </w:r>
    </w:p>
    <w:p w:rsidR="0010182F" w:rsidRPr="00377C98" w:rsidRDefault="00377C98" w:rsidP="00377C98">
      <w:pPr>
        <w:pStyle w:val="SingleTxtG"/>
        <w:spacing w:before="240" w:after="0"/>
        <w:jc w:val="center"/>
        <w:rPr>
          <w:u w:val="single"/>
        </w:rPr>
      </w:pPr>
      <w:r>
        <w:rPr>
          <w:u w:val="single"/>
        </w:rPr>
        <w:tab/>
      </w:r>
      <w:r>
        <w:rPr>
          <w:u w:val="single"/>
        </w:rPr>
        <w:tab/>
      </w:r>
      <w:r>
        <w:rPr>
          <w:u w:val="single"/>
        </w:rPr>
        <w:tab/>
      </w:r>
    </w:p>
    <w:sectPr w:rsidR="0010182F" w:rsidRPr="00377C98" w:rsidSect="0010182F">
      <w:headerReference w:type="even" r:id="rId16"/>
      <w:headerReference w:type="default" r:id="rId17"/>
      <w:footerReference w:type="even" r:id="rId18"/>
      <w:footerReference w:type="default" r:id="rId19"/>
      <w:footerReference w:type="first" r:id="rId20"/>
      <w:endnotePr>
        <w:numFmt w:val="decimal"/>
      </w:endnotePr>
      <w:pgSz w:w="11906" w:h="16838" w:code="9"/>
      <w:pgMar w:top="1417"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656" w:rsidRDefault="00636656" w:rsidP="00F95C08">
      <w:pPr>
        <w:spacing w:line="240" w:lineRule="auto"/>
      </w:pPr>
    </w:p>
  </w:endnote>
  <w:endnote w:type="continuationSeparator" w:id="0">
    <w:p w:rsidR="00636656" w:rsidRPr="00AC3823" w:rsidRDefault="00636656" w:rsidP="00AC3823">
      <w:pPr>
        <w:pStyle w:val="Footer"/>
      </w:pPr>
    </w:p>
  </w:endnote>
  <w:endnote w:type="continuationNotice" w:id="1">
    <w:p w:rsidR="00636656" w:rsidRDefault="006366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82F" w:rsidRPr="0010182F" w:rsidRDefault="0010182F" w:rsidP="0010182F">
    <w:pPr>
      <w:pStyle w:val="Footer"/>
      <w:tabs>
        <w:tab w:val="right" w:pos="9638"/>
      </w:tabs>
    </w:pPr>
    <w:r w:rsidRPr="0010182F">
      <w:rPr>
        <w:b/>
        <w:sz w:val="18"/>
      </w:rPr>
      <w:fldChar w:fldCharType="begin"/>
    </w:r>
    <w:r w:rsidRPr="0010182F">
      <w:rPr>
        <w:b/>
        <w:sz w:val="18"/>
      </w:rPr>
      <w:instrText xml:space="preserve"> PAGE  \* MERGEFORMAT </w:instrText>
    </w:r>
    <w:r w:rsidRPr="0010182F">
      <w:rPr>
        <w:b/>
        <w:sz w:val="18"/>
      </w:rPr>
      <w:fldChar w:fldCharType="separate"/>
    </w:r>
    <w:r w:rsidR="00B339F5">
      <w:rPr>
        <w:b/>
        <w:noProof/>
        <w:sz w:val="18"/>
      </w:rPr>
      <w:t>12</w:t>
    </w:r>
    <w:r w:rsidRPr="0010182F">
      <w:rPr>
        <w:b/>
        <w:sz w:val="18"/>
      </w:rPr>
      <w:fldChar w:fldCharType="end"/>
    </w:r>
    <w:r>
      <w:rPr>
        <w:b/>
        <w:sz w:val="18"/>
      </w:rPr>
      <w:tab/>
    </w:r>
    <w:r>
      <w:t>GE.18-15082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82F" w:rsidRPr="0010182F" w:rsidRDefault="0010182F" w:rsidP="0010182F">
    <w:pPr>
      <w:pStyle w:val="Footer"/>
      <w:tabs>
        <w:tab w:val="right" w:pos="9638"/>
      </w:tabs>
      <w:rPr>
        <w:b/>
        <w:sz w:val="18"/>
      </w:rPr>
    </w:pPr>
    <w:r>
      <w:t>GE.18-15082</w:t>
    </w:r>
    <w:r>
      <w:tab/>
    </w:r>
    <w:r w:rsidRPr="0010182F">
      <w:rPr>
        <w:b/>
        <w:sz w:val="18"/>
      </w:rPr>
      <w:fldChar w:fldCharType="begin"/>
    </w:r>
    <w:r w:rsidRPr="0010182F">
      <w:rPr>
        <w:b/>
        <w:sz w:val="18"/>
      </w:rPr>
      <w:instrText xml:space="preserve"> PAGE  \* MERGEFORMAT </w:instrText>
    </w:r>
    <w:r w:rsidRPr="0010182F">
      <w:rPr>
        <w:b/>
        <w:sz w:val="18"/>
      </w:rPr>
      <w:fldChar w:fldCharType="separate"/>
    </w:r>
    <w:r w:rsidR="00B339F5">
      <w:rPr>
        <w:b/>
        <w:noProof/>
        <w:sz w:val="18"/>
      </w:rPr>
      <w:t>11</w:t>
    </w:r>
    <w:r w:rsidRPr="0010182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56F" w:rsidRPr="0010182F" w:rsidRDefault="0010182F" w:rsidP="0010182F">
    <w:pPr>
      <w:pStyle w:val="Footer"/>
      <w:spacing w:before="120"/>
      <w:rPr>
        <w:sz w:val="20"/>
      </w:rPr>
    </w:pPr>
    <w:r>
      <w:rPr>
        <w:sz w:val="20"/>
      </w:rPr>
      <w:t>GE.</w:t>
    </w:r>
    <w:r w:rsidR="0068456F">
      <w:rPr>
        <w:noProof/>
        <w:lang w:eastAsia="fr-CH"/>
      </w:rPr>
      <w:drawing>
        <wp:anchor distT="0" distB="0" distL="114300" distR="114300" simplePos="0" relativeHeight="251660800" behindDoc="0" locked="0" layoutInCell="1" allowOverlap="0" wp14:anchorId="3453438E" wp14:editId="7953667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w:t>
    </w:r>
    <w:proofErr w:type="gramStart"/>
    <w:r>
      <w:rPr>
        <w:sz w:val="20"/>
      </w:rPr>
      <w:t>15082  (</w:t>
    </w:r>
    <w:proofErr w:type="gramEnd"/>
    <w:r>
      <w:rPr>
        <w:sz w:val="20"/>
      </w:rPr>
      <w:t>F)</w:t>
    </w:r>
    <w:r w:rsidR="00B20A67">
      <w:rPr>
        <w:sz w:val="20"/>
      </w:rPr>
      <w:t xml:space="preserve">    </w:t>
    </w:r>
    <w:r w:rsidR="00E1238B">
      <w:rPr>
        <w:sz w:val="20"/>
      </w:rPr>
      <w:t>280918    0</w:t>
    </w:r>
    <w:r w:rsidR="003F6DCA">
      <w:rPr>
        <w:sz w:val="20"/>
      </w:rPr>
      <w:t>9</w:t>
    </w:r>
    <w:r w:rsidR="00E1238B">
      <w:rPr>
        <w:sz w:val="20"/>
      </w:rPr>
      <w:t>1018</w:t>
    </w:r>
    <w:r>
      <w:rPr>
        <w:sz w:val="20"/>
      </w:rPr>
      <w:br/>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Pr>
        <w:noProof/>
        <w:sz w:val="20"/>
        <w:lang w:eastAsia="fr-CH"/>
      </w:rPr>
      <w:drawing>
        <wp:anchor distT="0" distB="0" distL="114300" distR="114300" simplePos="0" relativeHeight="251660288"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ST/SG/AC.10/C.3/2018/6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C.3/2018/6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656" w:rsidRPr="00AC3823" w:rsidRDefault="00636656" w:rsidP="00AC3823">
      <w:pPr>
        <w:pStyle w:val="Footer"/>
        <w:tabs>
          <w:tab w:val="right" w:pos="2155"/>
        </w:tabs>
        <w:spacing w:after="80" w:line="240" w:lineRule="atLeast"/>
        <w:ind w:left="680"/>
        <w:rPr>
          <w:u w:val="single"/>
        </w:rPr>
      </w:pPr>
      <w:r>
        <w:rPr>
          <w:u w:val="single"/>
        </w:rPr>
        <w:tab/>
      </w:r>
    </w:p>
  </w:footnote>
  <w:footnote w:type="continuationSeparator" w:id="0">
    <w:p w:rsidR="00636656" w:rsidRPr="00AC3823" w:rsidRDefault="00636656" w:rsidP="00AC3823">
      <w:pPr>
        <w:pStyle w:val="Footer"/>
        <w:tabs>
          <w:tab w:val="right" w:pos="2155"/>
        </w:tabs>
        <w:spacing w:after="80" w:line="240" w:lineRule="atLeast"/>
        <w:ind w:left="680"/>
        <w:rPr>
          <w:u w:val="single"/>
        </w:rPr>
      </w:pPr>
      <w:r>
        <w:rPr>
          <w:u w:val="single"/>
        </w:rPr>
        <w:tab/>
      </w:r>
    </w:p>
  </w:footnote>
  <w:footnote w:type="continuationNotice" w:id="1">
    <w:p w:rsidR="00636656" w:rsidRPr="00AC3823" w:rsidRDefault="00636656">
      <w:pPr>
        <w:spacing w:line="240" w:lineRule="auto"/>
        <w:rPr>
          <w:sz w:val="2"/>
          <w:szCs w:val="2"/>
        </w:rPr>
      </w:pPr>
    </w:p>
  </w:footnote>
  <w:footnote w:id="2">
    <w:p w:rsidR="00FA57A7" w:rsidRPr="006F49F1" w:rsidRDefault="00FA57A7" w:rsidP="00FA57A7">
      <w:pPr>
        <w:pStyle w:val="FootnoteText"/>
      </w:pPr>
      <w:r>
        <w:tab/>
        <w:t>*</w:t>
      </w:r>
      <w:r>
        <w:tab/>
      </w:r>
      <w:r>
        <w:rPr>
          <w:color w:val="000000"/>
          <w:lang w:eastAsia="en-GB"/>
        </w:rPr>
        <w:t>Conformément au</w:t>
      </w:r>
      <w:r w:rsidRPr="00620511">
        <w:rPr>
          <w:color w:val="000000"/>
          <w:lang w:eastAsia="en-GB"/>
        </w:rPr>
        <w:t xml:space="preserve"> programme </w:t>
      </w:r>
      <w:r>
        <w:rPr>
          <w:color w:val="000000"/>
          <w:lang w:eastAsia="en-GB"/>
        </w:rPr>
        <w:t>de travail du Sous</w:t>
      </w:r>
      <w:r w:rsidRPr="00620511">
        <w:rPr>
          <w:color w:val="000000"/>
          <w:lang w:eastAsia="en-GB"/>
        </w:rPr>
        <w:t>-Comit</w:t>
      </w:r>
      <w:r>
        <w:rPr>
          <w:color w:val="000000"/>
          <w:lang w:eastAsia="en-GB"/>
        </w:rPr>
        <w:t>é</w:t>
      </w:r>
      <w:r w:rsidRPr="00620511">
        <w:rPr>
          <w:color w:val="000000"/>
          <w:lang w:eastAsia="en-GB"/>
        </w:rPr>
        <w:t xml:space="preserve"> </w:t>
      </w:r>
      <w:r>
        <w:rPr>
          <w:color w:val="000000"/>
          <w:lang w:eastAsia="en-GB"/>
        </w:rPr>
        <w:t>pour la période</w:t>
      </w:r>
      <w:r w:rsidRPr="00620511">
        <w:t xml:space="preserve"> 2017</w:t>
      </w:r>
      <w:r w:rsidR="004C0D27">
        <w:t>-</w:t>
      </w:r>
      <w:r w:rsidRPr="00620511">
        <w:t>2018</w:t>
      </w:r>
      <w:r>
        <w:t xml:space="preserve">, approuvé par le </w:t>
      </w:r>
      <w:r w:rsidRPr="00620511">
        <w:t xml:space="preserve">Comité </w:t>
      </w:r>
      <w:r>
        <w:t>à sa huitième</w:t>
      </w:r>
      <w:r w:rsidRPr="00620511">
        <w:t xml:space="preserve"> session (</w:t>
      </w:r>
      <w:r>
        <w:t xml:space="preserve">voir </w:t>
      </w:r>
      <w:r w:rsidRPr="00620511">
        <w:t>ST/SG/AC.10/C.3/100, par</w:t>
      </w:r>
      <w:r>
        <w:t>.</w:t>
      </w:r>
      <w:r w:rsidRPr="00620511">
        <w:t xml:space="preserve"> 98</w:t>
      </w:r>
      <w:r>
        <w:t>,</w:t>
      </w:r>
      <w:r w:rsidRPr="00620511">
        <w:t xml:space="preserve"> </w:t>
      </w:r>
      <w:r>
        <w:t>et ST/SG/AC.10/44, par</w:t>
      </w:r>
      <w:r w:rsidRPr="00620511">
        <w:t>. 14)</w:t>
      </w:r>
      <w:r w:rsidRPr="00620511">
        <w:rPr>
          <w:color w:val="000000"/>
          <w:lang w:eastAsia="en-GB"/>
        </w:rPr>
        <w:t>.</w:t>
      </w:r>
    </w:p>
  </w:footnote>
  <w:footnote w:id="3">
    <w:p w:rsidR="00FA57A7" w:rsidRPr="006F49F1" w:rsidRDefault="00FA57A7" w:rsidP="00FA57A7">
      <w:pPr>
        <w:pStyle w:val="FootnoteText"/>
      </w:pPr>
      <w:r>
        <w:tab/>
      </w:r>
      <w:r w:rsidRPr="00A8363F">
        <w:rPr>
          <w:rStyle w:val="FootnoteReference"/>
        </w:rPr>
        <w:footnoteRef/>
      </w:r>
      <w:r>
        <w:t xml:space="preserve"> </w:t>
      </w:r>
      <w:r>
        <w:tab/>
      </w:r>
      <w:r w:rsidRPr="00A8363F">
        <w:rPr>
          <w:lang w:val="fr-FR"/>
        </w:rPr>
        <w:t>Document informel INF.67 (cinquante-troisième session), par. 4.</w:t>
      </w:r>
    </w:p>
  </w:footnote>
  <w:footnote w:id="4">
    <w:p w:rsidR="00FA57A7" w:rsidRPr="00AB188F" w:rsidRDefault="00FA57A7" w:rsidP="00FA57A7">
      <w:pPr>
        <w:pStyle w:val="FootnoteText"/>
      </w:pPr>
      <w:r>
        <w:tab/>
      </w:r>
      <w:r w:rsidRPr="00A8363F">
        <w:rPr>
          <w:rStyle w:val="FootnoteReference"/>
        </w:rPr>
        <w:footnoteRef/>
      </w:r>
      <w:r>
        <w:t xml:space="preserve"> </w:t>
      </w:r>
      <w:r>
        <w:tab/>
        <w:t xml:space="preserve">Document informel </w:t>
      </w:r>
      <w:r w:rsidRPr="00AB188F">
        <w:t>INF.53</w:t>
      </w:r>
      <w:r>
        <w:t xml:space="preserve"> (quarante-septième session)</w:t>
      </w:r>
      <w:r w:rsidRPr="00AB188F">
        <w:t>, par. 6</w:t>
      </w:r>
      <w:r>
        <w:t>.</w:t>
      </w:r>
    </w:p>
  </w:footnote>
  <w:footnote w:id="5">
    <w:p w:rsidR="00FA57A7" w:rsidRPr="00AB188F" w:rsidRDefault="001E55F3" w:rsidP="00FA57A7">
      <w:pPr>
        <w:pStyle w:val="FootnoteText"/>
      </w:pPr>
      <w:r>
        <w:tab/>
      </w:r>
      <w:r w:rsidR="00FA57A7" w:rsidRPr="00A8363F">
        <w:rPr>
          <w:rStyle w:val="FootnoteReference"/>
        </w:rPr>
        <w:footnoteRef/>
      </w:r>
      <w:r w:rsidR="00FA57A7" w:rsidRPr="00022DD8">
        <w:t xml:space="preserve"> </w:t>
      </w:r>
      <w:r w:rsidR="00FA57A7" w:rsidRPr="00022DD8">
        <w:tab/>
      </w:r>
      <w:r w:rsidR="00FA57A7" w:rsidRPr="000C56BA">
        <w:t xml:space="preserve">Document informel </w:t>
      </w:r>
      <w:r w:rsidR="00FA57A7" w:rsidRPr="00A3412B">
        <w:t>INF.38</w:t>
      </w:r>
      <w:r w:rsidR="00FA57A7">
        <w:t xml:space="preserve"> (cinquante et unième session)</w:t>
      </w:r>
      <w:r w:rsidR="00FA57A7" w:rsidRPr="00A3412B">
        <w:t>, par. 5</w:t>
      </w:r>
      <w:r w:rsidR="00FA57A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82F" w:rsidRPr="0010182F" w:rsidRDefault="0010182F">
    <w:pPr>
      <w:pStyle w:val="Header"/>
      <w:rPr>
        <w:lang w:val="en-US"/>
      </w:rPr>
    </w:pPr>
    <w:r>
      <w:fldChar w:fldCharType="begin"/>
    </w:r>
    <w:r w:rsidRPr="0010182F">
      <w:rPr>
        <w:lang w:val="en-US"/>
      </w:rPr>
      <w:instrText xml:space="preserve"> TITLE  \* MERGEFORMAT </w:instrText>
    </w:r>
    <w:r>
      <w:fldChar w:fldCharType="separate"/>
    </w:r>
    <w:r w:rsidRPr="0010182F">
      <w:rPr>
        <w:lang w:val="en-US"/>
      </w:rPr>
      <w:t>ST/SG/AC.10/C.3/2018/67</w:t>
    </w:r>
    <w:r>
      <w:fldChar w:fldCharType="end"/>
    </w:r>
    <w:r w:rsidRPr="0010182F">
      <w:rPr>
        <w:lang w:val="en-US"/>
      </w:rPr>
      <w:br/>
    </w:r>
    <w:r>
      <w:fldChar w:fldCharType="begin"/>
    </w:r>
    <w:r w:rsidRPr="0010182F">
      <w:rPr>
        <w:lang w:val="en-US"/>
      </w:rPr>
      <w:instrText xml:space="preserve"> KEYWORDS  \* MERGEFORMAT </w:instrText>
    </w:r>
    <w:r>
      <w:fldChar w:fldCharType="separate"/>
    </w:r>
    <w:r w:rsidRPr="0010182F">
      <w:rPr>
        <w:lang w:val="en-US"/>
      </w:rPr>
      <w:t>ST/SG/AC.10/C.4/2018/17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82F" w:rsidRPr="0010182F" w:rsidRDefault="0010182F" w:rsidP="0010182F">
    <w:pPr>
      <w:pStyle w:val="Header"/>
      <w:jc w:val="right"/>
      <w:rPr>
        <w:lang w:val="en-US"/>
      </w:rPr>
    </w:pPr>
    <w:r>
      <w:fldChar w:fldCharType="begin"/>
    </w:r>
    <w:r w:rsidRPr="0010182F">
      <w:rPr>
        <w:lang w:val="en-US"/>
      </w:rPr>
      <w:instrText xml:space="preserve"> TITLE  \* MERGEFORMAT </w:instrText>
    </w:r>
    <w:r>
      <w:fldChar w:fldCharType="separate"/>
    </w:r>
    <w:r w:rsidRPr="0010182F">
      <w:rPr>
        <w:lang w:val="en-US"/>
      </w:rPr>
      <w:t>ST/SG/AC.10/C.3/2018/67</w:t>
    </w:r>
    <w:r>
      <w:fldChar w:fldCharType="end"/>
    </w:r>
    <w:r w:rsidRPr="0010182F">
      <w:rPr>
        <w:lang w:val="en-US"/>
      </w:rPr>
      <w:br/>
    </w:r>
    <w:r>
      <w:fldChar w:fldCharType="begin"/>
    </w:r>
    <w:r w:rsidRPr="0010182F">
      <w:rPr>
        <w:lang w:val="en-US"/>
      </w:rPr>
      <w:instrText xml:space="preserve"> KEYWORDS  \* MERGEFORMAT </w:instrText>
    </w:r>
    <w:r>
      <w:fldChar w:fldCharType="separate"/>
    </w:r>
    <w:r w:rsidRPr="0010182F">
      <w:rPr>
        <w:lang w:val="en-US"/>
      </w:rPr>
      <w:t>ST/SG/AC.10/C.4/2018/17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3"/>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13"/>
  </w:num>
  <w:num w:numId="16">
    <w:abstractNumId w:val="10"/>
  </w:num>
  <w:num w:numId="17">
    <w:abstractNumId w:val="14"/>
  </w:num>
  <w:num w:numId="18">
    <w:abstractNumId w:val="12"/>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656"/>
    <w:rsid w:val="00017F94"/>
    <w:rsid w:val="00023842"/>
    <w:rsid w:val="000305D3"/>
    <w:rsid w:val="000334F9"/>
    <w:rsid w:val="0007796D"/>
    <w:rsid w:val="00085B06"/>
    <w:rsid w:val="000B5102"/>
    <w:rsid w:val="000B7790"/>
    <w:rsid w:val="0010182F"/>
    <w:rsid w:val="00111F2F"/>
    <w:rsid w:val="00132EA9"/>
    <w:rsid w:val="0014365E"/>
    <w:rsid w:val="00176178"/>
    <w:rsid w:val="001876D3"/>
    <w:rsid w:val="001B10A6"/>
    <w:rsid w:val="001E55F3"/>
    <w:rsid w:val="001F525A"/>
    <w:rsid w:val="00223272"/>
    <w:rsid w:val="0024779E"/>
    <w:rsid w:val="00283190"/>
    <w:rsid w:val="002832AC"/>
    <w:rsid w:val="00294054"/>
    <w:rsid w:val="002D7C93"/>
    <w:rsid w:val="00317B13"/>
    <w:rsid w:val="00377C98"/>
    <w:rsid w:val="003F6DCA"/>
    <w:rsid w:val="00441C3B"/>
    <w:rsid w:val="00446FE5"/>
    <w:rsid w:val="00452396"/>
    <w:rsid w:val="004C0D27"/>
    <w:rsid w:val="004E468C"/>
    <w:rsid w:val="005505B7"/>
    <w:rsid w:val="00573BE5"/>
    <w:rsid w:val="00584DC4"/>
    <w:rsid w:val="00586ED3"/>
    <w:rsid w:val="00596AA9"/>
    <w:rsid w:val="005F2F59"/>
    <w:rsid w:val="00633FD4"/>
    <w:rsid w:val="00636656"/>
    <w:rsid w:val="006635ED"/>
    <w:rsid w:val="00667911"/>
    <w:rsid w:val="0067753E"/>
    <w:rsid w:val="0068456F"/>
    <w:rsid w:val="00707A4A"/>
    <w:rsid w:val="0071601D"/>
    <w:rsid w:val="00736B51"/>
    <w:rsid w:val="00772814"/>
    <w:rsid w:val="0078429B"/>
    <w:rsid w:val="0079728D"/>
    <w:rsid w:val="007A62E6"/>
    <w:rsid w:val="007C56F9"/>
    <w:rsid w:val="0080684C"/>
    <w:rsid w:val="00871C75"/>
    <w:rsid w:val="008771F3"/>
    <w:rsid w:val="008776DC"/>
    <w:rsid w:val="008B40CD"/>
    <w:rsid w:val="008F6503"/>
    <w:rsid w:val="0091397D"/>
    <w:rsid w:val="00924F6C"/>
    <w:rsid w:val="00936862"/>
    <w:rsid w:val="009619B5"/>
    <w:rsid w:val="009705C8"/>
    <w:rsid w:val="009776CF"/>
    <w:rsid w:val="009C1CF4"/>
    <w:rsid w:val="00A30353"/>
    <w:rsid w:val="00A7682F"/>
    <w:rsid w:val="00AC3823"/>
    <w:rsid w:val="00AC617B"/>
    <w:rsid w:val="00AD5CAD"/>
    <w:rsid w:val="00AE130B"/>
    <w:rsid w:val="00AE323C"/>
    <w:rsid w:val="00B00181"/>
    <w:rsid w:val="00B00B0D"/>
    <w:rsid w:val="00B0178A"/>
    <w:rsid w:val="00B20A67"/>
    <w:rsid w:val="00B339F5"/>
    <w:rsid w:val="00B765F7"/>
    <w:rsid w:val="00BA0CA9"/>
    <w:rsid w:val="00BA7ECE"/>
    <w:rsid w:val="00BB6190"/>
    <w:rsid w:val="00C02897"/>
    <w:rsid w:val="00C13659"/>
    <w:rsid w:val="00C56957"/>
    <w:rsid w:val="00C77D24"/>
    <w:rsid w:val="00CF296B"/>
    <w:rsid w:val="00D31163"/>
    <w:rsid w:val="00D3439C"/>
    <w:rsid w:val="00D422F4"/>
    <w:rsid w:val="00DA4654"/>
    <w:rsid w:val="00DB1831"/>
    <w:rsid w:val="00DD3BFD"/>
    <w:rsid w:val="00DF6678"/>
    <w:rsid w:val="00E1238B"/>
    <w:rsid w:val="00E86FE9"/>
    <w:rsid w:val="00EF2E22"/>
    <w:rsid w:val="00F01738"/>
    <w:rsid w:val="00F660DF"/>
    <w:rsid w:val="00F70373"/>
    <w:rsid w:val="00F730C8"/>
    <w:rsid w:val="00F86CF7"/>
    <w:rsid w:val="00F95C08"/>
    <w:rsid w:val="00FA57A7"/>
    <w:rsid w:val="00FF5545"/>
    <w:rsid w:val="00FF6FB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E9D10EF-59D4-41D1-9CBD-24771C17D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styleId="CommentReference">
    <w:name w:val="annotation reference"/>
    <w:rsid w:val="00FA57A7"/>
    <w:rPr>
      <w:sz w:val="16"/>
      <w:szCs w:val="16"/>
    </w:rPr>
  </w:style>
  <w:style w:type="table" w:customStyle="1" w:styleId="Grilledutableau1">
    <w:name w:val="Grille du tableau1"/>
    <w:basedOn w:val="TableNormal"/>
    <w:next w:val="TableGrid"/>
    <w:uiPriority w:val="59"/>
    <w:rsid w:val="00FA57A7"/>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6.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3316</Words>
  <Characters>18907</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ST/SG/AC.10/C.3/2018/67</vt:lpstr>
      <vt:lpstr>ST/SG/AC.10/C.3/2018/67</vt:lpstr>
    </vt:vector>
  </TitlesOfParts>
  <Company>DCM</Company>
  <LinksUpToDate>false</LinksUpToDate>
  <CharactersWithSpaces>22179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ST/SG/AC.10/C.3/2018/67</dc:title>
  <dc:creator>Nath VITTOZ</dc:creator>
  <cp:keywords>ST/SG/AC.10/C.4/2018/17</cp:keywords>
  <cp:lastModifiedBy>Laurence Berthet</cp:lastModifiedBy>
  <cp:revision>2</cp:revision>
  <cp:lastPrinted>2014-05-14T10:59:00Z</cp:lastPrinted>
  <dcterms:created xsi:type="dcterms:W3CDTF">2018-10-10T08:20:00Z</dcterms:created>
  <dcterms:modified xsi:type="dcterms:W3CDTF">2018-10-10T08:20:00Z</dcterms:modified>
</cp:coreProperties>
</file>