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D36A1" w14:paraId="5DCA027A" w14:textId="77777777" w:rsidTr="00785253">
        <w:trPr>
          <w:trHeight w:val="851"/>
        </w:trPr>
        <w:tc>
          <w:tcPr>
            <w:tcW w:w="1259" w:type="dxa"/>
            <w:tcBorders>
              <w:top w:val="nil"/>
              <w:left w:val="nil"/>
              <w:bottom w:val="single" w:sz="4" w:space="0" w:color="auto"/>
              <w:right w:val="nil"/>
            </w:tcBorders>
            <w:shd w:val="clear" w:color="auto" w:fill="auto"/>
          </w:tcPr>
          <w:p w14:paraId="1780ED05" w14:textId="77777777" w:rsidR="00446DE4" w:rsidRPr="007D36A1" w:rsidRDefault="00446DE4" w:rsidP="00785253">
            <w:pPr>
              <w:spacing w:after="80" w:line="340" w:lineRule="exact"/>
            </w:pPr>
          </w:p>
        </w:tc>
        <w:tc>
          <w:tcPr>
            <w:tcW w:w="2236" w:type="dxa"/>
            <w:tcBorders>
              <w:top w:val="nil"/>
              <w:left w:val="nil"/>
              <w:bottom w:val="single" w:sz="4" w:space="0" w:color="auto"/>
              <w:right w:val="nil"/>
            </w:tcBorders>
            <w:shd w:val="clear" w:color="auto" w:fill="auto"/>
            <w:vAlign w:val="bottom"/>
          </w:tcPr>
          <w:p w14:paraId="481189BF" w14:textId="77777777" w:rsidR="00446DE4" w:rsidRPr="007D36A1" w:rsidRDefault="00B3317B" w:rsidP="00785253">
            <w:pPr>
              <w:spacing w:after="80" w:line="340" w:lineRule="exact"/>
              <w:rPr>
                <w:sz w:val="28"/>
                <w:szCs w:val="28"/>
              </w:rPr>
            </w:pPr>
            <w:r w:rsidRPr="007D36A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63DE2F50" w14:textId="6966FB1C" w:rsidR="00446DE4" w:rsidRPr="007D36A1" w:rsidRDefault="007F737B" w:rsidP="00D80568">
            <w:pPr>
              <w:jc w:val="right"/>
            </w:pPr>
            <w:r w:rsidRPr="007D36A1">
              <w:rPr>
                <w:sz w:val="40"/>
              </w:rPr>
              <w:t>ST</w:t>
            </w:r>
            <w:r w:rsidR="00320764" w:rsidRPr="007D36A1">
              <w:t>/SG/AC.10/C.3/2018/</w:t>
            </w:r>
            <w:r w:rsidR="00D80568" w:rsidRPr="007D36A1">
              <w:t>54</w:t>
            </w:r>
          </w:p>
        </w:tc>
      </w:tr>
      <w:tr w:rsidR="003107FA" w:rsidRPr="007D36A1" w14:paraId="79443521" w14:textId="77777777" w:rsidTr="00785253">
        <w:trPr>
          <w:trHeight w:val="2835"/>
        </w:trPr>
        <w:tc>
          <w:tcPr>
            <w:tcW w:w="1259" w:type="dxa"/>
            <w:tcBorders>
              <w:top w:val="single" w:sz="4" w:space="0" w:color="auto"/>
              <w:left w:val="nil"/>
              <w:bottom w:val="single" w:sz="12" w:space="0" w:color="auto"/>
              <w:right w:val="nil"/>
            </w:tcBorders>
            <w:shd w:val="clear" w:color="auto" w:fill="auto"/>
          </w:tcPr>
          <w:p w14:paraId="29CDEA2C" w14:textId="6F511920" w:rsidR="003107FA" w:rsidRPr="007D36A1" w:rsidRDefault="006C6B50" w:rsidP="00785253">
            <w:pPr>
              <w:spacing w:before="120"/>
              <w:jc w:val="center"/>
            </w:pPr>
            <w:r w:rsidRPr="007D36A1">
              <w:rPr>
                <w:noProof/>
                <w:lang w:eastAsia="en-GB"/>
              </w:rPr>
              <w:drawing>
                <wp:inline distT="0" distB="0" distL="0" distR="0" wp14:anchorId="4DB94975" wp14:editId="3550942C">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5B9D6A62" w14:textId="77777777" w:rsidR="003107FA" w:rsidRPr="007D36A1" w:rsidRDefault="00D96CC5" w:rsidP="00785253">
            <w:pPr>
              <w:spacing w:before="120" w:line="420" w:lineRule="exact"/>
              <w:rPr>
                <w:b/>
                <w:sz w:val="40"/>
                <w:szCs w:val="40"/>
              </w:rPr>
            </w:pPr>
            <w:r w:rsidRPr="007D36A1">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4107079F" w14:textId="77777777" w:rsidR="003107FA" w:rsidRPr="007D36A1" w:rsidRDefault="007F737B" w:rsidP="00785253">
            <w:pPr>
              <w:spacing w:before="240" w:line="240" w:lineRule="exact"/>
            </w:pPr>
            <w:r w:rsidRPr="007D36A1">
              <w:t>Distr.: General</w:t>
            </w:r>
          </w:p>
          <w:p w14:paraId="45BC2651" w14:textId="1FF1E129" w:rsidR="007F737B" w:rsidRPr="007D36A1" w:rsidRDefault="00D80568" w:rsidP="00785253">
            <w:pPr>
              <w:spacing w:line="240" w:lineRule="exact"/>
            </w:pPr>
            <w:r w:rsidRPr="007D36A1">
              <w:t>11 April</w:t>
            </w:r>
            <w:r w:rsidR="00320764" w:rsidRPr="007D36A1">
              <w:t xml:space="preserve"> 2018</w:t>
            </w:r>
          </w:p>
          <w:p w14:paraId="5E16DD2C" w14:textId="77777777" w:rsidR="007F737B" w:rsidRPr="007D36A1" w:rsidRDefault="007F737B" w:rsidP="00785253">
            <w:pPr>
              <w:spacing w:line="240" w:lineRule="exact"/>
            </w:pPr>
          </w:p>
          <w:p w14:paraId="2E2FC278" w14:textId="541A3F89" w:rsidR="007F737B" w:rsidRPr="007D36A1" w:rsidRDefault="00D80568" w:rsidP="00D80568">
            <w:pPr>
              <w:spacing w:line="240" w:lineRule="exact"/>
            </w:pPr>
            <w:r w:rsidRPr="007D36A1">
              <w:t xml:space="preserve">Original: </w:t>
            </w:r>
            <w:r w:rsidR="007F737B" w:rsidRPr="007D36A1">
              <w:t>English</w:t>
            </w:r>
          </w:p>
        </w:tc>
      </w:tr>
    </w:tbl>
    <w:p w14:paraId="48B73464" w14:textId="77777777" w:rsidR="009F0F06" w:rsidRPr="007D36A1" w:rsidRDefault="009F0F06" w:rsidP="009F0F06">
      <w:pPr>
        <w:spacing w:before="120"/>
        <w:rPr>
          <w:b/>
          <w:sz w:val="24"/>
          <w:szCs w:val="24"/>
        </w:rPr>
      </w:pPr>
      <w:r w:rsidRPr="007D36A1">
        <w:rPr>
          <w:b/>
          <w:sz w:val="24"/>
          <w:szCs w:val="24"/>
        </w:rPr>
        <w:t>Committee of Experts on the Transport of Dangerous Goods</w:t>
      </w:r>
      <w:r w:rsidRPr="007D36A1">
        <w:rPr>
          <w:b/>
          <w:sz w:val="24"/>
          <w:szCs w:val="24"/>
        </w:rPr>
        <w:br/>
        <w:t>and on the Globally Harmonized System of Classification</w:t>
      </w:r>
      <w:r w:rsidRPr="007D36A1">
        <w:rPr>
          <w:b/>
          <w:sz w:val="24"/>
          <w:szCs w:val="24"/>
        </w:rPr>
        <w:br/>
        <w:t>and Labelling of Chemicals</w:t>
      </w:r>
    </w:p>
    <w:p w14:paraId="396F6978" w14:textId="4D8F8360" w:rsidR="009F0F06" w:rsidRPr="007D36A1" w:rsidRDefault="009F0F06" w:rsidP="009F0F06">
      <w:pPr>
        <w:spacing w:before="120"/>
        <w:rPr>
          <w:rFonts w:ascii="Helv" w:hAnsi="Helv" w:cs="Helv"/>
          <w:b/>
          <w:color w:val="000000"/>
        </w:rPr>
      </w:pPr>
      <w:r w:rsidRPr="007D36A1">
        <w:rPr>
          <w:b/>
        </w:rPr>
        <w:t>Sub-Committee of Experts</w:t>
      </w:r>
      <w:r w:rsidR="00D80568" w:rsidRPr="007D36A1">
        <w:rPr>
          <w:b/>
        </w:rPr>
        <w:t xml:space="preserve"> </w:t>
      </w:r>
      <w:r w:rsidRPr="007D36A1">
        <w:rPr>
          <w:b/>
        </w:rPr>
        <w:t xml:space="preserve">on the </w:t>
      </w:r>
      <w:r w:rsidR="00CD3225" w:rsidRPr="007D36A1">
        <w:rPr>
          <w:b/>
        </w:rPr>
        <w:t>Transport of Dangerous Goods</w:t>
      </w:r>
    </w:p>
    <w:p w14:paraId="5FC80F19" w14:textId="77777777" w:rsidR="00280F3E" w:rsidRPr="00AA3C6C" w:rsidRDefault="00280F3E" w:rsidP="00280F3E">
      <w:pPr>
        <w:spacing w:before="100"/>
        <w:rPr>
          <w:b/>
        </w:rPr>
      </w:pPr>
      <w:r w:rsidRPr="00AA3C6C">
        <w:rPr>
          <w:b/>
        </w:rPr>
        <w:t>Fifty-third session</w:t>
      </w:r>
    </w:p>
    <w:p w14:paraId="18F82028" w14:textId="77777777" w:rsidR="00280F3E" w:rsidRPr="0043613E" w:rsidRDefault="00280F3E" w:rsidP="00280F3E">
      <w:r w:rsidRPr="00AA3C6C">
        <w:t>Geneva, 25</w:t>
      </w:r>
      <w:r>
        <w:t xml:space="preserve"> June-</w:t>
      </w:r>
      <w:r w:rsidRPr="00AA3C6C">
        <w:t>4 July 2018</w:t>
      </w:r>
    </w:p>
    <w:p w14:paraId="01E15B3F" w14:textId="124880EF" w:rsidR="007F737B" w:rsidRPr="00280F3E" w:rsidRDefault="007F737B" w:rsidP="007F737B">
      <w:r w:rsidRPr="00280F3E">
        <w:t xml:space="preserve">Item </w:t>
      </w:r>
      <w:r w:rsidR="00280F3E" w:rsidRPr="00280F3E">
        <w:t>8</w:t>
      </w:r>
      <w:r w:rsidRPr="00280F3E">
        <w:t xml:space="preserve"> of the provisional agenda</w:t>
      </w:r>
    </w:p>
    <w:p w14:paraId="7AC586A5" w14:textId="1A226550" w:rsidR="007F737B" w:rsidRPr="007D36A1" w:rsidRDefault="007F737B" w:rsidP="00280F3E">
      <w:pPr>
        <w:rPr>
          <w:b/>
        </w:rPr>
      </w:pPr>
      <w:r w:rsidRPr="00280F3E">
        <w:rPr>
          <w:b/>
        </w:rPr>
        <w:t xml:space="preserve">Cooperation with the International </w:t>
      </w:r>
      <w:r w:rsidR="00280F3E" w:rsidRPr="00280F3E">
        <w:rPr>
          <w:b/>
        </w:rPr>
        <w:br/>
      </w:r>
      <w:r w:rsidRPr="00280F3E">
        <w:rPr>
          <w:b/>
        </w:rPr>
        <w:t>Atomic Energy Agency (IAEA)</w:t>
      </w:r>
    </w:p>
    <w:p w14:paraId="06CB6B5F" w14:textId="47A6E641" w:rsidR="007F737B" w:rsidRPr="007D36A1" w:rsidRDefault="007F737B" w:rsidP="007F737B">
      <w:pPr>
        <w:pStyle w:val="HChG"/>
      </w:pPr>
      <w:r w:rsidRPr="007D36A1">
        <w:tab/>
      </w:r>
      <w:r w:rsidRPr="007D36A1">
        <w:tab/>
        <w:t xml:space="preserve">Harmonization with the </w:t>
      </w:r>
      <w:r w:rsidR="00D80568" w:rsidRPr="007D36A1">
        <w:t xml:space="preserve">International Atomic Energy Agency </w:t>
      </w:r>
      <w:r w:rsidRPr="007D36A1">
        <w:t>Regulation for the Safe Transport of Radioactive Material</w:t>
      </w:r>
    </w:p>
    <w:p w14:paraId="44E2BFB4" w14:textId="072E2750" w:rsidR="007F737B" w:rsidRPr="007D36A1" w:rsidRDefault="007F737B" w:rsidP="007F737B">
      <w:pPr>
        <w:pStyle w:val="H1G"/>
      </w:pPr>
      <w:r w:rsidRPr="007D36A1">
        <w:tab/>
      </w:r>
      <w:r w:rsidRPr="007D36A1">
        <w:tab/>
      </w:r>
      <w:r w:rsidR="00D80568" w:rsidRPr="007D36A1">
        <w:t>Transmitted by International Atomic Energy Agency (IAEA)</w:t>
      </w:r>
      <w:r w:rsidR="00280F3E">
        <w:rPr>
          <w:rStyle w:val="FootnoteReference"/>
        </w:rPr>
        <w:footnoteReference w:customMarkFollows="1" w:id="2"/>
        <w:t>*</w:t>
      </w:r>
    </w:p>
    <w:p w14:paraId="19E503BB" w14:textId="21215C80" w:rsidR="00DA4D16" w:rsidRPr="007D36A1" w:rsidRDefault="00DA4D16" w:rsidP="00DA4D16">
      <w:pPr>
        <w:pStyle w:val="HChG"/>
      </w:pPr>
      <w:r w:rsidRPr="007D36A1">
        <w:tab/>
      </w:r>
      <w:r w:rsidRPr="007D36A1">
        <w:tab/>
      </w:r>
      <w:r>
        <w:t>Introduction</w:t>
      </w:r>
    </w:p>
    <w:p w14:paraId="49E12BF7" w14:textId="7C21E5C2" w:rsidR="0039376D" w:rsidRPr="007D36A1" w:rsidRDefault="00CC0B07" w:rsidP="005263D9">
      <w:pPr>
        <w:pStyle w:val="SingleTxtG"/>
        <w:rPr>
          <w:lang w:val="en-GB"/>
        </w:rPr>
      </w:pPr>
      <w:r w:rsidRPr="007D36A1">
        <w:rPr>
          <w:lang w:val="en-GB"/>
        </w:rPr>
        <w:t>1.</w:t>
      </w:r>
      <w:r w:rsidRPr="007D36A1">
        <w:rPr>
          <w:lang w:val="en-GB"/>
        </w:rPr>
        <w:tab/>
      </w:r>
      <w:r w:rsidR="005263D9" w:rsidRPr="007D36A1">
        <w:rPr>
          <w:lang w:val="en-GB"/>
        </w:rPr>
        <w:t xml:space="preserve">This document contains </w:t>
      </w:r>
      <w:r w:rsidRPr="007D36A1">
        <w:rPr>
          <w:lang w:val="en-GB"/>
        </w:rPr>
        <w:t>a</w:t>
      </w:r>
      <w:r w:rsidR="005263D9" w:rsidRPr="007D36A1">
        <w:rPr>
          <w:lang w:val="en-GB"/>
        </w:rPr>
        <w:t xml:space="preserve"> draft list </w:t>
      </w:r>
      <w:r w:rsidR="00280F3E">
        <w:rPr>
          <w:lang w:val="en-GB"/>
        </w:rPr>
        <w:t>of amendments to the twentieth</w:t>
      </w:r>
      <w:r w:rsidR="000D5430" w:rsidRPr="007D36A1">
        <w:rPr>
          <w:lang w:val="en-GB"/>
        </w:rPr>
        <w:t xml:space="preserve"> </w:t>
      </w:r>
      <w:r w:rsidR="005263D9" w:rsidRPr="007D36A1">
        <w:rPr>
          <w:lang w:val="en-GB"/>
        </w:rPr>
        <w:t xml:space="preserve">revised edition of the </w:t>
      </w:r>
      <w:r w:rsidRPr="007D36A1">
        <w:rPr>
          <w:lang w:val="en-GB"/>
        </w:rPr>
        <w:t xml:space="preserve">Recommendations on the Transport of Dangerous Goods, </w:t>
      </w:r>
      <w:r w:rsidR="005263D9" w:rsidRPr="007D36A1">
        <w:rPr>
          <w:lang w:val="en-GB"/>
        </w:rPr>
        <w:t>Model Regulations</w:t>
      </w:r>
      <w:r w:rsidRPr="007D36A1">
        <w:rPr>
          <w:lang w:val="en-GB"/>
        </w:rPr>
        <w:t>,</w:t>
      </w:r>
      <w:r w:rsidR="005263D9" w:rsidRPr="007D36A1">
        <w:rPr>
          <w:lang w:val="en-GB"/>
        </w:rPr>
        <w:t xml:space="preserve"> for alignment with the </w:t>
      </w:r>
      <w:r w:rsidR="00320764" w:rsidRPr="007D36A1">
        <w:rPr>
          <w:lang w:val="en-GB"/>
        </w:rPr>
        <w:t>2018</w:t>
      </w:r>
      <w:r w:rsidR="005263D9" w:rsidRPr="007D36A1">
        <w:rPr>
          <w:lang w:val="en-GB"/>
        </w:rPr>
        <w:t xml:space="preserve"> Edition of the IAEA Regulations for the Safe Transport</w:t>
      </w:r>
      <w:r w:rsidR="00E71484" w:rsidRPr="007D36A1">
        <w:rPr>
          <w:lang w:val="en-GB"/>
        </w:rPr>
        <w:t xml:space="preserve"> of </w:t>
      </w:r>
      <w:r w:rsidR="00320764" w:rsidRPr="007D36A1">
        <w:rPr>
          <w:lang w:val="en-GB"/>
        </w:rPr>
        <w:t>Radioactive Material (SSR-6</w:t>
      </w:r>
      <w:r w:rsidR="00B05FD0" w:rsidRPr="007D36A1">
        <w:rPr>
          <w:lang w:val="en-GB"/>
        </w:rPr>
        <w:t>, Rev.1</w:t>
      </w:r>
      <w:r w:rsidR="005263D9" w:rsidRPr="007D36A1">
        <w:rPr>
          <w:lang w:val="en-GB"/>
        </w:rPr>
        <w:t>)</w:t>
      </w:r>
      <w:r w:rsidR="0039376D" w:rsidRPr="007D36A1">
        <w:rPr>
          <w:lang w:val="en-GB"/>
        </w:rPr>
        <w:t>.</w:t>
      </w:r>
      <w:r w:rsidRPr="007D36A1">
        <w:rPr>
          <w:lang w:val="en-GB"/>
        </w:rPr>
        <w:t xml:space="preserve"> </w:t>
      </w:r>
    </w:p>
    <w:p w14:paraId="5E6078D2" w14:textId="77777777" w:rsidR="00CC0B07" w:rsidRPr="007D36A1" w:rsidRDefault="00CC0B07" w:rsidP="005263D9">
      <w:pPr>
        <w:pStyle w:val="SingleTxtG"/>
        <w:rPr>
          <w:lang w:val="en-GB"/>
        </w:rPr>
      </w:pPr>
      <w:r w:rsidRPr="007D36A1">
        <w:rPr>
          <w:lang w:val="en-GB"/>
        </w:rPr>
        <w:t>2.</w:t>
      </w:r>
      <w:r w:rsidRPr="007D36A1">
        <w:rPr>
          <w:lang w:val="en-GB"/>
        </w:rPr>
        <w:tab/>
        <w:t>The draft amendments were prepared on the basis of those submitted to the IAEA B</w:t>
      </w:r>
      <w:r w:rsidR="00B05FD0" w:rsidRPr="007D36A1">
        <w:rPr>
          <w:lang w:val="en-GB"/>
        </w:rPr>
        <w:t>oard of governors for approval.</w:t>
      </w:r>
    </w:p>
    <w:p w14:paraId="3608052E" w14:textId="77777777" w:rsidR="00CC0B07" w:rsidRPr="007D36A1" w:rsidRDefault="00CC0B07" w:rsidP="005263D9">
      <w:pPr>
        <w:pStyle w:val="SingleTxtG"/>
        <w:rPr>
          <w:lang w:val="en-GB"/>
        </w:rPr>
      </w:pPr>
      <w:r w:rsidRPr="007D36A1">
        <w:rPr>
          <w:lang w:val="en-GB"/>
        </w:rPr>
        <w:t>3.</w:t>
      </w:r>
      <w:r w:rsidRPr="007D36A1">
        <w:rPr>
          <w:lang w:val="en-GB"/>
        </w:rPr>
        <w:tab/>
        <w:t>Some editorial changes to the IAEA Regulations have not been reflected when they were likely to bring editorial inconsistencies in the Model Regulations. Furthermore, no attempt has been made to modify the current structure of the Model Regulations.</w:t>
      </w:r>
    </w:p>
    <w:p w14:paraId="6CBB76F9" w14:textId="77777777" w:rsidR="00CE1C21" w:rsidRPr="007D36A1" w:rsidRDefault="00CC0B07" w:rsidP="00CC0B07">
      <w:pPr>
        <w:pStyle w:val="SingleTxtG"/>
        <w:rPr>
          <w:lang w:val="en-GB"/>
        </w:rPr>
      </w:pPr>
      <w:r w:rsidRPr="007D36A1">
        <w:rPr>
          <w:lang w:val="en-GB"/>
        </w:rPr>
        <w:t>4.</w:t>
      </w:r>
      <w:r w:rsidRPr="007D36A1">
        <w:rPr>
          <w:lang w:val="en-GB"/>
        </w:rPr>
        <w:tab/>
      </w:r>
      <w:r w:rsidR="00CE1C21" w:rsidRPr="007D36A1">
        <w:rPr>
          <w:lang w:val="en-GB"/>
        </w:rPr>
        <w:t xml:space="preserve">Paragraph numbers between square brackets refer to paragraphs in the </w:t>
      </w:r>
      <w:r w:rsidR="007739E4" w:rsidRPr="007D36A1">
        <w:rPr>
          <w:lang w:val="en-GB"/>
        </w:rPr>
        <w:t>2018</w:t>
      </w:r>
      <w:r w:rsidRPr="007D36A1">
        <w:rPr>
          <w:lang w:val="en-GB"/>
        </w:rPr>
        <w:t xml:space="preserve"> Edition of the </w:t>
      </w:r>
      <w:r w:rsidR="00CE1C21" w:rsidRPr="007D36A1">
        <w:rPr>
          <w:lang w:val="en-GB"/>
        </w:rPr>
        <w:t>IAEA Regulations.</w:t>
      </w:r>
    </w:p>
    <w:p w14:paraId="6ED01050" w14:textId="43FAC545" w:rsidR="00CC0B07" w:rsidRPr="007D36A1" w:rsidRDefault="00CC0B07" w:rsidP="00CC0B07">
      <w:pPr>
        <w:pStyle w:val="SingleTxtG"/>
        <w:rPr>
          <w:lang w:val="en-GB"/>
        </w:rPr>
      </w:pPr>
      <w:r w:rsidRPr="00DA4D16">
        <w:rPr>
          <w:lang w:val="en-GB"/>
        </w:rPr>
        <w:t>5.</w:t>
      </w:r>
      <w:r w:rsidRPr="00DA4D16">
        <w:rPr>
          <w:lang w:val="en-GB"/>
        </w:rPr>
        <w:tab/>
        <w:t xml:space="preserve">The draft amendments </w:t>
      </w:r>
      <w:r w:rsidR="00DA4D16" w:rsidRPr="00DA4D16">
        <w:rPr>
          <w:lang w:val="en-GB"/>
        </w:rPr>
        <w:t>will</w:t>
      </w:r>
      <w:r w:rsidRPr="00DA4D16">
        <w:rPr>
          <w:lang w:val="en-GB"/>
        </w:rPr>
        <w:t xml:space="preserve"> also </w:t>
      </w:r>
      <w:r w:rsidR="00DA4D16" w:rsidRPr="00DA4D16">
        <w:rPr>
          <w:lang w:val="en-GB"/>
        </w:rPr>
        <w:t xml:space="preserve">be </w:t>
      </w:r>
      <w:r w:rsidRPr="00DA4D16">
        <w:rPr>
          <w:lang w:val="en-GB"/>
        </w:rPr>
        <w:t>shown in track-change</w:t>
      </w:r>
      <w:r w:rsidR="0039376D" w:rsidRPr="00DA4D16">
        <w:rPr>
          <w:lang w:val="en-GB"/>
        </w:rPr>
        <w:t xml:space="preserve">s mode in </w:t>
      </w:r>
      <w:r w:rsidR="00DA4D16" w:rsidRPr="00DA4D16">
        <w:rPr>
          <w:lang w:val="en-GB"/>
        </w:rPr>
        <w:t xml:space="preserve">an </w:t>
      </w:r>
      <w:r w:rsidR="0039376D" w:rsidRPr="00DA4D16">
        <w:rPr>
          <w:lang w:val="en-GB"/>
        </w:rPr>
        <w:t>informal document</w:t>
      </w:r>
      <w:r w:rsidRPr="00DA4D16">
        <w:rPr>
          <w:lang w:val="en-GB"/>
        </w:rPr>
        <w:t>.</w:t>
      </w:r>
    </w:p>
    <w:p w14:paraId="3F0EAF98" w14:textId="77777777" w:rsidR="005D2C2A" w:rsidRPr="007D36A1" w:rsidRDefault="00CC0B07" w:rsidP="005D2C2A">
      <w:pPr>
        <w:pStyle w:val="SingleTxtG"/>
        <w:rPr>
          <w:lang w:val="en-GB"/>
        </w:rPr>
      </w:pPr>
      <w:r w:rsidRPr="007D36A1">
        <w:rPr>
          <w:lang w:val="en-GB"/>
        </w:rPr>
        <w:t>6.</w:t>
      </w:r>
      <w:r w:rsidRPr="007D36A1">
        <w:rPr>
          <w:lang w:val="en-GB"/>
        </w:rPr>
        <w:tab/>
      </w:r>
      <w:r w:rsidR="00E71484" w:rsidRPr="007D36A1">
        <w:rPr>
          <w:lang w:val="en-GB"/>
        </w:rPr>
        <w:t xml:space="preserve">With the </w:t>
      </w:r>
      <w:r w:rsidR="0031335E" w:rsidRPr="007D36A1">
        <w:rPr>
          <w:lang w:val="en-GB"/>
        </w:rPr>
        <w:t xml:space="preserve">2018 Edition of SSR-6 some </w:t>
      </w:r>
      <w:r w:rsidR="00E825B7" w:rsidRPr="007D36A1">
        <w:rPr>
          <w:lang w:val="en-GB"/>
        </w:rPr>
        <w:t>editorial changes have been made which are not detailed in this document</w:t>
      </w:r>
      <w:r w:rsidR="0031335E" w:rsidRPr="007D36A1">
        <w:rPr>
          <w:lang w:val="en-GB"/>
        </w:rPr>
        <w:t>, namely:</w:t>
      </w:r>
    </w:p>
    <w:p w14:paraId="31732EAA" w14:textId="4F9F0CD5" w:rsidR="0031335E" w:rsidRPr="007D36A1" w:rsidRDefault="00B05FD0" w:rsidP="000D5430">
      <w:pPr>
        <w:pStyle w:val="Bullet1G"/>
      </w:pPr>
      <w:r w:rsidRPr="007D36A1">
        <w:lastRenderedPageBreak/>
        <w:t>“</w:t>
      </w:r>
      <w:r w:rsidR="0031335E" w:rsidRPr="007D36A1">
        <w:t>Marking</w:t>
      </w:r>
      <w:r w:rsidR="005868E1" w:rsidRPr="007D36A1">
        <w:t>/mark</w:t>
      </w:r>
      <w:r w:rsidRPr="007D36A1">
        <w:t>”</w:t>
      </w:r>
      <w:r w:rsidR="0031335E" w:rsidRPr="007D36A1">
        <w:t xml:space="preserve"> replaced by </w:t>
      </w:r>
      <w:r w:rsidRPr="007D36A1">
        <w:t>“</w:t>
      </w:r>
      <w:r w:rsidR="0031335E" w:rsidRPr="007D36A1">
        <w:t>mark</w:t>
      </w:r>
      <w:r w:rsidR="005868E1" w:rsidRPr="007D36A1">
        <w:t>/marking</w:t>
      </w:r>
      <w:r w:rsidRPr="007D36A1">
        <w:t>”</w:t>
      </w:r>
      <w:r w:rsidR="00495543" w:rsidRPr="007D36A1">
        <w:t xml:space="preserve">, to be aligned with the </w:t>
      </w:r>
      <w:r w:rsidR="000D5430" w:rsidRPr="007D36A1">
        <w:t>Model Regulations;</w:t>
      </w:r>
    </w:p>
    <w:p w14:paraId="2AD1FE6F" w14:textId="5F99FF70" w:rsidR="0031335E" w:rsidRPr="007D36A1" w:rsidRDefault="00B05FD0" w:rsidP="000D5430">
      <w:pPr>
        <w:pStyle w:val="Bullet1G"/>
      </w:pPr>
      <w:r w:rsidRPr="007D36A1">
        <w:t>“</w:t>
      </w:r>
      <w:r w:rsidR="0031335E" w:rsidRPr="007D36A1">
        <w:t>Persons</w:t>
      </w:r>
      <w:r w:rsidRPr="007D36A1">
        <w:t>”</w:t>
      </w:r>
      <w:r w:rsidR="0031335E" w:rsidRPr="007D36A1">
        <w:t xml:space="preserve"> replaced by </w:t>
      </w:r>
      <w:r w:rsidRPr="007D36A1">
        <w:t>“</w:t>
      </w:r>
      <w:r w:rsidR="0031335E" w:rsidRPr="007D36A1">
        <w:t>people</w:t>
      </w:r>
      <w:r w:rsidRPr="007D36A1">
        <w:t>”</w:t>
      </w:r>
      <w:r w:rsidR="00E825B7" w:rsidRPr="007D36A1">
        <w:t>, to be aligned with the GSR-Part 3,</w:t>
      </w:r>
      <w:r w:rsidR="005868E1" w:rsidRPr="007D36A1">
        <w:t xml:space="preserve"> in </w:t>
      </w:r>
      <w:r w:rsidR="003D025C" w:rsidRPr="007D36A1">
        <w:t>1.1.1.4, 1.5.1.1 and 7.1.8.5.1</w:t>
      </w:r>
      <w:r w:rsidRPr="007D36A1">
        <w:t>;</w:t>
      </w:r>
      <w:r w:rsidR="008113BD" w:rsidRPr="007D36A1">
        <w:t xml:space="preserve"> </w:t>
      </w:r>
      <w:r w:rsidR="00B83AC5" w:rsidRPr="007D36A1">
        <w:t>para</w:t>
      </w:r>
      <w:r w:rsidRPr="007D36A1">
        <w:t>graph</w:t>
      </w:r>
      <w:r w:rsidR="00B83AC5" w:rsidRPr="007D36A1">
        <w:t xml:space="preserve">s </w:t>
      </w:r>
      <w:r w:rsidR="00A849E4" w:rsidRPr="007D36A1">
        <w:t>1.5.1.2</w:t>
      </w:r>
      <w:r w:rsidRPr="007D36A1">
        <w:t xml:space="preserve"> </w:t>
      </w:r>
      <w:r w:rsidR="00B83AC5" w:rsidRPr="007D36A1">
        <w:t xml:space="preserve">and </w:t>
      </w:r>
      <w:r w:rsidR="008113BD" w:rsidRPr="007D36A1">
        <w:t>1.5.2.5</w:t>
      </w:r>
      <w:r w:rsidR="00B83AC5" w:rsidRPr="007D36A1">
        <w:t xml:space="preserve"> are included in </w:t>
      </w:r>
      <w:r w:rsidR="00E825B7" w:rsidRPr="007D36A1">
        <w:t>this document</w:t>
      </w:r>
      <w:r w:rsidR="00B83AC5" w:rsidRPr="007D36A1">
        <w:t xml:space="preserve"> because </w:t>
      </w:r>
      <w:r w:rsidR="00E825B7" w:rsidRPr="007D36A1">
        <w:t>there are additional changes to the paragraphs</w:t>
      </w:r>
      <w:r w:rsidR="000D5430" w:rsidRPr="007D36A1">
        <w:t>;</w:t>
      </w:r>
    </w:p>
    <w:p w14:paraId="551AB786" w14:textId="0E90FC3E" w:rsidR="0031335E" w:rsidRPr="007D36A1" w:rsidRDefault="00B05FD0" w:rsidP="000D5430">
      <w:pPr>
        <w:pStyle w:val="Bullet1G"/>
      </w:pPr>
      <w:r w:rsidRPr="007D36A1">
        <w:t>“</w:t>
      </w:r>
      <w:r w:rsidR="0031335E" w:rsidRPr="007D36A1">
        <w:t>Risk</w:t>
      </w:r>
      <w:r w:rsidR="005868E1" w:rsidRPr="007D36A1">
        <w:t>/hazard</w:t>
      </w:r>
      <w:r w:rsidRPr="007D36A1">
        <w:t xml:space="preserve">” </w:t>
      </w:r>
      <w:r w:rsidR="0031335E" w:rsidRPr="007D36A1">
        <w:t xml:space="preserve">replaced by </w:t>
      </w:r>
      <w:r w:rsidRPr="007D36A1">
        <w:t>“</w:t>
      </w:r>
      <w:r w:rsidR="0031335E" w:rsidRPr="007D36A1">
        <w:t>hazard</w:t>
      </w:r>
      <w:r w:rsidR="005868E1" w:rsidRPr="007D36A1">
        <w:t>/risk</w:t>
      </w:r>
      <w:r w:rsidRPr="007D36A1">
        <w:t>”</w:t>
      </w:r>
      <w:r w:rsidR="003C6165" w:rsidRPr="007D36A1">
        <w:t xml:space="preserve"> to be aligned with the </w:t>
      </w:r>
      <w:r w:rsidR="00730A94" w:rsidRPr="007D36A1">
        <w:t>Model Regulations</w:t>
      </w:r>
      <w:r w:rsidR="000D5430" w:rsidRPr="007D36A1">
        <w:t>;</w:t>
      </w:r>
    </w:p>
    <w:p w14:paraId="7CFF694A" w14:textId="54C88A23" w:rsidR="0031335E" w:rsidRPr="007D36A1" w:rsidRDefault="0031335E" w:rsidP="000D5430">
      <w:pPr>
        <w:pStyle w:val="Bullet1G"/>
      </w:pPr>
      <w:r w:rsidRPr="007D36A1">
        <w:t xml:space="preserve">Furthermore, the definition of </w:t>
      </w:r>
      <w:r w:rsidR="00B05FD0" w:rsidRPr="007D36A1">
        <w:t>“</w:t>
      </w:r>
      <w:r w:rsidRPr="007D36A1">
        <w:t xml:space="preserve">radiation </w:t>
      </w:r>
      <w:r w:rsidR="00495543" w:rsidRPr="007D36A1">
        <w:t>level” was</w:t>
      </w:r>
      <w:r w:rsidRPr="007D36A1">
        <w:t xml:space="preserve"> deleted and replaced by </w:t>
      </w:r>
      <w:r w:rsidR="00B05FD0" w:rsidRPr="007D36A1">
        <w:t>“</w:t>
      </w:r>
      <w:r w:rsidRPr="007D36A1">
        <w:t>dose rate</w:t>
      </w:r>
      <w:r w:rsidR="00CE0FB9" w:rsidRPr="007D36A1">
        <w:t>”</w:t>
      </w:r>
      <w:r w:rsidRPr="007D36A1">
        <w:t xml:space="preserve"> (see definition of </w:t>
      </w:r>
      <w:r w:rsidR="00CE0FB9" w:rsidRPr="007D36A1">
        <w:t>“</w:t>
      </w:r>
      <w:r w:rsidRPr="007D36A1">
        <w:t>dose rate</w:t>
      </w:r>
      <w:r w:rsidR="005F1FA0" w:rsidRPr="007D36A1">
        <w:t>”</w:t>
      </w:r>
      <w:r w:rsidRPr="007D36A1">
        <w:t xml:space="preserve"> in 1.2.1)</w:t>
      </w:r>
      <w:r w:rsidR="000D5430" w:rsidRPr="007D36A1">
        <w:t>;</w:t>
      </w:r>
    </w:p>
    <w:p w14:paraId="6D774560" w14:textId="4E08A4F1" w:rsidR="0031335E" w:rsidRPr="007D36A1" w:rsidRDefault="00A96198" w:rsidP="000D5430">
      <w:pPr>
        <w:pStyle w:val="Bullet1G"/>
      </w:pPr>
      <w:r w:rsidRPr="007D36A1">
        <w:t>That means, in the whole text of the UN</w:t>
      </w:r>
      <w:r w:rsidR="000D5430" w:rsidRPr="007D36A1">
        <w:t xml:space="preserve"> Model Regulations</w:t>
      </w:r>
      <w:r w:rsidRPr="007D36A1">
        <w:t xml:space="preserve"> the old words have been replaced by the new words (editorial changes)</w:t>
      </w:r>
      <w:r w:rsidR="00385DAE" w:rsidRPr="007D36A1">
        <w:t>, but are</w:t>
      </w:r>
      <w:r w:rsidR="006B350D" w:rsidRPr="007D36A1">
        <w:t xml:space="preserve"> only </w:t>
      </w:r>
      <w:r w:rsidR="00CE0FB9" w:rsidRPr="007D36A1">
        <w:t>shown</w:t>
      </w:r>
      <w:r w:rsidR="006B350D" w:rsidRPr="007D36A1">
        <w:t xml:space="preserve"> in this text, if the IAEA</w:t>
      </w:r>
      <w:r w:rsidR="00495543" w:rsidRPr="007D36A1">
        <w:t xml:space="preserve"> </w:t>
      </w:r>
      <w:r w:rsidR="006B350D" w:rsidRPr="007D36A1">
        <w:t>paragraph</w:t>
      </w:r>
      <w:r w:rsidR="00385DAE" w:rsidRPr="007D36A1">
        <w:t>s have</w:t>
      </w:r>
      <w:r w:rsidR="006B350D" w:rsidRPr="007D36A1">
        <w:t xml:space="preserve"> other changes</w:t>
      </w:r>
      <w:r w:rsidR="00CE0FB9" w:rsidRPr="007D36A1">
        <w:t xml:space="preserve"> in addition to these editorial ones</w:t>
      </w:r>
      <w:r w:rsidR="006B350D" w:rsidRPr="007D36A1">
        <w:t>.</w:t>
      </w:r>
    </w:p>
    <w:p w14:paraId="64A7B3E7" w14:textId="0771F555" w:rsidR="00DA4D16" w:rsidRDefault="00DA4D16" w:rsidP="00741708">
      <w:pPr>
        <w:pStyle w:val="HChG"/>
      </w:pPr>
      <w:r>
        <w:tab/>
      </w:r>
      <w:r>
        <w:tab/>
        <w:t>Proposals of amendments</w:t>
      </w:r>
    </w:p>
    <w:p w14:paraId="3D1442A8" w14:textId="1BC160B5" w:rsidR="007F737B" w:rsidRPr="007D36A1" w:rsidRDefault="00F834BC" w:rsidP="00DA4D16">
      <w:pPr>
        <w:pStyle w:val="H1G"/>
      </w:pPr>
      <w:r w:rsidRPr="007D36A1">
        <w:tab/>
      </w:r>
      <w:r w:rsidRPr="007D36A1">
        <w:tab/>
        <w:t>Recommendations on the transport of dangerous goods</w:t>
      </w:r>
    </w:p>
    <w:p w14:paraId="4D4E0D15" w14:textId="77777777" w:rsidR="000D1153" w:rsidRPr="007D36A1" w:rsidRDefault="00741708" w:rsidP="00741708">
      <w:pPr>
        <w:pStyle w:val="SingleTxtG"/>
        <w:rPr>
          <w:lang w:val="en-GB"/>
        </w:rPr>
      </w:pPr>
      <w:r w:rsidRPr="007D36A1">
        <w:rPr>
          <w:lang w:val="en-GB"/>
        </w:rPr>
        <w:t xml:space="preserve">In </w:t>
      </w:r>
      <w:r w:rsidR="00F834BC" w:rsidRPr="007D36A1">
        <w:rPr>
          <w:lang w:val="en-GB"/>
        </w:rPr>
        <w:t>recommendation</w:t>
      </w:r>
      <w:r w:rsidRPr="007D36A1">
        <w:rPr>
          <w:lang w:val="en-GB"/>
        </w:rPr>
        <w:t xml:space="preserve"> </w:t>
      </w:r>
      <w:r w:rsidR="00CA1D9A" w:rsidRPr="007D36A1">
        <w:rPr>
          <w:lang w:val="en-GB"/>
        </w:rPr>
        <w:t>18</w:t>
      </w:r>
      <w:r w:rsidR="00624DC3" w:rsidRPr="007D36A1">
        <w:rPr>
          <w:lang w:val="en-GB"/>
        </w:rPr>
        <w:t xml:space="preserve"> </w:t>
      </w:r>
      <w:r w:rsidR="00F834BC" w:rsidRPr="007D36A1">
        <w:rPr>
          <w:lang w:val="en-GB"/>
        </w:rPr>
        <w:t>“</w:t>
      </w:r>
      <w:r w:rsidR="00DF5676" w:rsidRPr="007D36A1">
        <w:rPr>
          <w:lang w:val="en-GB"/>
        </w:rPr>
        <w:t>TRANSPORT OF RADIOACTIVE MATERIAL</w:t>
      </w:r>
      <w:r w:rsidR="00F834BC" w:rsidRPr="007D36A1">
        <w:rPr>
          <w:lang w:val="en-GB"/>
        </w:rPr>
        <w:t>”, at the end, replace “</w:t>
      </w:r>
      <w:r w:rsidR="00F834BC" w:rsidRPr="007D36A1">
        <w:rPr>
          <w:w w:val="105"/>
          <w:lang w:val="en-GB"/>
        </w:rPr>
        <w:t>“International</w:t>
      </w:r>
      <w:r w:rsidR="00F834BC" w:rsidRPr="007D36A1">
        <w:rPr>
          <w:spacing w:val="-24"/>
          <w:w w:val="105"/>
          <w:lang w:val="en-GB"/>
        </w:rPr>
        <w:t xml:space="preserve"> </w:t>
      </w:r>
      <w:r w:rsidR="00F834BC" w:rsidRPr="007D36A1">
        <w:rPr>
          <w:w w:val="105"/>
          <w:lang w:val="en-GB"/>
        </w:rPr>
        <w:t>Basic Safety</w:t>
      </w:r>
      <w:r w:rsidR="00F834BC" w:rsidRPr="007D36A1">
        <w:rPr>
          <w:spacing w:val="-31"/>
          <w:w w:val="105"/>
          <w:lang w:val="en-GB"/>
        </w:rPr>
        <w:t xml:space="preserve"> </w:t>
      </w:r>
      <w:r w:rsidR="00F834BC" w:rsidRPr="007D36A1">
        <w:rPr>
          <w:w w:val="105"/>
          <w:lang w:val="en-GB"/>
        </w:rPr>
        <w:t>Standards</w:t>
      </w:r>
      <w:r w:rsidR="00F834BC" w:rsidRPr="007D36A1">
        <w:rPr>
          <w:spacing w:val="-33"/>
          <w:w w:val="105"/>
          <w:lang w:val="en-GB"/>
        </w:rPr>
        <w:t xml:space="preserve"> </w:t>
      </w:r>
      <w:r w:rsidR="00F834BC" w:rsidRPr="007D36A1">
        <w:rPr>
          <w:w w:val="105"/>
          <w:lang w:val="en-GB"/>
        </w:rPr>
        <w:t>for</w:t>
      </w:r>
      <w:r w:rsidR="00F834BC" w:rsidRPr="007D36A1">
        <w:rPr>
          <w:spacing w:val="-33"/>
          <w:w w:val="105"/>
          <w:lang w:val="en-GB"/>
        </w:rPr>
        <w:t xml:space="preserve"> </w:t>
      </w:r>
      <w:r w:rsidR="00F834BC" w:rsidRPr="007D36A1">
        <w:rPr>
          <w:w w:val="105"/>
          <w:lang w:val="en-GB"/>
        </w:rPr>
        <w:t>Protection</w:t>
      </w:r>
      <w:r w:rsidR="00F834BC" w:rsidRPr="007D36A1">
        <w:rPr>
          <w:spacing w:val="-33"/>
          <w:w w:val="105"/>
          <w:lang w:val="en-GB"/>
        </w:rPr>
        <w:t xml:space="preserve"> </w:t>
      </w:r>
      <w:r w:rsidR="00F834BC" w:rsidRPr="007D36A1">
        <w:rPr>
          <w:w w:val="105"/>
          <w:lang w:val="en-GB"/>
        </w:rPr>
        <w:t>against</w:t>
      </w:r>
      <w:r w:rsidR="00F834BC" w:rsidRPr="007D36A1">
        <w:rPr>
          <w:spacing w:val="-33"/>
          <w:w w:val="105"/>
          <w:lang w:val="en-GB"/>
        </w:rPr>
        <w:t xml:space="preserve"> </w:t>
      </w:r>
      <w:r w:rsidR="00F834BC" w:rsidRPr="007D36A1">
        <w:rPr>
          <w:w w:val="105"/>
          <w:lang w:val="en-GB"/>
        </w:rPr>
        <w:t>Ionizing</w:t>
      </w:r>
      <w:r w:rsidR="00F834BC" w:rsidRPr="007D36A1">
        <w:rPr>
          <w:spacing w:val="-33"/>
          <w:w w:val="105"/>
          <w:lang w:val="en-GB"/>
        </w:rPr>
        <w:t xml:space="preserve"> </w:t>
      </w:r>
      <w:r w:rsidR="00F834BC" w:rsidRPr="007D36A1">
        <w:rPr>
          <w:w w:val="105"/>
          <w:lang w:val="en-GB"/>
        </w:rPr>
        <w:t>Radiation</w:t>
      </w:r>
      <w:r w:rsidR="00F834BC" w:rsidRPr="007D36A1">
        <w:rPr>
          <w:spacing w:val="-33"/>
          <w:w w:val="105"/>
          <w:lang w:val="en-GB"/>
        </w:rPr>
        <w:t xml:space="preserve"> </w:t>
      </w:r>
      <w:r w:rsidR="00F834BC" w:rsidRPr="007D36A1">
        <w:rPr>
          <w:spacing w:val="-3"/>
          <w:w w:val="105"/>
          <w:lang w:val="en-GB"/>
        </w:rPr>
        <w:t>and</w:t>
      </w:r>
      <w:r w:rsidR="00F834BC" w:rsidRPr="007D36A1">
        <w:rPr>
          <w:spacing w:val="-33"/>
          <w:w w:val="105"/>
          <w:lang w:val="en-GB"/>
        </w:rPr>
        <w:t xml:space="preserve"> </w:t>
      </w:r>
      <w:r w:rsidR="00F834BC" w:rsidRPr="007D36A1">
        <w:rPr>
          <w:w w:val="105"/>
          <w:lang w:val="en-GB"/>
        </w:rPr>
        <w:t>for</w:t>
      </w:r>
      <w:r w:rsidR="00F834BC" w:rsidRPr="007D36A1">
        <w:rPr>
          <w:spacing w:val="-32"/>
          <w:w w:val="105"/>
          <w:lang w:val="en-GB"/>
        </w:rPr>
        <w:t xml:space="preserve"> </w:t>
      </w:r>
      <w:r w:rsidR="00F834BC" w:rsidRPr="007D36A1">
        <w:rPr>
          <w:w w:val="105"/>
          <w:lang w:val="en-GB"/>
        </w:rPr>
        <w:t>the</w:t>
      </w:r>
      <w:r w:rsidR="00F834BC" w:rsidRPr="007D36A1">
        <w:rPr>
          <w:spacing w:val="-33"/>
          <w:w w:val="105"/>
          <w:lang w:val="en-GB"/>
        </w:rPr>
        <w:t xml:space="preserve"> </w:t>
      </w:r>
      <w:r w:rsidR="00F834BC" w:rsidRPr="007D36A1">
        <w:rPr>
          <w:w w:val="105"/>
          <w:lang w:val="en-GB"/>
        </w:rPr>
        <w:t>safety</w:t>
      </w:r>
      <w:r w:rsidR="00F834BC" w:rsidRPr="007D36A1">
        <w:rPr>
          <w:spacing w:val="-31"/>
          <w:w w:val="105"/>
          <w:lang w:val="en-GB"/>
        </w:rPr>
        <w:t xml:space="preserve"> </w:t>
      </w:r>
      <w:r w:rsidR="00F834BC" w:rsidRPr="007D36A1">
        <w:rPr>
          <w:w w:val="105"/>
          <w:lang w:val="en-GB"/>
        </w:rPr>
        <w:t>of</w:t>
      </w:r>
      <w:r w:rsidR="00F834BC" w:rsidRPr="007D36A1">
        <w:rPr>
          <w:spacing w:val="-33"/>
          <w:w w:val="105"/>
          <w:lang w:val="en-GB"/>
        </w:rPr>
        <w:t xml:space="preserve"> </w:t>
      </w:r>
      <w:r w:rsidR="00F834BC" w:rsidRPr="007D36A1">
        <w:rPr>
          <w:w w:val="105"/>
          <w:lang w:val="en-GB"/>
        </w:rPr>
        <w:t>Radiation</w:t>
      </w:r>
      <w:r w:rsidR="00F834BC" w:rsidRPr="007D36A1">
        <w:rPr>
          <w:spacing w:val="-33"/>
          <w:w w:val="105"/>
          <w:lang w:val="en-GB"/>
        </w:rPr>
        <w:t xml:space="preserve"> </w:t>
      </w:r>
      <w:r w:rsidR="00F834BC" w:rsidRPr="007D36A1">
        <w:rPr>
          <w:w w:val="105"/>
          <w:lang w:val="en-GB"/>
        </w:rPr>
        <w:t>Sources”,</w:t>
      </w:r>
      <w:r w:rsidR="00F834BC" w:rsidRPr="007D36A1">
        <w:rPr>
          <w:spacing w:val="-33"/>
          <w:w w:val="105"/>
          <w:lang w:val="en-GB"/>
        </w:rPr>
        <w:t xml:space="preserve"> </w:t>
      </w:r>
      <w:r w:rsidR="00F834BC" w:rsidRPr="007D36A1">
        <w:rPr>
          <w:w w:val="105"/>
          <w:lang w:val="en-GB"/>
        </w:rPr>
        <w:t>Safety</w:t>
      </w:r>
      <w:r w:rsidR="00F834BC" w:rsidRPr="007D36A1">
        <w:rPr>
          <w:spacing w:val="-31"/>
          <w:w w:val="105"/>
          <w:lang w:val="en-GB"/>
        </w:rPr>
        <w:t xml:space="preserve"> </w:t>
      </w:r>
      <w:r w:rsidR="00F834BC" w:rsidRPr="007D36A1">
        <w:rPr>
          <w:w w:val="105"/>
          <w:lang w:val="en-GB"/>
        </w:rPr>
        <w:t>Series No.</w:t>
      </w:r>
      <w:r w:rsidR="00F834BC" w:rsidRPr="007D36A1">
        <w:rPr>
          <w:spacing w:val="-14"/>
          <w:w w:val="105"/>
          <w:lang w:val="en-GB"/>
        </w:rPr>
        <w:t xml:space="preserve"> </w:t>
      </w:r>
      <w:r w:rsidR="00F834BC" w:rsidRPr="007D36A1">
        <w:rPr>
          <w:w w:val="105"/>
          <w:lang w:val="en-GB"/>
        </w:rPr>
        <w:t>115,</w:t>
      </w:r>
      <w:r w:rsidR="00F834BC" w:rsidRPr="007D36A1">
        <w:rPr>
          <w:spacing w:val="-13"/>
          <w:w w:val="105"/>
          <w:lang w:val="en-GB"/>
        </w:rPr>
        <w:t xml:space="preserve"> </w:t>
      </w:r>
      <w:r w:rsidR="00F834BC" w:rsidRPr="007D36A1">
        <w:rPr>
          <w:w w:val="105"/>
          <w:lang w:val="en-GB"/>
        </w:rPr>
        <w:t>IAEA,</w:t>
      </w:r>
      <w:r w:rsidR="00F834BC" w:rsidRPr="007D36A1">
        <w:rPr>
          <w:spacing w:val="-14"/>
          <w:w w:val="105"/>
          <w:lang w:val="en-GB"/>
        </w:rPr>
        <w:t xml:space="preserve"> </w:t>
      </w:r>
      <w:r w:rsidR="00F834BC" w:rsidRPr="007D36A1">
        <w:rPr>
          <w:w w:val="105"/>
          <w:lang w:val="en-GB"/>
        </w:rPr>
        <w:t>Vienna</w:t>
      </w:r>
      <w:r w:rsidR="00F834BC" w:rsidRPr="007D36A1">
        <w:rPr>
          <w:spacing w:val="-14"/>
          <w:w w:val="105"/>
          <w:lang w:val="en-GB"/>
        </w:rPr>
        <w:t xml:space="preserve"> </w:t>
      </w:r>
      <w:r w:rsidR="00F834BC" w:rsidRPr="007D36A1">
        <w:rPr>
          <w:w w:val="105"/>
          <w:lang w:val="en-GB"/>
        </w:rPr>
        <w:t>(1996)” by “</w:t>
      </w:r>
      <w:r w:rsidR="000D1153" w:rsidRPr="007D36A1">
        <w:rPr>
          <w:bCs/>
          <w:lang w:val="en-GB"/>
        </w:rPr>
        <w:t>“Radiation Protection and Safety of Radiation Sources: International Basic Safety Standards, IAEA Safety Standards Series No. GSR Part 3, IAEA, Vienna (2014)”</w:t>
      </w:r>
      <w:r w:rsidR="00F834BC" w:rsidRPr="007D36A1">
        <w:rPr>
          <w:bCs/>
          <w:lang w:val="en-GB"/>
        </w:rPr>
        <w:t>”</w:t>
      </w:r>
      <w:r w:rsidR="000D1153" w:rsidRPr="007D36A1">
        <w:rPr>
          <w:bCs/>
          <w:lang w:val="en-GB"/>
        </w:rPr>
        <w:t>.</w:t>
      </w:r>
    </w:p>
    <w:p w14:paraId="4658C79A" w14:textId="77777777" w:rsidR="007F737B" w:rsidRPr="007D36A1" w:rsidRDefault="00F834BC" w:rsidP="00DA4D16">
      <w:pPr>
        <w:pStyle w:val="H1G"/>
      </w:pPr>
      <w:r w:rsidRPr="007D36A1">
        <w:tab/>
      </w:r>
      <w:r w:rsidRPr="007D36A1">
        <w:tab/>
      </w:r>
      <w:r w:rsidR="007F737B" w:rsidRPr="007D36A1">
        <w:t>Chapter 1.2</w:t>
      </w:r>
    </w:p>
    <w:p w14:paraId="56EE4B24" w14:textId="7B01FD00" w:rsidR="007F737B" w:rsidRPr="007D36A1" w:rsidRDefault="008641F7" w:rsidP="008641F7">
      <w:pPr>
        <w:pStyle w:val="SingleTxtG"/>
        <w:tabs>
          <w:tab w:val="left" w:pos="2268"/>
        </w:tabs>
        <w:rPr>
          <w:lang w:val="en-GB"/>
        </w:rPr>
      </w:pPr>
      <w:r w:rsidRPr="007D36A1">
        <w:rPr>
          <w:lang w:val="en-GB"/>
        </w:rPr>
        <w:t>1.2.1</w:t>
      </w:r>
      <w:r w:rsidRPr="007D36A1">
        <w:rPr>
          <w:lang w:val="en-GB"/>
        </w:rPr>
        <w:tab/>
      </w:r>
      <w:r w:rsidR="007F737B" w:rsidRPr="007D36A1">
        <w:rPr>
          <w:lang w:val="en-GB"/>
        </w:rPr>
        <w:t>Amend the definitions hereafter as follows:</w:t>
      </w:r>
    </w:p>
    <w:p w14:paraId="06E52135" w14:textId="77777777" w:rsidR="00E0635C" w:rsidRPr="007D36A1" w:rsidRDefault="00E0635C" w:rsidP="008641F7">
      <w:pPr>
        <w:pStyle w:val="SingleTxtG"/>
        <w:ind w:left="2268"/>
        <w:rPr>
          <w:lang w:val="en-GB"/>
        </w:rPr>
      </w:pPr>
      <w:r w:rsidRPr="007D36A1">
        <w:rPr>
          <w:lang w:val="en-GB"/>
        </w:rPr>
        <w:t>Dose rate:</w:t>
      </w:r>
      <w:r w:rsidRPr="007D36A1">
        <w:rPr>
          <w:lang w:val="en-GB"/>
        </w:rPr>
        <w:tab/>
      </w:r>
      <w:r w:rsidR="00792C59" w:rsidRPr="007D36A1">
        <w:rPr>
          <w:lang w:val="en-GB"/>
        </w:rPr>
        <w:t>I</w:t>
      </w:r>
      <w:r w:rsidR="008F4C80" w:rsidRPr="007D36A1">
        <w:rPr>
          <w:lang w:val="en-GB"/>
        </w:rPr>
        <w:t>nsert the following new definition, in alphabetical order</w:t>
      </w:r>
      <w:r w:rsidRPr="007D36A1">
        <w:rPr>
          <w:lang w:val="en-GB"/>
        </w:rPr>
        <w:t>:</w:t>
      </w:r>
    </w:p>
    <w:p w14:paraId="1F37A734" w14:textId="77777777" w:rsidR="00E0635C" w:rsidRPr="007D36A1" w:rsidRDefault="00E0635C" w:rsidP="008641F7">
      <w:pPr>
        <w:pStyle w:val="SingleTxtG"/>
        <w:ind w:left="2268"/>
        <w:rPr>
          <w:lang w:val="en-GB"/>
        </w:rPr>
      </w:pPr>
      <w:r w:rsidRPr="007D36A1">
        <w:rPr>
          <w:lang w:val="en-GB"/>
        </w:rPr>
        <w:t>Dose rate shall mean the ambient dose equivalent or the directional dose equivalent, as appropriate, per unit time, measured at the point of interest.</w:t>
      </w:r>
    </w:p>
    <w:p w14:paraId="35162B2A" w14:textId="77777777" w:rsidR="00E0635C" w:rsidRPr="007D36A1" w:rsidRDefault="00E0635C" w:rsidP="00D80568">
      <w:pPr>
        <w:pStyle w:val="SingleTxtG"/>
        <w:tabs>
          <w:tab w:val="left" w:pos="2268"/>
        </w:tabs>
        <w:rPr>
          <w:i/>
          <w:lang w:val="en-GB"/>
        </w:rPr>
      </w:pPr>
      <w:r w:rsidRPr="007D36A1">
        <w:rPr>
          <w:i/>
          <w:lang w:val="en-GB"/>
        </w:rPr>
        <w:tab/>
        <w:t>[IAEA: 220A]</w:t>
      </w:r>
    </w:p>
    <w:p w14:paraId="2E82C9B8" w14:textId="77777777" w:rsidR="007F737B" w:rsidRPr="007D36A1" w:rsidRDefault="007F737B" w:rsidP="008641F7">
      <w:pPr>
        <w:pStyle w:val="SingleTxtG"/>
        <w:ind w:left="2268"/>
        <w:rPr>
          <w:lang w:val="en-GB"/>
        </w:rPr>
      </w:pPr>
      <w:r w:rsidRPr="007D36A1">
        <w:rPr>
          <w:lang w:val="en-GB"/>
        </w:rPr>
        <w:t>Freight con</w:t>
      </w:r>
      <w:r w:rsidR="008F4C80" w:rsidRPr="007D36A1">
        <w:rPr>
          <w:lang w:val="en-GB"/>
        </w:rPr>
        <w:t xml:space="preserve">tainer: </w:t>
      </w:r>
      <w:r w:rsidR="00F163DA" w:rsidRPr="007D36A1">
        <w:rPr>
          <w:lang w:val="en-GB"/>
        </w:rPr>
        <w:t xml:space="preserve">In </w:t>
      </w:r>
      <w:r w:rsidR="008F4C80" w:rsidRPr="007D36A1">
        <w:rPr>
          <w:lang w:val="en-GB"/>
        </w:rPr>
        <w:t xml:space="preserve">the first sentence </w:t>
      </w:r>
      <w:r w:rsidR="00F163DA" w:rsidRPr="007D36A1">
        <w:rPr>
          <w:lang w:val="en-GB"/>
        </w:rPr>
        <w:t>replace “accordingly strong” by “is strong” and add “and” before “having fittings”.</w:t>
      </w:r>
    </w:p>
    <w:p w14:paraId="7F8EFF4D" w14:textId="00CAC43A" w:rsidR="007F737B" w:rsidRPr="007D36A1" w:rsidRDefault="008F4C80" w:rsidP="00D80568">
      <w:pPr>
        <w:pStyle w:val="SingleTxtG"/>
        <w:tabs>
          <w:tab w:val="left" w:pos="2268"/>
        </w:tabs>
        <w:rPr>
          <w:i/>
          <w:lang w:val="en-GB"/>
        </w:rPr>
      </w:pPr>
      <w:r w:rsidRPr="007D36A1">
        <w:rPr>
          <w:i/>
          <w:lang w:val="en-GB"/>
        </w:rPr>
        <w:tab/>
      </w:r>
      <w:r w:rsidR="007F737B" w:rsidRPr="007D36A1">
        <w:rPr>
          <w:i/>
          <w:lang w:val="en-GB"/>
        </w:rPr>
        <w:t>[IAEA: 223]</w:t>
      </w:r>
    </w:p>
    <w:p w14:paraId="2BE5174C" w14:textId="77777777" w:rsidR="008F4C80" w:rsidRPr="007D36A1" w:rsidRDefault="00792C59" w:rsidP="008641F7">
      <w:pPr>
        <w:pStyle w:val="SingleTxtG"/>
        <w:ind w:left="2268"/>
        <w:rPr>
          <w:lang w:val="en-GB"/>
        </w:rPr>
      </w:pPr>
      <w:r w:rsidRPr="007D36A1">
        <w:rPr>
          <w:lang w:val="en-GB"/>
        </w:rPr>
        <w:t xml:space="preserve">Intermediate bulk container: </w:t>
      </w:r>
      <w:r w:rsidR="00F163DA" w:rsidRPr="007D36A1">
        <w:rPr>
          <w:lang w:val="en-GB"/>
        </w:rPr>
        <w:t>In</w:t>
      </w:r>
      <w:r w:rsidRPr="007D36A1">
        <w:rPr>
          <w:lang w:val="en-GB"/>
        </w:rPr>
        <w:t xml:space="preserve"> sub-paragraph (c) </w:t>
      </w:r>
      <w:r w:rsidR="00F163DA" w:rsidRPr="007D36A1">
        <w:rPr>
          <w:lang w:val="en-GB"/>
        </w:rPr>
        <w:t>replace “in handling” by “during handling”.</w:t>
      </w:r>
    </w:p>
    <w:p w14:paraId="0EBB8EDC" w14:textId="365CA98C" w:rsidR="00792C59" w:rsidRPr="007D36A1" w:rsidRDefault="00D80568" w:rsidP="00D80568">
      <w:pPr>
        <w:pStyle w:val="SingleTxtG"/>
        <w:tabs>
          <w:tab w:val="left" w:pos="2268"/>
        </w:tabs>
        <w:rPr>
          <w:i/>
          <w:lang w:val="en-GB"/>
        </w:rPr>
      </w:pPr>
      <w:r w:rsidRPr="007D36A1">
        <w:rPr>
          <w:i/>
          <w:lang w:val="en-GB"/>
        </w:rPr>
        <w:tab/>
      </w:r>
      <w:r w:rsidR="00792C59" w:rsidRPr="007D36A1">
        <w:rPr>
          <w:i/>
          <w:lang w:val="en-GB"/>
        </w:rPr>
        <w:t>[IAEA: 224]</w:t>
      </w:r>
    </w:p>
    <w:p w14:paraId="4C645601" w14:textId="77777777" w:rsidR="00792C59" w:rsidRPr="007D36A1" w:rsidRDefault="0039376D" w:rsidP="008641F7">
      <w:pPr>
        <w:pStyle w:val="SingleTxtG"/>
        <w:ind w:left="2268"/>
        <w:rPr>
          <w:lang w:val="en-GB"/>
        </w:rPr>
      </w:pPr>
      <w:r w:rsidRPr="007D36A1">
        <w:rPr>
          <w:lang w:val="en-GB"/>
        </w:rPr>
        <w:t>Radiation level: Delete the entry.</w:t>
      </w:r>
    </w:p>
    <w:p w14:paraId="4044342A" w14:textId="77777777" w:rsidR="0039376D" w:rsidRPr="007D36A1" w:rsidRDefault="0039376D" w:rsidP="008641F7">
      <w:pPr>
        <w:pStyle w:val="SingleTxtG"/>
        <w:ind w:left="2268"/>
        <w:rPr>
          <w:lang w:val="en-GB"/>
        </w:rPr>
      </w:pPr>
      <w:r w:rsidRPr="007D36A1">
        <w:rPr>
          <w:lang w:val="en-GB"/>
        </w:rPr>
        <w:tab/>
        <w:t>Note: This paragraph was deleted and its content has been transferred to the new paragraph 220A “Dose rate”.</w:t>
      </w:r>
    </w:p>
    <w:p w14:paraId="1391F3E5" w14:textId="5A78E36A" w:rsidR="007F737B" w:rsidRPr="007D36A1" w:rsidRDefault="00D80568" w:rsidP="00D80568">
      <w:pPr>
        <w:pStyle w:val="SingleTxtG"/>
        <w:tabs>
          <w:tab w:val="left" w:pos="2268"/>
        </w:tabs>
        <w:rPr>
          <w:i/>
          <w:lang w:val="en-GB"/>
        </w:rPr>
      </w:pPr>
      <w:r w:rsidRPr="007D36A1">
        <w:rPr>
          <w:i/>
          <w:lang w:val="en-GB"/>
        </w:rPr>
        <w:tab/>
      </w:r>
      <w:r w:rsidR="007F737B" w:rsidRPr="007D36A1">
        <w:rPr>
          <w:i/>
          <w:lang w:val="en-GB"/>
        </w:rPr>
        <w:t>[IAEA: 233]</w:t>
      </w:r>
    </w:p>
    <w:p w14:paraId="61465A5A" w14:textId="77777777" w:rsidR="007F737B" w:rsidRPr="007D36A1" w:rsidRDefault="007F737B" w:rsidP="008641F7">
      <w:pPr>
        <w:pStyle w:val="SingleTxtG"/>
        <w:ind w:left="2268"/>
        <w:rPr>
          <w:lang w:val="en-GB"/>
        </w:rPr>
      </w:pPr>
      <w:r w:rsidRPr="007D36A1">
        <w:rPr>
          <w:lang w:val="en-GB"/>
        </w:rPr>
        <w:tab/>
      </w:r>
      <w:r w:rsidR="00792C59" w:rsidRPr="007D36A1">
        <w:rPr>
          <w:lang w:val="en-GB"/>
        </w:rPr>
        <w:t>Transport index</w:t>
      </w:r>
      <w:r w:rsidR="00F944C8" w:rsidRPr="007D36A1">
        <w:rPr>
          <w:lang w:val="en-GB"/>
        </w:rPr>
        <w:t xml:space="preserve">: </w:t>
      </w:r>
      <w:r w:rsidR="00F163DA" w:rsidRPr="007D36A1">
        <w:rPr>
          <w:lang w:val="en-GB"/>
        </w:rPr>
        <w:t>I</w:t>
      </w:r>
      <w:r w:rsidR="00B8445D" w:rsidRPr="007D36A1">
        <w:rPr>
          <w:lang w:val="en-GB"/>
        </w:rPr>
        <w:t>n the first sentence after “SCO-I</w:t>
      </w:r>
      <w:r w:rsidR="00F163DA" w:rsidRPr="007D36A1">
        <w:rPr>
          <w:lang w:val="en-GB"/>
        </w:rPr>
        <w:t>” add</w:t>
      </w:r>
      <w:r w:rsidR="00B8445D" w:rsidRPr="007D36A1">
        <w:rPr>
          <w:lang w:val="en-GB"/>
        </w:rPr>
        <w:t xml:space="preserve"> “or SCO-III</w:t>
      </w:r>
      <w:r w:rsidR="00F163DA" w:rsidRPr="007D36A1">
        <w:rPr>
          <w:lang w:val="en-GB"/>
        </w:rPr>
        <w:t>”</w:t>
      </w:r>
      <w:r w:rsidR="00B8445D" w:rsidRPr="007D36A1">
        <w:rPr>
          <w:lang w:val="en-GB"/>
        </w:rPr>
        <w:t>.</w:t>
      </w:r>
      <w:r w:rsidR="00F944C8" w:rsidRPr="007D36A1">
        <w:rPr>
          <w:lang w:val="en-GB"/>
        </w:rPr>
        <w:t xml:space="preserve"> </w:t>
      </w:r>
    </w:p>
    <w:p w14:paraId="63051771" w14:textId="689481F3" w:rsidR="007F737B" w:rsidRPr="007D36A1" w:rsidRDefault="00D80568" w:rsidP="00D80568">
      <w:pPr>
        <w:pStyle w:val="SingleTxtG"/>
        <w:tabs>
          <w:tab w:val="left" w:pos="2268"/>
        </w:tabs>
        <w:rPr>
          <w:i/>
          <w:lang w:val="en-GB"/>
        </w:rPr>
      </w:pPr>
      <w:r w:rsidRPr="007D36A1">
        <w:rPr>
          <w:i/>
          <w:lang w:val="en-GB"/>
        </w:rPr>
        <w:tab/>
      </w:r>
      <w:r w:rsidR="00B8445D" w:rsidRPr="007D36A1">
        <w:rPr>
          <w:i/>
          <w:lang w:val="en-GB"/>
        </w:rPr>
        <w:t>[IAEA: 244</w:t>
      </w:r>
      <w:r w:rsidR="007F737B" w:rsidRPr="007D36A1">
        <w:rPr>
          <w:i/>
          <w:lang w:val="en-GB"/>
        </w:rPr>
        <w:t>]</w:t>
      </w:r>
    </w:p>
    <w:p w14:paraId="556147B4" w14:textId="77777777" w:rsidR="00790131" w:rsidRPr="007D36A1" w:rsidRDefault="00291B8C" w:rsidP="00DA4D16">
      <w:pPr>
        <w:pStyle w:val="H1G"/>
      </w:pPr>
      <w:r w:rsidRPr="007D36A1">
        <w:lastRenderedPageBreak/>
        <w:tab/>
      </w:r>
      <w:r w:rsidRPr="007D36A1">
        <w:tab/>
      </w:r>
      <w:r w:rsidR="00790131" w:rsidRPr="007D36A1">
        <w:t>Chapter 1.5</w:t>
      </w:r>
    </w:p>
    <w:p w14:paraId="1008B5AF" w14:textId="77777777" w:rsidR="0079661D" w:rsidRPr="007D36A1" w:rsidRDefault="00E90404" w:rsidP="008641F7">
      <w:pPr>
        <w:pStyle w:val="SingleTxtG"/>
        <w:tabs>
          <w:tab w:val="left" w:pos="2268"/>
        </w:tabs>
        <w:rPr>
          <w:lang w:val="en-GB"/>
        </w:rPr>
      </w:pPr>
      <w:r w:rsidRPr="007D36A1">
        <w:rPr>
          <w:lang w:val="en-GB"/>
        </w:rPr>
        <w:t>1.5.1.1</w:t>
      </w:r>
      <w:r w:rsidRPr="007D36A1">
        <w:rPr>
          <w:lang w:val="en-GB"/>
        </w:rPr>
        <w:tab/>
      </w:r>
      <w:r w:rsidR="0079661D" w:rsidRPr="007D36A1">
        <w:rPr>
          <w:lang w:val="en-GB"/>
        </w:rPr>
        <w:t>In the first sentence, replace “to persons” by “to people”. Amend the second and third sentences to read “</w:t>
      </w:r>
      <w:r w:rsidR="00640A4F" w:rsidRPr="007D36A1">
        <w:rPr>
          <w:lang w:val="en-GB"/>
        </w:rPr>
        <w:t>These Regulations are based on the IAEA “Regulations for the Safe Transport of Radioactive material, 2018 Edition, IAEA Safety Standards Series No. SSR–6, (Rev.1) IAEA, Vienna 2018). Explanatory material can be found in “Advisory Material for the IAEA Regulations for the Safe Transport of Radioactive Material (2018 Edition)”, Safety Standard Series No. SSG-26, (Rev.1) IAEA Vienna (2019).</w:t>
      </w:r>
      <w:r w:rsidR="0079661D" w:rsidRPr="007D36A1">
        <w:rPr>
          <w:lang w:val="en-GB"/>
        </w:rPr>
        <w:t>”</w:t>
      </w:r>
    </w:p>
    <w:p w14:paraId="392EC6A1" w14:textId="516A3CA9" w:rsidR="00A22FFB" w:rsidRPr="007D36A1" w:rsidRDefault="005F578B" w:rsidP="008641F7">
      <w:pPr>
        <w:pStyle w:val="SingleTxtG"/>
        <w:tabs>
          <w:tab w:val="left" w:pos="2268"/>
        </w:tabs>
        <w:rPr>
          <w:i/>
          <w:lang w:val="en-GB"/>
        </w:rPr>
      </w:pPr>
      <w:r w:rsidRPr="007D36A1">
        <w:rPr>
          <w:i/>
          <w:lang w:val="en-GB"/>
        </w:rPr>
        <w:t>[IAEA: 101]</w:t>
      </w:r>
    </w:p>
    <w:p w14:paraId="5286CFFA" w14:textId="77777777" w:rsidR="0079661D" w:rsidRPr="007D36A1" w:rsidRDefault="00A22FFB" w:rsidP="008641F7">
      <w:pPr>
        <w:pStyle w:val="SingleTxtG"/>
        <w:tabs>
          <w:tab w:val="left" w:pos="2268"/>
        </w:tabs>
        <w:rPr>
          <w:lang w:val="en-GB"/>
        </w:rPr>
      </w:pPr>
      <w:r w:rsidRPr="007D36A1">
        <w:rPr>
          <w:lang w:val="en-GB"/>
        </w:rPr>
        <w:t>1.5.1.2</w:t>
      </w:r>
      <w:r w:rsidRPr="007D36A1">
        <w:rPr>
          <w:lang w:val="en-GB"/>
        </w:rPr>
        <w:tab/>
      </w:r>
      <w:r w:rsidR="0079661D" w:rsidRPr="007D36A1">
        <w:rPr>
          <w:lang w:val="en-GB"/>
        </w:rPr>
        <w:t>In the first sentence, replace “persons” by “people” and replace “from the effects of radiation in the transport” by “</w:t>
      </w:r>
      <w:r w:rsidRPr="007D36A1">
        <w:rPr>
          <w:lang w:val="en-GB"/>
        </w:rPr>
        <w:t>from harmful effects of ionizing radiation during the transport of radioactive material</w:t>
      </w:r>
      <w:r w:rsidR="0079661D" w:rsidRPr="007D36A1">
        <w:rPr>
          <w:lang w:val="en-GB"/>
        </w:rPr>
        <w:t>”</w:t>
      </w:r>
      <w:r w:rsidRPr="007D36A1">
        <w:rPr>
          <w:lang w:val="en-GB"/>
        </w:rPr>
        <w:t>.</w:t>
      </w:r>
    </w:p>
    <w:p w14:paraId="18E57A39" w14:textId="77777777" w:rsidR="0079661D" w:rsidRPr="007D36A1" w:rsidRDefault="0079661D" w:rsidP="008641F7">
      <w:pPr>
        <w:pStyle w:val="SingleTxtG"/>
        <w:tabs>
          <w:tab w:val="left" w:pos="2268"/>
        </w:tabs>
        <w:rPr>
          <w:lang w:val="en-GB"/>
        </w:rPr>
      </w:pPr>
      <w:r w:rsidRPr="007D36A1">
        <w:rPr>
          <w:lang w:val="en-GB"/>
        </w:rPr>
        <w:tab/>
        <w:t>In (b), replace “radiation levels” by “dose rate”.</w:t>
      </w:r>
    </w:p>
    <w:p w14:paraId="368E8C5D" w14:textId="77777777" w:rsidR="0079661D" w:rsidRPr="007D36A1" w:rsidRDefault="0079661D" w:rsidP="008641F7">
      <w:pPr>
        <w:pStyle w:val="SingleTxtG"/>
        <w:tabs>
          <w:tab w:val="left" w:pos="2268"/>
        </w:tabs>
        <w:rPr>
          <w:lang w:val="en-GB"/>
        </w:rPr>
      </w:pPr>
      <w:r w:rsidRPr="007D36A1">
        <w:rPr>
          <w:lang w:val="en-GB"/>
        </w:rPr>
        <w:tab/>
        <w:t>In the last sentence, replace “Finally” by “Thirdly” and add the following new sentence at the end: “</w:t>
      </w:r>
      <w:r w:rsidR="00A22FFB" w:rsidRPr="007D36A1">
        <w:rPr>
          <w:lang w:val="en-GB"/>
        </w:rPr>
        <w:t xml:space="preserve">Finally, further protection is provided by </w:t>
      </w:r>
      <w:proofErr w:type="gramStart"/>
      <w:r w:rsidR="00A22FFB" w:rsidRPr="007D36A1">
        <w:rPr>
          <w:lang w:val="en-GB"/>
        </w:rPr>
        <w:t>making arrangements</w:t>
      </w:r>
      <w:proofErr w:type="gramEnd"/>
      <w:r w:rsidR="00A22FFB" w:rsidRPr="007D36A1">
        <w:rPr>
          <w:lang w:val="en-GB"/>
        </w:rPr>
        <w:t xml:space="preserve"> for planning and preparing emergency response to protect people, property and the environment.</w:t>
      </w:r>
      <w:r w:rsidRPr="007D36A1">
        <w:rPr>
          <w:lang w:val="en-GB"/>
        </w:rPr>
        <w:t>”.</w:t>
      </w:r>
    </w:p>
    <w:p w14:paraId="15AB9358" w14:textId="6FD2BEBE" w:rsidR="00A22FFB" w:rsidRPr="007D36A1" w:rsidRDefault="00A22FFB" w:rsidP="00D80568">
      <w:pPr>
        <w:pStyle w:val="SingleTxtG"/>
        <w:tabs>
          <w:tab w:val="left" w:pos="2268"/>
        </w:tabs>
        <w:rPr>
          <w:i/>
          <w:lang w:val="en-GB"/>
        </w:rPr>
      </w:pPr>
      <w:r w:rsidRPr="007D36A1">
        <w:rPr>
          <w:i/>
          <w:lang w:val="en-GB"/>
        </w:rPr>
        <w:t>[IAEA</w:t>
      </w:r>
      <w:r w:rsidR="0054405D" w:rsidRPr="007D36A1">
        <w:rPr>
          <w:i/>
          <w:lang w:val="en-GB"/>
        </w:rPr>
        <w:t>:</w:t>
      </w:r>
      <w:r w:rsidRPr="007D36A1">
        <w:rPr>
          <w:i/>
          <w:lang w:val="en-GB"/>
        </w:rPr>
        <w:t xml:space="preserve"> 104]</w:t>
      </w:r>
    </w:p>
    <w:p w14:paraId="72405C59" w14:textId="77777777" w:rsidR="00AA7885" w:rsidRPr="007D36A1" w:rsidRDefault="00AA7885" w:rsidP="008641F7">
      <w:pPr>
        <w:pStyle w:val="SingleTxtG"/>
        <w:tabs>
          <w:tab w:val="left" w:pos="2268"/>
        </w:tabs>
        <w:rPr>
          <w:lang w:val="en-GB"/>
        </w:rPr>
      </w:pPr>
      <w:r w:rsidRPr="007D36A1">
        <w:rPr>
          <w:lang w:val="en-GB"/>
        </w:rPr>
        <w:t>1.5.1.5.1</w:t>
      </w:r>
      <w:r w:rsidR="00C11788" w:rsidRPr="007D36A1">
        <w:rPr>
          <w:lang w:val="en-GB"/>
        </w:rPr>
        <w:tab/>
      </w:r>
      <w:r w:rsidR="00730A94" w:rsidRPr="007D36A1">
        <w:rPr>
          <w:lang w:val="en-GB"/>
        </w:rPr>
        <w:t>In</w:t>
      </w:r>
      <w:r w:rsidR="00C11788" w:rsidRPr="007D36A1">
        <w:rPr>
          <w:lang w:val="en-GB"/>
        </w:rPr>
        <w:t xml:space="preserve"> sub</w:t>
      </w:r>
      <w:r w:rsidR="008B6EF7" w:rsidRPr="007D36A1">
        <w:rPr>
          <w:lang w:val="en-GB"/>
        </w:rPr>
        <w:t>-</w:t>
      </w:r>
      <w:r w:rsidR="00C11788" w:rsidRPr="007D36A1">
        <w:rPr>
          <w:lang w:val="en-GB"/>
        </w:rPr>
        <w:t>paragraph (a)</w:t>
      </w:r>
      <w:r w:rsidRPr="007D36A1">
        <w:rPr>
          <w:lang w:val="en-GB"/>
        </w:rPr>
        <w:t xml:space="preserve"> </w:t>
      </w:r>
      <w:r w:rsidR="00730A94" w:rsidRPr="007D36A1">
        <w:rPr>
          <w:lang w:val="en-GB"/>
        </w:rPr>
        <w:t>after “5.2.1.7,” add “5.4.1.5.7.1 (f) (</w:t>
      </w:r>
      <w:proofErr w:type="spellStart"/>
      <w:r w:rsidR="00730A94" w:rsidRPr="007D36A1">
        <w:rPr>
          <w:lang w:val="en-GB"/>
        </w:rPr>
        <w:t>i</w:t>
      </w:r>
      <w:proofErr w:type="spellEnd"/>
      <w:r w:rsidR="00730A94" w:rsidRPr="007D36A1">
        <w:rPr>
          <w:lang w:val="en-GB"/>
        </w:rPr>
        <w:t>) and (ii), 5.4.1.5.7.1 (</w:t>
      </w:r>
      <w:proofErr w:type="spellStart"/>
      <w:r w:rsidR="00730A94" w:rsidRPr="007D36A1">
        <w:rPr>
          <w:lang w:val="en-GB"/>
        </w:rPr>
        <w:t>i</w:t>
      </w:r>
      <w:proofErr w:type="spellEnd"/>
      <w:r w:rsidR="00730A94" w:rsidRPr="007D36A1">
        <w:rPr>
          <w:lang w:val="en-GB"/>
        </w:rPr>
        <w:t>),” and after “7.1.8.3.1” add “7.1.8.4.3”.</w:t>
      </w:r>
    </w:p>
    <w:p w14:paraId="2A23CA2E" w14:textId="77777777" w:rsidR="00A22FFB" w:rsidRPr="007D36A1" w:rsidRDefault="00AA7885" w:rsidP="00D80568">
      <w:pPr>
        <w:pStyle w:val="SingleTxtG"/>
        <w:tabs>
          <w:tab w:val="left" w:pos="2268"/>
        </w:tabs>
        <w:rPr>
          <w:i/>
          <w:lang w:val="en-GB"/>
        </w:rPr>
      </w:pPr>
      <w:r w:rsidRPr="007D36A1">
        <w:rPr>
          <w:i/>
          <w:lang w:val="en-GB"/>
        </w:rPr>
        <w:t>[IAEA: 515]</w:t>
      </w:r>
    </w:p>
    <w:p w14:paraId="3A100653" w14:textId="77777777" w:rsidR="00B30E28" w:rsidRPr="007D36A1" w:rsidRDefault="00B30E28" w:rsidP="008641F7">
      <w:pPr>
        <w:pStyle w:val="SingleTxtG"/>
        <w:tabs>
          <w:tab w:val="left" w:pos="2268"/>
        </w:tabs>
        <w:rPr>
          <w:lang w:val="en-GB"/>
        </w:rPr>
      </w:pPr>
      <w:r w:rsidRPr="007D36A1">
        <w:rPr>
          <w:lang w:val="en-GB"/>
        </w:rPr>
        <w:t>1.5.1.5.2</w:t>
      </w:r>
      <w:r w:rsidRPr="007D36A1">
        <w:rPr>
          <w:lang w:val="en-GB"/>
        </w:rPr>
        <w:tab/>
        <w:t xml:space="preserve">Delete </w:t>
      </w:r>
      <w:r w:rsidR="00C35570" w:rsidRPr="007D36A1">
        <w:rPr>
          <w:lang w:val="en-GB"/>
        </w:rPr>
        <w:t>the second sentence</w:t>
      </w:r>
      <w:r w:rsidR="00730A94" w:rsidRPr="007D36A1">
        <w:rPr>
          <w:lang w:val="en-GB"/>
        </w:rPr>
        <w:t>.</w:t>
      </w:r>
    </w:p>
    <w:p w14:paraId="13CF8029" w14:textId="3FA1888F" w:rsidR="00C06990" w:rsidRPr="007D36A1" w:rsidRDefault="00C35570" w:rsidP="00D80568">
      <w:pPr>
        <w:pStyle w:val="SingleTxtG"/>
        <w:tabs>
          <w:tab w:val="left" w:pos="2268"/>
        </w:tabs>
        <w:rPr>
          <w:i/>
          <w:lang w:val="en-GB"/>
        </w:rPr>
      </w:pPr>
      <w:r w:rsidRPr="007D36A1">
        <w:rPr>
          <w:i/>
          <w:lang w:val="en-GB"/>
        </w:rPr>
        <w:t>[IAEA: 515]</w:t>
      </w:r>
    </w:p>
    <w:p w14:paraId="1A746EDA" w14:textId="77777777" w:rsidR="007F737B" w:rsidRPr="007D36A1" w:rsidRDefault="002E2D74" w:rsidP="008641F7">
      <w:pPr>
        <w:pStyle w:val="SingleTxtG"/>
        <w:tabs>
          <w:tab w:val="left" w:pos="2268"/>
        </w:tabs>
        <w:rPr>
          <w:lang w:val="en-GB"/>
        </w:rPr>
      </w:pPr>
      <w:r w:rsidRPr="007D36A1">
        <w:rPr>
          <w:lang w:val="en-GB"/>
        </w:rPr>
        <w:t>1.5.2</w:t>
      </w:r>
      <w:r w:rsidR="006A1DA3" w:rsidRPr="007D36A1">
        <w:rPr>
          <w:lang w:val="en-GB"/>
        </w:rPr>
        <w:t>.4</w:t>
      </w:r>
      <w:r w:rsidR="006A1DA3" w:rsidRPr="007D36A1">
        <w:rPr>
          <w:lang w:val="en-GB"/>
        </w:rPr>
        <w:tab/>
      </w:r>
      <w:r w:rsidR="006A1DA3" w:rsidRPr="007D36A1">
        <w:rPr>
          <w:lang w:val="en-GB"/>
        </w:rPr>
        <w:tab/>
      </w:r>
      <w:r w:rsidR="00730A94" w:rsidRPr="007D36A1">
        <w:rPr>
          <w:lang w:val="en-GB"/>
        </w:rPr>
        <w:t xml:space="preserve">In </w:t>
      </w:r>
      <w:r w:rsidR="006A1DA3" w:rsidRPr="007D36A1">
        <w:rPr>
          <w:lang w:val="en-GB"/>
        </w:rPr>
        <w:t>the last</w:t>
      </w:r>
      <w:r w:rsidR="00423109" w:rsidRPr="007D36A1">
        <w:rPr>
          <w:lang w:val="en-GB"/>
        </w:rPr>
        <w:t xml:space="preserve"> sentence </w:t>
      </w:r>
      <w:r w:rsidR="00730A94" w:rsidRPr="007D36A1">
        <w:rPr>
          <w:lang w:val="en-GB"/>
        </w:rPr>
        <w:t>replace “individual monitoring or workplace monitoring” by “</w:t>
      </w:r>
      <w:r w:rsidR="006A1DA3" w:rsidRPr="007D36A1">
        <w:rPr>
          <w:lang w:val="en-GB"/>
        </w:rPr>
        <w:t>workplace monitoring or individual monitoring</w:t>
      </w:r>
      <w:r w:rsidR="00730A94" w:rsidRPr="007D36A1">
        <w:rPr>
          <w:lang w:val="en-GB"/>
        </w:rPr>
        <w:t>”.</w:t>
      </w:r>
    </w:p>
    <w:p w14:paraId="7FCD5F62" w14:textId="77777777" w:rsidR="007F737B" w:rsidRPr="007D36A1" w:rsidRDefault="007F737B" w:rsidP="00D80568">
      <w:pPr>
        <w:pStyle w:val="SingleTxtG"/>
        <w:tabs>
          <w:tab w:val="left" w:pos="2268"/>
        </w:tabs>
        <w:rPr>
          <w:i/>
          <w:lang w:val="en-GB"/>
        </w:rPr>
      </w:pPr>
      <w:r w:rsidRPr="007D36A1">
        <w:rPr>
          <w:i/>
          <w:lang w:val="en-GB"/>
        </w:rPr>
        <w:t>[IAEA:</w:t>
      </w:r>
      <w:r w:rsidR="006A1DA3" w:rsidRPr="007D36A1">
        <w:rPr>
          <w:i/>
          <w:lang w:val="en-GB"/>
        </w:rPr>
        <w:t xml:space="preserve"> 3</w:t>
      </w:r>
      <w:r w:rsidR="00423109" w:rsidRPr="007D36A1">
        <w:rPr>
          <w:i/>
          <w:lang w:val="en-GB"/>
        </w:rPr>
        <w:t>03</w:t>
      </w:r>
      <w:r w:rsidRPr="007D36A1">
        <w:rPr>
          <w:i/>
          <w:lang w:val="en-GB"/>
        </w:rPr>
        <w:t>]</w:t>
      </w:r>
    </w:p>
    <w:p w14:paraId="04D129AB" w14:textId="77777777" w:rsidR="00730A94" w:rsidRPr="007D36A1" w:rsidRDefault="006A1DA3" w:rsidP="008641F7">
      <w:pPr>
        <w:pStyle w:val="SingleTxtG"/>
        <w:tabs>
          <w:tab w:val="left" w:pos="2268"/>
        </w:tabs>
        <w:rPr>
          <w:lang w:val="en-GB"/>
        </w:rPr>
      </w:pPr>
      <w:r w:rsidRPr="007D36A1">
        <w:rPr>
          <w:lang w:val="en-GB"/>
        </w:rPr>
        <w:t>1.5.2.5</w:t>
      </w:r>
      <w:r w:rsidR="007F737B" w:rsidRPr="007D36A1">
        <w:rPr>
          <w:lang w:val="en-GB"/>
        </w:rPr>
        <w:tab/>
      </w:r>
      <w:r w:rsidR="00730A94" w:rsidRPr="007D36A1">
        <w:rPr>
          <w:lang w:val="en-GB"/>
        </w:rPr>
        <w:t>In the first sentence, replace “accidents or incidents” by “a nuclear or radiological emergency”. Replace the second sentence by “</w:t>
      </w:r>
      <w:r w:rsidR="00423109" w:rsidRPr="007D36A1">
        <w:rPr>
          <w:i/>
          <w:lang w:val="en-GB"/>
        </w:rPr>
        <w:t xml:space="preserve">Consignors </w:t>
      </w:r>
      <w:r w:rsidR="00423109" w:rsidRPr="007D36A1">
        <w:rPr>
          <w:lang w:val="en-GB"/>
        </w:rPr>
        <w:t xml:space="preserve">and </w:t>
      </w:r>
      <w:r w:rsidR="00423109" w:rsidRPr="007D36A1">
        <w:rPr>
          <w:i/>
          <w:lang w:val="en-GB"/>
        </w:rPr>
        <w:t xml:space="preserve">carriers </w:t>
      </w:r>
      <w:r w:rsidR="00423109" w:rsidRPr="007D36A1">
        <w:rPr>
          <w:lang w:val="en-GB"/>
        </w:rPr>
        <w:t>shall establish, in advance, arrangements for preparedness and response in accordance with the national and/or international requirements and in a consistent and coordinated manner with the national and/or international emergency arrangements.</w:t>
      </w:r>
      <w:r w:rsidR="00730A94" w:rsidRPr="007D36A1">
        <w:rPr>
          <w:lang w:val="en-GB"/>
        </w:rPr>
        <w:t>”.</w:t>
      </w:r>
    </w:p>
    <w:p w14:paraId="67382A5C" w14:textId="77777777" w:rsidR="007F737B" w:rsidRPr="007D36A1" w:rsidRDefault="00423109" w:rsidP="00D80568">
      <w:pPr>
        <w:pStyle w:val="SingleTxtG"/>
        <w:tabs>
          <w:tab w:val="left" w:pos="2268"/>
        </w:tabs>
        <w:rPr>
          <w:i/>
          <w:lang w:val="en-GB"/>
        </w:rPr>
      </w:pPr>
      <w:r w:rsidRPr="007D36A1">
        <w:rPr>
          <w:i/>
          <w:lang w:val="en-GB"/>
        </w:rPr>
        <w:t>[IAEA: 304</w:t>
      </w:r>
      <w:r w:rsidR="007F737B" w:rsidRPr="007D36A1">
        <w:rPr>
          <w:i/>
          <w:lang w:val="en-GB"/>
        </w:rPr>
        <w:t>]</w:t>
      </w:r>
    </w:p>
    <w:p w14:paraId="70BDEFD3" w14:textId="77777777" w:rsidR="007F737B" w:rsidRPr="007D36A1" w:rsidRDefault="00423109" w:rsidP="008641F7">
      <w:pPr>
        <w:pStyle w:val="SingleTxtG"/>
        <w:tabs>
          <w:tab w:val="left" w:pos="2268"/>
        </w:tabs>
        <w:rPr>
          <w:lang w:val="en-GB"/>
        </w:rPr>
      </w:pPr>
      <w:r w:rsidRPr="007D36A1">
        <w:rPr>
          <w:lang w:val="en-GB"/>
        </w:rPr>
        <w:t>1.5.2.6</w:t>
      </w:r>
      <w:r w:rsidR="007F737B" w:rsidRPr="007D36A1">
        <w:rPr>
          <w:lang w:val="en-GB"/>
        </w:rPr>
        <w:tab/>
        <w:t>A</w:t>
      </w:r>
      <w:r w:rsidRPr="007D36A1">
        <w:rPr>
          <w:lang w:val="en-GB"/>
        </w:rPr>
        <w:t>mend to read as follows</w:t>
      </w:r>
      <w:r w:rsidR="007F737B" w:rsidRPr="007D36A1">
        <w:rPr>
          <w:lang w:val="en-GB"/>
        </w:rPr>
        <w:t>:</w:t>
      </w:r>
    </w:p>
    <w:p w14:paraId="41A65AC7" w14:textId="08481560" w:rsidR="007F737B" w:rsidRPr="007D36A1" w:rsidRDefault="00730A94" w:rsidP="008641F7">
      <w:pPr>
        <w:pStyle w:val="SingleTxtG"/>
        <w:tabs>
          <w:tab w:val="left" w:pos="2268"/>
        </w:tabs>
        <w:rPr>
          <w:i/>
          <w:lang w:val="en-GB"/>
        </w:rPr>
      </w:pPr>
      <w:r w:rsidRPr="007D36A1">
        <w:rPr>
          <w:lang w:val="en-GB"/>
        </w:rPr>
        <w:t>“</w:t>
      </w:r>
      <w:r w:rsidR="00423109" w:rsidRPr="007D36A1">
        <w:rPr>
          <w:lang w:val="en-GB"/>
        </w:rPr>
        <w:t xml:space="preserve">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w:t>
      </w:r>
      <w:r w:rsidR="00423109" w:rsidRPr="007D36A1">
        <w:rPr>
          <w:i/>
          <w:lang w:val="en-GB"/>
        </w:rPr>
        <w:t>consignment</w:t>
      </w:r>
      <w:r w:rsidR="00423109" w:rsidRPr="007D36A1">
        <w:rPr>
          <w:lang w:val="en-GB"/>
        </w:rPr>
        <w:t xml:space="preserve"> and the environment in the event of a nuclear or radiological emergency. Guidance for the establishment of such arrangements is contained in</w:t>
      </w:r>
      <w:r w:rsidR="00034AF0" w:rsidRPr="007D36A1">
        <w:rPr>
          <w:lang w:val="en-GB"/>
        </w:rPr>
        <w:t xml:space="preserve"> “Preparedness and Response for a Nuclear or Radiological Emergency”, IAEA Safety Standards Series No. GSR Part 7, IAEA, Vienna (2015); </w:t>
      </w:r>
      <w:r w:rsidR="00704C50" w:rsidRPr="007D36A1">
        <w:rPr>
          <w:lang w:val="en-GB"/>
        </w:rPr>
        <w:t>“</w:t>
      </w:r>
      <w:r w:rsidR="00034AF0" w:rsidRPr="007D36A1">
        <w:rPr>
          <w:lang w:val="en-GB"/>
        </w:rPr>
        <w:t>Criteria for Use in Preparedness and Response for a Nuclear or Radiological Emergency</w:t>
      </w:r>
      <w:r w:rsidR="00704C50" w:rsidRPr="007D36A1">
        <w:rPr>
          <w:lang w:val="en-GB"/>
        </w:rPr>
        <w:t>”</w:t>
      </w:r>
      <w:r w:rsidR="00034AF0" w:rsidRPr="007D36A1">
        <w:rPr>
          <w:lang w:val="en-GB"/>
        </w:rPr>
        <w:t xml:space="preserve">, IAEA Safety Standards Series No. GSG-2, IAEA, Vienna (2011); </w:t>
      </w:r>
      <w:r w:rsidR="00704C50" w:rsidRPr="007D36A1">
        <w:rPr>
          <w:lang w:val="en-GB"/>
        </w:rPr>
        <w:t>“</w:t>
      </w:r>
      <w:r w:rsidR="00034AF0" w:rsidRPr="007D36A1">
        <w:rPr>
          <w:lang w:val="en-GB"/>
        </w:rPr>
        <w:t>Arrangements for Preparedness for a Nuclear or Radiological Emergency</w:t>
      </w:r>
      <w:r w:rsidR="00704C50" w:rsidRPr="007D36A1">
        <w:rPr>
          <w:lang w:val="en-GB"/>
        </w:rPr>
        <w:t>”</w:t>
      </w:r>
      <w:r w:rsidR="00034AF0" w:rsidRPr="007D36A1">
        <w:rPr>
          <w:lang w:val="en-GB"/>
        </w:rPr>
        <w:t xml:space="preserve">, IAEA Safety Standards Series No. GS-G-2.1, IAEA, Vienna (2007), and </w:t>
      </w:r>
      <w:r w:rsidR="00704C50" w:rsidRPr="007D36A1">
        <w:rPr>
          <w:lang w:val="en-GB"/>
        </w:rPr>
        <w:t>“</w:t>
      </w:r>
      <w:r w:rsidR="00034AF0" w:rsidRPr="007D36A1">
        <w:rPr>
          <w:lang w:val="en-GB"/>
        </w:rPr>
        <w:t>Arrangements for the Termination of a Nuclear or Radiological Emergency</w:t>
      </w:r>
      <w:r w:rsidR="00704C50" w:rsidRPr="007D36A1">
        <w:rPr>
          <w:lang w:val="en-GB"/>
        </w:rPr>
        <w:t>”</w:t>
      </w:r>
      <w:r w:rsidR="00034AF0" w:rsidRPr="007D36A1">
        <w:rPr>
          <w:lang w:val="en-GB"/>
        </w:rPr>
        <w:t>, IAEA Safety Standards S</w:t>
      </w:r>
      <w:r w:rsidR="00034AF0" w:rsidRPr="007D36A1">
        <w:rPr>
          <w:bCs/>
          <w:lang w:val="en-GB"/>
        </w:rPr>
        <w:t xml:space="preserve">eries No. GSG-11, IAEA, Vienna </w:t>
      </w:r>
      <w:r w:rsidR="000D5430" w:rsidRPr="007D36A1">
        <w:rPr>
          <w:bCs/>
          <w:lang w:val="en-GB"/>
        </w:rPr>
        <w:t>[</w:t>
      </w:r>
      <w:r w:rsidR="00034AF0" w:rsidRPr="007D36A1">
        <w:rPr>
          <w:bCs/>
          <w:lang w:val="en-GB"/>
        </w:rPr>
        <w:t>(in press)</w:t>
      </w:r>
      <w:r w:rsidR="000D5430" w:rsidRPr="007D36A1">
        <w:rPr>
          <w:bCs/>
          <w:lang w:val="en-GB"/>
        </w:rPr>
        <w:t>]</w:t>
      </w:r>
      <w:r w:rsidR="00034AF0" w:rsidRPr="007D36A1">
        <w:rPr>
          <w:lang w:val="en-GB"/>
        </w:rPr>
        <w:t>.</w:t>
      </w:r>
      <w:r w:rsidR="000D5430" w:rsidRPr="007D36A1">
        <w:rPr>
          <w:lang w:val="en-GB"/>
        </w:rPr>
        <w:t>”.</w:t>
      </w:r>
    </w:p>
    <w:p w14:paraId="25F55824" w14:textId="77777777" w:rsidR="007F737B" w:rsidRPr="007D36A1" w:rsidRDefault="007F737B" w:rsidP="00D80568">
      <w:pPr>
        <w:pStyle w:val="SingleTxtG"/>
        <w:tabs>
          <w:tab w:val="left" w:pos="2268"/>
        </w:tabs>
        <w:rPr>
          <w:i/>
          <w:lang w:val="en-GB"/>
        </w:rPr>
      </w:pPr>
      <w:r w:rsidRPr="007D36A1">
        <w:rPr>
          <w:i/>
          <w:lang w:val="en-GB"/>
        </w:rPr>
        <w:lastRenderedPageBreak/>
        <w:t>[IAE</w:t>
      </w:r>
      <w:r w:rsidR="00423109" w:rsidRPr="007D36A1">
        <w:rPr>
          <w:i/>
          <w:lang w:val="en-GB"/>
        </w:rPr>
        <w:t>A: 305</w:t>
      </w:r>
      <w:r w:rsidRPr="007D36A1">
        <w:rPr>
          <w:i/>
          <w:lang w:val="en-GB"/>
        </w:rPr>
        <w:t>]</w:t>
      </w:r>
    </w:p>
    <w:p w14:paraId="50431A5E" w14:textId="77777777" w:rsidR="00A82805" w:rsidRPr="007D36A1" w:rsidRDefault="00A82805" w:rsidP="008641F7">
      <w:pPr>
        <w:pStyle w:val="SingleTxtG"/>
        <w:tabs>
          <w:tab w:val="left" w:pos="2268"/>
        </w:tabs>
        <w:rPr>
          <w:i/>
          <w:lang w:val="en-GB"/>
        </w:rPr>
      </w:pPr>
      <w:r w:rsidRPr="007D36A1">
        <w:rPr>
          <w:lang w:val="en-GB"/>
        </w:rPr>
        <w:t>1.5.4.2</w:t>
      </w:r>
      <w:r w:rsidRPr="007D36A1">
        <w:rPr>
          <w:lang w:val="en-GB"/>
        </w:rPr>
        <w:tab/>
      </w:r>
      <w:r w:rsidR="00BF304C" w:rsidRPr="007D36A1">
        <w:rPr>
          <w:lang w:val="en-GB"/>
        </w:rPr>
        <w:t>In the second sentence, replace “through alternative means” by “</w:t>
      </w:r>
      <w:r w:rsidR="00AA7885" w:rsidRPr="007D36A1">
        <w:rPr>
          <w:lang w:val="en-GB"/>
        </w:rPr>
        <w:t>through means alternative to the other provisions of these Regulations,</w:t>
      </w:r>
      <w:r w:rsidR="00BF304C" w:rsidRPr="007D36A1">
        <w:rPr>
          <w:lang w:val="en-GB"/>
        </w:rPr>
        <w:t>” and replace “for single or a planned series of multiple consignments” by “</w:t>
      </w:r>
      <w:r w:rsidR="00AA7885" w:rsidRPr="007D36A1">
        <w:rPr>
          <w:lang w:val="en-GB"/>
        </w:rPr>
        <w:t xml:space="preserve">for a single </w:t>
      </w:r>
      <w:r w:rsidR="00AA7885" w:rsidRPr="007D36A1">
        <w:rPr>
          <w:i/>
          <w:lang w:val="en-GB"/>
        </w:rPr>
        <w:t>consignment</w:t>
      </w:r>
      <w:r w:rsidR="00AA7885" w:rsidRPr="007D36A1">
        <w:rPr>
          <w:lang w:val="en-GB"/>
        </w:rPr>
        <w:t xml:space="preserve"> or a planned series of multiple </w:t>
      </w:r>
      <w:r w:rsidR="00AA7885" w:rsidRPr="007D36A1">
        <w:rPr>
          <w:i/>
          <w:lang w:val="en-GB"/>
        </w:rPr>
        <w:t>consignments</w:t>
      </w:r>
      <w:r w:rsidR="00BF304C" w:rsidRPr="007D36A1">
        <w:rPr>
          <w:lang w:val="en-GB"/>
        </w:rPr>
        <w:t>”</w:t>
      </w:r>
      <w:r w:rsidR="00AA7885" w:rsidRPr="007D36A1">
        <w:rPr>
          <w:lang w:val="en-GB"/>
        </w:rPr>
        <w:t xml:space="preserve">. </w:t>
      </w:r>
      <w:r w:rsidR="00BF304C" w:rsidRPr="007D36A1">
        <w:rPr>
          <w:lang w:val="en-GB"/>
        </w:rPr>
        <w:t>In the third sentence, at the end, after “applicable requirements” add “</w:t>
      </w:r>
      <w:r w:rsidR="00AA7885" w:rsidRPr="007D36A1">
        <w:rPr>
          <w:lang w:val="en-GB"/>
        </w:rPr>
        <w:t>in these Regulations</w:t>
      </w:r>
      <w:r w:rsidR="00BF304C" w:rsidRPr="007D36A1">
        <w:rPr>
          <w:lang w:val="en-GB"/>
        </w:rPr>
        <w:t>”.</w:t>
      </w:r>
    </w:p>
    <w:p w14:paraId="39577851" w14:textId="77777777" w:rsidR="00A82805" w:rsidRPr="007D36A1" w:rsidRDefault="00A82805" w:rsidP="00D80568">
      <w:pPr>
        <w:pStyle w:val="SingleTxtG"/>
        <w:tabs>
          <w:tab w:val="left" w:pos="2268"/>
        </w:tabs>
        <w:rPr>
          <w:i/>
          <w:lang w:val="en-GB"/>
        </w:rPr>
      </w:pPr>
      <w:r w:rsidRPr="007D36A1">
        <w:rPr>
          <w:i/>
          <w:lang w:val="en-GB"/>
        </w:rPr>
        <w:t>[IAE</w:t>
      </w:r>
      <w:r w:rsidR="00AA7885" w:rsidRPr="007D36A1">
        <w:rPr>
          <w:i/>
          <w:lang w:val="en-GB"/>
        </w:rPr>
        <w:t>A: 310</w:t>
      </w:r>
      <w:r w:rsidRPr="007D36A1">
        <w:rPr>
          <w:i/>
          <w:lang w:val="en-GB"/>
        </w:rPr>
        <w:t>]</w:t>
      </w:r>
    </w:p>
    <w:p w14:paraId="6BAF920A" w14:textId="77777777" w:rsidR="00926E16" w:rsidRPr="007D36A1" w:rsidRDefault="00926E16" w:rsidP="008641F7">
      <w:pPr>
        <w:pStyle w:val="SingleTxtG"/>
        <w:tabs>
          <w:tab w:val="left" w:pos="2268"/>
        </w:tabs>
        <w:rPr>
          <w:lang w:val="en-GB"/>
        </w:rPr>
      </w:pPr>
      <w:r w:rsidRPr="007D36A1">
        <w:rPr>
          <w:lang w:val="en-GB"/>
        </w:rPr>
        <w:t>1.5.6.1</w:t>
      </w:r>
      <w:r w:rsidR="007F737B" w:rsidRPr="007D36A1">
        <w:rPr>
          <w:lang w:val="en-GB"/>
        </w:rPr>
        <w:tab/>
      </w:r>
      <w:r w:rsidR="007F737B" w:rsidRPr="007D36A1">
        <w:rPr>
          <w:lang w:val="en-GB"/>
        </w:rPr>
        <w:tab/>
      </w:r>
      <w:r w:rsidR="00BF304C" w:rsidRPr="007D36A1">
        <w:rPr>
          <w:lang w:val="en-GB"/>
        </w:rPr>
        <w:t>In the introductory sente</w:t>
      </w:r>
      <w:r w:rsidR="00D62F29" w:rsidRPr="007D36A1">
        <w:rPr>
          <w:lang w:val="en-GB"/>
        </w:rPr>
        <w:t>nce, replace “radiation</w:t>
      </w:r>
      <w:r w:rsidR="00BF304C" w:rsidRPr="007D36A1">
        <w:rPr>
          <w:lang w:val="en-GB"/>
        </w:rPr>
        <w:t xml:space="preserve"> level” by “dose rate”. In (b), at the beginning, replace “carrier, consignor or consignee” by “</w:t>
      </w:r>
      <w:r w:rsidR="00BF304C" w:rsidRPr="007D36A1">
        <w:rPr>
          <w:i/>
          <w:lang w:val="en-GB"/>
        </w:rPr>
        <w:t>consignor,</w:t>
      </w:r>
      <w:r w:rsidR="00BF304C" w:rsidRPr="007D36A1">
        <w:rPr>
          <w:lang w:val="en-GB"/>
        </w:rPr>
        <w:t xml:space="preserve"> </w:t>
      </w:r>
      <w:r w:rsidR="00BF304C" w:rsidRPr="007D36A1">
        <w:rPr>
          <w:i/>
          <w:lang w:val="en-GB"/>
        </w:rPr>
        <w:t>carrier</w:t>
      </w:r>
      <w:r w:rsidR="00BF304C" w:rsidRPr="007D36A1">
        <w:rPr>
          <w:lang w:val="en-GB"/>
        </w:rPr>
        <w:t xml:space="preserve">, or </w:t>
      </w:r>
      <w:r w:rsidR="00BF304C" w:rsidRPr="007D36A1">
        <w:rPr>
          <w:i/>
          <w:lang w:val="en-GB"/>
        </w:rPr>
        <w:t>consignee”.</w:t>
      </w:r>
      <w:r w:rsidR="00BF304C" w:rsidRPr="007D36A1">
        <w:rPr>
          <w:lang w:val="en-GB"/>
        </w:rPr>
        <w:t xml:space="preserve"> In (b) (iii), replace “similar circumstances” by “the causes and circumstances similar to those”. In (b) (iv), replace “on corrective or protective actions” by “the corrective or protective actions”.</w:t>
      </w:r>
    </w:p>
    <w:p w14:paraId="498288F0" w14:textId="77777777" w:rsidR="007F737B" w:rsidRPr="007D36A1" w:rsidRDefault="006E0C35" w:rsidP="00D80568">
      <w:pPr>
        <w:pStyle w:val="SingleTxtG"/>
        <w:tabs>
          <w:tab w:val="left" w:pos="2268"/>
        </w:tabs>
        <w:rPr>
          <w:i/>
          <w:lang w:val="en-GB"/>
        </w:rPr>
      </w:pPr>
      <w:r w:rsidRPr="007D36A1">
        <w:rPr>
          <w:i/>
          <w:lang w:val="en-GB"/>
        </w:rPr>
        <w:t>[IAEA: 309</w:t>
      </w:r>
      <w:r w:rsidR="007F737B" w:rsidRPr="007D36A1">
        <w:rPr>
          <w:i/>
          <w:lang w:val="en-GB"/>
        </w:rPr>
        <w:t>]</w:t>
      </w:r>
    </w:p>
    <w:p w14:paraId="2FCC2A0B" w14:textId="77777777" w:rsidR="00162677" w:rsidRPr="007D36A1" w:rsidRDefault="00BF304C" w:rsidP="00DA4D16">
      <w:pPr>
        <w:pStyle w:val="H1G"/>
      </w:pPr>
      <w:r w:rsidRPr="007D36A1">
        <w:tab/>
      </w:r>
      <w:r w:rsidRPr="007D36A1">
        <w:tab/>
      </w:r>
      <w:r w:rsidR="00162677" w:rsidRPr="007D36A1">
        <w:t>Chapter 2.7</w:t>
      </w:r>
    </w:p>
    <w:p w14:paraId="58FE9689" w14:textId="77777777" w:rsidR="000D5430" w:rsidRPr="007D36A1" w:rsidRDefault="00162677" w:rsidP="008641F7">
      <w:pPr>
        <w:pStyle w:val="SingleTxtG"/>
        <w:tabs>
          <w:tab w:val="left" w:pos="2268"/>
        </w:tabs>
        <w:rPr>
          <w:lang w:val="en-GB"/>
        </w:rPr>
      </w:pPr>
      <w:r w:rsidRPr="007D36A1">
        <w:rPr>
          <w:lang w:val="en-GB"/>
        </w:rPr>
        <w:t>2.7.2.1.1</w:t>
      </w:r>
      <w:r w:rsidRPr="007D36A1">
        <w:rPr>
          <w:lang w:val="en-GB"/>
        </w:rPr>
        <w:tab/>
      </w:r>
      <w:r w:rsidR="009706B5" w:rsidRPr="007D36A1">
        <w:rPr>
          <w:lang w:val="en-GB"/>
        </w:rPr>
        <w:t>Re</w:t>
      </w:r>
      <w:r w:rsidR="000D5430" w:rsidRPr="007D36A1">
        <w:rPr>
          <w:lang w:val="en-GB"/>
        </w:rPr>
        <w:t>place “2.7.2.4.2” by “2.7.2.4”.</w:t>
      </w:r>
    </w:p>
    <w:p w14:paraId="6FB86C9C" w14:textId="14037C33" w:rsidR="00CC31FE" w:rsidRPr="007D36A1" w:rsidRDefault="00CC31FE" w:rsidP="00D80568">
      <w:pPr>
        <w:pStyle w:val="SingleTxtG"/>
        <w:tabs>
          <w:tab w:val="left" w:pos="2268"/>
        </w:tabs>
        <w:rPr>
          <w:lang w:val="en-GB"/>
        </w:rPr>
      </w:pPr>
      <w:r w:rsidRPr="007D36A1">
        <w:rPr>
          <w:i/>
          <w:lang w:val="en-GB"/>
        </w:rPr>
        <w:t>[IAEA: 401]</w:t>
      </w:r>
    </w:p>
    <w:p w14:paraId="112B9F33" w14:textId="77777777" w:rsidR="00DC4749" w:rsidRPr="007D36A1" w:rsidRDefault="00DC4749" w:rsidP="008641F7">
      <w:pPr>
        <w:pStyle w:val="SingleTxtG"/>
        <w:tabs>
          <w:tab w:val="left" w:pos="2268"/>
        </w:tabs>
        <w:rPr>
          <w:lang w:val="en-GB"/>
        </w:rPr>
      </w:pPr>
      <w:r w:rsidRPr="007D36A1">
        <w:rPr>
          <w:lang w:val="en-GB"/>
        </w:rPr>
        <w:t>Table 2.7.2.1.1</w:t>
      </w:r>
      <w:r w:rsidR="009706B5" w:rsidRPr="007D36A1">
        <w:rPr>
          <w:lang w:val="en-GB"/>
        </w:rPr>
        <w:tab/>
        <w:t>For</w:t>
      </w:r>
      <w:r w:rsidRPr="007D36A1">
        <w:rPr>
          <w:lang w:val="en-GB"/>
        </w:rPr>
        <w:t xml:space="preserve"> UN 2913</w:t>
      </w:r>
      <w:r w:rsidR="009706B5" w:rsidRPr="007D36A1">
        <w:rPr>
          <w:lang w:val="en-GB"/>
        </w:rPr>
        <w:t>, in the Proper shipping name, replace “SCO-I or SCO-II” by “SCO-I, SCO-II or SCO-III”.</w:t>
      </w:r>
    </w:p>
    <w:p w14:paraId="51872B30" w14:textId="698D6196" w:rsidR="00CA1D9A" w:rsidRPr="007D36A1" w:rsidRDefault="00CA1D9A" w:rsidP="00D80568">
      <w:pPr>
        <w:pStyle w:val="SingleTxtG"/>
        <w:tabs>
          <w:tab w:val="left" w:pos="2268"/>
        </w:tabs>
        <w:rPr>
          <w:i/>
          <w:lang w:val="en-GB"/>
        </w:rPr>
      </w:pPr>
      <w:r w:rsidRPr="007D36A1">
        <w:rPr>
          <w:i/>
          <w:lang w:val="en-GB"/>
        </w:rPr>
        <w:t>[IAEA: Table 1]</w:t>
      </w:r>
    </w:p>
    <w:p w14:paraId="4990AB1A" w14:textId="77777777" w:rsidR="00CC31FE" w:rsidRPr="007D36A1" w:rsidRDefault="00CC31FE" w:rsidP="008641F7">
      <w:pPr>
        <w:pStyle w:val="SingleTxtG"/>
        <w:tabs>
          <w:tab w:val="left" w:pos="2268"/>
        </w:tabs>
        <w:rPr>
          <w:lang w:val="en-GB"/>
        </w:rPr>
      </w:pPr>
      <w:r w:rsidRPr="007D36A1">
        <w:rPr>
          <w:lang w:val="en-GB"/>
        </w:rPr>
        <w:t>2.7.2.2.2</w:t>
      </w:r>
      <w:r w:rsidRPr="007D36A1">
        <w:rPr>
          <w:lang w:val="en-GB"/>
        </w:rPr>
        <w:tab/>
      </w:r>
      <w:r w:rsidR="00B07502" w:rsidRPr="007D36A1">
        <w:rPr>
          <w:lang w:val="en-GB"/>
        </w:rPr>
        <w:t xml:space="preserve">In (a), replace “the International Basic Safety Standards for Protection against Ionizing Radiation and for the Safety of Radiation Sources, Safety Series No.115, IAEA, Vienna (1996)” by </w:t>
      </w:r>
      <w:r w:rsidRPr="007D36A1">
        <w:rPr>
          <w:lang w:val="en-GB"/>
        </w:rPr>
        <w:t xml:space="preserve"> </w:t>
      </w:r>
      <w:r w:rsidR="00B07502" w:rsidRPr="007D36A1">
        <w:rPr>
          <w:lang w:val="en-GB"/>
        </w:rPr>
        <w:t>“</w:t>
      </w:r>
      <w:r w:rsidR="00F31D4A" w:rsidRPr="007D36A1">
        <w:rPr>
          <w:bCs/>
          <w:lang w:val="en-GB"/>
        </w:rPr>
        <w:t xml:space="preserve">Radiation Protection and Safety of Radiation Sources: International Basic Safety Standards, </w:t>
      </w:r>
      <w:r w:rsidR="00F31D4A" w:rsidRPr="007D36A1">
        <w:rPr>
          <w:lang w:val="en-GB"/>
        </w:rPr>
        <w:t>IAEA Safety Standards</w:t>
      </w:r>
      <w:r w:rsidR="00F31D4A" w:rsidRPr="007D36A1">
        <w:rPr>
          <w:bCs/>
          <w:lang w:val="en-GB"/>
        </w:rPr>
        <w:t xml:space="preserve"> </w:t>
      </w:r>
      <w:r w:rsidR="00F31D4A" w:rsidRPr="007D36A1">
        <w:rPr>
          <w:lang w:val="en-GB"/>
        </w:rPr>
        <w:t>Series No. GSR Part 3, IAEA, Vienna (2014)</w:t>
      </w:r>
      <w:r w:rsidR="00B07502" w:rsidRPr="007D36A1">
        <w:rPr>
          <w:lang w:val="en-GB"/>
        </w:rPr>
        <w:t>”.</w:t>
      </w:r>
    </w:p>
    <w:p w14:paraId="4E00D60B" w14:textId="77777777" w:rsidR="00CC31FE" w:rsidRPr="007D36A1" w:rsidRDefault="00B07502" w:rsidP="008641F7">
      <w:pPr>
        <w:pStyle w:val="SingleTxtG"/>
        <w:tabs>
          <w:tab w:val="left" w:pos="2268"/>
        </w:tabs>
        <w:rPr>
          <w:lang w:val="en-GB"/>
        </w:rPr>
      </w:pPr>
      <w:r w:rsidRPr="007D36A1">
        <w:rPr>
          <w:lang w:val="en-GB"/>
        </w:rPr>
        <w:tab/>
        <w:t xml:space="preserve">In (b), at the end, replace “the International Basic Safety Standards for Protection against Ionizing Radiation and for the Safety of Radiation Sources, Safety Series No.115, IAEA, Vienna (1996)” by </w:t>
      </w:r>
      <w:r w:rsidR="00CC31FE" w:rsidRPr="007D36A1">
        <w:rPr>
          <w:lang w:val="en-GB"/>
        </w:rPr>
        <w:t xml:space="preserve"> </w:t>
      </w:r>
      <w:r w:rsidRPr="007D36A1">
        <w:rPr>
          <w:lang w:val="en-GB"/>
        </w:rPr>
        <w:t>“</w:t>
      </w:r>
      <w:r w:rsidR="00CC31FE" w:rsidRPr="007D36A1">
        <w:rPr>
          <w:lang w:val="en-GB"/>
        </w:rPr>
        <w:t>GSR Part 3</w:t>
      </w:r>
      <w:r w:rsidRPr="007D36A1">
        <w:rPr>
          <w:lang w:val="en-GB"/>
        </w:rPr>
        <w:t>”.</w:t>
      </w:r>
    </w:p>
    <w:p w14:paraId="1120366C" w14:textId="77777777" w:rsidR="00CC31FE" w:rsidRPr="007D36A1" w:rsidRDefault="00CC31FE" w:rsidP="00D80568">
      <w:pPr>
        <w:pStyle w:val="SingleTxtG"/>
        <w:tabs>
          <w:tab w:val="left" w:pos="2268"/>
        </w:tabs>
        <w:rPr>
          <w:i/>
          <w:lang w:val="en-GB"/>
        </w:rPr>
      </w:pPr>
      <w:r w:rsidRPr="007D36A1">
        <w:rPr>
          <w:i/>
          <w:lang w:val="en-GB"/>
        </w:rPr>
        <w:t>[IAEA: 403]</w:t>
      </w:r>
    </w:p>
    <w:p w14:paraId="1BD47938" w14:textId="77777777" w:rsidR="00CC31FE" w:rsidRPr="007D36A1" w:rsidRDefault="00CC31FE" w:rsidP="008641F7">
      <w:pPr>
        <w:pStyle w:val="SingleTxtG"/>
        <w:tabs>
          <w:tab w:val="left" w:pos="2268"/>
        </w:tabs>
        <w:rPr>
          <w:lang w:val="en-GB"/>
        </w:rPr>
      </w:pPr>
      <w:r w:rsidRPr="007D36A1">
        <w:rPr>
          <w:lang w:val="en-GB"/>
        </w:rPr>
        <w:t>2.7.2.2.3</w:t>
      </w:r>
      <w:r w:rsidRPr="007D36A1">
        <w:rPr>
          <w:lang w:val="en-GB"/>
        </w:rPr>
        <w:tab/>
      </w:r>
      <w:r w:rsidR="004B00CD" w:rsidRPr="007D36A1">
        <w:rPr>
          <w:lang w:val="en-GB"/>
        </w:rPr>
        <w:t xml:space="preserve">Replace “daughter nuclide” by “progeny nuclide” (twice). At the end, replace “daughter nuclides” by “progeny nuclides”. </w:t>
      </w:r>
    </w:p>
    <w:p w14:paraId="413B24B9" w14:textId="77777777" w:rsidR="00CC31FE" w:rsidRPr="007D36A1" w:rsidRDefault="00CC31FE" w:rsidP="00D80568">
      <w:pPr>
        <w:pStyle w:val="SingleTxtG"/>
        <w:tabs>
          <w:tab w:val="left" w:pos="2268"/>
        </w:tabs>
        <w:rPr>
          <w:i/>
          <w:lang w:val="en-GB"/>
        </w:rPr>
      </w:pPr>
      <w:r w:rsidRPr="007D36A1">
        <w:rPr>
          <w:i/>
          <w:lang w:val="en-GB"/>
        </w:rPr>
        <w:t>[IAEA: 404]</w:t>
      </w:r>
    </w:p>
    <w:p w14:paraId="05C35E01" w14:textId="77777777" w:rsidR="00761BD7" w:rsidRPr="007D36A1" w:rsidRDefault="00572188" w:rsidP="008641F7">
      <w:pPr>
        <w:pStyle w:val="SingleTxtG"/>
        <w:tabs>
          <w:tab w:val="left" w:pos="2268"/>
        </w:tabs>
        <w:rPr>
          <w:lang w:val="en-GB"/>
        </w:rPr>
      </w:pPr>
      <w:r w:rsidRPr="007D36A1">
        <w:rPr>
          <w:lang w:val="en-GB"/>
        </w:rPr>
        <w:t>Table 2.7.2.2.1</w:t>
      </w:r>
      <w:r w:rsidR="00FD2C1D" w:rsidRPr="007D36A1">
        <w:rPr>
          <w:lang w:val="en-GB"/>
        </w:rPr>
        <w:tab/>
      </w:r>
      <w:r w:rsidRPr="007D36A1">
        <w:rPr>
          <w:lang w:val="en-GB"/>
        </w:rPr>
        <w:t xml:space="preserve"> </w:t>
      </w:r>
      <w:r w:rsidR="00B23234" w:rsidRPr="007D36A1">
        <w:rPr>
          <w:lang w:val="en-GB"/>
        </w:rPr>
        <w:t>Add the following rows in proper order</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4C779B" w:rsidRPr="007D36A1" w14:paraId="3F59399C" w14:textId="77777777" w:rsidTr="004C779B">
        <w:trPr>
          <w:trHeight w:hRule="exact" w:val="300"/>
        </w:trPr>
        <w:tc>
          <w:tcPr>
            <w:tcW w:w="1526" w:type="dxa"/>
            <w:shd w:val="clear" w:color="auto" w:fill="auto"/>
            <w:hideMark/>
          </w:tcPr>
          <w:p w14:paraId="32FA12E0" w14:textId="77777777" w:rsidR="00761BD7" w:rsidRPr="007D36A1" w:rsidRDefault="00761BD7" w:rsidP="004C779B">
            <w:pPr>
              <w:ind w:right="-20"/>
              <w:jc w:val="both"/>
              <w:rPr>
                <w:sz w:val="18"/>
                <w:szCs w:val="18"/>
                <w:lang w:eastAsia="en-GB"/>
              </w:rPr>
            </w:pPr>
            <w:r w:rsidRPr="007D36A1">
              <w:rPr>
                <w:color w:val="231F20"/>
                <w:sz w:val="18"/>
                <w:szCs w:val="18"/>
                <w:lang w:eastAsia="en-GB"/>
              </w:rPr>
              <w:t>Ba-135m</w:t>
            </w:r>
          </w:p>
        </w:tc>
        <w:tc>
          <w:tcPr>
            <w:tcW w:w="1060" w:type="dxa"/>
            <w:shd w:val="clear" w:color="auto" w:fill="auto"/>
            <w:hideMark/>
          </w:tcPr>
          <w:p w14:paraId="3EB2DA4D" w14:textId="77777777" w:rsidR="00761BD7" w:rsidRPr="007D36A1" w:rsidRDefault="00761BD7" w:rsidP="004C779B">
            <w:pPr>
              <w:ind w:right="-20"/>
              <w:rPr>
                <w:sz w:val="18"/>
                <w:lang w:eastAsia="en-GB"/>
              </w:rPr>
            </w:pPr>
            <w:r w:rsidRPr="007D36A1">
              <w:rPr>
                <w:color w:val="231F20"/>
                <w:sz w:val="18"/>
                <w:szCs w:val="18"/>
                <w:lang w:eastAsia="en-GB"/>
              </w:rPr>
              <w:t>2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position w:val="7"/>
                <w:sz w:val="18"/>
                <w:lang w:eastAsia="en-GB"/>
              </w:rPr>
              <w:t>1</w:t>
            </w:r>
          </w:p>
        </w:tc>
        <w:tc>
          <w:tcPr>
            <w:tcW w:w="992" w:type="dxa"/>
            <w:shd w:val="clear" w:color="auto" w:fill="auto"/>
            <w:hideMark/>
          </w:tcPr>
          <w:p w14:paraId="6E6D9519" w14:textId="77777777" w:rsidR="00761BD7" w:rsidRPr="007D36A1" w:rsidRDefault="00761BD7" w:rsidP="004C779B">
            <w:pPr>
              <w:ind w:right="-20"/>
              <w:rPr>
                <w:sz w:val="18"/>
                <w:lang w:eastAsia="en-GB"/>
              </w:rPr>
            </w:pPr>
            <w:r w:rsidRPr="007D36A1">
              <w:rPr>
                <w:color w:val="231F20"/>
                <w:sz w:val="18"/>
                <w:szCs w:val="18"/>
                <w:lang w:eastAsia="en-GB"/>
              </w:rPr>
              <w:t>6</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spacing w:val="-1"/>
                <w:position w:val="7"/>
                <w:sz w:val="18"/>
                <w:lang w:eastAsia="en-GB"/>
              </w:rPr>
              <w:t>–1</w:t>
            </w:r>
          </w:p>
        </w:tc>
        <w:tc>
          <w:tcPr>
            <w:tcW w:w="992" w:type="dxa"/>
            <w:shd w:val="clear" w:color="auto" w:fill="auto"/>
            <w:hideMark/>
          </w:tcPr>
          <w:p w14:paraId="7CFDCF6C" w14:textId="77777777" w:rsidR="00761BD7" w:rsidRPr="007D36A1" w:rsidRDefault="00761BD7" w:rsidP="004C779B">
            <w:pPr>
              <w:ind w:right="-20"/>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szCs w:val="18"/>
                <w:lang w:eastAsia="en-GB"/>
              </w:rPr>
              <w:t>2</w:t>
            </w:r>
          </w:p>
        </w:tc>
        <w:tc>
          <w:tcPr>
            <w:tcW w:w="992" w:type="dxa"/>
            <w:shd w:val="clear" w:color="auto" w:fill="auto"/>
            <w:hideMark/>
          </w:tcPr>
          <w:p w14:paraId="300B5F71" w14:textId="77777777" w:rsidR="00761BD7" w:rsidRPr="007D36A1" w:rsidRDefault="00761BD7" w:rsidP="004C779B">
            <w:pPr>
              <w:ind w:left="-171" w:right="-20" w:firstLine="205"/>
              <w:jc w:val="both"/>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lang w:eastAsia="en-GB"/>
              </w:rPr>
              <w:t>6</w:t>
            </w:r>
          </w:p>
        </w:tc>
      </w:tr>
      <w:tr w:rsidR="004C779B" w:rsidRPr="007D36A1" w14:paraId="36E46BB2" w14:textId="77777777" w:rsidTr="004C779B">
        <w:trPr>
          <w:trHeight w:val="301"/>
        </w:trPr>
        <w:tc>
          <w:tcPr>
            <w:tcW w:w="1526" w:type="dxa"/>
            <w:shd w:val="clear" w:color="auto" w:fill="auto"/>
          </w:tcPr>
          <w:p w14:paraId="5D03DB0E" w14:textId="77777777" w:rsidR="00761BD7" w:rsidRPr="007D36A1" w:rsidRDefault="00761BD7" w:rsidP="004C779B">
            <w:pPr>
              <w:tabs>
                <w:tab w:val="left" w:pos="2460"/>
                <w:tab w:val="left" w:pos="3640"/>
                <w:tab w:val="left" w:pos="4700"/>
                <w:tab w:val="left" w:pos="6040"/>
              </w:tabs>
              <w:ind w:right="-20"/>
              <w:rPr>
                <w:color w:val="231F20"/>
                <w:sz w:val="18"/>
                <w:szCs w:val="18"/>
                <w:lang w:eastAsia="en-GB"/>
              </w:rPr>
            </w:pPr>
            <w:r w:rsidRPr="007D36A1">
              <w:rPr>
                <w:color w:val="231F20"/>
                <w:sz w:val="18"/>
                <w:szCs w:val="18"/>
                <w:lang w:eastAsia="en-GB"/>
              </w:rPr>
              <w:t>Ge-69</w:t>
            </w:r>
          </w:p>
        </w:tc>
        <w:tc>
          <w:tcPr>
            <w:tcW w:w="1060" w:type="dxa"/>
            <w:shd w:val="clear" w:color="auto" w:fill="auto"/>
          </w:tcPr>
          <w:p w14:paraId="77F78991" w14:textId="77777777" w:rsidR="00761BD7" w:rsidRPr="007D36A1" w:rsidRDefault="00761BD7" w:rsidP="004C779B">
            <w:pPr>
              <w:spacing w:line="280" w:lineRule="atLeast"/>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w:t>
            </w:r>
            <w:r w:rsidRPr="007D36A1">
              <w:rPr>
                <w:spacing w:val="-1"/>
                <w:sz w:val="18"/>
                <w:szCs w:val="18"/>
              </w:rPr>
              <w:t>0</w:t>
            </w:r>
            <w:r w:rsidRPr="007D36A1">
              <w:rPr>
                <w:position w:val="7"/>
                <w:sz w:val="18"/>
                <w:szCs w:val="18"/>
              </w:rPr>
              <w:t>0</w:t>
            </w:r>
          </w:p>
        </w:tc>
        <w:tc>
          <w:tcPr>
            <w:tcW w:w="992" w:type="dxa"/>
            <w:shd w:val="clear" w:color="auto" w:fill="auto"/>
          </w:tcPr>
          <w:p w14:paraId="6E656593" w14:textId="77777777" w:rsidR="00761BD7" w:rsidRPr="007D36A1" w:rsidRDefault="00761BD7" w:rsidP="004C779B">
            <w:pPr>
              <w:spacing w:line="280" w:lineRule="atLeast"/>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7D36A1">
              <w:rPr>
                <w:position w:val="7"/>
                <w:sz w:val="18"/>
                <w:szCs w:val="18"/>
              </w:rPr>
              <w:t>0</w:t>
            </w:r>
          </w:p>
        </w:tc>
        <w:tc>
          <w:tcPr>
            <w:tcW w:w="992" w:type="dxa"/>
            <w:shd w:val="clear" w:color="auto" w:fill="auto"/>
          </w:tcPr>
          <w:p w14:paraId="42F6B9CE" w14:textId="77777777" w:rsidR="00761BD7" w:rsidRPr="007D36A1" w:rsidRDefault="00761BD7" w:rsidP="004C779B">
            <w:pPr>
              <w:spacing w:line="280" w:lineRule="atLeast"/>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7D36A1">
              <w:rPr>
                <w:position w:val="7"/>
                <w:sz w:val="18"/>
                <w:szCs w:val="18"/>
              </w:rPr>
              <w:t>1</w:t>
            </w:r>
          </w:p>
        </w:tc>
        <w:tc>
          <w:tcPr>
            <w:tcW w:w="992" w:type="dxa"/>
            <w:shd w:val="clear" w:color="auto" w:fill="auto"/>
          </w:tcPr>
          <w:p w14:paraId="0E42E1FD" w14:textId="77777777" w:rsidR="00761BD7" w:rsidRPr="007D36A1" w:rsidRDefault="00761BD7" w:rsidP="004C779B">
            <w:pPr>
              <w:tabs>
                <w:tab w:val="left" w:pos="2460"/>
                <w:tab w:val="left" w:pos="3640"/>
                <w:tab w:val="left" w:pos="4700"/>
                <w:tab w:val="left" w:pos="6040"/>
              </w:tabs>
              <w:ind w:left="-171" w:right="-20"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szCs w:val="18"/>
                <w:lang w:eastAsia="en-GB"/>
              </w:rPr>
              <w:t>6</w:t>
            </w:r>
          </w:p>
        </w:tc>
      </w:tr>
      <w:tr w:rsidR="004C779B" w:rsidRPr="007D36A1" w14:paraId="7ABE6F55" w14:textId="77777777" w:rsidTr="004C779B">
        <w:trPr>
          <w:trHeight w:val="301"/>
        </w:trPr>
        <w:tc>
          <w:tcPr>
            <w:tcW w:w="1526" w:type="dxa"/>
            <w:shd w:val="clear" w:color="auto" w:fill="auto"/>
          </w:tcPr>
          <w:p w14:paraId="74045BC2" w14:textId="77777777" w:rsidR="00761BD7" w:rsidRPr="007D36A1" w:rsidRDefault="00761BD7" w:rsidP="004C779B">
            <w:pPr>
              <w:tabs>
                <w:tab w:val="left" w:pos="2460"/>
                <w:tab w:val="left" w:pos="3640"/>
                <w:tab w:val="left" w:pos="4700"/>
                <w:tab w:val="left" w:pos="6040"/>
              </w:tabs>
              <w:ind w:right="-20"/>
              <w:rPr>
                <w:sz w:val="18"/>
                <w:szCs w:val="18"/>
                <w:lang w:eastAsia="en-GB"/>
              </w:rPr>
            </w:pPr>
            <w:r w:rsidRPr="007D36A1">
              <w:rPr>
                <w:color w:val="231F20"/>
                <w:sz w:val="18"/>
                <w:szCs w:val="18"/>
                <w:lang w:eastAsia="en-GB"/>
              </w:rPr>
              <w:t>I</w:t>
            </w:r>
            <w:r w:rsidRPr="007D36A1">
              <w:rPr>
                <w:color w:val="231F20"/>
                <w:spacing w:val="-5"/>
                <w:sz w:val="18"/>
                <w:szCs w:val="18"/>
                <w:lang w:eastAsia="en-GB"/>
              </w:rPr>
              <w:t>r</w:t>
            </w:r>
            <w:r w:rsidRPr="007D36A1">
              <w:rPr>
                <w:color w:val="231F20"/>
                <w:sz w:val="18"/>
                <w:szCs w:val="18"/>
                <w:lang w:eastAsia="en-GB"/>
              </w:rPr>
              <w:t>-193m</w:t>
            </w:r>
          </w:p>
        </w:tc>
        <w:tc>
          <w:tcPr>
            <w:tcW w:w="1060" w:type="dxa"/>
            <w:shd w:val="clear" w:color="auto" w:fill="auto"/>
          </w:tcPr>
          <w:p w14:paraId="66412858" w14:textId="77777777" w:rsidR="00761BD7" w:rsidRPr="007D36A1" w:rsidRDefault="00761BD7" w:rsidP="004C779B">
            <w:pPr>
              <w:spacing w:line="280" w:lineRule="atLeast"/>
              <w:rPr>
                <w:sz w:val="18"/>
                <w:szCs w:val="18"/>
              </w:rPr>
            </w:pPr>
            <w:r w:rsidRPr="007D36A1">
              <w:rPr>
                <w:sz w:val="18"/>
                <w:szCs w:val="18"/>
              </w:rPr>
              <w:t>4 ×</w:t>
            </w:r>
            <w:r w:rsidRPr="007D36A1">
              <w:rPr>
                <w:spacing w:val="-1"/>
                <w:sz w:val="18"/>
                <w:szCs w:val="18"/>
              </w:rPr>
              <w:t xml:space="preserve"> </w:t>
            </w:r>
            <w:r w:rsidRPr="007D36A1">
              <w:rPr>
                <w:sz w:val="18"/>
                <w:szCs w:val="18"/>
              </w:rPr>
              <w:t>1</w:t>
            </w:r>
            <w:r w:rsidRPr="007D36A1">
              <w:rPr>
                <w:spacing w:val="-1"/>
                <w:sz w:val="18"/>
                <w:szCs w:val="18"/>
              </w:rPr>
              <w:t>0</w:t>
            </w:r>
            <w:r w:rsidRPr="007D36A1">
              <w:rPr>
                <w:position w:val="7"/>
                <w:sz w:val="18"/>
                <w:szCs w:val="18"/>
              </w:rPr>
              <w:t>1</w:t>
            </w:r>
          </w:p>
        </w:tc>
        <w:tc>
          <w:tcPr>
            <w:tcW w:w="992" w:type="dxa"/>
            <w:shd w:val="clear" w:color="auto" w:fill="auto"/>
          </w:tcPr>
          <w:p w14:paraId="6CB5B65F" w14:textId="77777777" w:rsidR="00761BD7" w:rsidRPr="007D36A1" w:rsidRDefault="00761BD7" w:rsidP="004C779B">
            <w:pPr>
              <w:spacing w:line="280" w:lineRule="atLeast"/>
              <w:rPr>
                <w:sz w:val="18"/>
                <w:szCs w:val="18"/>
              </w:rPr>
            </w:pPr>
            <w:r w:rsidRPr="007D36A1">
              <w:rPr>
                <w:sz w:val="18"/>
                <w:szCs w:val="18"/>
              </w:rPr>
              <w:t>4</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7D36A1">
              <w:rPr>
                <w:spacing w:val="-1"/>
                <w:position w:val="7"/>
                <w:sz w:val="18"/>
                <w:szCs w:val="18"/>
              </w:rPr>
              <w:t>0</w:t>
            </w:r>
          </w:p>
        </w:tc>
        <w:tc>
          <w:tcPr>
            <w:tcW w:w="992" w:type="dxa"/>
            <w:shd w:val="clear" w:color="auto" w:fill="auto"/>
          </w:tcPr>
          <w:p w14:paraId="122244C3" w14:textId="77777777" w:rsidR="00761BD7" w:rsidRPr="007D36A1" w:rsidRDefault="00761BD7" w:rsidP="004C779B">
            <w:pPr>
              <w:spacing w:line="280" w:lineRule="atLeast"/>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7D36A1">
              <w:rPr>
                <w:position w:val="7"/>
                <w:sz w:val="18"/>
                <w:szCs w:val="18"/>
              </w:rPr>
              <w:t>4</w:t>
            </w:r>
          </w:p>
        </w:tc>
        <w:tc>
          <w:tcPr>
            <w:tcW w:w="992" w:type="dxa"/>
            <w:shd w:val="clear" w:color="auto" w:fill="auto"/>
          </w:tcPr>
          <w:p w14:paraId="47B4B632" w14:textId="77777777" w:rsidR="00761BD7" w:rsidRPr="007D36A1" w:rsidRDefault="00761BD7" w:rsidP="004C779B">
            <w:pPr>
              <w:tabs>
                <w:tab w:val="left" w:pos="2460"/>
                <w:tab w:val="left" w:pos="3640"/>
                <w:tab w:val="left" w:pos="4700"/>
                <w:tab w:val="left" w:pos="6040"/>
              </w:tabs>
              <w:ind w:left="-171" w:right="-20"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szCs w:val="18"/>
                <w:lang w:eastAsia="en-GB"/>
              </w:rPr>
              <w:t>7</w:t>
            </w:r>
          </w:p>
        </w:tc>
      </w:tr>
      <w:tr w:rsidR="004C779B" w:rsidRPr="007D36A1" w14:paraId="4288B83E" w14:textId="77777777" w:rsidTr="004C779B">
        <w:trPr>
          <w:trHeight w:hRule="exact" w:val="300"/>
        </w:trPr>
        <w:tc>
          <w:tcPr>
            <w:tcW w:w="1526" w:type="dxa"/>
            <w:shd w:val="clear" w:color="auto" w:fill="auto"/>
          </w:tcPr>
          <w:p w14:paraId="76C2018B" w14:textId="77777777" w:rsidR="00761BD7" w:rsidRPr="007D36A1" w:rsidRDefault="00761BD7" w:rsidP="004C779B">
            <w:pPr>
              <w:ind w:right="-20"/>
              <w:rPr>
                <w:color w:val="231F20"/>
                <w:sz w:val="18"/>
                <w:szCs w:val="18"/>
                <w:lang w:eastAsia="en-GB"/>
              </w:rPr>
            </w:pPr>
            <w:r w:rsidRPr="007D36A1">
              <w:rPr>
                <w:color w:val="231F20"/>
                <w:sz w:val="18"/>
                <w:szCs w:val="18"/>
                <w:lang w:eastAsia="en-GB"/>
              </w:rPr>
              <w:t>Ni-57</w:t>
            </w:r>
          </w:p>
        </w:tc>
        <w:tc>
          <w:tcPr>
            <w:tcW w:w="1060" w:type="dxa"/>
            <w:shd w:val="clear" w:color="auto" w:fill="auto"/>
          </w:tcPr>
          <w:p w14:paraId="0BC22078" w14:textId="77777777" w:rsidR="00761BD7" w:rsidRPr="007D36A1" w:rsidRDefault="00761BD7" w:rsidP="004C779B">
            <w:pPr>
              <w:ind w:right="-20"/>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lang w:eastAsia="en-GB"/>
              </w:rPr>
              <w:t>–1</w:t>
            </w:r>
          </w:p>
        </w:tc>
        <w:tc>
          <w:tcPr>
            <w:tcW w:w="992" w:type="dxa"/>
            <w:shd w:val="clear" w:color="auto" w:fill="auto"/>
          </w:tcPr>
          <w:p w14:paraId="31644F85" w14:textId="77777777" w:rsidR="00761BD7" w:rsidRPr="007D36A1" w:rsidRDefault="00761BD7" w:rsidP="004C779B">
            <w:pPr>
              <w:ind w:right="-20"/>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lang w:eastAsia="en-GB"/>
              </w:rPr>
              <w:t>–1</w:t>
            </w:r>
          </w:p>
        </w:tc>
        <w:tc>
          <w:tcPr>
            <w:tcW w:w="992" w:type="dxa"/>
            <w:shd w:val="clear" w:color="auto" w:fill="auto"/>
            <w:hideMark/>
          </w:tcPr>
          <w:p w14:paraId="704B766F" w14:textId="77777777" w:rsidR="00761BD7" w:rsidRPr="007D36A1" w:rsidRDefault="00761BD7" w:rsidP="004C779B">
            <w:pPr>
              <w:ind w:right="-20"/>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position w:val="7"/>
                <w:sz w:val="18"/>
                <w:szCs w:val="18"/>
                <w:lang w:eastAsia="en-GB"/>
              </w:rPr>
              <w:t>1</w:t>
            </w:r>
          </w:p>
        </w:tc>
        <w:tc>
          <w:tcPr>
            <w:tcW w:w="992" w:type="dxa"/>
            <w:shd w:val="clear" w:color="auto" w:fill="auto"/>
            <w:hideMark/>
          </w:tcPr>
          <w:p w14:paraId="1A0B675A" w14:textId="77777777" w:rsidR="00761BD7" w:rsidRPr="007D36A1" w:rsidRDefault="00761BD7" w:rsidP="004C779B">
            <w:pPr>
              <w:ind w:left="-171" w:right="-20"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szCs w:val="18"/>
                <w:lang w:eastAsia="en-GB"/>
              </w:rPr>
              <w:t>6</w:t>
            </w:r>
          </w:p>
        </w:tc>
      </w:tr>
      <w:tr w:rsidR="004C779B" w:rsidRPr="007D36A1" w14:paraId="628D2B78" w14:textId="77777777" w:rsidTr="004C779B">
        <w:trPr>
          <w:trHeight w:hRule="exact" w:val="300"/>
        </w:trPr>
        <w:tc>
          <w:tcPr>
            <w:tcW w:w="1526" w:type="dxa"/>
            <w:shd w:val="clear" w:color="auto" w:fill="auto"/>
            <w:hideMark/>
          </w:tcPr>
          <w:p w14:paraId="1211067B" w14:textId="77777777" w:rsidR="00761BD7" w:rsidRPr="007D36A1" w:rsidRDefault="00761BD7" w:rsidP="004C779B">
            <w:pPr>
              <w:ind w:right="-20"/>
              <w:rPr>
                <w:color w:val="231F20"/>
                <w:sz w:val="18"/>
                <w:szCs w:val="18"/>
                <w:lang w:eastAsia="en-GB"/>
              </w:rPr>
            </w:pPr>
            <w:r w:rsidRPr="007D36A1">
              <w:rPr>
                <w:color w:val="231F20"/>
                <w:sz w:val="18"/>
                <w:szCs w:val="18"/>
                <w:lang w:eastAsia="en-GB"/>
              </w:rPr>
              <w:t>S</w:t>
            </w:r>
            <w:r w:rsidRPr="007D36A1">
              <w:rPr>
                <w:color w:val="231F20"/>
                <w:spacing w:val="-4"/>
                <w:sz w:val="18"/>
                <w:szCs w:val="18"/>
                <w:lang w:eastAsia="en-GB"/>
              </w:rPr>
              <w:t>r</w:t>
            </w:r>
            <w:r w:rsidRPr="007D36A1">
              <w:rPr>
                <w:color w:val="231F20"/>
                <w:sz w:val="18"/>
                <w:szCs w:val="18"/>
                <w:lang w:eastAsia="en-GB"/>
              </w:rPr>
              <w:t>-83</w:t>
            </w:r>
          </w:p>
        </w:tc>
        <w:tc>
          <w:tcPr>
            <w:tcW w:w="1060" w:type="dxa"/>
            <w:shd w:val="clear" w:color="auto" w:fill="auto"/>
            <w:hideMark/>
          </w:tcPr>
          <w:p w14:paraId="32325C00" w14:textId="77777777" w:rsidR="00761BD7" w:rsidRPr="007D36A1" w:rsidRDefault="00761BD7" w:rsidP="004C779B">
            <w:pPr>
              <w:ind w:right="-20"/>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7D36A1">
              <w:rPr>
                <w:color w:val="231F20"/>
                <w:position w:val="7"/>
                <w:sz w:val="18"/>
                <w:lang w:eastAsia="en-GB"/>
              </w:rPr>
              <w:t>0</w:t>
            </w:r>
          </w:p>
        </w:tc>
        <w:tc>
          <w:tcPr>
            <w:tcW w:w="992" w:type="dxa"/>
            <w:shd w:val="clear" w:color="auto" w:fill="auto"/>
            <w:hideMark/>
          </w:tcPr>
          <w:p w14:paraId="51003222" w14:textId="77777777" w:rsidR="00761BD7" w:rsidRPr="007D36A1" w:rsidRDefault="00761BD7" w:rsidP="004C779B">
            <w:pPr>
              <w:ind w:right="-20"/>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7D36A1">
              <w:rPr>
                <w:color w:val="231F20"/>
                <w:position w:val="7"/>
                <w:sz w:val="18"/>
                <w:lang w:eastAsia="en-GB"/>
              </w:rPr>
              <w:t>0</w:t>
            </w:r>
          </w:p>
        </w:tc>
        <w:tc>
          <w:tcPr>
            <w:tcW w:w="992" w:type="dxa"/>
            <w:shd w:val="clear" w:color="auto" w:fill="auto"/>
            <w:hideMark/>
          </w:tcPr>
          <w:p w14:paraId="0F901CCB" w14:textId="77777777" w:rsidR="00761BD7" w:rsidRPr="007D36A1" w:rsidRDefault="00761BD7" w:rsidP="004C779B">
            <w:pPr>
              <w:ind w:right="-20"/>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lang w:eastAsia="en-GB"/>
              </w:rPr>
              <w:t>1</w:t>
            </w:r>
          </w:p>
        </w:tc>
        <w:tc>
          <w:tcPr>
            <w:tcW w:w="992" w:type="dxa"/>
            <w:shd w:val="clear" w:color="auto" w:fill="auto"/>
            <w:hideMark/>
          </w:tcPr>
          <w:p w14:paraId="26AD5471" w14:textId="77777777" w:rsidR="00761BD7" w:rsidRPr="007D36A1" w:rsidRDefault="00761BD7" w:rsidP="004C779B">
            <w:pPr>
              <w:ind w:left="-171" w:right="-20"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7D36A1">
              <w:rPr>
                <w:color w:val="231F20"/>
                <w:position w:val="7"/>
                <w:sz w:val="18"/>
                <w:lang w:eastAsia="en-GB"/>
              </w:rPr>
              <w:t>6</w:t>
            </w:r>
          </w:p>
        </w:tc>
      </w:tr>
      <w:tr w:rsidR="004C779B" w:rsidRPr="007D36A1" w14:paraId="4E68E57E" w14:textId="77777777" w:rsidTr="004C779B">
        <w:trPr>
          <w:trHeight w:hRule="exact" w:val="300"/>
        </w:trPr>
        <w:tc>
          <w:tcPr>
            <w:tcW w:w="1526" w:type="dxa"/>
            <w:shd w:val="clear" w:color="auto" w:fill="auto"/>
          </w:tcPr>
          <w:p w14:paraId="5CC9922E" w14:textId="77777777" w:rsidR="00761BD7" w:rsidRPr="007D36A1" w:rsidRDefault="00761BD7" w:rsidP="004C779B">
            <w:pPr>
              <w:ind w:right="-20"/>
              <w:rPr>
                <w:color w:val="231F20"/>
                <w:sz w:val="18"/>
                <w:szCs w:val="18"/>
                <w:lang w:eastAsia="en-GB"/>
              </w:rPr>
            </w:pPr>
            <w:r w:rsidRPr="007D36A1">
              <w:rPr>
                <w:color w:val="231F20"/>
                <w:sz w:val="18"/>
                <w:szCs w:val="18"/>
                <w:lang w:eastAsia="en-GB"/>
              </w:rPr>
              <w:t>Tb-149</w:t>
            </w:r>
          </w:p>
        </w:tc>
        <w:tc>
          <w:tcPr>
            <w:tcW w:w="1060" w:type="dxa"/>
            <w:shd w:val="clear" w:color="auto" w:fill="auto"/>
          </w:tcPr>
          <w:p w14:paraId="3BF9C4A7" w14:textId="77777777" w:rsidR="00761BD7" w:rsidRPr="007D36A1" w:rsidRDefault="00761BD7" w:rsidP="004C779B">
            <w:pPr>
              <w:ind w:right="-20"/>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szCs w:val="18"/>
                <w:lang w:eastAsia="en-GB"/>
              </w:rPr>
              <w:t>–1</w:t>
            </w:r>
          </w:p>
        </w:tc>
        <w:tc>
          <w:tcPr>
            <w:tcW w:w="992" w:type="dxa"/>
            <w:shd w:val="clear" w:color="auto" w:fill="auto"/>
          </w:tcPr>
          <w:p w14:paraId="77FA219E" w14:textId="77777777" w:rsidR="00761BD7" w:rsidRPr="007D36A1" w:rsidRDefault="00761BD7" w:rsidP="004C779B">
            <w:pPr>
              <w:ind w:right="-20"/>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szCs w:val="18"/>
                <w:lang w:eastAsia="en-GB"/>
              </w:rPr>
              <w:t>–1</w:t>
            </w:r>
          </w:p>
        </w:tc>
        <w:tc>
          <w:tcPr>
            <w:tcW w:w="992" w:type="dxa"/>
            <w:shd w:val="clear" w:color="auto" w:fill="auto"/>
          </w:tcPr>
          <w:p w14:paraId="51E89A44" w14:textId="77777777" w:rsidR="00761BD7" w:rsidRPr="007D36A1" w:rsidRDefault="00761BD7" w:rsidP="004C779B">
            <w:pPr>
              <w:ind w:right="-20"/>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szCs w:val="18"/>
                <w:lang w:eastAsia="en-GB"/>
              </w:rPr>
              <w:t>1</w:t>
            </w:r>
          </w:p>
        </w:tc>
        <w:tc>
          <w:tcPr>
            <w:tcW w:w="992" w:type="dxa"/>
            <w:shd w:val="clear" w:color="auto" w:fill="auto"/>
          </w:tcPr>
          <w:p w14:paraId="637303E2" w14:textId="77777777" w:rsidR="00761BD7" w:rsidRPr="007D36A1" w:rsidRDefault="00761BD7" w:rsidP="004C779B">
            <w:pPr>
              <w:ind w:left="-171" w:right="-20"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7D36A1">
              <w:rPr>
                <w:color w:val="231F20"/>
                <w:spacing w:val="1"/>
                <w:position w:val="7"/>
                <w:sz w:val="18"/>
                <w:szCs w:val="18"/>
                <w:lang w:eastAsia="en-GB"/>
              </w:rPr>
              <w:t>6</w:t>
            </w:r>
          </w:p>
        </w:tc>
      </w:tr>
      <w:tr w:rsidR="004C779B" w:rsidRPr="007D36A1" w14:paraId="42CDFC46" w14:textId="77777777" w:rsidTr="005E631B">
        <w:trPr>
          <w:trHeight w:hRule="exact" w:val="288"/>
        </w:trPr>
        <w:tc>
          <w:tcPr>
            <w:tcW w:w="1526" w:type="dxa"/>
            <w:shd w:val="clear" w:color="auto" w:fill="auto"/>
          </w:tcPr>
          <w:p w14:paraId="2938FE4C" w14:textId="77777777" w:rsidR="00761BD7" w:rsidRPr="007D36A1" w:rsidRDefault="00761BD7" w:rsidP="004C779B">
            <w:pPr>
              <w:ind w:right="-20"/>
              <w:rPr>
                <w:color w:val="231F20"/>
                <w:sz w:val="18"/>
                <w:szCs w:val="18"/>
                <w:lang w:eastAsia="en-GB"/>
              </w:rPr>
            </w:pPr>
            <w:r w:rsidRPr="007D36A1">
              <w:rPr>
                <w:color w:val="231F20"/>
                <w:sz w:val="18"/>
                <w:szCs w:val="18"/>
                <w:lang w:eastAsia="en-GB"/>
              </w:rPr>
              <w:t>Tb-161</w:t>
            </w:r>
          </w:p>
        </w:tc>
        <w:tc>
          <w:tcPr>
            <w:tcW w:w="1060" w:type="dxa"/>
            <w:shd w:val="clear" w:color="auto" w:fill="auto"/>
          </w:tcPr>
          <w:p w14:paraId="0A807631" w14:textId="77777777" w:rsidR="00761BD7" w:rsidRPr="007D36A1" w:rsidRDefault="00761BD7" w:rsidP="004C779B">
            <w:pPr>
              <w:ind w:right="-20"/>
              <w:rPr>
                <w:color w:val="231F20"/>
                <w:sz w:val="18"/>
                <w:szCs w:val="18"/>
                <w:lang w:eastAsia="en-GB"/>
              </w:rPr>
            </w:pPr>
            <w:r w:rsidRPr="007D36A1">
              <w:rPr>
                <w:color w:val="231F20"/>
                <w:sz w:val="18"/>
                <w:szCs w:val="18"/>
                <w:lang w:eastAsia="en-GB"/>
              </w:rPr>
              <w:t>3 × 10</w:t>
            </w:r>
            <w:r w:rsidRPr="007D36A1">
              <w:rPr>
                <w:color w:val="231F20"/>
                <w:sz w:val="18"/>
                <w:szCs w:val="18"/>
                <w:vertAlign w:val="superscript"/>
                <w:lang w:eastAsia="en-GB"/>
              </w:rPr>
              <w:t>1</w:t>
            </w:r>
          </w:p>
        </w:tc>
        <w:tc>
          <w:tcPr>
            <w:tcW w:w="992" w:type="dxa"/>
            <w:shd w:val="clear" w:color="auto" w:fill="auto"/>
          </w:tcPr>
          <w:p w14:paraId="7D42DB56" w14:textId="77777777" w:rsidR="00761BD7" w:rsidRPr="007D36A1" w:rsidRDefault="00761BD7" w:rsidP="004C779B">
            <w:pPr>
              <w:ind w:right="-20"/>
              <w:rPr>
                <w:color w:val="231F20"/>
                <w:sz w:val="18"/>
                <w:szCs w:val="18"/>
                <w:lang w:eastAsia="en-GB"/>
              </w:rPr>
            </w:pPr>
            <w:r w:rsidRPr="007D36A1">
              <w:rPr>
                <w:color w:val="231F20"/>
                <w:sz w:val="18"/>
                <w:szCs w:val="18"/>
                <w:lang w:eastAsia="en-GB"/>
              </w:rPr>
              <w:t>7 × 10</w:t>
            </w:r>
            <w:r w:rsidRPr="007D36A1">
              <w:rPr>
                <w:color w:val="231F20"/>
                <w:sz w:val="18"/>
                <w:szCs w:val="18"/>
                <w:vertAlign w:val="superscript"/>
                <w:lang w:eastAsia="en-GB"/>
              </w:rPr>
              <w:t>-1</w:t>
            </w:r>
          </w:p>
        </w:tc>
        <w:tc>
          <w:tcPr>
            <w:tcW w:w="992" w:type="dxa"/>
            <w:shd w:val="clear" w:color="auto" w:fill="auto"/>
          </w:tcPr>
          <w:p w14:paraId="08E57286" w14:textId="77777777" w:rsidR="00761BD7" w:rsidRPr="007D36A1" w:rsidRDefault="00761BD7" w:rsidP="004C779B">
            <w:pPr>
              <w:ind w:right="-20"/>
              <w:jc w:val="both"/>
              <w:rPr>
                <w:color w:val="231F20"/>
                <w:sz w:val="18"/>
                <w:szCs w:val="18"/>
                <w:lang w:eastAsia="en-GB"/>
              </w:rPr>
            </w:pPr>
            <w:r w:rsidRPr="007D36A1">
              <w:rPr>
                <w:color w:val="231F20"/>
                <w:sz w:val="18"/>
                <w:szCs w:val="18"/>
                <w:lang w:eastAsia="en-GB"/>
              </w:rPr>
              <w:t>1 × 10</w:t>
            </w:r>
            <w:r w:rsidRPr="007D36A1">
              <w:rPr>
                <w:color w:val="231F20"/>
                <w:sz w:val="18"/>
                <w:szCs w:val="18"/>
                <w:vertAlign w:val="superscript"/>
                <w:lang w:eastAsia="en-GB"/>
              </w:rPr>
              <w:t>3</w:t>
            </w:r>
          </w:p>
        </w:tc>
        <w:tc>
          <w:tcPr>
            <w:tcW w:w="992" w:type="dxa"/>
            <w:shd w:val="clear" w:color="auto" w:fill="auto"/>
          </w:tcPr>
          <w:p w14:paraId="656730F4" w14:textId="77777777" w:rsidR="00761BD7" w:rsidRPr="007D36A1" w:rsidRDefault="00761BD7" w:rsidP="004C779B">
            <w:pPr>
              <w:ind w:left="-171" w:right="-20" w:firstLine="205"/>
              <w:rPr>
                <w:color w:val="231F20"/>
                <w:sz w:val="18"/>
                <w:szCs w:val="18"/>
                <w:lang w:eastAsia="en-GB"/>
              </w:rPr>
            </w:pPr>
            <w:r w:rsidRPr="007D36A1">
              <w:rPr>
                <w:color w:val="231F20"/>
                <w:sz w:val="18"/>
                <w:szCs w:val="18"/>
                <w:lang w:eastAsia="en-GB"/>
              </w:rPr>
              <w:t>1 × 10</w:t>
            </w:r>
            <w:r w:rsidRPr="007D36A1">
              <w:rPr>
                <w:color w:val="231F20"/>
                <w:sz w:val="18"/>
                <w:szCs w:val="18"/>
                <w:vertAlign w:val="superscript"/>
                <w:lang w:eastAsia="en-GB"/>
              </w:rPr>
              <w:t>6</w:t>
            </w:r>
          </w:p>
        </w:tc>
      </w:tr>
    </w:tbl>
    <w:p w14:paraId="1DB4E374" w14:textId="579AD0C8" w:rsidR="00CC31FE" w:rsidRPr="007D36A1" w:rsidRDefault="00D23266" w:rsidP="007D36A1">
      <w:pPr>
        <w:pStyle w:val="SingleTxtG"/>
        <w:tabs>
          <w:tab w:val="left" w:pos="2268"/>
        </w:tabs>
        <w:spacing w:before="120"/>
        <w:rPr>
          <w:lang w:val="en-GB"/>
        </w:rPr>
      </w:pPr>
      <w:r>
        <w:rPr>
          <w:lang w:val="en-GB"/>
        </w:rPr>
        <w:tab/>
      </w:r>
      <w:r w:rsidR="004B00CD" w:rsidRPr="007D36A1">
        <w:rPr>
          <w:lang w:val="en-GB"/>
        </w:rPr>
        <w:t xml:space="preserve">In table note </w:t>
      </w:r>
      <w:r w:rsidR="00FD2C1D" w:rsidRPr="007D36A1">
        <w:rPr>
          <w:lang w:val="en-GB"/>
        </w:rPr>
        <w:t>(b)</w:t>
      </w:r>
      <w:r w:rsidR="004B00CD" w:rsidRPr="007D36A1">
        <w:rPr>
          <w:lang w:val="en-GB"/>
        </w:rPr>
        <w:t>, at the end of the introductory sentence, add “</w:t>
      </w:r>
      <w:r w:rsidR="00FD2C1D" w:rsidRPr="007D36A1">
        <w:rPr>
          <w:lang w:val="en-GB"/>
        </w:rPr>
        <w:t>(the activity to be taken into account is that of the parent nuclide only</w:t>
      </w:r>
      <w:r w:rsidR="004B00CD" w:rsidRPr="007D36A1">
        <w:rPr>
          <w:lang w:val="en-GB"/>
        </w:rPr>
        <w:t>). After “Th-</w:t>
      </w:r>
      <w:proofErr w:type="spellStart"/>
      <w:r w:rsidR="004B00CD" w:rsidRPr="007D36A1">
        <w:rPr>
          <w:lang w:val="en-GB"/>
        </w:rPr>
        <w:t>nat</w:t>
      </w:r>
      <w:proofErr w:type="spellEnd"/>
      <w:r w:rsidR="004B00CD" w:rsidRPr="007D36A1">
        <w:rPr>
          <w:lang w:val="en-GB"/>
        </w:rPr>
        <w:t>” and “U-</w:t>
      </w:r>
      <w:proofErr w:type="spellStart"/>
      <w:r w:rsidR="004B00CD" w:rsidRPr="007D36A1">
        <w:rPr>
          <w:lang w:val="en-GB"/>
        </w:rPr>
        <w:t>nat</w:t>
      </w:r>
      <w:proofErr w:type="spellEnd"/>
      <w:r w:rsidR="004B00CD" w:rsidRPr="007D36A1">
        <w:rPr>
          <w:lang w:val="en-GB"/>
        </w:rPr>
        <w:t xml:space="preserve">”, insert a </w:t>
      </w:r>
      <w:r w:rsidR="004B00CD" w:rsidRPr="007D36A1">
        <w:rPr>
          <w:lang w:val="en-GB"/>
        </w:rPr>
        <w:lastRenderedPageBreak/>
        <w:t xml:space="preserve">reference to footnote *. Footnote * reads: </w:t>
      </w:r>
      <w:r w:rsidR="007D36A1" w:rsidRPr="007D36A1">
        <w:rPr>
          <w:lang w:val="en-GB"/>
        </w:rPr>
        <w:t>“</w:t>
      </w:r>
      <w:r w:rsidR="00761BD7" w:rsidRPr="007D36A1">
        <w:rPr>
          <w:lang w:val="en-GB"/>
        </w:rPr>
        <w:t xml:space="preserve">* </w:t>
      </w:r>
      <w:r w:rsidR="004B00CD" w:rsidRPr="007D36A1">
        <w:rPr>
          <w:lang w:val="en-GB"/>
        </w:rPr>
        <w:t>In</w:t>
      </w:r>
      <w:r w:rsidR="00761BD7" w:rsidRPr="007D36A1">
        <w:rPr>
          <w:lang w:val="en-GB"/>
        </w:rPr>
        <w:t xml:space="preserve"> the case of Th-natural, the parent nuclide is Th-232, in the case of U-natural the parent nuclide is U-238.</w:t>
      </w:r>
      <w:r w:rsidR="004B00CD" w:rsidRPr="007D36A1">
        <w:rPr>
          <w:lang w:val="en-GB"/>
        </w:rPr>
        <w:t>”.</w:t>
      </w:r>
    </w:p>
    <w:p w14:paraId="3F86959C" w14:textId="77777777" w:rsidR="00CC31FE" w:rsidRPr="007D36A1" w:rsidRDefault="00CC31FE" w:rsidP="00D80568">
      <w:pPr>
        <w:pStyle w:val="SingleTxtG"/>
        <w:tabs>
          <w:tab w:val="left" w:pos="2268"/>
        </w:tabs>
        <w:rPr>
          <w:i/>
          <w:lang w:val="en-GB"/>
        </w:rPr>
      </w:pPr>
      <w:r w:rsidRPr="007D36A1">
        <w:rPr>
          <w:i/>
          <w:lang w:val="en-GB"/>
        </w:rPr>
        <w:t>[IAEA: 405]</w:t>
      </w:r>
    </w:p>
    <w:p w14:paraId="29264B8E" w14:textId="4654C952" w:rsidR="00CC31FE" w:rsidRPr="007D36A1" w:rsidRDefault="00761BD7" w:rsidP="008641F7">
      <w:pPr>
        <w:pStyle w:val="SingleTxtG"/>
        <w:tabs>
          <w:tab w:val="left" w:pos="2268"/>
        </w:tabs>
        <w:rPr>
          <w:lang w:val="en-GB"/>
        </w:rPr>
      </w:pPr>
      <w:r w:rsidRPr="007D36A1">
        <w:rPr>
          <w:lang w:val="en-GB"/>
        </w:rPr>
        <w:t>2.7.2.3.1.2</w:t>
      </w:r>
      <w:r w:rsidR="00CC31FE" w:rsidRPr="007D36A1">
        <w:rPr>
          <w:lang w:val="en-GB"/>
        </w:rPr>
        <w:tab/>
      </w:r>
      <w:r w:rsidR="004B00CD" w:rsidRPr="007D36A1">
        <w:rPr>
          <w:lang w:val="en-GB"/>
        </w:rPr>
        <w:t>In</w:t>
      </w:r>
      <w:r w:rsidRPr="007D36A1">
        <w:rPr>
          <w:lang w:val="en-GB"/>
        </w:rPr>
        <w:t xml:space="preserve"> </w:t>
      </w:r>
      <w:r w:rsidR="008B6EF7" w:rsidRPr="007D36A1">
        <w:rPr>
          <w:lang w:val="en-GB"/>
        </w:rPr>
        <w:t>sub-paragraph</w:t>
      </w:r>
      <w:r w:rsidRPr="007D36A1">
        <w:rPr>
          <w:lang w:val="en-GB"/>
        </w:rPr>
        <w:t xml:space="preserve"> (c) </w:t>
      </w:r>
      <w:r w:rsidR="004B00CD" w:rsidRPr="007D36A1">
        <w:rPr>
          <w:lang w:val="en-GB"/>
        </w:rPr>
        <w:t xml:space="preserve">delete “that meet the requirements of 2.7.2.3.1.3,”. </w:t>
      </w:r>
      <w:r w:rsidR="00927D65" w:rsidRPr="007D36A1">
        <w:rPr>
          <w:lang w:val="en-GB"/>
        </w:rPr>
        <w:t>Under sub-paragraph (c), d</w:t>
      </w:r>
      <w:r w:rsidR="004B00CD" w:rsidRPr="007D36A1">
        <w:rPr>
          <w:lang w:val="en-GB"/>
        </w:rPr>
        <w:t>elete sub-paragraph (ii) and renumber sub-paragraph (iii) as (</w:t>
      </w:r>
      <w:r w:rsidR="00927D65" w:rsidRPr="007D36A1">
        <w:rPr>
          <w:lang w:val="en-GB"/>
        </w:rPr>
        <w:t>ii</w:t>
      </w:r>
      <w:r w:rsidR="004B00CD" w:rsidRPr="007D36A1">
        <w:rPr>
          <w:lang w:val="en-GB"/>
        </w:rPr>
        <w:t>)</w:t>
      </w:r>
      <w:r w:rsidR="00927D65" w:rsidRPr="007D36A1">
        <w:rPr>
          <w:lang w:val="en-GB"/>
        </w:rPr>
        <w:t xml:space="preserve">. </w:t>
      </w:r>
    </w:p>
    <w:p w14:paraId="3D2D3DCF" w14:textId="77777777" w:rsidR="00CC31FE" w:rsidRPr="007D36A1" w:rsidRDefault="00CC31FE" w:rsidP="00D80568">
      <w:pPr>
        <w:pStyle w:val="SingleTxtG"/>
        <w:tabs>
          <w:tab w:val="left" w:pos="2268"/>
        </w:tabs>
        <w:rPr>
          <w:i/>
          <w:lang w:val="en-GB"/>
        </w:rPr>
      </w:pPr>
      <w:r w:rsidRPr="007D36A1">
        <w:rPr>
          <w:i/>
          <w:lang w:val="en-GB"/>
        </w:rPr>
        <w:t xml:space="preserve">[IAEA: </w:t>
      </w:r>
      <w:r w:rsidR="00761BD7" w:rsidRPr="007D36A1">
        <w:rPr>
          <w:i/>
          <w:lang w:val="en-GB"/>
        </w:rPr>
        <w:t>409</w:t>
      </w:r>
      <w:r w:rsidRPr="007D36A1">
        <w:rPr>
          <w:i/>
          <w:lang w:val="en-GB"/>
        </w:rPr>
        <w:t>]</w:t>
      </w:r>
    </w:p>
    <w:p w14:paraId="0BA90306" w14:textId="77777777" w:rsidR="00761BD7" w:rsidRPr="007D36A1" w:rsidRDefault="005D3D91" w:rsidP="008641F7">
      <w:pPr>
        <w:pStyle w:val="SingleTxtG"/>
        <w:tabs>
          <w:tab w:val="left" w:pos="2268"/>
        </w:tabs>
        <w:rPr>
          <w:lang w:val="en-GB"/>
        </w:rPr>
      </w:pPr>
      <w:r w:rsidRPr="007D36A1">
        <w:rPr>
          <w:lang w:val="en-GB"/>
        </w:rPr>
        <w:t>2.7.2.3.1.3</w:t>
      </w:r>
      <w:r w:rsidR="00761BD7" w:rsidRPr="007D36A1">
        <w:rPr>
          <w:lang w:val="en-GB"/>
        </w:rPr>
        <w:tab/>
      </w:r>
      <w:r w:rsidR="00927D65" w:rsidRPr="007D36A1">
        <w:rPr>
          <w:lang w:val="en-GB"/>
        </w:rPr>
        <w:t xml:space="preserve">Delete and add “2.7.2.3.1.3 </w:t>
      </w:r>
      <w:r w:rsidR="00927D65" w:rsidRPr="007D36A1">
        <w:rPr>
          <w:lang w:val="en-GB"/>
        </w:rPr>
        <w:tab/>
      </w:r>
      <w:r w:rsidR="00927D65" w:rsidRPr="007D36A1">
        <w:rPr>
          <w:i/>
          <w:lang w:val="en-GB"/>
        </w:rPr>
        <w:t>Deleted</w:t>
      </w:r>
      <w:r w:rsidR="00927D65" w:rsidRPr="007D36A1">
        <w:rPr>
          <w:lang w:val="en-GB"/>
        </w:rPr>
        <w:t>”.</w:t>
      </w:r>
    </w:p>
    <w:p w14:paraId="6DE5A1F8" w14:textId="77777777" w:rsidR="00761BD7" w:rsidRPr="007D36A1" w:rsidRDefault="00761BD7" w:rsidP="00D80568">
      <w:pPr>
        <w:pStyle w:val="SingleTxtG"/>
        <w:tabs>
          <w:tab w:val="left" w:pos="2268"/>
        </w:tabs>
        <w:rPr>
          <w:i/>
          <w:lang w:val="en-GB"/>
        </w:rPr>
      </w:pPr>
      <w:r w:rsidRPr="007D36A1">
        <w:rPr>
          <w:i/>
          <w:lang w:val="en-GB"/>
        </w:rPr>
        <w:t xml:space="preserve">[IAEA: </w:t>
      </w:r>
      <w:r w:rsidR="005D3D91" w:rsidRPr="007D36A1">
        <w:rPr>
          <w:i/>
          <w:lang w:val="en-GB"/>
        </w:rPr>
        <w:t>601</w:t>
      </w:r>
      <w:r w:rsidRPr="007D36A1">
        <w:rPr>
          <w:i/>
          <w:lang w:val="en-GB"/>
        </w:rPr>
        <w:t>]</w:t>
      </w:r>
    </w:p>
    <w:p w14:paraId="1D83880E" w14:textId="77777777" w:rsidR="00927D65" w:rsidRPr="007D36A1" w:rsidRDefault="005D3D91" w:rsidP="008641F7">
      <w:pPr>
        <w:pStyle w:val="SingleTxtG"/>
        <w:tabs>
          <w:tab w:val="left" w:pos="2268"/>
        </w:tabs>
        <w:rPr>
          <w:lang w:val="en-GB"/>
        </w:rPr>
      </w:pPr>
      <w:r w:rsidRPr="007D36A1">
        <w:rPr>
          <w:lang w:val="en-GB"/>
        </w:rPr>
        <w:t>2.7.2.3.2</w:t>
      </w:r>
      <w:r w:rsidR="00761BD7" w:rsidRPr="007D36A1">
        <w:rPr>
          <w:lang w:val="en-GB"/>
        </w:rPr>
        <w:tab/>
      </w:r>
      <w:r w:rsidR="00927D65" w:rsidRPr="007D36A1">
        <w:rPr>
          <w:lang w:val="en-GB"/>
        </w:rPr>
        <w:t>In the introductory sentence before (a), replace “two” by “three”. Add the following new sub-paragraph (c):</w:t>
      </w:r>
    </w:p>
    <w:p w14:paraId="5A07365C" w14:textId="77777777" w:rsidR="005D3D91" w:rsidRPr="007D36A1" w:rsidRDefault="00927D65" w:rsidP="008641F7">
      <w:pPr>
        <w:pStyle w:val="SingleTxtG"/>
        <w:tabs>
          <w:tab w:val="left" w:pos="2268"/>
        </w:tabs>
        <w:rPr>
          <w:lang w:val="en-GB"/>
        </w:rPr>
      </w:pPr>
      <w:r w:rsidRPr="007D36A1">
        <w:rPr>
          <w:lang w:val="en-GB"/>
        </w:rPr>
        <w:t>“</w:t>
      </w:r>
      <w:r w:rsidR="005D3D91" w:rsidRPr="007D36A1">
        <w:rPr>
          <w:lang w:val="en-GB"/>
        </w:rPr>
        <w:t>(c)</w:t>
      </w:r>
      <w:r w:rsidR="005D3D91" w:rsidRPr="007D36A1">
        <w:rPr>
          <w:lang w:val="en-GB"/>
        </w:rPr>
        <w:tab/>
        <w:t xml:space="preserve">SCO-III: A large solid object which, because of its size, cannot be transported in a type of package described in these Regulations and for which: </w:t>
      </w:r>
    </w:p>
    <w:p w14:paraId="61BD46E1" w14:textId="724577FF" w:rsidR="005D3D91" w:rsidRPr="007D36A1" w:rsidRDefault="001B774E" w:rsidP="00D23266">
      <w:pPr>
        <w:pStyle w:val="SingleTxtG"/>
        <w:tabs>
          <w:tab w:val="left" w:pos="2268"/>
        </w:tabs>
        <w:ind w:left="2268"/>
        <w:rPr>
          <w:lang w:val="en-GB"/>
        </w:rPr>
      </w:pPr>
      <w:r w:rsidRPr="007D36A1">
        <w:rPr>
          <w:lang w:val="en-GB"/>
        </w:rPr>
        <w:t>(</w:t>
      </w:r>
      <w:proofErr w:type="spellStart"/>
      <w:r w:rsidRPr="007D36A1">
        <w:rPr>
          <w:lang w:val="en-GB"/>
        </w:rPr>
        <w:t>i</w:t>
      </w:r>
      <w:proofErr w:type="spellEnd"/>
      <w:r w:rsidRPr="007D36A1">
        <w:rPr>
          <w:lang w:val="en-GB"/>
        </w:rPr>
        <w:t>)</w:t>
      </w:r>
      <w:r w:rsidR="007D36A1" w:rsidRPr="007D36A1">
        <w:rPr>
          <w:lang w:val="en-GB"/>
        </w:rPr>
        <w:tab/>
      </w:r>
      <w:r w:rsidR="005D3D91" w:rsidRPr="007D36A1">
        <w:rPr>
          <w:lang w:val="en-GB"/>
        </w:rPr>
        <w:t xml:space="preserve">All openings are sealed to prevent release of radioactive material during conditions defined in </w:t>
      </w:r>
      <w:r w:rsidR="00572188" w:rsidRPr="007D36A1">
        <w:rPr>
          <w:lang w:val="en-GB"/>
        </w:rPr>
        <w:t>4.1.9.2.</w:t>
      </w:r>
      <w:proofErr w:type="gramStart"/>
      <w:r w:rsidR="00572188" w:rsidRPr="007D36A1">
        <w:rPr>
          <w:lang w:val="en-GB"/>
        </w:rPr>
        <w:t>4.(</w:t>
      </w:r>
      <w:proofErr w:type="gramEnd"/>
      <w:r w:rsidR="00572188" w:rsidRPr="007D36A1">
        <w:rPr>
          <w:lang w:val="en-GB"/>
        </w:rPr>
        <w:t>e)</w:t>
      </w:r>
      <w:r w:rsidR="005D3D91" w:rsidRPr="007D36A1">
        <w:rPr>
          <w:lang w:val="en-GB"/>
        </w:rPr>
        <w:t xml:space="preserve">) </w:t>
      </w:r>
    </w:p>
    <w:p w14:paraId="35550F50" w14:textId="461622C6" w:rsidR="005D3D91" w:rsidRPr="007D36A1" w:rsidRDefault="001B774E" w:rsidP="00D23266">
      <w:pPr>
        <w:pStyle w:val="SingleTxtG"/>
        <w:tabs>
          <w:tab w:val="left" w:pos="2268"/>
        </w:tabs>
        <w:ind w:left="2268"/>
        <w:rPr>
          <w:lang w:val="en-GB"/>
        </w:rPr>
      </w:pPr>
      <w:r w:rsidRPr="007D36A1">
        <w:rPr>
          <w:lang w:val="en-GB"/>
        </w:rPr>
        <w:t xml:space="preserve">(ii) </w:t>
      </w:r>
      <w:r w:rsidR="007D36A1" w:rsidRPr="007D36A1">
        <w:rPr>
          <w:lang w:val="en-GB"/>
        </w:rPr>
        <w:tab/>
      </w:r>
      <w:r w:rsidR="005D3D91" w:rsidRPr="007D36A1">
        <w:rPr>
          <w:lang w:val="en-GB"/>
        </w:rPr>
        <w:t xml:space="preserve">The inside of the object is as dry as practicable; </w:t>
      </w:r>
    </w:p>
    <w:p w14:paraId="1B394748" w14:textId="592C4F26" w:rsidR="005D3D91" w:rsidRPr="007D36A1" w:rsidRDefault="001B774E" w:rsidP="00D23266">
      <w:pPr>
        <w:pStyle w:val="SingleTxtG"/>
        <w:tabs>
          <w:tab w:val="left" w:pos="2268"/>
        </w:tabs>
        <w:ind w:left="2268"/>
        <w:rPr>
          <w:lang w:val="en-GB"/>
        </w:rPr>
      </w:pPr>
      <w:r w:rsidRPr="007D36A1">
        <w:rPr>
          <w:lang w:val="en-GB"/>
        </w:rPr>
        <w:t>(iii)</w:t>
      </w:r>
      <w:r w:rsidR="007D36A1" w:rsidRPr="007D36A1">
        <w:rPr>
          <w:lang w:val="en-GB"/>
        </w:rPr>
        <w:tab/>
      </w:r>
      <w:r w:rsidR="005D3D91" w:rsidRPr="007D36A1">
        <w:rPr>
          <w:lang w:val="en-GB"/>
        </w:rPr>
        <w:t>The non-fixed contamination on the external surfaces does not exceed the limits specified in</w:t>
      </w:r>
      <w:r w:rsidR="00572188" w:rsidRPr="007D36A1">
        <w:rPr>
          <w:lang w:val="en-GB"/>
        </w:rPr>
        <w:t xml:space="preserve"> 4.1.9.1.2</w:t>
      </w:r>
      <w:r w:rsidR="009D09C4" w:rsidRPr="007D36A1">
        <w:rPr>
          <w:lang w:val="en-GB"/>
        </w:rPr>
        <w:t>.</w:t>
      </w:r>
    </w:p>
    <w:p w14:paraId="7F70591D" w14:textId="5391D6D9" w:rsidR="00EF7F53" w:rsidRPr="007D36A1" w:rsidRDefault="00D23266" w:rsidP="008641F7">
      <w:pPr>
        <w:pStyle w:val="SingleTxtG"/>
        <w:tabs>
          <w:tab w:val="left" w:pos="2268"/>
        </w:tabs>
        <w:rPr>
          <w:lang w:val="en-GB"/>
        </w:rPr>
      </w:pPr>
      <w:r>
        <w:rPr>
          <w:lang w:val="en-GB"/>
        </w:rPr>
        <w:tab/>
      </w:r>
      <w:r w:rsidR="005D3D91" w:rsidRPr="007D36A1">
        <w:rPr>
          <w:lang w:val="en-GB"/>
        </w:rPr>
        <w:t>The non-fixed contamination plus the fixed contamination on the inaccessible surface averaged over 300 cm</w:t>
      </w:r>
      <w:r w:rsidR="005D3D91" w:rsidRPr="007D36A1">
        <w:rPr>
          <w:vertAlign w:val="superscript"/>
          <w:lang w:val="en-GB"/>
        </w:rPr>
        <w:t>2</w:t>
      </w:r>
      <w:r w:rsidR="005D3D91" w:rsidRPr="007D36A1">
        <w:rPr>
          <w:lang w:val="en-GB"/>
        </w:rPr>
        <w:t xml:space="preserve"> does not exceed 8 × 10</w:t>
      </w:r>
      <w:r w:rsidR="005D3D91" w:rsidRPr="007D36A1">
        <w:rPr>
          <w:vertAlign w:val="superscript"/>
          <w:lang w:val="en-GB"/>
        </w:rPr>
        <w:t xml:space="preserve">5 </w:t>
      </w:r>
      <w:proofErr w:type="spellStart"/>
      <w:r w:rsidR="005D3D91" w:rsidRPr="007D36A1">
        <w:rPr>
          <w:lang w:val="en-GB"/>
        </w:rPr>
        <w:t>Bq</w:t>
      </w:r>
      <w:proofErr w:type="spellEnd"/>
      <w:r w:rsidR="005D3D91" w:rsidRPr="007D36A1">
        <w:rPr>
          <w:lang w:val="en-GB"/>
        </w:rPr>
        <w:t>/cm</w:t>
      </w:r>
      <w:r w:rsidR="005D3D91" w:rsidRPr="007D36A1">
        <w:rPr>
          <w:vertAlign w:val="superscript"/>
          <w:lang w:val="en-GB"/>
        </w:rPr>
        <w:t>2</w:t>
      </w:r>
      <w:r w:rsidR="005D3D91" w:rsidRPr="007D36A1">
        <w:rPr>
          <w:lang w:val="en-GB"/>
        </w:rPr>
        <w:t xml:space="preserve"> for beta and gamma emitters and low toxicity alpha emitters, or 8 × 10</w:t>
      </w:r>
      <w:r w:rsidR="005D3D91" w:rsidRPr="007D36A1">
        <w:rPr>
          <w:vertAlign w:val="superscript"/>
          <w:lang w:val="en-GB"/>
        </w:rPr>
        <w:t>4</w:t>
      </w:r>
      <w:r w:rsidR="005D3D91" w:rsidRPr="007D36A1">
        <w:rPr>
          <w:lang w:val="en-GB"/>
        </w:rPr>
        <w:t xml:space="preserve"> </w:t>
      </w:r>
      <w:proofErr w:type="spellStart"/>
      <w:r w:rsidR="005D3D91" w:rsidRPr="007D36A1">
        <w:rPr>
          <w:lang w:val="en-GB"/>
        </w:rPr>
        <w:t>Bq</w:t>
      </w:r>
      <w:proofErr w:type="spellEnd"/>
      <w:r w:rsidR="005D3D91" w:rsidRPr="007D36A1">
        <w:rPr>
          <w:lang w:val="en-GB"/>
        </w:rPr>
        <w:t>/cm</w:t>
      </w:r>
      <w:r w:rsidR="005D3D91" w:rsidRPr="007D36A1">
        <w:rPr>
          <w:vertAlign w:val="superscript"/>
          <w:lang w:val="en-GB"/>
        </w:rPr>
        <w:t>2</w:t>
      </w:r>
      <w:r w:rsidR="005D3D91" w:rsidRPr="007D36A1">
        <w:rPr>
          <w:lang w:val="en-GB"/>
        </w:rPr>
        <w:t xml:space="preserve"> for all other alpha emitters.</w:t>
      </w:r>
      <w:r w:rsidR="00EF7F53" w:rsidRPr="007D36A1">
        <w:rPr>
          <w:lang w:val="en-GB"/>
        </w:rPr>
        <w:t>”</w:t>
      </w:r>
      <w:r w:rsidR="00927D65" w:rsidRPr="007D36A1">
        <w:rPr>
          <w:lang w:val="en-GB"/>
        </w:rPr>
        <w:t>.</w:t>
      </w:r>
    </w:p>
    <w:p w14:paraId="1417A413" w14:textId="77777777" w:rsidR="004C22C9" w:rsidRPr="007D36A1" w:rsidRDefault="00761BD7" w:rsidP="008641F7">
      <w:pPr>
        <w:pStyle w:val="SingleTxtG"/>
        <w:tabs>
          <w:tab w:val="left" w:pos="2268"/>
        </w:tabs>
        <w:rPr>
          <w:i/>
          <w:lang w:val="en-GB"/>
        </w:rPr>
      </w:pPr>
      <w:r w:rsidRPr="007D36A1">
        <w:rPr>
          <w:i/>
          <w:lang w:val="en-GB"/>
        </w:rPr>
        <w:t xml:space="preserve">[IAEA: </w:t>
      </w:r>
      <w:r w:rsidR="005D3D91" w:rsidRPr="007D36A1">
        <w:rPr>
          <w:i/>
          <w:lang w:val="en-GB"/>
        </w:rPr>
        <w:t>413</w:t>
      </w:r>
      <w:r w:rsidR="009F1EFF" w:rsidRPr="007D36A1">
        <w:rPr>
          <w:i/>
          <w:lang w:val="en-GB"/>
        </w:rPr>
        <w:t>]</w:t>
      </w:r>
    </w:p>
    <w:p w14:paraId="69FE2E2A" w14:textId="40B05F31" w:rsidR="00927D65" w:rsidRPr="007D36A1" w:rsidRDefault="00FF2BBD" w:rsidP="007D36A1">
      <w:pPr>
        <w:pStyle w:val="SingleTxtG"/>
        <w:tabs>
          <w:tab w:val="left" w:pos="2552"/>
        </w:tabs>
        <w:rPr>
          <w:lang w:val="en-GB"/>
        </w:rPr>
      </w:pPr>
      <w:r w:rsidRPr="007D36A1">
        <w:rPr>
          <w:lang w:val="en-GB"/>
        </w:rPr>
        <w:t>2.7.2.3.3.5 (b)</w:t>
      </w:r>
      <w:r w:rsidR="00761BD7" w:rsidRPr="007D36A1">
        <w:rPr>
          <w:lang w:val="en-GB"/>
        </w:rPr>
        <w:tab/>
      </w:r>
      <w:r w:rsidR="00927D65" w:rsidRPr="007D36A1">
        <w:rPr>
          <w:lang w:val="en-GB"/>
        </w:rPr>
        <w:t>After “a free drop of 1.4 kg”, replace “through 1 m” by “from a height of 1 m”.</w:t>
      </w:r>
    </w:p>
    <w:p w14:paraId="573DE31D" w14:textId="77777777" w:rsidR="004C22C9" w:rsidRPr="007D36A1" w:rsidRDefault="00761BD7" w:rsidP="008641F7">
      <w:pPr>
        <w:pStyle w:val="SingleTxtG"/>
        <w:tabs>
          <w:tab w:val="left" w:pos="2268"/>
        </w:tabs>
        <w:rPr>
          <w:i/>
          <w:lang w:val="en-GB"/>
        </w:rPr>
      </w:pPr>
      <w:r w:rsidRPr="007D36A1">
        <w:rPr>
          <w:i/>
          <w:lang w:val="en-GB"/>
        </w:rPr>
        <w:t xml:space="preserve">[IAEA: </w:t>
      </w:r>
      <w:r w:rsidR="00FF2BBD" w:rsidRPr="007D36A1">
        <w:rPr>
          <w:i/>
          <w:lang w:val="en-GB"/>
        </w:rPr>
        <w:t>706</w:t>
      </w:r>
      <w:r w:rsidR="009F1EFF" w:rsidRPr="007D36A1">
        <w:rPr>
          <w:i/>
          <w:lang w:val="en-GB"/>
        </w:rPr>
        <w:t>]</w:t>
      </w:r>
    </w:p>
    <w:p w14:paraId="7C3EB1EA" w14:textId="77777777" w:rsidR="00927D65" w:rsidRPr="007D36A1" w:rsidRDefault="00FF2BBD" w:rsidP="007D36A1">
      <w:pPr>
        <w:pStyle w:val="SingleTxtG"/>
        <w:tabs>
          <w:tab w:val="left" w:pos="2552"/>
        </w:tabs>
        <w:rPr>
          <w:lang w:val="en-GB"/>
        </w:rPr>
      </w:pPr>
      <w:r w:rsidRPr="007D36A1">
        <w:rPr>
          <w:lang w:val="en-GB"/>
        </w:rPr>
        <w:t>2.7.2.3.3.5 (c)</w:t>
      </w:r>
      <w:r w:rsidR="00761BD7" w:rsidRPr="007D36A1">
        <w:rPr>
          <w:lang w:val="en-GB"/>
        </w:rPr>
        <w:tab/>
      </w:r>
      <w:r w:rsidR="00927D65" w:rsidRPr="007D36A1">
        <w:rPr>
          <w:lang w:val="en-GB"/>
        </w:rPr>
        <w:t>After “a free vertical drop of 1.4 kg”, replace “through 1 m” by “from a height of 1 m”.</w:t>
      </w:r>
    </w:p>
    <w:p w14:paraId="0C3C4ACF" w14:textId="77777777" w:rsidR="004C22C9" w:rsidRPr="007D36A1" w:rsidRDefault="00761BD7" w:rsidP="008641F7">
      <w:pPr>
        <w:pStyle w:val="SingleTxtG"/>
        <w:tabs>
          <w:tab w:val="left" w:pos="2268"/>
        </w:tabs>
        <w:rPr>
          <w:i/>
          <w:lang w:val="en-GB"/>
        </w:rPr>
      </w:pPr>
      <w:r w:rsidRPr="007D36A1">
        <w:rPr>
          <w:i/>
          <w:lang w:val="en-GB"/>
        </w:rPr>
        <w:t xml:space="preserve">[IAEA: </w:t>
      </w:r>
      <w:r w:rsidR="00FF2BBD" w:rsidRPr="007D36A1">
        <w:rPr>
          <w:i/>
          <w:lang w:val="en-GB"/>
        </w:rPr>
        <w:t>707</w:t>
      </w:r>
      <w:r w:rsidR="009F1EFF" w:rsidRPr="007D36A1">
        <w:rPr>
          <w:i/>
          <w:lang w:val="en-GB"/>
        </w:rPr>
        <w:t>]</w:t>
      </w:r>
    </w:p>
    <w:p w14:paraId="000E90CA" w14:textId="77777777" w:rsidR="00FF2BBD" w:rsidRPr="007D36A1" w:rsidRDefault="00927D65" w:rsidP="008641F7">
      <w:pPr>
        <w:pStyle w:val="SingleTxtG"/>
        <w:tabs>
          <w:tab w:val="left" w:pos="2268"/>
        </w:tabs>
        <w:rPr>
          <w:lang w:val="en-GB"/>
        </w:rPr>
      </w:pPr>
      <w:r w:rsidRPr="007D36A1">
        <w:rPr>
          <w:lang w:val="en-GB"/>
        </w:rPr>
        <w:t>2.7.2.3.3.7</w:t>
      </w:r>
      <w:r w:rsidRPr="007D36A1">
        <w:rPr>
          <w:lang w:val="en-GB"/>
        </w:rPr>
        <w:tab/>
        <w:t xml:space="preserve">In </w:t>
      </w:r>
      <w:r w:rsidR="008B6EF7" w:rsidRPr="007D36A1">
        <w:rPr>
          <w:lang w:val="en-GB"/>
        </w:rPr>
        <w:t>sub-paragraph</w:t>
      </w:r>
      <w:r w:rsidR="00FF2BBD" w:rsidRPr="007D36A1">
        <w:rPr>
          <w:lang w:val="en-GB"/>
        </w:rPr>
        <w:t xml:space="preserve"> (b)</w:t>
      </w:r>
      <w:r w:rsidRPr="007D36A1">
        <w:rPr>
          <w:lang w:val="en-GB"/>
        </w:rPr>
        <w:t>, replace “with specimen” by “and the specimen”.</w:t>
      </w:r>
      <w:r w:rsidR="00FF2BBD" w:rsidRPr="007D36A1">
        <w:rPr>
          <w:lang w:val="en-GB"/>
        </w:rPr>
        <w:t xml:space="preserve"> </w:t>
      </w:r>
      <w:r w:rsidR="00BF47D3" w:rsidRPr="007D36A1">
        <w:rPr>
          <w:lang w:val="en-GB"/>
        </w:rPr>
        <w:t xml:space="preserve"> In sub-paragraph (e), replace “with the specimen” by “and the specimen”.</w:t>
      </w:r>
    </w:p>
    <w:p w14:paraId="49D54197" w14:textId="77777777" w:rsidR="004C22C9" w:rsidRPr="007D36A1" w:rsidRDefault="009F1EFF" w:rsidP="008641F7">
      <w:pPr>
        <w:pStyle w:val="SingleTxtG"/>
        <w:tabs>
          <w:tab w:val="left" w:pos="2268"/>
        </w:tabs>
        <w:rPr>
          <w:i/>
          <w:lang w:val="en-GB"/>
        </w:rPr>
      </w:pPr>
      <w:r w:rsidRPr="007D36A1">
        <w:rPr>
          <w:i/>
          <w:lang w:val="en-GB"/>
        </w:rPr>
        <w:t>[IAEA: 710]</w:t>
      </w:r>
    </w:p>
    <w:p w14:paraId="15421E25" w14:textId="77777777" w:rsidR="007447A4" w:rsidRPr="007D36A1" w:rsidRDefault="002C7876" w:rsidP="008641F7">
      <w:pPr>
        <w:pStyle w:val="SingleTxtG"/>
        <w:tabs>
          <w:tab w:val="left" w:pos="2268"/>
        </w:tabs>
        <w:rPr>
          <w:lang w:val="en-GB"/>
        </w:rPr>
      </w:pPr>
      <w:r w:rsidRPr="007D36A1">
        <w:rPr>
          <w:lang w:val="en-GB"/>
        </w:rPr>
        <w:t>2.7.2.3.3.8</w:t>
      </w:r>
      <w:r w:rsidR="00FF2BBD" w:rsidRPr="007D36A1">
        <w:rPr>
          <w:lang w:val="en-GB"/>
        </w:rPr>
        <w:tab/>
      </w:r>
      <w:r w:rsidR="007447A4" w:rsidRPr="007D36A1">
        <w:rPr>
          <w:lang w:val="en-GB"/>
        </w:rPr>
        <w:t>In sub-paragraph (a), in (ii), replace “shall be heated” by “shall the be heated”.</w:t>
      </w:r>
    </w:p>
    <w:p w14:paraId="248B1BDA" w14:textId="77777777" w:rsidR="004C22C9" w:rsidRPr="007D36A1" w:rsidRDefault="00FF2BBD" w:rsidP="008641F7">
      <w:pPr>
        <w:pStyle w:val="SingleTxtG"/>
        <w:tabs>
          <w:tab w:val="left" w:pos="2268"/>
        </w:tabs>
        <w:rPr>
          <w:i/>
          <w:lang w:val="en-GB"/>
        </w:rPr>
      </w:pPr>
      <w:r w:rsidRPr="007D36A1">
        <w:rPr>
          <w:i/>
          <w:lang w:val="en-GB"/>
        </w:rPr>
        <w:t xml:space="preserve">[IAEA: </w:t>
      </w:r>
      <w:r w:rsidR="006036A7" w:rsidRPr="007D36A1">
        <w:rPr>
          <w:i/>
          <w:lang w:val="en-GB"/>
        </w:rPr>
        <w:t>711</w:t>
      </w:r>
      <w:r w:rsidR="009F1EFF" w:rsidRPr="007D36A1">
        <w:rPr>
          <w:i/>
          <w:lang w:val="en-GB"/>
        </w:rPr>
        <w:t>]</w:t>
      </w:r>
    </w:p>
    <w:p w14:paraId="07B84CB2" w14:textId="77777777" w:rsidR="007447A4" w:rsidRPr="007D36A1" w:rsidRDefault="007447A4" w:rsidP="008641F7">
      <w:pPr>
        <w:pStyle w:val="SingleTxtG"/>
        <w:tabs>
          <w:tab w:val="left" w:pos="2268"/>
        </w:tabs>
        <w:rPr>
          <w:lang w:val="en-GB"/>
        </w:rPr>
      </w:pPr>
      <w:r w:rsidRPr="007D36A1">
        <w:rPr>
          <w:lang w:val="en-GB"/>
        </w:rPr>
        <w:t>2.7.2.3.4.1</w:t>
      </w:r>
      <w:r w:rsidRPr="007D36A1">
        <w:rPr>
          <w:lang w:val="en-GB"/>
        </w:rPr>
        <w:tab/>
        <w:t xml:space="preserve">In </w:t>
      </w:r>
      <w:r w:rsidR="008B6EF7" w:rsidRPr="007D36A1">
        <w:rPr>
          <w:lang w:val="en-GB"/>
        </w:rPr>
        <w:t>sub-paragraph</w:t>
      </w:r>
      <w:r w:rsidR="00A04DAA" w:rsidRPr="007D36A1">
        <w:rPr>
          <w:lang w:val="en-GB"/>
        </w:rPr>
        <w:t xml:space="preserve"> (a)</w:t>
      </w:r>
      <w:r w:rsidRPr="007D36A1">
        <w:rPr>
          <w:lang w:val="en-GB"/>
        </w:rPr>
        <w:t>, replace “radiation level” by “dose rate”.</w:t>
      </w:r>
    </w:p>
    <w:p w14:paraId="4462FB9E" w14:textId="77777777" w:rsidR="00FF2BBD" w:rsidRPr="007D36A1" w:rsidRDefault="00FF2BBD" w:rsidP="008641F7">
      <w:pPr>
        <w:pStyle w:val="SingleTxtG"/>
        <w:tabs>
          <w:tab w:val="left" w:pos="2268"/>
        </w:tabs>
        <w:rPr>
          <w:i/>
          <w:lang w:val="en-GB"/>
        </w:rPr>
      </w:pPr>
      <w:r w:rsidRPr="007D36A1">
        <w:rPr>
          <w:i/>
          <w:lang w:val="en-GB"/>
        </w:rPr>
        <w:t xml:space="preserve">[IAEA: </w:t>
      </w:r>
      <w:r w:rsidR="00A04DAA" w:rsidRPr="007D36A1">
        <w:rPr>
          <w:i/>
          <w:lang w:val="en-GB"/>
        </w:rPr>
        <w:t>605</w:t>
      </w:r>
      <w:r w:rsidRPr="007D36A1">
        <w:rPr>
          <w:i/>
          <w:lang w:val="en-GB"/>
        </w:rPr>
        <w:t>]</w:t>
      </w:r>
    </w:p>
    <w:p w14:paraId="245BA3A8" w14:textId="77777777" w:rsidR="00F86F67" w:rsidRPr="007D36A1" w:rsidRDefault="00234C20" w:rsidP="008641F7">
      <w:pPr>
        <w:pStyle w:val="SingleTxtG"/>
        <w:tabs>
          <w:tab w:val="left" w:pos="2268"/>
        </w:tabs>
        <w:rPr>
          <w:lang w:val="en-GB"/>
        </w:rPr>
      </w:pPr>
      <w:r w:rsidRPr="007D36A1">
        <w:rPr>
          <w:lang w:val="en-GB"/>
        </w:rPr>
        <w:t>2.7.2.3.5</w:t>
      </w:r>
      <w:r w:rsidR="00FF2BBD" w:rsidRPr="007D36A1">
        <w:rPr>
          <w:lang w:val="en-GB"/>
        </w:rPr>
        <w:tab/>
      </w:r>
      <w:r w:rsidR="00F86F67" w:rsidRPr="007D36A1">
        <w:rPr>
          <w:lang w:val="en-GB"/>
        </w:rPr>
        <w:t xml:space="preserve">In </w:t>
      </w:r>
      <w:r w:rsidR="008B6EF7" w:rsidRPr="007D36A1">
        <w:rPr>
          <w:lang w:val="en-GB"/>
        </w:rPr>
        <w:t>sub-paragraph</w:t>
      </w:r>
      <w:r w:rsidRPr="007D36A1">
        <w:rPr>
          <w:lang w:val="en-GB"/>
        </w:rPr>
        <w:t xml:space="preserve"> (e)</w:t>
      </w:r>
      <w:r w:rsidR="00F86F67" w:rsidRPr="007D36A1">
        <w:rPr>
          <w:lang w:val="en-GB"/>
        </w:rPr>
        <w:t>, replace “limits provided in” by “the requirements of”.</w:t>
      </w:r>
    </w:p>
    <w:p w14:paraId="6AA233E7" w14:textId="77777777" w:rsidR="004C22C9" w:rsidRPr="007D36A1" w:rsidRDefault="00FF2BBD" w:rsidP="008641F7">
      <w:pPr>
        <w:pStyle w:val="SingleTxtG"/>
        <w:tabs>
          <w:tab w:val="left" w:pos="2268"/>
        </w:tabs>
        <w:rPr>
          <w:i/>
          <w:lang w:val="en-GB"/>
        </w:rPr>
      </w:pPr>
      <w:r w:rsidRPr="007D36A1">
        <w:rPr>
          <w:i/>
          <w:lang w:val="en-GB"/>
        </w:rPr>
        <w:t xml:space="preserve">[IAEA: </w:t>
      </w:r>
      <w:r w:rsidR="00234C20" w:rsidRPr="007D36A1">
        <w:rPr>
          <w:i/>
          <w:lang w:val="en-GB"/>
        </w:rPr>
        <w:t>417</w:t>
      </w:r>
      <w:r w:rsidR="009F1EFF" w:rsidRPr="007D36A1">
        <w:rPr>
          <w:i/>
          <w:lang w:val="en-GB"/>
        </w:rPr>
        <w:t>]</w:t>
      </w:r>
    </w:p>
    <w:p w14:paraId="6BAE16E2" w14:textId="77777777" w:rsidR="00F86F67" w:rsidRPr="007D36A1" w:rsidRDefault="00234C20" w:rsidP="008641F7">
      <w:pPr>
        <w:pStyle w:val="SingleTxtG"/>
        <w:tabs>
          <w:tab w:val="left" w:pos="2268"/>
        </w:tabs>
        <w:rPr>
          <w:lang w:val="en-GB"/>
        </w:rPr>
      </w:pPr>
      <w:r w:rsidRPr="007D36A1">
        <w:rPr>
          <w:lang w:val="en-GB"/>
        </w:rPr>
        <w:t>2.7.2.3.6</w:t>
      </w:r>
      <w:r w:rsidRPr="007D36A1">
        <w:rPr>
          <w:lang w:val="en-GB"/>
        </w:rPr>
        <w:tab/>
      </w:r>
      <w:r w:rsidR="00F86F67" w:rsidRPr="007D36A1">
        <w:rPr>
          <w:lang w:val="en-GB"/>
        </w:rPr>
        <w:t>At the beginning, replace “A fissile material” by “Fissile material”.</w:t>
      </w:r>
    </w:p>
    <w:p w14:paraId="10B0C082" w14:textId="77777777" w:rsidR="004C22C9" w:rsidRPr="007D36A1" w:rsidRDefault="009F1EFF" w:rsidP="008641F7">
      <w:pPr>
        <w:pStyle w:val="SingleTxtG"/>
        <w:tabs>
          <w:tab w:val="left" w:pos="2268"/>
        </w:tabs>
        <w:rPr>
          <w:i/>
          <w:lang w:val="en-GB"/>
        </w:rPr>
      </w:pPr>
      <w:r w:rsidRPr="007D36A1">
        <w:rPr>
          <w:i/>
          <w:lang w:val="en-GB"/>
        </w:rPr>
        <w:t>[IAEA: 606]</w:t>
      </w:r>
    </w:p>
    <w:p w14:paraId="67D5FDFC" w14:textId="7137E00A" w:rsidR="00234C20" w:rsidRPr="007D36A1" w:rsidRDefault="00CC66C8" w:rsidP="008641F7">
      <w:pPr>
        <w:pStyle w:val="SingleTxtG"/>
        <w:tabs>
          <w:tab w:val="left" w:pos="2268"/>
        </w:tabs>
        <w:rPr>
          <w:lang w:val="en-GB"/>
        </w:rPr>
      </w:pPr>
      <w:r w:rsidRPr="007D36A1">
        <w:rPr>
          <w:lang w:val="en-GB"/>
        </w:rPr>
        <w:t>2.7.2.4.1.3</w:t>
      </w:r>
      <w:r w:rsidR="00234C20" w:rsidRPr="007D36A1">
        <w:rPr>
          <w:lang w:val="en-GB"/>
        </w:rPr>
        <w:tab/>
      </w:r>
      <w:r w:rsidRPr="007D36A1">
        <w:rPr>
          <w:lang w:val="en-GB"/>
        </w:rPr>
        <w:t xml:space="preserve">Add additional </w:t>
      </w:r>
      <w:r w:rsidR="008B6EF7" w:rsidRPr="007D36A1">
        <w:rPr>
          <w:lang w:val="en-GB"/>
        </w:rPr>
        <w:t>sub-paragraph</w:t>
      </w:r>
      <w:r w:rsidR="002F303D" w:rsidRPr="007D36A1">
        <w:rPr>
          <w:lang w:val="en-GB"/>
        </w:rPr>
        <w:t>s (e) and</w:t>
      </w:r>
      <w:r w:rsidRPr="007D36A1">
        <w:rPr>
          <w:lang w:val="en-GB"/>
        </w:rPr>
        <w:t xml:space="preserve"> (f)</w:t>
      </w:r>
      <w:r w:rsidR="00234C20" w:rsidRPr="007D36A1">
        <w:rPr>
          <w:lang w:val="en-GB"/>
        </w:rPr>
        <w:t>:</w:t>
      </w:r>
    </w:p>
    <w:p w14:paraId="68F885DD" w14:textId="48FD31C6" w:rsidR="002F303D" w:rsidRPr="007D36A1" w:rsidRDefault="00234C20" w:rsidP="008641F7">
      <w:pPr>
        <w:pStyle w:val="SingleTxtG"/>
        <w:tabs>
          <w:tab w:val="left" w:pos="2268"/>
        </w:tabs>
        <w:rPr>
          <w:lang w:val="en-GB"/>
        </w:rPr>
      </w:pPr>
      <w:r w:rsidRPr="007D36A1">
        <w:rPr>
          <w:lang w:val="en-GB"/>
        </w:rPr>
        <w:lastRenderedPageBreak/>
        <w:t>“</w:t>
      </w:r>
      <w:r w:rsidR="002F303D" w:rsidRPr="007D36A1">
        <w:rPr>
          <w:lang w:val="en-GB"/>
        </w:rPr>
        <w:t>(e)</w:t>
      </w:r>
      <w:r w:rsidR="002F303D" w:rsidRPr="007D36A1">
        <w:rPr>
          <w:lang w:val="en-GB"/>
        </w:rPr>
        <w:tab/>
      </w:r>
      <w:r w:rsidR="002F303D" w:rsidRPr="007D36A1">
        <w:rPr>
          <w:i/>
          <w:lang w:val="en-GB"/>
        </w:rPr>
        <w:t>Reserved</w:t>
      </w:r>
      <w:r w:rsidR="002F303D" w:rsidRPr="007D36A1">
        <w:rPr>
          <w:lang w:val="en-GB"/>
        </w:rPr>
        <w:t>;</w:t>
      </w:r>
    </w:p>
    <w:p w14:paraId="177DA6AF" w14:textId="759F1D8C" w:rsidR="00234C20" w:rsidRPr="007D36A1" w:rsidRDefault="007D36A1" w:rsidP="008641F7">
      <w:pPr>
        <w:pStyle w:val="SingleTxtG"/>
        <w:tabs>
          <w:tab w:val="left" w:pos="2268"/>
        </w:tabs>
        <w:rPr>
          <w:lang w:val="en-GB"/>
        </w:rPr>
      </w:pPr>
      <w:r w:rsidRPr="007D36A1">
        <w:rPr>
          <w:lang w:val="en-GB"/>
        </w:rPr>
        <w:t>(f)</w:t>
      </w:r>
      <w:r w:rsidR="002F303D" w:rsidRPr="007D36A1">
        <w:rPr>
          <w:lang w:val="en-GB"/>
        </w:rPr>
        <w:tab/>
      </w:r>
      <w:r w:rsidR="00CC66C8" w:rsidRPr="007D36A1">
        <w:rPr>
          <w:lang w:val="en-GB"/>
        </w:rPr>
        <w:t xml:space="preserve">If the package contains fissile material, one of the provisions of </w:t>
      </w:r>
      <w:r w:rsidR="008B6EF7" w:rsidRPr="007D36A1">
        <w:rPr>
          <w:lang w:val="en-GB"/>
        </w:rPr>
        <w:t>sub-paragraph</w:t>
      </w:r>
      <w:r w:rsidR="00CC66C8" w:rsidRPr="007D36A1">
        <w:rPr>
          <w:lang w:val="en-GB"/>
        </w:rPr>
        <w:t xml:space="preserve">s (a)–(f) of </w:t>
      </w:r>
      <w:r w:rsidR="009B1F43" w:rsidRPr="007D36A1">
        <w:rPr>
          <w:lang w:val="en-GB"/>
        </w:rPr>
        <w:t xml:space="preserve">2.7.2.3.5 </w:t>
      </w:r>
      <w:r w:rsidR="00CC66C8" w:rsidRPr="007D36A1">
        <w:rPr>
          <w:lang w:val="en-GB"/>
        </w:rPr>
        <w:t>shall apply.</w:t>
      </w:r>
      <w:r w:rsidR="00F86F67" w:rsidRPr="007D36A1">
        <w:rPr>
          <w:lang w:val="en-GB"/>
        </w:rPr>
        <w:t>”</w:t>
      </w:r>
    </w:p>
    <w:p w14:paraId="4A703DE6" w14:textId="3E86DB58" w:rsidR="004C22C9" w:rsidRPr="007D36A1" w:rsidRDefault="00234C20" w:rsidP="008641F7">
      <w:pPr>
        <w:pStyle w:val="SingleTxtG"/>
        <w:tabs>
          <w:tab w:val="left" w:pos="2268"/>
        </w:tabs>
        <w:rPr>
          <w:i/>
          <w:lang w:val="en-GB"/>
        </w:rPr>
      </w:pPr>
      <w:r w:rsidRPr="007D36A1">
        <w:rPr>
          <w:i/>
          <w:lang w:val="en-GB"/>
        </w:rPr>
        <w:t xml:space="preserve">[IAEA: </w:t>
      </w:r>
      <w:r w:rsidR="00CC66C8" w:rsidRPr="007D36A1">
        <w:rPr>
          <w:i/>
          <w:lang w:val="en-GB"/>
        </w:rPr>
        <w:t>423</w:t>
      </w:r>
      <w:r w:rsidRPr="007D36A1">
        <w:rPr>
          <w:i/>
          <w:lang w:val="en-GB"/>
        </w:rPr>
        <w:t>]</w:t>
      </w:r>
      <w:r w:rsidR="00F86F67" w:rsidRPr="007D36A1">
        <w:rPr>
          <w:i/>
          <w:lang w:val="en-GB"/>
        </w:rPr>
        <w:t xml:space="preserve"> </w:t>
      </w:r>
    </w:p>
    <w:p w14:paraId="4F036E7B" w14:textId="77777777" w:rsidR="00CC66C8" w:rsidRPr="007D36A1" w:rsidRDefault="00CC66C8" w:rsidP="008641F7">
      <w:pPr>
        <w:pStyle w:val="SingleTxtG"/>
        <w:tabs>
          <w:tab w:val="left" w:pos="2268"/>
        </w:tabs>
        <w:rPr>
          <w:lang w:val="en-GB"/>
        </w:rPr>
      </w:pPr>
      <w:r w:rsidRPr="007D36A1">
        <w:rPr>
          <w:lang w:val="en-GB"/>
        </w:rPr>
        <w:t>2.7.2.4.1.4</w:t>
      </w:r>
      <w:r w:rsidRPr="007D36A1">
        <w:rPr>
          <w:lang w:val="en-GB"/>
        </w:rPr>
        <w:tab/>
        <w:t xml:space="preserve">Add additional </w:t>
      </w:r>
      <w:r w:rsidR="00F672EF" w:rsidRPr="007D36A1">
        <w:rPr>
          <w:lang w:val="en-GB"/>
        </w:rPr>
        <w:t>sub-paragraph</w:t>
      </w:r>
      <w:r w:rsidRPr="007D36A1">
        <w:rPr>
          <w:lang w:val="en-GB"/>
        </w:rPr>
        <w:t xml:space="preserve"> (</w:t>
      </w:r>
      <w:r w:rsidR="00113E21" w:rsidRPr="007D36A1">
        <w:rPr>
          <w:lang w:val="en-GB"/>
        </w:rPr>
        <w:t>c</w:t>
      </w:r>
      <w:r w:rsidRPr="007D36A1">
        <w:rPr>
          <w:lang w:val="en-GB"/>
        </w:rPr>
        <w:t>):</w:t>
      </w:r>
    </w:p>
    <w:p w14:paraId="51B23AED" w14:textId="014E403E" w:rsidR="00CC66C8" w:rsidRPr="007D36A1" w:rsidRDefault="00CC66C8" w:rsidP="008641F7">
      <w:pPr>
        <w:pStyle w:val="SingleTxtG"/>
        <w:tabs>
          <w:tab w:val="left" w:pos="2268"/>
        </w:tabs>
        <w:rPr>
          <w:lang w:val="en-GB"/>
        </w:rPr>
      </w:pPr>
      <w:r w:rsidRPr="007D36A1">
        <w:rPr>
          <w:lang w:val="en-GB"/>
        </w:rPr>
        <w:t>“(</w:t>
      </w:r>
      <w:r w:rsidR="005211A8" w:rsidRPr="007D36A1">
        <w:rPr>
          <w:lang w:val="en-GB"/>
        </w:rPr>
        <w:t>c</w:t>
      </w:r>
      <w:r w:rsidRPr="007D36A1">
        <w:rPr>
          <w:lang w:val="en-GB"/>
        </w:rPr>
        <w:t xml:space="preserve">) </w:t>
      </w:r>
      <w:r w:rsidR="007D36A1" w:rsidRPr="007D36A1">
        <w:rPr>
          <w:lang w:val="en-GB"/>
        </w:rPr>
        <w:tab/>
      </w:r>
      <w:r w:rsidRPr="007D36A1">
        <w:rPr>
          <w:lang w:val="en-GB"/>
        </w:rPr>
        <w:t xml:space="preserve">If the package contains fissile material, one of the provisions of </w:t>
      </w:r>
      <w:r w:rsidR="00670D17" w:rsidRPr="007D36A1">
        <w:rPr>
          <w:lang w:val="en-GB"/>
        </w:rPr>
        <w:t>subparagraph</w:t>
      </w:r>
      <w:r w:rsidRPr="007D36A1">
        <w:rPr>
          <w:lang w:val="en-GB"/>
        </w:rPr>
        <w:t>s (a)</w:t>
      </w:r>
      <w:r w:rsidR="00113E21" w:rsidRPr="007D36A1">
        <w:rPr>
          <w:lang w:val="en-GB"/>
        </w:rPr>
        <w:t xml:space="preserve"> to </w:t>
      </w:r>
      <w:r w:rsidRPr="007D36A1">
        <w:rPr>
          <w:lang w:val="en-GB"/>
        </w:rPr>
        <w:t xml:space="preserve">(f) of </w:t>
      </w:r>
      <w:r w:rsidR="009B1F43" w:rsidRPr="007D36A1">
        <w:rPr>
          <w:lang w:val="en-GB"/>
        </w:rPr>
        <w:t xml:space="preserve">2.7.2.3.5 </w:t>
      </w:r>
      <w:r w:rsidRPr="007D36A1">
        <w:rPr>
          <w:lang w:val="en-GB"/>
        </w:rPr>
        <w:t>shall apply.</w:t>
      </w:r>
      <w:r w:rsidR="00F86F67" w:rsidRPr="007D36A1">
        <w:rPr>
          <w:lang w:val="en-GB"/>
        </w:rPr>
        <w:t>”</w:t>
      </w:r>
    </w:p>
    <w:p w14:paraId="1395CD12" w14:textId="19236325" w:rsidR="002F303D" w:rsidRPr="007D36A1" w:rsidRDefault="007D36A1" w:rsidP="008641F7">
      <w:pPr>
        <w:pStyle w:val="SingleTxtG"/>
        <w:tabs>
          <w:tab w:val="left" w:pos="2268"/>
        </w:tabs>
        <w:rPr>
          <w:lang w:val="en-GB"/>
        </w:rPr>
      </w:pPr>
      <w:r w:rsidRPr="007D36A1">
        <w:rPr>
          <w:lang w:val="en-GB"/>
        </w:rPr>
        <w:tab/>
      </w:r>
      <w:r w:rsidR="002F303D" w:rsidRPr="007D36A1">
        <w:rPr>
          <w:lang w:val="en-GB"/>
        </w:rPr>
        <w:t>Add “and” at the end of existing (b) (ii).</w:t>
      </w:r>
    </w:p>
    <w:p w14:paraId="3D8B728F" w14:textId="7E15348B" w:rsidR="004C22C9" w:rsidRPr="007D36A1" w:rsidRDefault="00CC66C8" w:rsidP="008641F7">
      <w:pPr>
        <w:pStyle w:val="SingleTxtG"/>
        <w:tabs>
          <w:tab w:val="left" w:pos="2268"/>
        </w:tabs>
        <w:rPr>
          <w:i/>
          <w:lang w:val="en-GB"/>
        </w:rPr>
      </w:pPr>
      <w:r w:rsidRPr="007D36A1">
        <w:rPr>
          <w:i/>
          <w:lang w:val="en-GB"/>
        </w:rPr>
        <w:t>[IAEA: 424]</w:t>
      </w:r>
    </w:p>
    <w:p w14:paraId="29B6B756" w14:textId="77777777" w:rsidR="000B042A" w:rsidRPr="007D36A1" w:rsidRDefault="000B042A" w:rsidP="008641F7">
      <w:pPr>
        <w:pStyle w:val="SingleTxtG"/>
        <w:tabs>
          <w:tab w:val="left" w:pos="2268"/>
        </w:tabs>
        <w:rPr>
          <w:lang w:val="en-GB"/>
        </w:rPr>
      </w:pPr>
      <w:r w:rsidRPr="007D36A1">
        <w:rPr>
          <w:lang w:val="en-GB"/>
        </w:rPr>
        <w:t>2.7.2.4.1.</w:t>
      </w:r>
      <w:r w:rsidR="00670D17" w:rsidRPr="007D36A1">
        <w:rPr>
          <w:lang w:val="en-GB"/>
        </w:rPr>
        <w:t>7</w:t>
      </w:r>
      <w:r w:rsidRPr="007D36A1">
        <w:rPr>
          <w:lang w:val="en-GB"/>
        </w:rPr>
        <w:tab/>
        <w:t>Add additional sub</w:t>
      </w:r>
      <w:r w:rsidR="002017FA" w:rsidRPr="007D36A1">
        <w:rPr>
          <w:lang w:val="en-GB"/>
        </w:rPr>
        <w:t>-</w:t>
      </w:r>
      <w:r w:rsidRPr="007D36A1">
        <w:rPr>
          <w:lang w:val="en-GB"/>
        </w:rPr>
        <w:t>para</w:t>
      </w:r>
      <w:r w:rsidR="002017FA" w:rsidRPr="007D36A1">
        <w:rPr>
          <w:lang w:val="en-GB"/>
        </w:rPr>
        <w:t>gra</w:t>
      </w:r>
      <w:r w:rsidRPr="007D36A1">
        <w:rPr>
          <w:lang w:val="en-GB"/>
        </w:rPr>
        <w:t>ph (e):</w:t>
      </w:r>
    </w:p>
    <w:p w14:paraId="61A41A7C" w14:textId="1A3BB0AC" w:rsidR="000B042A" w:rsidRPr="007D36A1" w:rsidRDefault="000B042A" w:rsidP="008641F7">
      <w:pPr>
        <w:pStyle w:val="SingleTxtG"/>
        <w:tabs>
          <w:tab w:val="left" w:pos="2268"/>
        </w:tabs>
        <w:rPr>
          <w:lang w:val="en-GB"/>
        </w:rPr>
      </w:pPr>
      <w:r w:rsidRPr="007D36A1">
        <w:rPr>
          <w:lang w:val="en-GB"/>
        </w:rPr>
        <w:t>“(e)</w:t>
      </w:r>
      <w:r w:rsidR="007D36A1" w:rsidRPr="007D36A1">
        <w:rPr>
          <w:lang w:val="en-GB"/>
        </w:rPr>
        <w:tab/>
      </w:r>
      <w:r w:rsidRPr="007D36A1">
        <w:rPr>
          <w:lang w:val="en-GB"/>
        </w:rPr>
        <w:t xml:space="preserve">If the packaging has contained fissile material, one of the provisions of </w:t>
      </w:r>
      <w:r w:rsidR="00670D17" w:rsidRPr="007D36A1">
        <w:rPr>
          <w:lang w:val="en-GB"/>
        </w:rPr>
        <w:t xml:space="preserve">sub-paragraphs </w:t>
      </w:r>
      <w:r w:rsidRPr="007D36A1">
        <w:rPr>
          <w:lang w:val="en-GB"/>
        </w:rPr>
        <w:t xml:space="preserve">(a)–(f) of </w:t>
      </w:r>
      <w:r w:rsidR="009B1F43" w:rsidRPr="007D36A1">
        <w:rPr>
          <w:lang w:val="en-GB"/>
        </w:rPr>
        <w:t xml:space="preserve">2.7.2.3.5 </w:t>
      </w:r>
      <w:r w:rsidRPr="007D36A1">
        <w:rPr>
          <w:lang w:val="en-GB"/>
        </w:rPr>
        <w:t xml:space="preserve">or one of the provisions for exclusion in </w:t>
      </w:r>
      <w:r w:rsidR="009B1F43" w:rsidRPr="007D36A1">
        <w:rPr>
          <w:lang w:val="en-GB"/>
        </w:rPr>
        <w:t xml:space="preserve">2.7.1.3 </w:t>
      </w:r>
      <w:r w:rsidRPr="007D36A1">
        <w:rPr>
          <w:lang w:val="en-GB"/>
        </w:rPr>
        <w:t>shall apply.</w:t>
      </w:r>
      <w:r w:rsidR="00F86F67" w:rsidRPr="007D36A1">
        <w:rPr>
          <w:lang w:val="en-GB"/>
        </w:rPr>
        <w:t>”</w:t>
      </w:r>
      <w:r w:rsidR="002F303D" w:rsidRPr="007D36A1">
        <w:rPr>
          <w:lang w:val="en-GB"/>
        </w:rPr>
        <w:t>.</w:t>
      </w:r>
    </w:p>
    <w:p w14:paraId="0E132E5E" w14:textId="3E4D95C1" w:rsidR="002F303D" w:rsidRPr="007D36A1" w:rsidRDefault="007D36A1" w:rsidP="008641F7">
      <w:pPr>
        <w:pStyle w:val="SingleTxtG"/>
        <w:tabs>
          <w:tab w:val="left" w:pos="2268"/>
        </w:tabs>
        <w:rPr>
          <w:lang w:val="en-GB"/>
        </w:rPr>
      </w:pPr>
      <w:r w:rsidRPr="007D36A1">
        <w:rPr>
          <w:lang w:val="en-GB"/>
        </w:rPr>
        <w:tab/>
      </w:r>
      <w:r w:rsidR="002F303D" w:rsidRPr="007D36A1">
        <w:rPr>
          <w:lang w:val="en-GB"/>
        </w:rPr>
        <w:t>Transfer the “and” from the end of sub-paragraph (c) (ii) to the end of (d).</w:t>
      </w:r>
    </w:p>
    <w:p w14:paraId="6F98E262" w14:textId="0BBA468A" w:rsidR="000B042A" w:rsidRPr="007D36A1" w:rsidRDefault="000B042A" w:rsidP="008641F7">
      <w:pPr>
        <w:pStyle w:val="SingleTxtG"/>
        <w:tabs>
          <w:tab w:val="left" w:pos="2268"/>
        </w:tabs>
        <w:rPr>
          <w:i/>
          <w:lang w:val="en-GB"/>
        </w:rPr>
      </w:pPr>
      <w:r w:rsidRPr="007D36A1">
        <w:rPr>
          <w:i/>
          <w:lang w:val="en-GB"/>
        </w:rPr>
        <w:t>[IAEA: 427]</w:t>
      </w:r>
    </w:p>
    <w:p w14:paraId="5731B38D" w14:textId="1FB17A47" w:rsidR="00E42DB6" w:rsidRPr="007D36A1" w:rsidRDefault="007D36A1" w:rsidP="00DA4D16">
      <w:pPr>
        <w:pStyle w:val="H1G"/>
      </w:pPr>
      <w:r w:rsidRPr="007D36A1">
        <w:tab/>
      </w:r>
      <w:r w:rsidRPr="007D36A1">
        <w:tab/>
      </w:r>
      <w:r w:rsidR="00E42DB6" w:rsidRPr="007D36A1">
        <w:t>Chapter 4.1</w:t>
      </w:r>
    </w:p>
    <w:p w14:paraId="34EFFBD5" w14:textId="75E9DFCB" w:rsidR="00234C20" w:rsidRPr="007D36A1" w:rsidRDefault="000B042A" w:rsidP="008641F7">
      <w:pPr>
        <w:pStyle w:val="SingleTxtG"/>
        <w:tabs>
          <w:tab w:val="left" w:pos="2268"/>
        </w:tabs>
        <w:rPr>
          <w:lang w:val="en-GB"/>
        </w:rPr>
      </w:pPr>
      <w:r w:rsidRPr="007D36A1">
        <w:rPr>
          <w:lang w:val="en-GB"/>
        </w:rPr>
        <w:t>4.1.9.1.4</w:t>
      </w:r>
      <w:r w:rsidR="00234C20" w:rsidRPr="007D36A1">
        <w:rPr>
          <w:lang w:val="en-GB"/>
        </w:rPr>
        <w:tab/>
      </w:r>
      <w:r w:rsidRPr="007D36A1">
        <w:rPr>
          <w:lang w:val="en-GB"/>
        </w:rPr>
        <w:t xml:space="preserve">Add at the end the following </w:t>
      </w:r>
      <w:r w:rsidR="00FD7EA8" w:rsidRPr="007D36A1">
        <w:rPr>
          <w:lang w:val="en-GB"/>
        </w:rPr>
        <w:t xml:space="preserve">new </w:t>
      </w:r>
      <w:r w:rsidRPr="007D36A1">
        <w:rPr>
          <w:lang w:val="en-GB"/>
        </w:rPr>
        <w:t>sentence</w:t>
      </w:r>
      <w:r w:rsidR="00234C20" w:rsidRPr="007D36A1">
        <w:rPr>
          <w:lang w:val="en-GB"/>
        </w:rPr>
        <w:t>:</w:t>
      </w:r>
      <w:r w:rsidR="007D36A1" w:rsidRPr="007D36A1">
        <w:rPr>
          <w:lang w:val="en-GB"/>
        </w:rPr>
        <w:t xml:space="preserve"> </w:t>
      </w:r>
      <w:r w:rsidR="00234C20" w:rsidRPr="007D36A1">
        <w:rPr>
          <w:lang w:val="en-GB"/>
        </w:rPr>
        <w:t>“</w:t>
      </w:r>
      <w:r w:rsidRPr="007D36A1">
        <w:rPr>
          <w:lang w:val="en-GB"/>
        </w:rPr>
        <w:t xml:space="preserve">This requirement does not apply to the internal surfaces of freight containers being used as </w:t>
      </w:r>
      <w:proofErr w:type="spellStart"/>
      <w:r w:rsidRPr="007D36A1">
        <w:rPr>
          <w:lang w:val="en-GB"/>
        </w:rPr>
        <w:t>packagings</w:t>
      </w:r>
      <w:proofErr w:type="spellEnd"/>
      <w:r w:rsidRPr="007D36A1">
        <w:rPr>
          <w:lang w:val="en-GB"/>
        </w:rPr>
        <w:t>, either loaded or empty.</w:t>
      </w:r>
      <w:r w:rsidR="00FD7EA8" w:rsidRPr="007D36A1">
        <w:rPr>
          <w:lang w:val="en-GB"/>
        </w:rPr>
        <w:t>”</w:t>
      </w:r>
    </w:p>
    <w:p w14:paraId="759CE42E" w14:textId="77777777" w:rsidR="004C22C9" w:rsidRPr="007D36A1" w:rsidRDefault="00234C20" w:rsidP="008641F7">
      <w:pPr>
        <w:pStyle w:val="SingleTxtG"/>
        <w:tabs>
          <w:tab w:val="left" w:pos="2268"/>
        </w:tabs>
        <w:rPr>
          <w:i/>
          <w:lang w:val="en-GB"/>
        </w:rPr>
      </w:pPr>
      <w:r w:rsidRPr="007D36A1">
        <w:rPr>
          <w:i/>
          <w:lang w:val="en-GB"/>
        </w:rPr>
        <w:t xml:space="preserve">[IAEA: </w:t>
      </w:r>
      <w:r w:rsidR="000B042A" w:rsidRPr="007D36A1">
        <w:rPr>
          <w:i/>
          <w:lang w:val="en-GB"/>
        </w:rPr>
        <w:t>509</w:t>
      </w:r>
      <w:r w:rsidR="00D62F29" w:rsidRPr="007D36A1">
        <w:rPr>
          <w:i/>
          <w:lang w:val="en-GB"/>
        </w:rPr>
        <w:t>]</w:t>
      </w:r>
    </w:p>
    <w:p w14:paraId="1EEAB5B2" w14:textId="77777777" w:rsidR="000B042A" w:rsidRPr="007D36A1" w:rsidRDefault="000B042A" w:rsidP="008641F7">
      <w:pPr>
        <w:pStyle w:val="SingleTxtG"/>
        <w:tabs>
          <w:tab w:val="left" w:pos="2268"/>
        </w:tabs>
        <w:rPr>
          <w:lang w:val="en-GB"/>
        </w:rPr>
      </w:pPr>
      <w:r w:rsidRPr="007D36A1">
        <w:rPr>
          <w:lang w:val="en-GB"/>
        </w:rPr>
        <w:t>4.1.9.1.8</w:t>
      </w:r>
      <w:r w:rsidRPr="007D36A1">
        <w:rPr>
          <w:lang w:val="en-GB"/>
        </w:rPr>
        <w:tab/>
        <w:t xml:space="preserve">Add additional </w:t>
      </w:r>
      <w:r w:rsidR="008B6EF7" w:rsidRPr="007D36A1">
        <w:rPr>
          <w:lang w:val="en-GB"/>
        </w:rPr>
        <w:t>sub-paragraph</w:t>
      </w:r>
      <w:r w:rsidRPr="007D36A1">
        <w:rPr>
          <w:lang w:val="en-GB"/>
        </w:rPr>
        <w:t xml:space="preserve"> (e):</w:t>
      </w:r>
    </w:p>
    <w:p w14:paraId="2D49203E" w14:textId="77777777" w:rsidR="000B042A" w:rsidRPr="007D36A1" w:rsidRDefault="000B042A" w:rsidP="008641F7">
      <w:pPr>
        <w:pStyle w:val="SingleTxtG"/>
        <w:tabs>
          <w:tab w:val="left" w:pos="2268"/>
        </w:tabs>
        <w:rPr>
          <w:lang w:val="en-GB"/>
        </w:rPr>
      </w:pPr>
      <w:r w:rsidRPr="007D36A1">
        <w:rPr>
          <w:lang w:val="en-GB"/>
        </w:rPr>
        <w:t xml:space="preserve">“(e) </w:t>
      </w:r>
      <w:bookmarkStart w:id="0" w:name="_Toc474335055"/>
      <w:bookmarkStart w:id="1" w:name="_Toc477347012"/>
      <w:r w:rsidRPr="007D36A1">
        <w:rPr>
          <w:lang w:val="en-GB"/>
        </w:rPr>
        <w:t>For packages intended to be used for shipment after storage, it shall be ensured that all packaging components and radioactive contents have been maintained during storage in a manner such that all the requirements specified in the relevant provisions of these Regulations and in the applicable certificates of approval have been fulfilled.</w:t>
      </w:r>
      <w:bookmarkEnd w:id="0"/>
      <w:bookmarkEnd w:id="1"/>
      <w:r w:rsidRPr="007D36A1">
        <w:rPr>
          <w:lang w:val="en-GB"/>
        </w:rPr>
        <w:t xml:space="preserve"> “ </w:t>
      </w:r>
    </w:p>
    <w:p w14:paraId="6966B54D" w14:textId="77777777" w:rsidR="004C22C9" w:rsidRPr="007D36A1" w:rsidRDefault="00D62F29" w:rsidP="008641F7">
      <w:pPr>
        <w:pStyle w:val="SingleTxtG"/>
        <w:tabs>
          <w:tab w:val="left" w:pos="2268"/>
        </w:tabs>
        <w:rPr>
          <w:i/>
          <w:lang w:val="en-GB"/>
        </w:rPr>
      </w:pPr>
      <w:r w:rsidRPr="007D36A1">
        <w:rPr>
          <w:i/>
          <w:lang w:val="en-GB"/>
        </w:rPr>
        <w:t>[IAEA: 503]</w:t>
      </w:r>
    </w:p>
    <w:p w14:paraId="24462F74" w14:textId="77777777" w:rsidR="00234C20" w:rsidRPr="007D36A1" w:rsidRDefault="000B042A" w:rsidP="008641F7">
      <w:pPr>
        <w:pStyle w:val="SingleTxtG"/>
        <w:tabs>
          <w:tab w:val="left" w:pos="2268"/>
        </w:tabs>
        <w:rPr>
          <w:lang w:val="en-GB"/>
        </w:rPr>
      </w:pPr>
      <w:r w:rsidRPr="007D36A1">
        <w:rPr>
          <w:lang w:val="en-GB"/>
        </w:rPr>
        <w:t>4.1.9.2.4</w:t>
      </w:r>
      <w:r w:rsidR="00234C20" w:rsidRPr="007D36A1">
        <w:rPr>
          <w:lang w:val="en-GB"/>
        </w:rPr>
        <w:tab/>
      </w:r>
      <w:r w:rsidR="003A5740" w:rsidRPr="007D36A1">
        <w:rPr>
          <w:lang w:val="en-GB"/>
        </w:rPr>
        <w:t>In the introductory sentence, replace “and SCO-I” by “, SCO-I and SCO-III”. Add the following new sub-paragraph (e):</w:t>
      </w:r>
    </w:p>
    <w:p w14:paraId="33973EDF" w14:textId="77777777" w:rsidR="000B042A" w:rsidRPr="007D36A1" w:rsidRDefault="003A5740" w:rsidP="008641F7">
      <w:pPr>
        <w:pStyle w:val="SingleTxtG"/>
        <w:tabs>
          <w:tab w:val="left" w:pos="2268"/>
        </w:tabs>
        <w:rPr>
          <w:lang w:val="en-GB"/>
        </w:rPr>
      </w:pPr>
      <w:r w:rsidRPr="007D36A1">
        <w:rPr>
          <w:lang w:val="en-GB"/>
        </w:rPr>
        <w:t>“(e)</w:t>
      </w:r>
      <w:r w:rsidRPr="007D36A1">
        <w:rPr>
          <w:lang w:val="en-GB"/>
        </w:rPr>
        <w:tab/>
      </w:r>
      <w:r w:rsidR="000B042A" w:rsidRPr="007D36A1">
        <w:rPr>
          <w:lang w:val="en-GB"/>
        </w:rPr>
        <w:t xml:space="preserve">For SCO-III; </w:t>
      </w:r>
    </w:p>
    <w:p w14:paraId="4C53C0A9" w14:textId="77777777" w:rsidR="009E4C83" w:rsidRPr="007D36A1" w:rsidRDefault="00113E21" w:rsidP="007D36A1">
      <w:pPr>
        <w:pStyle w:val="SingleTxtG"/>
        <w:tabs>
          <w:tab w:val="left" w:pos="2268"/>
        </w:tabs>
        <w:ind w:left="2268"/>
        <w:rPr>
          <w:lang w:val="en-GB"/>
        </w:rPr>
      </w:pPr>
      <w:r w:rsidRPr="007D36A1">
        <w:rPr>
          <w:lang w:val="en-GB"/>
        </w:rPr>
        <w:t>(</w:t>
      </w:r>
      <w:proofErr w:type="spellStart"/>
      <w:r w:rsidRPr="007D36A1">
        <w:rPr>
          <w:lang w:val="en-GB"/>
        </w:rPr>
        <w:t>i</w:t>
      </w:r>
      <w:proofErr w:type="spellEnd"/>
      <w:r w:rsidRPr="007D36A1">
        <w:rPr>
          <w:lang w:val="en-GB"/>
        </w:rPr>
        <w:t>)</w:t>
      </w:r>
      <w:r w:rsidR="003A5740" w:rsidRPr="007D36A1">
        <w:rPr>
          <w:lang w:val="en-GB"/>
        </w:rPr>
        <w:tab/>
      </w:r>
      <w:r w:rsidR="000B042A" w:rsidRPr="007D36A1">
        <w:rPr>
          <w:lang w:val="en-GB"/>
        </w:rPr>
        <w:t xml:space="preserve">Transport shall be under exclusive use by road, rail, inland waterway or sea; </w:t>
      </w:r>
    </w:p>
    <w:p w14:paraId="4412F075" w14:textId="77777777" w:rsidR="009E4C83" w:rsidRPr="007D36A1" w:rsidRDefault="00113E21" w:rsidP="007D36A1">
      <w:pPr>
        <w:pStyle w:val="SingleTxtG"/>
        <w:tabs>
          <w:tab w:val="left" w:pos="2268"/>
        </w:tabs>
        <w:ind w:left="2268"/>
        <w:rPr>
          <w:lang w:val="en-GB"/>
        </w:rPr>
      </w:pPr>
      <w:r w:rsidRPr="007D36A1">
        <w:rPr>
          <w:lang w:val="en-GB"/>
        </w:rPr>
        <w:t>(ii)</w:t>
      </w:r>
      <w:r w:rsidR="003A5740" w:rsidRPr="007D36A1">
        <w:rPr>
          <w:lang w:val="en-GB"/>
        </w:rPr>
        <w:tab/>
      </w:r>
      <w:r w:rsidR="000B042A" w:rsidRPr="007D36A1">
        <w:rPr>
          <w:lang w:val="en-GB"/>
        </w:rPr>
        <w:t xml:space="preserve">Stacking shall not be permitted; </w:t>
      </w:r>
    </w:p>
    <w:p w14:paraId="259F82E9" w14:textId="77777777" w:rsidR="009E4C83" w:rsidRPr="007D36A1" w:rsidRDefault="00113E21" w:rsidP="007D36A1">
      <w:pPr>
        <w:pStyle w:val="SingleTxtG"/>
        <w:tabs>
          <w:tab w:val="left" w:pos="2268"/>
        </w:tabs>
        <w:ind w:left="2268"/>
        <w:rPr>
          <w:lang w:val="en-GB"/>
        </w:rPr>
      </w:pPr>
      <w:r w:rsidRPr="007D36A1">
        <w:rPr>
          <w:lang w:val="en-GB"/>
        </w:rPr>
        <w:t>(iii)</w:t>
      </w:r>
      <w:r w:rsidR="003A5740" w:rsidRPr="007D36A1">
        <w:rPr>
          <w:lang w:val="en-GB"/>
        </w:rPr>
        <w:tab/>
      </w:r>
      <w:r w:rsidR="000B042A" w:rsidRPr="007D36A1">
        <w:rPr>
          <w:lang w:val="en-GB"/>
        </w:rPr>
        <w:t xml:space="preserve">All activities associated with the shipment, including radiation protection, emergency response and any special precautions or special administrative or operational controls that are to be employed during transport shall be described in a transport plan. The transport plan shall demonstrate that the overall level of safety in transport is at least equivalent to that which would be provided if the requirements of </w:t>
      </w:r>
      <w:r w:rsidR="005D12E1" w:rsidRPr="007D36A1">
        <w:rPr>
          <w:lang w:val="en-GB"/>
        </w:rPr>
        <w:t xml:space="preserve">6.4.7.14 </w:t>
      </w:r>
      <w:r w:rsidR="000B042A" w:rsidRPr="007D36A1">
        <w:rPr>
          <w:lang w:val="en-GB"/>
        </w:rPr>
        <w:t xml:space="preserve">(only for the test specified in </w:t>
      </w:r>
      <w:r w:rsidR="005D12E1" w:rsidRPr="007D36A1">
        <w:rPr>
          <w:lang w:val="en-GB"/>
        </w:rPr>
        <w:t>6.4.15.6</w:t>
      </w:r>
      <w:r w:rsidR="00622268" w:rsidRPr="007D36A1">
        <w:rPr>
          <w:lang w:val="en-GB"/>
        </w:rPr>
        <w:t xml:space="preserve">, </w:t>
      </w:r>
      <w:r w:rsidR="000B042A" w:rsidRPr="007D36A1">
        <w:rPr>
          <w:lang w:val="en-GB"/>
        </w:rPr>
        <w:t>preceded by the tests specified in</w:t>
      </w:r>
      <w:r w:rsidR="005D12E1" w:rsidRPr="007D36A1">
        <w:rPr>
          <w:lang w:val="en-GB"/>
        </w:rPr>
        <w:t xml:space="preserve"> 6.4.15.2 and 6.4.15.3</w:t>
      </w:r>
      <w:r w:rsidR="000B042A" w:rsidRPr="007D36A1">
        <w:rPr>
          <w:lang w:val="en-GB"/>
        </w:rPr>
        <w:t xml:space="preserve"> had been met.</w:t>
      </w:r>
    </w:p>
    <w:p w14:paraId="736DE647" w14:textId="77777777" w:rsidR="009E4C83" w:rsidRPr="007D36A1" w:rsidRDefault="00113E21" w:rsidP="007D36A1">
      <w:pPr>
        <w:pStyle w:val="SingleTxtG"/>
        <w:tabs>
          <w:tab w:val="left" w:pos="2268"/>
        </w:tabs>
        <w:ind w:left="2268"/>
        <w:rPr>
          <w:lang w:val="en-GB"/>
        </w:rPr>
      </w:pPr>
      <w:r w:rsidRPr="007D36A1">
        <w:rPr>
          <w:lang w:val="en-GB"/>
        </w:rPr>
        <w:t>(iv)</w:t>
      </w:r>
      <w:r w:rsidR="003A5740" w:rsidRPr="007D36A1">
        <w:rPr>
          <w:lang w:val="en-GB"/>
        </w:rPr>
        <w:tab/>
      </w:r>
      <w:r w:rsidR="000B042A" w:rsidRPr="007D36A1">
        <w:rPr>
          <w:lang w:val="en-GB"/>
        </w:rPr>
        <w:t xml:space="preserve">The requirements of </w:t>
      </w:r>
      <w:r w:rsidR="005D12E1" w:rsidRPr="007D36A1">
        <w:rPr>
          <w:lang w:val="en-GB"/>
        </w:rPr>
        <w:t xml:space="preserve">6.4.5.1 </w:t>
      </w:r>
      <w:r w:rsidR="00A15530" w:rsidRPr="007D36A1">
        <w:rPr>
          <w:lang w:val="en-GB"/>
        </w:rPr>
        <w:t xml:space="preserve">and 6.4.5.2 </w:t>
      </w:r>
      <w:r w:rsidR="000B042A" w:rsidRPr="007D36A1">
        <w:rPr>
          <w:lang w:val="en-GB"/>
        </w:rPr>
        <w:t>for a Type IP-2 package shall be satisfied, except that the maximum damage referred to in</w:t>
      </w:r>
      <w:r w:rsidR="00A15530" w:rsidRPr="007D36A1">
        <w:rPr>
          <w:lang w:val="en-GB"/>
        </w:rPr>
        <w:t xml:space="preserve"> 6.4.15.4 </w:t>
      </w:r>
      <w:r w:rsidR="000B042A" w:rsidRPr="007D36A1">
        <w:rPr>
          <w:lang w:val="en-GB"/>
        </w:rPr>
        <w:t xml:space="preserve">may be </w:t>
      </w:r>
      <w:r w:rsidR="000B042A" w:rsidRPr="007D36A1">
        <w:rPr>
          <w:lang w:val="en-GB"/>
        </w:rPr>
        <w:lastRenderedPageBreak/>
        <w:t>determined based on provisions in the transport plan, and the requirements of</w:t>
      </w:r>
      <w:r w:rsidR="00A15530" w:rsidRPr="007D36A1">
        <w:rPr>
          <w:lang w:val="en-GB"/>
        </w:rPr>
        <w:t xml:space="preserve">6.4.15.5 </w:t>
      </w:r>
      <w:r w:rsidR="000B042A" w:rsidRPr="007D36A1">
        <w:rPr>
          <w:lang w:val="en-GB"/>
        </w:rPr>
        <w:t xml:space="preserve">are not applicable. </w:t>
      </w:r>
    </w:p>
    <w:p w14:paraId="5A28367D" w14:textId="5B30AFB5" w:rsidR="000B042A" w:rsidRPr="007D36A1" w:rsidRDefault="00113E21" w:rsidP="007D36A1">
      <w:pPr>
        <w:pStyle w:val="SingleTxtG"/>
        <w:tabs>
          <w:tab w:val="left" w:pos="2268"/>
        </w:tabs>
        <w:ind w:left="2268"/>
        <w:rPr>
          <w:lang w:val="en-GB"/>
        </w:rPr>
      </w:pPr>
      <w:r w:rsidRPr="007D36A1">
        <w:rPr>
          <w:lang w:val="en-GB"/>
        </w:rPr>
        <w:t>(v)</w:t>
      </w:r>
      <w:r w:rsidR="003A5740" w:rsidRPr="007D36A1">
        <w:rPr>
          <w:lang w:val="en-GB"/>
        </w:rPr>
        <w:tab/>
      </w:r>
      <w:r w:rsidR="000B042A" w:rsidRPr="007D36A1">
        <w:rPr>
          <w:lang w:val="en-GB"/>
        </w:rPr>
        <w:t xml:space="preserve">The object and any shielding are secured to the conveyance in accordance with </w:t>
      </w:r>
      <w:r w:rsidR="00A15530" w:rsidRPr="007D36A1">
        <w:rPr>
          <w:lang w:val="en-GB"/>
        </w:rPr>
        <w:t>6.4.</w:t>
      </w:r>
      <w:r w:rsidR="00280F3E">
        <w:rPr>
          <w:lang w:val="en-GB"/>
        </w:rPr>
        <w:t>2.1</w:t>
      </w:r>
      <w:r w:rsidR="00622268" w:rsidRPr="007D36A1">
        <w:rPr>
          <w:lang w:val="en-GB"/>
        </w:rPr>
        <w:t>.</w:t>
      </w:r>
    </w:p>
    <w:p w14:paraId="53BF4DA0" w14:textId="77777777" w:rsidR="00234C20" w:rsidRPr="007D36A1" w:rsidRDefault="00113E21" w:rsidP="007D36A1">
      <w:pPr>
        <w:pStyle w:val="SingleTxtG"/>
        <w:tabs>
          <w:tab w:val="left" w:pos="2268"/>
        </w:tabs>
        <w:ind w:left="2268"/>
        <w:rPr>
          <w:lang w:val="en-GB"/>
        </w:rPr>
      </w:pPr>
      <w:r w:rsidRPr="007D36A1">
        <w:rPr>
          <w:lang w:val="en-GB"/>
        </w:rPr>
        <w:t>(vi)</w:t>
      </w:r>
      <w:r w:rsidR="003A5740" w:rsidRPr="007D36A1">
        <w:rPr>
          <w:lang w:val="en-GB"/>
        </w:rPr>
        <w:tab/>
      </w:r>
      <w:r w:rsidR="000B042A" w:rsidRPr="007D36A1">
        <w:rPr>
          <w:lang w:val="en-GB"/>
        </w:rPr>
        <w:t>The shipment shall be su</w:t>
      </w:r>
      <w:r w:rsidR="003A5740" w:rsidRPr="007D36A1">
        <w:rPr>
          <w:lang w:val="en-GB"/>
        </w:rPr>
        <w:t>bject to multilateral approval.”.</w:t>
      </w:r>
    </w:p>
    <w:p w14:paraId="6D11C266" w14:textId="77777777" w:rsidR="00234C20" w:rsidRPr="007D36A1" w:rsidRDefault="00234C20" w:rsidP="008641F7">
      <w:pPr>
        <w:pStyle w:val="SingleTxtG"/>
        <w:tabs>
          <w:tab w:val="left" w:pos="2268"/>
        </w:tabs>
        <w:rPr>
          <w:i/>
          <w:lang w:val="en-GB"/>
        </w:rPr>
      </w:pPr>
      <w:r w:rsidRPr="007D36A1">
        <w:rPr>
          <w:i/>
          <w:lang w:val="en-GB"/>
        </w:rPr>
        <w:t xml:space="preserve">[IAEA: </w:t>
      </w:r>
      <w:r w:rsidR="000B042A" w:rsidRPr="007D36A1">
        <w:rPr>
          <w:i/>
          <w:lang w:val="en-GB"/>
        </w:rPr>
        <w:t>520</w:t>
      </w:r>
      <w:r w:rsidRPr="007D36A1">
        <w:rPr>
          <w:i/>
          <w:lang w:val="en-GB"/>
        </w:rPr>
        <w:t>]</w:t>
      </w:r>
    </w:p>
    <w:p w14:paraId="5D5BA3A3" w14:textId="61DDAA92" w:rsidR="00E42DB6" w:rsidRPr="007D36A1" w:rsidRDefault="00D23266" w:rsidP="00DA4D16">
      <w:pPr>
        <w:pStyle w:val="H1G"/>
      </w:pPr>
      <w:r>
        <w:tab/>
      </w:r>
      <w:r>
        <w:tab/>
      </w:r>
      <w:r w:rsidR="00E42DB6" w:rsidRPr="007D36A1">
        <w:t>Chapter 5.1</w:t>
      </w:r>
    </w:p>
    <w:p w14:paraId="1FA1834D" w14:textId="77777777" w:rsidR="00B31A40" w:rsidRPr="007D36A1" w:rsidRDefault="00B31A40" w:rsidP="008641F7">
      <w:pPr>
        <w:pStyle w:val="SingleTxtG"/>
        <w:tabs>
          <w:tab w:val="left" w:pos="2268"/>
        </w:tabs>
        <w:rPr>
          <w:lang w:val="en-GB"/>
        </w:rPr>
      </w:pPr>
      <w:r w:rsidRPr="007D36A1">
        <w:rPr>
          <w:lang w:val="en-GB"/>
        </w:rPr>
        <w:t>5.1.5.1.2</w:t>
      </w:r>
      <w:r w:rsidR="00234C20" w:rsidRPr="007D36A1">
        <w:rPr>
          <w:lang w:val="en-GB"/>
        </w:rPr>
        <w:tab/>
      </w:r>
      <w:r w:rsidRPr="007D36A1">
        <w:rPr>
          <w:lang w:val="en-GB"/>
        </w:rPr>
        <w:t xml:space="preserve">Add additional </w:t>
      </w:r>
      <w:r w:rsidR="00F672EF" w:rsidRPr="007D36A1">
        <w:rPr>
          <w:lang w:val="en-GB"/>
        </w:rPr>
        <w:t>sub-paragraph</w:t>
      </w:r>
      <w:r w:rsidRPr="007D36A1">
        <w:rPr>
          <w:lang w:val="en-GB"/>
        </w:rPr>
        <w:t xml:space="preserve"> (e):</w:t>
      </w:r>
    </w:p>
    <w:p w14:paraId="1236E7B5" w14:textId="0D4CDD02" w:rsidR="00234C20" w:rsidRPr="007D36A1" w:rsidRDefault="00B31A40" w:rsidP="008641F7">
      <w:pPr>
        <w:pStyle w:val="SingleTxtG"/>
        <w:tabs>
          <w:tab w:val="left" w:pos="2268"/>
        </w:tabs>
        <w:rPr>
          <w:lang w:val="en-GB"/>
        </w:rPr>
      </w:pPr>
      <w:r w:rsidRPr="007D36A1">
        <w:rPr>
          <w:lang w:val="en-GB"/>
        </w:rPr>
        <w:t xml:space="preserve">“(e) </w:t>
      </w:r>
      <w:r w:rsidR="007D36A1" w:rsidRPr="007D36A1">
        <w:rPr>
          <w:lang w:val="en-GB"/>
        </w:rPr>
        <w:tab/>
      </w:r>
      <w:r w:rsidRPr="007D36A1">
        <w:rPr>
          <w:lang w:val="en-GB"/>
        </w:rPr>
        <w:t>The shipment of SCO-III.”</w:t>
      </w:r>
      <w:r w:rsidR="002F303D" w:rsidRPr="007D36A1">
        <w:rPr>
          <w:lang w:val="en-GB"/>
        </w:rPr>
        <w:t>.</w:t>
      </w:r>
    </w:p>
    <w:p w14:paraId="71D1EBD6" w14:textId="7EE95721" w:rsidR="002F303D" w:rsidRPr="007D36A1" w:rsidRDefault="007D36A1" w:rsidP="008641F7">
      <w:pPr>
        <w:pStyle w:val="SingleTxtG"/>
        <w:tabs>
          <w:tab w:val="left" w:pos="2268"/>
        </w:tabs>
        <w:rPr>
          <w:lang w:val="en-GB"/>
        </w:rPr>
      </w:pPr>
      <w:r w:rsidRPr="007D36A1">
        <w:rPr>
          <w:lang w:val="en-GB"/>
        </w:rPr>
        <w:tab/>
      </w:r>
      <w:r w:rsidR="002F303D" w:rsidRPr="007D36A1">
        <w:rPr>
          <w:lang w:val="en-GB"/>
        </w:rPr>
        <w:t>Transfer the “and” from the end of sub-paragraph (c) to the end of sub-paragraph (d).</w:t>
      </w:r>
    </w:p>
    <w:p w14:paraId="13379012" w14:textId="1B0E6930" w:rsidR="004C22C9" w:rsidRPr="007D36A1" w:rsidRDefault="00234C20" w:rsidP="008641F7">
      <w:pPr>
        <w:pStyle w:val="SingleTxtG"/>
        <w:tabs>
          <w:tab w:val="left" w:pos="2268"/>
        </w:tabs>
        <w:rPr>
          <w:i/>
          <w:lang w:val="en-GB"/>
        </w:rPr>
      </w:pPr>
      <w:r w:rsidRPr="007D36A1">
        <w:rPr>
          <w:i/>
          <w:lang w:val="en-GB"/>
        </w:rPr>
        <w:t xml:space="preserve">[IAEA: </w:t>
      </w:r>
      <w:r w:rsidR="00B31A40" w:rsidRPr="007D36A1">
        <w:rPr>
          <w:i/>
          <w:lang w:val="en-GB"/>
        </w:rPr>
        <w:t>825</w:t>
      </w:r>
      <w:r w:rsidRPr="007D36A1">
        <w:rPr>
          <w:i/>
          <w:lang w:val="en-GB"/>
        </w:rPr>
        <w:t>]</w:t>
      </w:r>
    </w:p>
    <w:p w14:paraId="559EBDF5" w14:textId="77777777" w:rsidR="00345311" w:rsidRPr="007D36A1" w:rsidRDefault="00C252AB" w:rsidP="008641F7">
      <w:pPr>
        <w:pStyle w:val="SingleTxtG"/>
        <w:tabs>
          <w:tab w:val="left" w:pos="2268"/>
        </w:tabs>
        <w:rPr>
          <w:lang w:val="en-GB"/>
        </w:rPr>
      </w:pPr>
      <w:r w:rsidRPr="007D36A1">
        <w:rPr>
          <w:lang w:val="en-GB"/>
        </w:rPr>
        <w:t>5.1.5.1.4 (b)</w:t>
      </w:r>
      <w:r w:rsidR="00234C20" w:rsidRPr="007D36A1">
        <w:rPr>
          <w:lang w:val="en-GB"/>
        </w:rPr>
        <w:tab/>
      </w:r>
      <w:r w:rsidR="00345311" w:rsidRPr="007D36A1">
        <w:rPr>
          <w:lang w:val="en-GB"/>
        </w:rPr>
        <w:t>At the end, replace “in the hands” by “in the possession”.</w:t>
      </w:r>
    </w:p>
    <w:p w14:paraId="45EA3B6B" w14:textId="77777777" w:rsidR="004C22C9" w:rsidRPr="007D36A1" w:rsidRDefault="00234C20" w:rsidP="008641F7">
      <w:pPr>
        <w:pStyle w:val="SingleTxtG"/>
        <w:tabs>
          <w:tab w:val="left" w:pos="2268"/>
        </w:tabs>
        <w:rPr>
          <w:i/>
          <w:lang w:val="en-GB"/>
        </w:rPr>
      </w:pPr>
      <w:r w:rsidRPr="007D36A1">
        <w:rPr>
          <w:i/>
          <w:lang w:val="en-GB"/>
        </w:rPr>
        <w:t xml:space="preserve">[IAEA: </w:t>
      </w:r>
      <w:r w:rsidR="00C252AB" w:rsidRPr="007D36A1">
        <w:rPr>
          <w:i/>
          <w:lang w:val="en-GB"/>
        </w:rPr>
        <w:t>558</w:t>
      </w:r>
      <w:r w:rsidR="009F1EFF" w:rsidRPr="007D36A1">
        <w:rPr>
          <w:i/>
          <w:lang w:val="en-GB"/>
        </w:rPr>
        <w:t>]</w:t>
      </w:r>
    </w:p>
    <w:p w14:paraId="45F6426D" w14:textId="77777777" w:rsidR="00E42DB6" w:rsidRPr="007D36A1" w:rsidRDefault="00BA7BEF" w:rsidP="008641F7">
      <w:pPr>
        <w:pStyle w:val="SingleTxtG"/>
        <w:tabs>
          <w:tab w:val="left" w:pos="2268"/>
        </w:tabs>
        <w:rPr>
          <w:lang w:val="en-GB"/>
        </w:rPr>
      </w:pPr>
      <w:r w:rsidRPr="007D36A1">
        <w:rPr>
          <w:lang w:val="en-GB"/>
        </w:rPr>
        <w:t>5.1.5.3.1</w:t>
      </w:r>
      <w:r w:rsidR="00E42DB6" w:rsidRPr="007D36A1">
        <w:rPr>
          <w:lang w:val="en-GB"/>
        </w:rPr>
        <w:tab/>
      </w:r>
      <w:r w:rsidR="00345311" w:rsidRPr="007D36A1">
        <w:rPr>
          <w:lang w:val="en-GB"/>
        </w:rPr>
        <w:t>In the introductory sentence, replace “or SCO-I” by “SCO-I or SCO-III”. In (a), replace “radiation level” by “dose rate” (twice) and replace “and SCO-I” by “, SCO-I or SCO-III”. In (b) replace “and SCO-I” by “, SCO-I and SCO-III”. At the end of (c), add “</w:t>
      </w:r>
      <w:r w:rsidRPr="007D36A1">
        <w:rPr>
          <w:lang w:val="en-GB"/>
        </w:rPr>
        <w:t xml:space="preserve">and the resulting number is the </w:t>
      </w:r>
      <w:r w:rsidRPr="007D36A1">
        <w:rPr>
          <w:i/>
          <w:lang w:val="en-GB"/>
        </w:rPr>
        <w:t>TI</w:t>
      </w:r>
      <w:r w:rsidRPr="007D36A1">
        <w:rPr>
          <w:lang w:val="en-GB"/>
        </w:rPr>
        <w:t xml:space="preserve"> value (without unit)</w:t>
      </w:r>
      <w:r w:rsidR="00F82B22" w:rsidRPr="007D36A1">
        <w:rPr>
          <w:lang w:val="en-GB"/>
        </w:rPr>
        <w:t>.</w:t>
      </w:r>
      <w:r w:rsidR="00345311" w:rsidRPr="007D36A1">
        <w:rPr>
          <w:lang w:val="en-GB"/>
        </w:rPr>
        <w:t>”.</w:t>
      </w:r>
    </w:p>
    <w:p w14:paraId="135F1F2D" w14:textId="77777777" w:rsidR="00E42DB6" w:rsidRPr="007D36A1" w:rsidRDefault="00E42DB6" w:rsidP="008641F7">
      <w:pPr>
        <w:pStyle w:val="SingleTxtG"/>
        <w:tabs>
          <w:tab w:val="left" w:pos="2268"/>
        </w:tabs>
        <w:rPr>
          <w:i/>
          <w:lang w:val="en-GB"/>
        </w:rPr>
      </w:pPr>
      <w:r w:rsidRPr="007D36A1">
        <w:rPr>
          <w:i/>
          <w:lang w:val="en-GB"/>
        </w:rPr>
        <w:t xml:space="preserve">[IAEA: </w:t>
      </w:r>
      <w:r w:rsidR="00BA7BEF" w:rsidRPr="007D36A1">
        <w:rPr>
          <w:i/>
          <w:lang w:val="en-GB"/>
        </w:rPr>
        <w:t>523</w:t>
      </w:r>
      <w:r w:rsidRPr="007D36A1">
        <w:rPr>
          <w:i/>
          <w:lang w:val="en-GB"/>
        </w:rPr>
        <w:t>]</w:t>
      </w:r>
    </w:p>
    <w:p w14:paraId="433BB114" w14:textId="7398995A" w:rsidR="00113E21" w:rsidRPr="007D36A1" w:rsidRDefault="00113E21" w:rsidP="008641F7">
      <w:pPr>
        <w:pStyle w:val="SingleTxtG"/>
        <w:tabs>
          <w:tab w:val="left" w:pos="2268"/>
        </w:tabs>
        <w:rPr>
          <w:bCs/>
          <w:lang w:val="en-GB"/>
        </w:rPr>
      </w:pPr>
      <w:r w:rsidRPr="007D36A1">
        <w:rPr>
          <w:bCs/>
          <w:lang w:val="en-GB"/>
        </w:rPr>
        <w:t xml:space="preserve">Table 5.1.5.3.1 </w:t>
      </w:r>
      <w:r w:rsidR="007D36A1" w:rsidRPr="007D36A1">
        <w:rPr>
          <w:bCs/>
          <w:lang w:val="en-GB"/>
        </w:rPr>
        <w:tab/>
      </w:r>
      <w:r w:rsidR="00567CE8" w:rsidRPr="007D36A1">
        <w:rPr>
          <w:bCs/>
          <w:lang w:val="en-GB"/>
        </w:rPr>
        <w:t xml:space="preserve">In </w:t>
      </w:r>
      <w:r w:rsidRPr="007D36A1">
        <w:rPr>
          <w:bCs/>
          <w:lang w:val="en-GB"/>
        </w:rPr>
        <w:t xml:space="preserve">the title </w:t>
      </w:r>
      <w:r w:rsidR="00567CE8" w:rsidRPr="007D36A1">
        <w:rPr>
          <w:bCs/>
          <w:lang w:val="en-GB"/>
        </w:rPr>
        <w:t>replace “and SCO-I” by “, SCO-I and SCO-III”.</w:t>
      </w:r>
    </w:p>
    <w:p w14:paraId="64051ACA" w14:textId="7DA11868" w:rsidR="007A3F9B" w:rsidRPr="007D36A1" w:rsidRDefault="009F1EFF" w:rsidP="008641F7">
      <w:pPr>
        <w:pStyle w:val="SingleTxtG"/>
        <w:tabs>
          <w:tab w:val="left" w:pos="2268"/>
        </w:tabs>
        <w:rPr>
          <w:i/>
          <w:lang w:val="en-GB"/>
        </w:rPr>
      </w:pPr>
      <w:r w:rsidRPr="007D36A1">
        <w:rPr>
          <w:i/>
          <w:lang w:val="en-GB"/>
        </w:rPr>
        <w:t>[IAEA: Table 7]</w:t>
      </w:r>
    </w:p>
    <w:p w14:paraId="32E19F02" w14:textId="77777777" w:rsidR="00BA7BEF" w:rsidRPr="007D36A1" w:rsidRDefault="00D14E04" w:rsidP="008641F7">
      <w:pPr>
        <w:pStyle w:val="SingleTxtG"/>
        <w:tabs>
          <w:tab w:val="left" w:pos="2268"/>
        </w:tabs>
        <w:rPr>
          <w:lang w:val="en-GB"/>
        </w:rPr>
      </w:pPr>
      <w:r w:rsidRPr="007D36A1">
        <w:rPr>
          <w:lang w:val="en-GB"/>
        </w:rPr>
        <w:t>5.1.5.3.2</w:t>
      </w:r>
      <w:r w:rsidR="00BA7BEF" w:rsidRPr="007D36A1">
        <w:rPr>
          <w:lang w:val="en-GB"/>
        </w:rPr>
        <w:tab/>
        <w:t>Amend to read as follows:</w:t>
      </w:r>
    </w:p>
    <w:p w14:paraId="149DF196" w14:textId="77777777" w:rsidR="00DD4D09" w:rsidRPr="007D36A1" w:rsidRDefault="00BA7BEF" w:rsidP="008641F7">
      <w:pPr>
        <w:pStyle w:val="SingleTxtG"/>
        <w:tabs>
          <w:tab w:val="left" w:pos="2268"/>
        </w:tabs>
        <w:rPr>
          <w:lang w:val="en-GB"/>
        </w:rPr>
      </w:pPr>
      <w:r w:rsidRPr="007D36A1">
        <w:rPr>
          <w:lang w:val="en-GB"/>
        </w:rPr>
        <w:t>“</w:t>
      </w:r>
      <w:r w:rsidR="00D14E04" w:rsidRPr="007D36A1">
        <w:rPr>
          <w:lang w:val="en-GB"/>
        </w:rPr>
        <w:t xml:space="preserve">The TI for each </w:t>
      </w:r>
      <w:r w:rsidR="007A3F9B" w:rsidRPr="007D36A1">
        <w:rPr>
          <w:lang w:val="en-GB"/>
        </w:rPr>
        <w:t xml:space="preserve">rigid </w:t>
      </w:r>
      <w:r w:rsidR="00D14E04" w:rsidRPr="007D36A1">
        <w:rPr>
          <w:lang w:val="en-GB"/>
        </w:rPr>
        <w:t xml:space="preserve">overpack, freight container or conveyance shall be determined as the sum of the TIs of all the packages contained therein. For a shipment from a single consignor, the consignor may determine the TI by direct measurement of dose rate. </w:t>
      </w:r>
    </w:p>
    <w:p w14:paraId="0A49C383" w14:textId="633AD3DD" w:rsidR="00BA7BEF" w:rsidRPr="007D36A1" w:rsidRDefault="00DD4D09" w:rsidP="008641F7">
      <w:pPr>
        <w:pStyle w:val="SingleTxtG"/>
        <w:tabs>
          <w:tab w:val="left" w:pos="2268"/>
        </w:tabs>
        <w:rPr>
          <w:lang w:val="en-GB"/>
        </w:rPr>
      </w:pPr>
      <w:r w:rsidRPr="007D36A1">
        <w:rPr>
          <w:lang w:val="en-GB"/>
        </w:rPr>
        <w:t>The TI for a non-rigid overpack shall be determined only as the sum of the TIs of all th</w:t>
      </w:r>
      <w:r w:rsidR="007D36A1" w:rsidRPr="007D36A1">
        <w:rPr>
          <w:lang w:val="en-GB"/>
        </w:rPr>
        <w:t>e packages within the overpack.”.</w:t>
      </w:r>
    </w:p>
    <w:p w14:paraId="4ADE3F06" w14:textId="77777777" w:rsidR="00DD4D09" w:rsidRPr="007D36A1" w:rsidRDefault="00BA7BEF" w:rsidP="008641F7">
      <w:pPr>
        <w:pStyle w:val="SingleTxtG"/>
        <w:tabs>
          <w:tab w:val="left" w:pos="2268"/>
        </w:tabs>
        <w:rPr>
          <w:i/>
          <w:lang w:val="en-GB"/>
        </w:rPr>
      </w:pPr>
      <w:r w:rsidRPr="007D36A1">
        <w:rPr>
          <w:i/>
          <w:lang w:val="en-GB"/>
        </w:rPr>
        <w:t xml:space="preserve">[IAEA: </w:t>
      </w:r>
      <w:r w:rsidR="00D14E04" w:rsidRPr="007D36A1">
        <w:rPr>
          <w:i/>
          <w:lang w:val="en-GB"/>
        </w:rPr>
        <w:t>524</w:t>
      </w:r>
      <w:r w:rsidR="00DD4D09" w:rsidRPr="007D36A1">
        <w:rPr>
          <w:i/>
          <w:lang w:val="en-GB"/>
        </w:rPr>
        <w:t>and 524A</w:t>
      </w:r>
      <w:r w:rsidR="009F1EFF" w:rsidRPr="007D36A1">
        <w:rPr>
          <w:i/>
          <w:lang w:val="en-GB"/>
        </w:rPr>
        <w:t>]</w:t>
      </w:r>
    </w:p>
    <w:p w14:paraId="4B249921" w14:textId="77777777" w:rsidR="00BA7BEF" w:rsidRPr="007D36A1" w:rsidRDefault="00D14E04" w:rsidP="008641F7">
      <w:pPr>
        <w:pStyle w:val="SingleTxtG"/>
        <w:tabs>
          <w:tab w:val="left" w:pos="2268"/>
        </w:tabs>
        <w:rPr>
          <w:lang w:val="en-GB"/>
        </w:rPr>
      </w:pPr>
      <w:r w:rsidRPr="007D36A1">
        <w:rPr>
          <w:lang w:val="en-GB"/>
        </w:rPr>
        <w:t>5.1.5.3.4</w:t>
      </w:r>
      <w:r w:rsidR="00BA7BEF" w:rsidRPr="007D36A1">
        <w:rPr>
          <w:lang w:val="en-GB"/>
        </w:rPr>
        <w:tab/>
      </w:r>
      <w:r w:rsidR="009615AA" w:rsidRPr="007D36A1">
        <w:rPr>
          <w:lang w:val="en-GB"/>
        </w:rPr>
        <w:t>In</w:t>
      </w:r>
      <w:r w:rsidRPr="007D36A1">
        <w:rPr>
          <w:lang w:val="en-GB"/>
        </w:rPr>
        <w:t xml:space="preserve"> (b) </w:t>
      </w:r>
      <w:r w:rsidR="009615AA" w:rsidRPr="007D36A1">
        <w:rPr>
          <w:lang w:val="en-GB"/>
        </w:rPr>
        <w:t>replace “transport index” by “TI”.</w:t>
      </w:r>
    </w:p>
    <w:p w14:paraId="5613598F" w14:textId="77777777" w:rsidR="00BA7BEF" w:rsidRPr="007D36A1" w:rsidRDefault="00BA7BEF" w:rsidP="008641F7">
      <w:pPr>
        <w:pStyle w:val="SingleTxtG"/>
        <w:tabs>
          <w:tab w:val="left" w:pos="2268"/>
        </w:tabs>
        <w:rPr>
          <w:i/>
          <w:lang w:val="en-GB"/>
        </w:rPr>
      </w:pPr>
      <w:r w:rsidRPr="007D36A1">
        <w:rPr>
          <w:i/>
          <w:lang w:val="en-GB"/>
        </w:rPr>
        <w:t xml:space="preserve">[IAEA: </w:t>
      </w:r>
      <w:r w:rsidR="00D14E04" w:rsidRPr="007D36A1">
        <w:rPr>
          <w:i/>
          <w:lang w:val="en-GB"/>
        </w:rPr>
        <w:t>529</w:t>
      </w:r>
      <w:r w:rsidRPr="007D36A1">
        <w:rPr>
          <w:i/>
          <w:lang w:val="en-GB"/>
        </w:rPr>
        <w:t>]</w:t>
      </w:r>
    </w:p>
    <w:p w14:paraId="3F5FA33C" w14:textId="1891950D" w:rsidR="00134130" w:rsidRPr="007D36A1" w:rsidRDefault="007D36A1" w:rsidP="00DA4D16">
      <w:pPr>
        <w:pStyle w:val="H1G"/>
      </w:pPr>
      <w:r w:rsidRPr="007D36A1">
        <w:tab/>
      </w:r>
      <w:r w:rsidRPr="007D36A1">
        <w:tab/>
      </w:r>
      <w:r w:rsidR="00134130" w:rsidRPr="007D36A1">
        <w:t>Chapter 5.2</w:t>
      </w:r>
    </w:p>
    <w:p w14:paraId="7DC0EF58" w14:textId="77777777" w:rsidR="00D14E04" w:rsidRPr="007D36A1" w:rsidRDefault="00677DE0" w:rsidP="008641F7">
      <w:pPr>
        <w:pStyle w:val="SingleTxtG"/>
        <w:tabs>
          <w:tab w:val="left" w:pos="2268"/>
        </w:tabs>
        <w:rPr>
          <w:lang w:val="en-GB"/>
        </w:rPr>
      </w:pPr>
      <w:r w:rsidRPr="007D36A1">
        <w:rPr>
          <w:lang w:val="en-GB"/>
        </w:rPr>
        <w:t>5.2.1.5.6</w:t>
      </w:r>
      <w:r w:rsidR="00D14E04" w:rsidRPr="007D36A1">
        <w:rPr>
          <w:lang w:val="en-GB"/>
        </w:rPr>
        <w:tab/>
      </w:r>
      <w:r w:rsidR="00F00DDA" w:rsidRPr="007D36A1">
        <w:rPr>
          <w:lang w:val="en-GB"/>
        </w:rPr>
        <w:t>Add the following sentence</w:t>
      </w:r>
      <w:r w:rsidR="00D14E04" w:rsidRPr="007D36A1">
        <w:rPr>
          <w:lang w:val="en-GB"/>
        </w:rPr>
        <w:t xml:space="preserve"> </w:t>
      </w:r>
      <w:r w:rsidR="00F00DDA" w:rsidRPr="007D36A1">
        <w:rPr>
          <w:lang w:val="en-GB"/>
        </w:rPr>
        <w:t>at the end</w:t>
      </w:r>
      <w:r w:rsidR="00D14E04" w:rsidRPr="007D36A1">
        <w:rPr>
          <w:lang w:val="en-GB"/>
        </w:rPr>
        <w:t>:</w:t>
      </w:r>
    </w:p>
    <w:p w14:paraId="6DAAEDF7" w14:textId="644508E2" w:rsidR="00D14E04" w:rsidRPr="007D36A1" w:rsidRDefault="00D14E04" w:rsidP="008641F7">
      <w:pPr>
        <w:pStyle w:val="SingleTxtG"/>
        <w:tabs>
          <w:tab w:val="left" w:pos="2268"/>
        </w:tabs>
        <w:rPr>
          <w:lang w:val="en-GB"/>
        </w:rPr>
      </w:pPr>
      <w:r w:rsidRPr="007D36A1">
        <w:rPr>
          <w:lang w:val="en-GB"/>
        </w:rPr>
        <w:t>“</w:t>
      </w:r>
      <w:r w:rsidR="00F00DDA" w:rsidRPr="007D36A1">
        <w:rPr>
          <w:lang w:val="en-GB"/>
        </w:rPr>
        <w:t xml:space="preserve">Any mark on the package made in accordance with the requirements of </w:t>
      </w:r>
      <w:r w:rsidR="00A15530" w:rsidRPr="007D36A1">
        <w:rPr>
          <w:lang w:val="en-GB"/>
        </w:rPr>
        <w:t xml:space="preserve">5.2.1.5.4 (a) and (b) and 5.2.1.5.5 </w:t>
      </w:r>
      <w:r w:rsidR="00622268" w:rsidRPr="007D36A1">
        <w:rPr>
          <w:lang w:val="en-GB"/>
        </w:rPr>
        <w:t xml:space="preserve">(c) </w:t>
      </w:r>
      <w:r w:rsidR="00F00DDA" w:rsidRPr="007D36A1">
        <w:rPr>
          <w:lang w:val="en-GB"/>
        </w:rPr>
        <w:t>relating to the package type that does not relate to the UN number and proper shipping name assigned to the consignme</w:t>
      </w:r>
      <w:r w:rsidR="007D36A1" w:rsidRPr="007D36A1">
        <w:rPr>
          <w:lang w:val="en-GB"/>
        </w:rPr>
        <w:t>nt shall be removed or covered.”.</w:t>
      </w:r>
    </w:p>
    <w:p w14:paraId="51780541" w14:textId="77777777" w:rsidR="004C22C9" w:rsidRPr="007D36A1" w:rsidRDefault="00D14E04" w:rsidP="008641F7">
      <w:pPr>
        <w:pStyle w:val="SingleTxtG"/>
        <w:tabs>
          <w:tab w:val="left" w:pos="2268"/>
        </w:tabs>
        <w:rPr>
          <w:i/>
          <w:lang w:val="en-GB"/>
        </w:rPr>
      </w:pPr>
      <w:r w:rsidRPr="007D36A1">
        <w:rPr>
          <w:i/>
          <w:lang w:val="en-GB"/>
        </w:rPr>
        <w:t xml:space="preserve">[IAEA: </w:t>
      </w:r>
      <w:r w:rsidR="00F00DDA" w:rsidRPr="007D36A1">
        <w:rPr>
          <w:i/>
          <w:lang w:val="en-GB"/>
        </w:rPr>
        <w:t>536A</w:t>
      </w:r>
      <w:r w:rsidR="009F1EFF" w:rsidRPr="007D36A1">
        <w:rPr>
          <w:i/>
          <w:lang w:val="en-GB"/>
        </w:rPr>
        <w:t>]</w:t>
      </w:r>
    </w:p>
    <w:p w14:paraId="046E7771" w14:textId="77777777" w:rsidR="00C713D1" w:rsidRPr="007D36A1" w:rsidRDefault="00C713D1" w:rsidP="008641F7">
      <w:pPr>
        <w:pStyle w:val="SingleTxtG"/>
        <w:tabs>
          <w:tab w:val="left" w:pos="2268"/>
        </w:tabs>
        <w:rPr>
          <w:lang w:val="en-GB"/>
        </w:rPr>
      </w:pPr>
      <w:r w:rsidRPr="007D36A1">
        <w:rPr>
          <w:lang w:val="en-GB"/>
        </w:rPr>
        <w:lastRenderedPageBreak/>
        <w:t>5.2.2.1.12.2</w:t>
      </w:r>
      <w:r w:rsidRPr="007D36A1">
        <w:rPr>
          <w:lang w:val="en-GB"/>
        </w:rPr>
        <w:tab/>
      </w:r>
      <w:r w:rsidR="00F210DC" w:rsidRPr="007D36A1">
        <w:rPr>
          <w:lang w:val="en-GB"/>
        </w:rPr>
        <w:t>In (d), replace “(no transport index entry is required for category I-WHITE)” by “(except for category I-WHITE)”.</w:t>
      </w:r>
    </w:p>
    <w:p w14:paraId="1CE8E1F3" w14:textId="77777777" w:rsidR="00C713D1" w:rsidRPr="007D36A1" w:rsidRDefault="00C713D1" w:rsidP="008641F7">
      <w:pPr>
        <w:pStyle w:val="SingleTxtG"/>
        <w:tabs>
          <w:tab w:val="left" w:pos="2268"/>
        </w:tabs>
        <w:rPr>
          <w:i/>
          <w:lang w:val="en-GB"/>
        </w:rPr>
      </w:pPr>
      <w:r w:rsidRPr="007D36A1">
        <w:rPr>
          <w:i/>
          <w:lang w:val="en-GB"/>
        </w:rPr>
        <w:t>[IAEA: 540]</w:t>
      </w:r>
    </w:p>
    <w:p w14:paraId="2D30EE16" w14:textId="66CBCDD1" w:rsidR="00134130" w:rsidRPr="007D36A1" w:rsidRDefault="007D36A1" w:rsidP="00DA4D16">
      <w:pPr>
        <w:pStyle w:val="H1G"/>
      </w:pPr>
      <w:r w:rsidRPr="007D36A1">
        <w:tab/>
      </w:r>
      <w:r w:rsidRPr="007D36A1">
        <w:tab/>
      </w:r>
      <w:r w:rsidR="00134130" w:rsidRPr="007D36A1">
        <w:t>Chapter 5.3</w:t>
      </w:r>
    </w:p>
    <w:p w14:paraId="492A8E6B" w14:textId="77777777" w:rsidR="00D14E04" w:rsidRPr="007D36A1" w:rsidRDefault="00C713D1" w:rsidP="008641F7">
      <w:pPr>
        <w:pStyle w:val="SingleTxtG"/>
        <w:tabs>
          <w:tab w:val="left" w:pos="2268"/>
        </w:tabs>
        <w:rPr>
          <w:lang w:val="en-GB"/>
        </w:rPr>
      </w:pPr>
      <w:r w:rsidRPr="007D36A1">
        <w:rPr>
          <w:lang w:val="en-GB"/>
        </w:rPr>
        <w:t>5.3.1.1.5.1</w:t>
      </w:r>
      <w:r w:rsidR="00D14E04" w:rsidRPr="007D36A1">
        <w:rPr>
          <w:lang w:val="en-GB"/>
        </w:rPr>
        <w:tab/>
      </w:r>
      <w:r w:rsidR="00F210DC" w:rsidRPr="007D36A1">
        <w:rPr>
          <w:lang w:val="en-GB"/>
        </w:rPr>
        <w:t xml:space="preserve">After </w:t>
      </w:r>
      <w:r w:rsidRPr="007D36A1">
        <w:rPr>
          <w:lang w:val="en-GB"/>
        </w:rPr>
        <w:t>“Large freight containers carrying</w:t>
      </w:r>
      <w:r w:rsidR="00F210DC" w:rsidRPr="007D36A1">
        <w:rPr>
          <w:lang w:val="en-GB"/>
        </w:rPr>
        <w:t>” add “</w:t>
      </w:r>
      <w:r w:rsidRPr="007D36A1">
        <w:rPr>
          <w:lang w:val="en-GB"/>
        </w:rPr>
        <w:t>unpackaged LSA-I material or SCO-I or</w:t>
      </w:r>
      <w:r w:rsidR="00F210DC" w:rsidRPr="007D36A1">
        <w:rPr>
          <w:lang w:val="en-GB"/>
        </w:rPr>
        <w:t>”.</w:t>
      </w:r>
      <w:r w:rsidRPr="007D36A1">
        <w:rPr>
          <w:lang w:val="en-GB"/>
        </w:rPr>
        <w:t xml:space="preserve"> </w:t>
      </w:r>
    </w:p>
    <w:p w14:paraId="00A68334" w14:textId="77777777" w:rsidR="00D14E04" w:rsidRPr="007D36A1" w:rsidRDefault="00D14E04" w:rsidP="008641F7">
      <w:pPr>
        <w:pStyle w:val="SingleTxtG"/>
        <w:tabs>
          <w:tab w:val="left" w:pos="2268"/>
        </w:tabs>
        <w:rPr>
          <w:i/>
          <w:lang w:val="en-GB"/>
        </w:rPr>
      </w:pPr>
      <w:r w:rsidRPr="007D36A1">
        <w:rPr>
          <w:i/>
          <w:lang w:val="en-GB"/>
        </w:rPr>
        <w:t xml:space="preserve">[IAEA: </w:t>
      </w:r>
      <w:r w:rsidR="00C713D1" w:rsidRPr="007D36A1">
        <w:rPr>
          <w:i/>
          <w:lang w:val="en-GB"/>
        </w:rPr>
        <w:t>543</w:t>
      </w:r>
      <w:r w:rsidRPr="007D36A1">
        <w:rPr>
          <w:i/>
          <w:lang w:val="en-GB"/>
        </w:rPr>
        <w:t>]</w:t>
      </w:r>
    </w:p>
    <w:p w14:paraId="0F041DB0" w14:textId="77777777" w:rsidR="00C80E97" w:rsidRPr="007D36A1" w:rsidRDefault="00D2153B" w:rsidP="008641F7">
      <w:pPr>
        <w:pStyle w:val="SingleTxtG"/>
        <w:tabs>
          <w:tab w:val="left" w:pos="2268"/>
        </w:tabs>
        <w:rPr>
          <w:lang w:val="en-GB"/>
        </w:rPr>
      </w:pPr>
      <w:r w:rsidRPr="007D36A1">
        <w:rPr>
          <w:lang w:val="en-GB"/>
        </w:rPr>
        <w:t>5.3.2.1.1</w:t>
      </w:r>
      <w:r w:rsidR="00C80E97" w:rsidRPr="007D36A1">
        <w:rPr>
          <w:lang w:val="en-GB"/>
        </w:rPr>
        <w:tab/>
      </w:r>
      <w:r w:rsidR="00A27F2E" w:rsidRPr="007D36A1">
        <w:rPr>
          <w:lang w:val="en-GB"/>
        </w:rPr>
        <w:t xml:space="preserve">Replace “LSA-1 or SCO-1 material” by </w:t>
      </w:r>
      <w:r w:rsidR="00C80E97" w:rsidRPr="007D36A1">
        <w:rPr>
          <w:lang w:val="en-GB"/>
        </w:rPr>
        <w:t>“LSA-I material, SCO-I or SCO-II</w:t>
      </w:r>
      <w:r w:rsidRPr="007D36A1">
        <w:rPr>
          <w:lang w:val="en-GB"/>
        </w:rPr>
        <w:t>I</w:t>
      </w:r>
      <w:r w:rsidR="00A27F2E" w:rsidRPr="007D36A1">
        <w:rPr>
          <w:lang w:val="en-GB"/>
        </w:rPr>
        <w:t>”.</w:t>
      </w:r>
    </w:p>
    <w:p w14:paraId="2BF39A78" w14:textId="77777777" w:rsidR="00EB63C9" w:rsidRPr="007D36A1" w:rsidRDefault="00C80E97" w:rsidP="008641F7">
      <w:pPr>
        <w:pStyle w:val="SingleTxtG"/>
        <w:tabs>
          <w:tab w:val="left" w:pos="2268"/>
        </w:tabs>
        <w:rPr>
          <w:i/>
          <w:lang w:val="en-GB"/>
        </w:rPr>
      </w:pPr>
      <w:r w:rsidRPr="007D36A1">
        <w:rPr>
          <w:i/>
          <w:lang w:val="en-GB"/>
        </w:rPr>
        <w:t>[IAEA: 572]</w:t>
      </w:r>
    </w:p>
    <w:p w14:paraId="3B79AF0B" w14:textId="2D219E1F" w:rsidR="00134130" w:rsidRPr="007D36A1" w:rsidRDefault="007D36A1" w:rsidP="00DA4D16">
      <w:pPr>
        <w:pStyle w:val="H1G"/>
      </w:pPr>
      <w:r w:rsidRPr="007D36A1">
        <w:tab/>
      </w:r>
      <w:r w:rsidRPr="007D36A1">
        <w:tab/>
      </w:r>
      <w:r w:rsidR="00134130" w:rsidRPr="007D36A1">
        <w:t>Chapter 5.4</w:t>
      </w:r>
    </w:p>
    <w:p w14:paraId="4BA130D2" w14:textId="2DAD61CC" w:rsidR="007E4777" w:rsidRPr="007D36A1" w:rsidRDefault="007E4777" w:rsidP="008641F7">
      <w:pPr>
        <w:pStyle w:val="SingleTxtG"/>
        <w:tabs>
          <w:tab w:val="left" w:pos="2268"/>
        </w:tabs>
        <w:rPr>
          <w:lang w:val="en-GB"/>
        </w:rPr>
      </w:pPr>
      <w:r w:rsidRPr="007D36A1">
        <w:rPr>
          <w:lang w:val="en-GB"/>
        </w:rPr>
        <w:t>5.4.1.5.7.1</w:t>
      </w:r>
      <w:r w:rsidR="00230F5F" w:rsidRPr="007D36A1">
        <w:rPr>
          <w:lang w:val="en-GB"/>
        </w:rPr>
        <w:tab/>
        <w:t xml:space="preserve">Amend sub-paragraphs </w:t>
      </w:r>
      <w:r w:rsidRPr="007D36A1">
        <w:rPr>
          <w:lang w:val="en-GB"/>
        </w:rPr>
        <w:t>(d</w:t>
      </w:r>
      <w:r w:rsidR="00A27F2E" w:rsidRPr="007D36A1">
        <w:rPr>
          <w:lang w:val="en-GB"/>
        </w:rPr>
        <w:t xml:space="preserve">) and </w:t>
      </w:r>
      <w:r w:rsidRPr="007D36A1">
        <w:rPr>
          <w:lang w:val="en-GB"/>
        </w:rPr>
        <w:t>(e)</w:t>
      </w:r>
      <w:r w:rsidR="00962BE5" w:rsidRPr="007D36A1">
        <w:rPr>
          <w:lang w:val="en-GB"/>
        </w:rPr>
        <w:t xml:space="preserve"> </w:t>
      </w:r>
      <w:r w:rsidR="00230F5F" w:rsidRPr="007D36A1">
        <w:rPr>
          <w:lang w:val="en-GB"/>
        </w:rPr>
        <w:t>to read</w:t>
      </w:r>
      <w:r w:rsidR="00A27F2E" w:rsidRPr="007D36A1">
        <w:rPr>
          <w:lang w:val="en-GB"/>
        </w:rPr>
        <w:t>:</w:t>
      </w:r>
    </w:p>
    <w:p w14:paraId="01DACB80" w14:textId="56BD4A91" w:rsidR="00230F5F" w:rsidRPr="007D36A1" w:rsidRDefault="00A27F2E" w:rsidP="008641F7">
      <w:pPr>
        <w:pStyle w:val="SingleTxtG"/>
        <w:tabs>
          <w:tab w:val="left" w:pos="2268"/>
        </w:tabs>
        <w:rPr>
          <w:lang w:val="en-GB"/>
        </w:rPr>
      </w:pPr>
      <w:r w:rsidRPr="007D36A1">
        <w:rPr>
          <w:lang w:val="en-GB"/>
        </w:rPr>
        <w:t>“</w:t>
      </w:r>
      <w:r w:rsidR="00230F5F" w:rsidRPr="007D36A1">
        <w:rPr>
          <w:lang w:val="en-GB"/>
        </w:rPr>
        <w:t>(d)</w:t>
      </w:r>
      <w:r w:rsidR="00230F5F" w:rsidRPr="007D36A1">
        <w:rPr>
          <w:lang w:val="en-GB"/>
        </w:rPr>
        <w:tab/>
        <w:t>The category of the package, overpack or freight container, as assigned per paragraph 5.1.5.3.4, i.e. I-WHITE, II-YELLOW, III-YELLOW</w:t>
      </w:r>
      <w:r w:rsidRPr="007D36A1">
        <w:rPr>
          <w:lang w:val="en-GB"/>
        </w:rPr>
        <w:t>;</w:t>
      </w:r>
    </w:p>
    <w:p w14:paraId="41BD8D7F" w14:textId="77777777" w:rsidR="00230F5F" w:rsidRPr="007D36A1" w:rsidRDefault="00230F5F" w:rsidP="008641F7">
      <w:pPr>
        <w:pStyle w:val="SingleTxtG"/>
        <w:tabs>
          <w:tab w:val="left" w:pos="2268"/>
        </w:tabs>
        <w:rPr>
          <w:lang w:val="en-GB"/>
        </w:rPr>
      </w:pPr>
      <w:r w:rsidRPr="007D36A1">
        <w:rPr>
          <w:lang w:val="en-GB"/>
        </w:rPr>
        <w:t>(e)</w:t>
      </w:r>
      <w:r w:rsidRPr="007D36A1">
        <w:rPr>
          <w:lang w:val="en-GB"/>
        </w:rPr>
        <w:tab/>
        <w:t>The TI as determined per paragraphs 5.1.5.3.1 and 5.1.5.3.2 (except for category I-WHITE)</w:t>
      </w:r>
      <w:r w:rsidR="00A27F2E" w:rsidRPr="007D36A1">
        <w:rPr>
          <w:lang w:val="en-GB"/>
        </w:rPr>
        <w:t>;”.</w:t>
      </w:r>
    </w:p>
    <w:p w14:paraId="70930E97" w14:textId="77777777" w:rsidR="00A27F2E" w:rsidRPr="007D36A1" w:rsidRDefault="00A27F2E" w:rsidP="008641F7">
      <w:pPr>
        <w:pStyle w:val="SingleTxtG"/>
        <w:tabs>
          <w:tab w:val="left" w:pos="2268"/>
        </w:tabs>
        <w:rPr>
          <w:lang w:val="en-GB"/>
        </w:rPr>
      </w:pPr>
      <w:r w:rsidRPr="007D36A1">
        <w:rPr>
          <w:lang w:val="en-GB"/>
        </w:rPr>
        <w:t>In (j), replace “SCO-I and SCO-II” by “SCO-I, SCO-II and SCO-III”.</w:t>
      </w:r>
    </w:p>
    <w:p w14:paraId="54A3B40F" w14:textId="7E06E9A7" w:rsidR="00230F5F" w:rsidRPr="00DA4D16" w:rsidRDefault="00962BE5" w:rsidP="008641F7">
      <w:pPr>
        <w:pStyle w:val="SingleTxtG"/>
        <w:tabs>
          <w:tab w:val="left" w:pos="2268"/>
        </w:tabs>
        <w:rPr>
          <w:i/>
          <w:lang w:val="en-GB"/>
        </w:rPr>
      </w:pPr>
      <w:r w:rsidRPr="007D36A1">
        <w:rPr>
          <w:i/>
          <w:lang w:val="en-GB"/>
        </w:rPr>
        <w:t>[IAEA: 546]</w:t>
      </w:r>
      <w:r w:rsidR="00A27F2E" w:rsidRPr="007D36A1">
        <w:rPr>
          <w:lang w:val="en-GB"/>
        </w:rPr>
        <w:t xml:space="preserve"> </w:t>
      </w:r>
    </w:p>
    <w:p w14:paraId="273F915F" w14:textId="77777777" w:rsidR="00C713D1" w:rsidRPr="007D36A1" w:rsidRDefault="00500C72" w:rsidP="008641F7">
      <w:pPr>
        <w:pStyle w:val="SingleTxtG"/>
        <w:tabs>
          <w:tab w:val="left" w:pos="2268"/>
        </w:tabs>
        <w:rPr>
          <w:lang w:val="en-GB"/>
        </w:rPr>
      </w:pPr>
      <w:r w:rsidRPr="007D36A1">
        <w:rPr>
          <w:lang w:val="en-GB"/>
        </w:rPr>
        <w:t>5.4.2.2</w:t>
      </w:r>
      <w:r w:rsidRPr="007D36A1">
        <w:rPr>
          <w:lang w:val="en-GB"/>
        </w:rPr>
        <w:tab/>
      </w:r>
      <w:r w:rsidR="00C713D1" w:rsidRPr="007D36A1">
        <w:rPr>
          <w:lang w:val="en-GB"/>
        </w:rPr>
        <w:tab/>
      </w:r>
      <w:r w:rsidRPr="007D36A1">
        <w:rPr>
          <w:lang w:val="en-GB"/>
        </w:rPr>
        <w:t>Delete at the end of the first sentence:</w:t>
      </w:r>
    </w:p>
    <w:p w14:paraId="4CB8AEE5" w14:textId="708E1584" w:rsidR="00C713D1" w:rsidRPr="007D36A1" w:rsidRDefault="00C713D1" w:rsidP="008641F7">
      <w:pPr>
        <w:pStyle w:val="SingleTxtG"/>
        <w:tabs>
          <w:tab w:val="left" w:pos="2268"/>
        </w:tabs>
        <w:rPr>
          <w:lang w:val="en-GB"/>
        </w:rPr>
      </w:pPr>
      <w:r w:rsidRPr="007D36A1">
        <w:rPr>
          <w:lang w:val="en-GB"/>
        </w:rPr>
        <w:t>“</w:t>
      </w:r>
      <w:r w:rsidR="00500C72" w:rsidRPr="007D36A1">
        <w:rPr>
          <w:lang w:val="en-GB"/>
        </w:rPr>
        <w:t>one to the other</w:t>
      </w:r>
      <w:r w:rsidR="00280F3E">
        <w:rPr>
          <w:lang w:val="en-GB"/>
        </w:rPr>
        <w:t>”</w:t>
      </w:r>
      <w:r w:rsidRPr="007D36A1">
        <w:rPr>
          <w:lang w:val="en-GB"/>
        </w:rPr>
        <w:t xml:space="preserve"> </w:t>
      </w:r>
    </w:p>
    <w:p w14:paraId="641A68AC" w14:textId="77777777" w:rsidR="00BA7BEF" w:rsidRPr="007D36A1" w:rsidRDefault="00C713D1" w:rsidP="008641F7">
      <w:pPr>
        <w:pStyle w:val="SingleTxtG"/>
        <w:tabs>
          <w:tab w:val="left" w:pos="2268"/>
        </w:tabs>
        <w:rPr>
          <w:i/>
          <w:lang w:val="en-GB"/>
        </w:rPr>
      </w:pPr>
      <w:r w:rsidRPr="007D36A1">
        <w:rPr>
          <w:i/>
          <w:lang w:val="en-GB"/>
        </w:rPr>
        <w:t xml:space="preserve">[IAEA: </w:t>
      </w:r>
      <w:r w:rsidR="00500C72" w:rsidRPr="007D36A1">
        <w:rPr>
          <w:i/>
          <w:lang w:val="en-GB"/>
        </w:rPr>
        <w:t>552</w:t>
      </w:r>
      <w:r w:rsidRPr="007D36A1">
        <w:rPr>
          <w:i/>
          <w:lang w:val="en-GB"/>
        </w:rPr>
        <w:t>]</w:t>
      </w:r>
    </w:p>
    <w:p w14:paraId="642E7463" w14:textId="1849E1BA" w:rsidR="00E42DB6" w:rsidRPr="007D36A1" w:rsidRDefault="007D36A1" w:rsidP="00DA4D16">
      <w:pPr>
        <w:pStyle w:val="H1G"/>
      </w:pPr>
      <w:r w:rsidRPr="007D36A1">
        <w:tab/>
      </w:r>
      <w:r w:rsidRPr="007D36A1">
        <w:tab/>
      </w:r>
      <w:r w:rsidR="00EB63C9" w:rsidRPr="007D36A1">
        <w:t>Chapter 6.4</w:t>
      </w:r>
    </w:p>
    <w:p w14:paraId="6533D500" w14:textId="77777777" w:rsidR="00A27F2E" w:rsidRPr="007D36A1" w:rsidRDefault="00301742" w:rsidP="008641F7">
      <w:pPr>
        <w:pStyle w:val="SingleTxtG"/>
        <w:tabs>
          <w:tab w:val="left" w:pos="2268"/>
        </w:tabs>
        <w:rPr>
          <w:lang w:val="en-GB"/>
        </w:rPr>
      </w:pPr>
      <w:r w:rsidRPr="007D36A1">
        <w:rPr>
          <w:lang w:val="en-GB"/>
        </w:rPr>
        <w:t>6.4.2.4</w:t>
      </w:r>
      <w:r w:rsidRPr="007D36A1">
        <w:rPr>
          <w:lang w:val="en-GB"/>
        </w:rPr>
        <w:tab/>
      </w:r>
      <w:r w:rsidR="00293C61" w:rsidRPr="007D36A1">
        <w:rPr>
          <w:lang w:val="en-GB"/>
        </w:rPr>
        <w:tab/>
      </w:r>
      <w:r w:rsidR="00A27F2E" w:rsidRPr="007D36A1">
        <w:rPr>
          <w:lang w:val="en-GB"/>
        </w:rPr>
        <w:t>Delete</w:t>
      </w:r>
      <w:r w:rsidR="00A1520A" w:rsidRPr="007D36A1">
        <w:rPr>
          <w:lang w:val="en-GB"/>
        </w:rPr>
        <w:t xml:space="preserve"> “and finished”</w:t>
      </w:r>
      <w:r w:rsidR="00A27F2E" w:rsidRPr="007D36A1">
        <w:rPr>
          <w:lang w:val="en-GB"/>
        </w:rPr>
        <w:t>.</w:t>
      </w:r>
    </w:p>
    <w:p w14:paraId="107F5571" w14:textId="77777777" w:rsidR="00962BE5" w:rsidRPr="007D36A1" w:rsidRDefault="00293C61" w:rsidP="008641F7">
      <w:pPr>
        <w:pStyle w:val="SingleTxtG"/>
        <w:tabs>
          <w:tab w:val="left" w:pos="2268"/>
        </w:tabs>
        <w:rPr>
          <w:i/>
          <w:lang w:val="en-GB"/>
        </w:rPr>
      </w:pPr>
      <w:r w:rsidRPr="007D36A1">
        <w:rPr>
          <w:i/>
          <w:lang w:val="en-GB"/>
        </w:rPr>
        <w:t xml:space="preserve">[IAEA: </w:t>
      </w:r>
      <w:r w:rsidR="00A1520A" w:rsidRPr="007D36A1">
        <w:rPr>
          <w:i/>
          <w:lang w:val="en-GB"/>
        </w:rPr>
        <w:t>610</w:t>
      </w:r>
      <w:r w:rsidR="009F1EFF" w:rsidRPr="007D36A1">
        <w:rPr>
          <w:i/>
          <w:lang w:val="en-GB"/>
        </w:rPr>
        <w:t>]</w:t>
      </w:r>
    </w:p>
    <w:p w14:paraId="3690775F" w14:textId="20D51B0A" w:rsidR="009865C8" w:rsidRPr="007D36A1" w:rsidRDefault="009865C8" w:rsidP="008641F7">
      <w:pPr>
        <w:pStyle w:val="SingleTxtG"/>
        <w:tabs>
          <w:tab w:val="left" w:pos="2268"/>
        </w:tabs>
        <w:rPr>
          <w:lang w:val="en-GB"/>
        </w:rPr>
      </w:pPr>
      <w:r w:rsidRPr="007D36A1">
        <w:rPr>
          <w:lang w:val="en-GB"/>
        </w:rPr>
        <w:t>Insert a new 6.4.2.8 to read as follows:</w:t>
      </w:r>
    </w:p>
    <w:p w14:paraId="3D3851DE" w14:textId="328EB10A" w:rsidR="00B24238" w:rsidRPr="007D36A1" w:rsidRDefault="00B24238" w:rsidP="008641F7">
      <w:pPr>
        <w:pStyle w:val="SingleTxtG"/>
        <w:tabs>
          <w:tab w:val="left" w:pos="2268"/>
        </w:tabs>
        <w:rPr>
          <w:lang w:val="en-GB"/>
        </w:rPr>
      </w:pPr>
      <w:r w:rsidRPr="007D36A1">
        <w:rPr>
          <w:lang w:val="en-GB"/>
        </w:rPr>
        <w:t>“</w:t>
      </w:r>
      <w:r w:rsidR="009865C8" w:rsidRPr="007D36A1">
        <w:rPr>
          <w:lang w:val="en-GB"/>
        </w:rPr>
        <w:t>6.4.2.8</w:t>
      </w:r>
      <w:r w:rsidR="009865C8" w:rsidRPr="007D36A1">
        <w:rPr>
          <w:lang w:val="en-GB"/>
        </w:rPr>
        <w:tab/>
      </w:r>
      <w:r w:rsidRPr="007D36A1">
        <w:rPr>
          <w:lang w:val="en-GB"/>
        </w:rPr>
        <w:t xml:space="preserve">The design of the package shall </w:t>
      </w:r>
      <w:proofErr w:type="gramStart"/>
      <w:r w:rsidRPr="007D36A1">
        <w:rPr>
          <w:lang w:val="en-GB"/>
        </w:rPr>
        <w:t>take into account</w:t>
      </w:r>
      <w:proofErr w:type="gramEnd"/>
      <w:r w:rsidRPr="007D36A1">
        <w:rPr>
          <w:lang w:val="en-GB"/>
        </w:rPr>
        <w:t xml:space="preserve"> ageing mechanisms.</w:t>
      </w:r>
      <w:r w:rsidR="00C33955" w:rsidRPr="007D36A1">
        <w:rPr>
          <w:lang w:val="en-GB"/>
        </w:rPr>
        <w:t>”.</w:t>
      </w:r>
    </w:p>
    <w:p w14:paraId="272AA533" w14:textId="32996500" w:rsidR="009865C8" w:rsidRPr="007D36A1" w:rsidRDefault="009865C8" w:rsidP="008641F7">
      <w:pPr>
        <w:pStyle w:val="SingleTxtG"/>
        <w:tabs>
          <w:tab w:val="left" w:pos="2268"/>
        </w:tabs>
        <w:rPr>
          <w:lang w:val="en-GB"/>
        </w:rPr>
      </w:pPr>
      <w:r w:rsidRPr="007D36A1">
        <w:rPr>
          <w:lang w:val="en-GB"/>
        </w:rPr>
        <w:t>In 6.4.2, renumber subsequent paragraphs accordingly.</w:t>
      </w:r>
    </w:p>
    <w:p w14:paraId="34A991C8" w14:textId="1961FE63" w:rsidR="00962BE5" w:rsidRPr="007D36A1" w:rsidRDefault="00B24238" w:rsidP="008641F7">
      <w:pPr>
        <w:pStyle w:val="SingleTxtG"/>
        <w:tabs>
          <w:tab w:val="left" w:pos="2268"/>
        </w:tabs>
        <w:rPr>
          <w:i/>
          <w:lang w:val="en-GB"/>
        </w:rPr>
      </w:pPr>
      <w:r w:rsidRPr="007D36A1">
        <w:rPr>
          <w:i/>
          <w:lang w:val="en-GB"/>
        </w:rPr>
        <w:t>[IAEA: 613A]</w:t>
      </w:r>
    </w:p>
    <w:p w14:paraId="684A8137" w14:textId="77777777" w:rsidR="00827916" w:rsidRPr="007D36A1" w:rsidRDefault="00827916" w:rsidP="008641F7">
      <w:pPr>
        <w:pStyle w:val="SingleTxtG"/>
        <w:tabs>
          <w:tab w:val="left" w:pos="2268"/>
        </w:tabs>
        <w:rPr>
          <w:lang w:val="en-GB"/>
        </w:rPr>
      </w:pPr>
      <w:r w:rsidRPr="007D36A1">
        <w:rPr>
          <w:lang w:val="en-GB"/>
        </w:rPr>
        <w:t>6.4.4</w:t>
      </w:r>
      <w:r w:rsidRPr="007D36A1">
        <w:rPr>
          <w:lang w:val="en-GB"/>
        </w:rPr>
        <w:tab/>
      </w:r>
      <w:r w:rsidRPr="007D36A1">
        <w:rPr>
          <w:lang w:val="en-GB"/>
        </w:rPr>
        <w:tab/>
        <w:t>Amend to read as follows:</w:t>
      </w:r>
    </w:p>
    <w:p w14:paraId="0D4C19D6" w14:textId="77777777" w:rsidR="00827916" w:rsidRPr="007D36A1" w:rsidRDefault="00827916" w:rsidP="008641F7">
      <w:pPr>
        <w:pStyle w:val="SingleTxtG"/>
        <w:tabs>
          <w:tab w:val="left" w:pos="2268"/>
        </w:tabs>
        <w:rPr>
          <w:lang w:val="en-GB"/>
        </w:rPr>
      </w:pPr>
      <w:r w:rsidRPr="007D36A1">
        <w:rPr>
          <w:lang w:val="en-GB"/>
        </w:rPr>
        <w:t xml:space="preserve">“An excepted package shall be designed to meet the requirements specified in </w:t>
      </w:r>
      <w:r w:rsidR="00A15530" w:rsidRPr="007D36A1">
        <w:rPr>
          <w:lang w:val="en-GB"/>
        </w:rPr>
        <w:t xml:space="preserve">6.4.2.1-6.4.2.12 </w:t>
      </w:r>
      <w:r w:rsidRPr="007D36A1">
        <w:rPr>
          <w:lang w:val="en-GB"/>
        </w:rPr>
        <w:t xml:space="preserve">and, in addition, the requirements of </w:t>
      </w:r>
      <w:r w:rsidR="00A15530" w:rsidRPr="007D36A1">
        <w:rPr>
          <w:lang w:val="en-GB"/>
        </w:rPr>
        <w:t xml:space="preserve">6.4.7.2 </w:t>
      </w:r>
      <w:r w:rsidRPr="007D36A1">
        <w:rPr>
          <w:lang w:val="en-GB"/>
        </w:rPr>
        <w:t xml:space="preserve">if it contains fissile material allowed by one of the provisions of </w:t>
      </w:r>
      <w:r w:rsidR="008B6EF7" w:rsidRPr="007D36A1">
        <w:rPr>
          <w:lang w:val="en-GB"/>
        </w:rPr>
        <w:t>sub-paragraph</w:t>
      </w:r>
      <w:r w:rsidRPr="007D36A1">
        <w:rPr>
          <w:lang w:val="en-GB"/>
        </w:rPr>
        <w:t xml:space="preserve">s (a)–(f) of </w:t>
      </w:r>
      <w:r w:rsidR="00A15530" w:rsidRPr="007D36A1">
        <w:rPr>
          <w:lang w:val="en-GB"/>
        </w:rPr>
        <w:t>2.7.2.3.5</w:t>
      </w:r>
      <w:r w:rsidRPr="007D36A1">
        <w:rPr>
          <w:lang w:val="en-GB"/>
        </w:rPr>
        <w:t>, and the requirements of</w:t>
      </w:r>
      <w:r w:rsidR="00A15530" w:rsidRPr="007D36A1">
        <w:rPr>
          <w:lang w:val="en-GB"/>
        </w:rPr>
        <w:t xml:space="preserve"> 6.4.3</w:t>
      </w:r>
      <w:r w:rsidRPr="007D36A1">
        <w:rPr>
          <w:lang w:val="en-GB"/>
        </w:rPr>
        <w:t xml:space="preserve"> if carried by air.</w:t>
      </w:r>
      <w:r w:rsidR="00F14F96" w:rsidRPr="007D36A1">
        <w:rPr>
          <w:lang w:val="en-GB"/>
        </w:rPr>
        <w:t>”.</w:t>
      </w:r>
    </w:p>
    <w:p w14:paraId="3B87EE13" w14:textId="77777777" w:rsidR="00962BE5" w:rsidRPr="007D36A1" w:rsidRDefault="009F1EFF" w:rsidP="008641F7">
      <w:pPr>
        <w:pStyle w:val="SingleTxtG"/>
        <w:tabs>
          <w:tab w:val="left" w:pos="2268"/>
        </w:tabs>
        <w:rPr>
          <w:i/>
          <w:lang w:val="en-GB"/>
        </w:rPr>
      </w:pPr>
      <w:r w:rsidRPr="007D36A1">
        <w:rPr>
          <w:i/>
          <w:lang w:val="en-GB"/>
        </w:rPr>
        <w:t>[IAEA: 622]</w:t>
      </w:r>
    </w:p>
    <w:p w14:paraId="68C525BE" w14:textId="77777777" w:rsidR="00827916" w:rsidRPr="007D36A1" w:rsidRDefault="00827916" w:rsidP="008641F7">
      <w:pPr>
        <w:pStyle w:val="SingleTxtG"/>
        <w:tabs>
          <w:tab w:val="left" w:pos="2268"/>
        </w:tabs>
        <w:rPr>
          <w:lang w:val="en-GB"/>
        </w:rPr>
      </w:pPr>
      <w:r w:rsidRPr="007D36A1">
        <w:rPr>
          <w:lang w:val="en-GB"/>
        </w:rPr>
        <w:t>6.4.5.4.3</w:t>
      </w:r>
      <w:r w:rsidRPr="007D36A1">
        <w:rPr>
          <w:lang w:val="en-GB"/>
        </w:rPr>
        <w:tab/>
        <w:t xml:space="preserve">Delete </w:t>
      </w:r>
      <w:r w:rsidR="00F14F96" w:rsidRPr="007D36A1">
        <w:rPr>
          <w:lang w:val="en-GB"/>
        </w:rPr>
        <w:t>“</w:t>
      </w:r>
      <w:r w:rsidRPr="007D36A1">
        <w:rPr>
          <w:lang w:val="en-GB"/>
        </w:rPr>
        <w:t>liquids and gases” in first sentence</w:t>
      </w:r>
      <w:r w:rsidR="00F14F96" w:rsidRPr="007D36A1">
        <w:rPr>
          <w:lang w:val="en-GB"/>
        </w:rPr>
        <w:t xml:space="preserve">. </w:t>
      </w:r>
      <w:r w:rsidRPr="007D36A1">
        <w:rPr>
          <w:lang w:val="en-GB"/>
        </w:rPr>
        <w:t xml:space="preserve"> </w:t>
      </w:r>
      <w:r w:rsidR="00F14F96" w:rsidRPr="007D36A1">
        <w:rPr>
          <w:lang w:val="en-GB"/>
        </w:rPr>
        <w:t xml:space="preserve"> Replace “Table 4.1.9.2.4” by “Table 4.1.9.2.5”.</w:t>
      </w:r>
    </w:p>
    <w:p w14:paraId="6E45D7DE" w14:textId="77777777" w:rsidR="00962BE5" w:rsidRPr="007D36A1" w:rsidRDefault="009F1EFF" w:rsidP="008641F7">
      <w:pPr>
        <w:pStyle w:val="SingleTxtG"/>
        <w:tabs>
          <w:tab w:val="left" w:pos="2268"/>
        </w:tabs>
        <w:rPr>
          <w:i/>
          <w:lang w:val="en-GB"/>
        </w:rPr>
      </w:pPr>
      <w:r w:rsidRPr="007D36A1">
        <w:rPr>
          <w:i/>
          <w:lang w:val="en-GB"/>
        </w:rPr>
        <w:lastRenderedPageBreak/>
        <w:t>[IAEA: 628]</w:t>
      </w:r>
    </w:p>
    <w:p w14:paraId="0877446E" w14:textId="77777777" w:rsidR="00FD05A2" w:rsidRPr="007D36A1" w:rsidRDefault="00FD05A2" w:rsidP="008641F7">
      <w:pPr>
        <w:pStyle w:val="SingleTxtG"/>
        <w:tabs>
          <w:tab w:val="left" w:pos="2268"/>
        </w:tabs>
        <w:rPr>
          <w:lang w:val="en-GB"/>
        </w:rPr>
      </w:pPr>
      <w:r w:rsidRPr="007D36A1">
        <w:rPr>
          <w:lang w:val="en-GB"/>
        </w:rPr>
        <w:t>6.4.6.2</w:t>
      </w:r>
      <w:r w:rsidRPr="007D36A1">
        <w:rPr>
          <w:lang w:val="en-GB"/>
        </w:rPr>
        <w:tab/>
      </w:r>
      <w:r w:rsidRPr="007D36A1">
        <w:rPr>
          <w:lang w:val="en-GB"/>
        </w:rPr>
        <w:tab/>
        <w:t xml:space="preserve">Replace </w:t>
      </w:r>
      <w:r w:rsidR="00F14F96" w:rsidRPr="007D36A1">
        <w:rPr>
          <w:lang w:val="en-GB"/>
        </w:rPr>
        <w:t>“</w:t>
      </w:r>
      <w:r w:rsidRPr="007D36A1">
        <w:rPr>
          <w:lang w:val="en-GB"/>
        </w:rPr>
        <w:t>it</w:t>
      </w:r>
      <w:r w:rsidR="00F14F96" w:rsidRPr="007D36A1">
        <w:rPr>
          <w:lang w:val="en-GB"/>
        </w:rPr>
        <w:t xml:space="preserve"> would meet</w:t>
      </w:r>
      <w:r w:rsidRPr="007D36A1">
        <w:rPr>
          <w:lang w:val="en-GB"/>
        </w:rPr>
        <w:t>” by “the package</w:t>
      </w:r>
      <w:r w:rsidR="00F14F96" w:rsidRPr="007D36A1">
        <w:rPr>
          <w:lang w:val="en-GB"/>
        </w:rPr>
        <w:t xml:space="preserve"> would meet</w:t>
      </w:r>
      <w:r w:rsidRPr="007D36A1">
        <w:rPr>
          <w:lang w:val="en-GB"/>
        </w:rPr>
        <w:t>” in the introductory sentence</w:t>
      </w:r>
      <w:r w:rsidR="00F14F96" w:rsidRPr="007D36A1">
        <w:rPr>
          <w:lang w:val="en-GB"/>
        </w:rPr>
        <w:t>.</w:t>
      </w:r>
      <w:r w:rsidRPr="007D36A1">
        <w:rPr>
          <w:lang w:val="en-GB"/>
        </w:rPr>
        <w:t xml:space="preserve"> </w:t>
      </w:r>
    </w:p>
    <w:p w14:paraId="6288EF46" w14:textId="77777777" w:rsidR="00962BE5" w:rsidRPr="007D36A1" w:rsidRDefault="009F1EFF" w:rsidP="008641F7">
      <w:pPr>
        <w:pStyle w:val="SingleTxtG"/>
        <w:tabs>
          <w:tab w:val="left" w:pos="2268"/>
        </w:tabs>
        <w:rPr>
          <w:i/>
          <w:lang w:val="en-GB"/>
        </w:rPr>
      </w:pPr>
      <w:r w:rsidRPr="007D36A1">
        <w:rPr>
          <w:i/>
          <w:lang w:val="en-GB"/>
        </w:rPr>
        <w:t>[IAEA: 632]</w:t>
      </w:r>
    </w:p>
    <w:p w14:paraId="3A503CED" w14:textId="77777777" w:rsidR="00F14F96" w:rsidRPr="007D36A1" w:rsidRDefault="00FD05A2" w:rsidP="008641F7">
      <w:pPr>
        <w:pStyle w:val="SingleTxtG"/>
        <w:tabs>
          <w:tab w:val="left" w:pos="2268"/>
        </w:tabs>
        <w:rPr>
          <w:lang w:val="en-GB"/>
        </w:rPr>
      </w:pPr>
      <w:r w:rsidRPr="007D36A1">
        <w:rPr>
          <w:lang w:val="en-GB"/>
        </w:rPr>
        <w:t>6.4.7.9</w:t>
      </w:r>
      <w:r w:rsidRPr="007D36A1">
        <w:rPr>
          <w:lang w:val="en-GB"/>
        </w:rPr>
        <w:tab/>
        <w:t xml:space="preserve">Replace </w:t>
      </w:r>
      <w:r w:rsidR="00F14F96" w:rsidRPr="007D36A1">
        <w:rPr>
          <w:lang w:val="en-GB"/>
        </w:rPr>
        <w:t>“</w:t>
      </w:r>
      <w:r w:rsidRPr="007D36A1">
        <w:rPr>
          <w:lang w:val="en-GB"/>
        </w:rPr>
        <w:t>it</w:t>
      </w:r>
      <w:r w:rsidR="00F14F96" w:rsidRPr="007D36A1">
        <w:rPr>
          <w:lang w:val="en-GB"/>
        </w:rPr>
        <w:t xml:space="preserve"> shall be capable</w:t>
      </w:r>
      <w:r w:rsidRPr="007D36A1">
        <w:rPr>
          <w:lang w:val="en-GB"/>
        </w:rPr>
        <w:t>” by “the containment system</w:t>
      </w:r>
      <w:r w:rsidR="00F14F96" w:rsidRPr="007D36A1">
        <w:rPr>
          <w:lang w:val="en-GB"/>
        </w:rPr>
        <w:t xml:space="preserve"> shall be capable</w:t>
      </w:r>
      <w:r w:rsidRPr="007D36A1">
        <w:rPr>
          <w:lang w:val="en-GB"/>
        </w:rPr>
        <w:t>”</w:t>
      </w:r>
      <w:r w:rsidR="00F14F96" w:rsidRPr="007D36A1">
        <w:rPr>
          <w:lang w:val="en-GB"/>
        </w:rPr>
        <w:t>.</w:t>
      </w:r>
    </w:p>
    <w:p w14:paraId="333E2A8A" w14:textId="77777777" w:rsidR="00962BE5" w:rsidRPr="007D36A1" w:rsidRDefault="009F1EFF" w:rsidP="008641F7">
      <w:pPr>
        <w:pStyle w:val="SingleTxtG"/>
        <w:tabs>
          <w:tab w:val="left" w:pos="2268"/>
        </w:tabs>
        <w:rPr>
          <w:i/>
          <w:lang w:val="en-GB"/>
        </w:rPr>
      </w:pPr>
      <w:r w:rsidRPr="007D36A1">
        <w:rPr>
          <w:i/>
          <w:lang w:val="en-GB"/>
        </w:rPr>
        <w:t>[IAEA: 643]</w:t>
      </w:r>
    </w:p>
    <w:p w14:paraId="72F2ACD2" w14:textId="77777777" w:rsidR="00161837" w:rsidRPr="007D36A1" w:rsidRDefault="00161837" w:rsidP="008641F7">
      <w:pPr>
        <w:pStyle w:val="SingleTxtG"/>
        <w:tabs>
          <w:tab w:val="left" w:pos="2268"/>
        </w:tabs>
        <w:rPr>
          <w:lang w:val="en-GB"/>
        </w:rPr>
      </w:pPr>
      <w:r w:rsidRPr="007D36A1">
        <w:rPr>
          <w:lang w:val="en-GB"/>
        </w:rPr>
        <w:t>6.4.7.17</w:t>
      </w:r>
      <w:r w:rsidRPr="007D36A1">
        <w:rPr>
          <w:lang w:val="en-GB"/>
        </w:rPr>
        <w:tab/>
        <w:t>Amend to read as follows:</w:t>
      </w:r>
    </w:p>
    <w:p w14:paraId="62DCF96F" w14:textId="77777777" w:rsidR="00161837" w:rsidRPr="007D36A1" w:rsidRDefault="00161837" w:rsidP="008641F7">
      <w:pPr>
        <w:pStyle w:val="SingleTxtG"/>
        <w:tabs>
          <w:tab w:val="left" w:pos="2268"/>
        </w:tabs>
        <w:rPr>
          <w:lang w:val="en-GB"/>
        </w:rPr>
      </w:pPr>
      <w:r w:rsidRPr="007D36A1">
        <w:rPr>
          <w:lang w:val="en-GB"/>
        </w:rPr>
        <w:t>“A Type A</w:t>
      </w:r>
      <w:r w:rsidR="00B15032" w:rsidRPr="007D36A1">
        <w:rPr>
          <w:lang w:val="en-GB"/>
        </w:rPr>
        <w:t xml:space="preserve"> </w:t>
      </w:r>
      <w:r w:rsidRPr="007D36A1">
        <w:rPr>
          <w:lang w:val="en-GB"/>
        </w:rPr>
        <w:t>package designed for gases shall prevent loss or dispersal of the radioactive contents if the package were subjected to the tests specified in 6.4.16, except for a Type A package designed for tritium gas or for noble gases.</w:t>
      </w:r>
      <w:r w:rsidR="00962BE5" w:rsidRPr="007D36A1">
        <w:rPr>
          <w:lang w:val="en-GB"/>
        </w:rPr>
        <w:t>”</w:t>
      </w:r>
      <w:r w:rsidRPr="007D36A1">
        <w:rPr>
          <w:lang w:val="en-GB"/>
        </w:rPr>
        <w:t xml:space="preserve"> </w:t>
      </w:r>
    </w:p>
    <w:p w14:paraId="525A0EFC" w14:textId="77777777" w:rsidR="00962BE5" w:rsidRPr="007D36A1" w:rsidRDefault="009F1EFF" w:rsidP="008641F7">
      <w:pPr>
        <w:pStyle w:val="SingleTxtG"/>
        <w:tabs>
          <w:tab w:val="left" w:pos="2268"/>
        </w:tabs>
        <w:rPr>
          <w:i/>
          <w:lang w:val="en-GB"/>
        </w:rPr>
      </w:pPr>
      <w:r w:rsidRPr="007D36A1">
        <w:rPr>
          <w:i/>
          <w:lang w:val="en-GB"/>
        </w:rPr>
        <w:t>[IAEA: 651]</w:t>
      </w:r>
    </w:p>
    <w:p w14:paraId="63FDB675" w14:textId="77777777" w:rsidR="00F14F96" w:rsidRPr="007D36A1" w:rsidRDefault="001342DA" w:rsidP="008641F7">
      <w:pPr>
        <w:pStyle w:val="SingleTxtG"/>
        <w:tabs>
          <w:tab w:val="left" w:pos="2268"/>
        </w:tabs>
        <w:rPr>
          <w:lang w:val="en-GB"/>
        </w:rPr>
      </w:pPr>
      <w:r w:rsidRPr="007D36A1">
        <w:rPr>
          <w:lang w:val="en-GB"/>
        </w:rPr>
        <w:t>6.4.8.2</w:t>
      </w:r>
      <w:r w:rsidRPr="007D36A1">
        <w:rPr>
          <w:lang w:val="en-GB"/>
        </w:rPr>
        <w:tab/>
      </w:r>
      <w:r w:rsidRPr="007D36A1">
        <w:rPr>
          <w:lang w:val="en-GB"/>
        </w:rPr>
        <w:tab/>
      </w:r>
      <w:r w:rsidR="00F14F96" w:rsidRPr="007D36A1">
        <w:rPr>
          <w:lang w:val="en-GB"/>
        </w:rPr>
        <w:t xml:space="preserve">Replace “Lessen the efficiency” by “Lessening of the efficiency”. </w:t>
      </w:r>
    </w:p>
    <w:p w14:paraId="174D8956" w14:textId="77777777" w:rsidR="00962BE5" w:rsidRPr="007D36A1" w:rsidRDefault="009F1EFF" w:rsidP="008641F7">
      <w:pPr>
        <w:pStyle w:val="SingleTxtG"/>
        <w:tabs>
          <w:tab w:val="left" w:pos="2268"/>
        </w:tabs>
        <w:rPr>
          <w:i/>
          <w:lang w:val="en-GB"/>
        </w:rPr>
      </w:pPr>
      <w:r w:rsidRPr="007D36A1">
        <w:rPr>
          <w:i/>
          <w:lang w:val="en-GB"/>
        </w:rPr>
        <w:t>[IAEA: 653]</w:t>
      </w:r>
    </w:p>
    <w:p w14:paraId="149A7220" w14:textId="77777777" w:rsidR="00F14F96" w:rsidRPr="007D36A1" w:rsidRDefault="001342DA" w:rsidP="008641F7">
      <w:pPr>
        <w:pStyle w:val="SingleTxtG"/>
        <w:tabs>
          <w:tab w:val="left" w:pos="2268"/>
        </w:tabs>
        <w:rPr>
          <w:lang w:val="en-GB"/>
        </w:rPr>
      </w:pPr>
      <w:r w:rsidRPr="007D36A1">
        <w:rPr>
          <w:lang w:val="en-GB"/>
        </w:rPr>
        <w:t>6.4.8.8</w:t>
      </w:r>
      <w:r w:rsidRPr="007D36A1">
        <w:rPr>
          <w:lang w:val="en-GB"/>
        </w:rPr>
        <w:tab/>
      </w:r>
      <w:r w:rsidRPr="007D36A1">
        <w:rPr>
          <w:lang w:val="en-GB"/>
        </w:rPr>
        <w:tab/>
      </w:r>
      <w:r w:rsidR="00F14F96" w:rsidRPr="007D36A1">
        <w:rPr>
          <w:lang w:val="en-GB"/>
        </w:rPr>
        <w:t xml:space="preserve">In the first indent after the sub-paragraphs, replace </w:t>
      </w:r>
      <w:r w:rsidR="00161837" w:rsidRPr="007D36A1">
        <w:rPr>
          <w:lang w:val="en-GB"/>
        </w:rPr>
        <w:t>“radiation level” by “dose rate”</w:t>
      </w:r>
      <w:r w:rsidR="00F14F96" w:rsidRPr="007D36A1">
        <w:rPr>
          <w:lang w:val="en-GB"/>
        </w:rPr>
        <w:t xml:space="preserve">. </w:t>
      </w:r>
      <w:r w:rsidRPr="007D36A1">
        <w:rPr>
          <w:lang w:val="en-GB"/>
        </w:rPr>
        <w:t>Add “none-fixed”</w:t>
      </w:r>
      <w:r w:rsidR="00F14F96" w:rsidRPr="007D36A1">
        <w:rPr>
          <w:lang w:val="en-GB"/>
        </w:rPr>
        <w:t xml:space="preserve"> before “contamination limits”</w:t>
      </w:r>
      <w:r w:rsidRPr="007D36A1">
        <w:rPr>
          <w:lang w:val="en-GB"/>
        </w:rPr>
        <w:t xml:space="preserve"> in </w:t>
      </w:r>
      <w:r w:rsidR="00B15032" w:rsidRPr="007D36A1">
        <w:rPr>
          <w:lang w:val="en-GB"/>
        </w:rPr>
        <w:t xml:space="preserve">the </w:t>
      </w:r>
      <w:r w:rsidR="00840B1E" w:rsidRPr="007D36A1">
        <w:rPr>
          <w:lang w:val="en-GB"/>
        </w:rPr>
        <w:t>last sentence</w:t>
      </w:r>
      <w:r w:rsidR="00F14F96" w:rsidRPr="007D36A1">
        <w:rPr>
          <w:lang w:val="en-GB"/>
        </w:rPr>
        <w:t>.</w:t>
      </w:r>
    </w:p>
    <w:p w14:paraId="0418ECDA" w14:textId="77777777" w:rsidR="00962BE5" w:rsidRPr="007D36A1" w:rsidRDefault="001342DA" w:rsidP="008641F7">
      <w:pPr>
        <w:pStyle w:val="SingleTxtG"/>
        <w:tabs>
          <w:tab w:val="left" w:pos="2268"/>
        </w:tabs>
        <w:rPr>
          <w:i/>
          <w:lang w:val="en-GB"/>
        </w:rPr>
      </w:pPr>
      <w:r w:rsidRPr="007D36A1">
        <w:rPr>
          <w:i/>
          <w:lang w:val="en-GB"/>
        </w:rPr>
        <w:t>[IAEA: 6</w:t>
      </w:r>
      <w:r w:rsidR="009210E7" w:rsidRPr="007D36A1">
        <w:rPr>
          <w:i/>
          <w:lang w:val="en-GB"/>
        </w:rPr>
        <w:t>5</w:t>
      </w:r>
      <w:r w:rsidR="00D62F29" w:rsidRPr="007D36A1">
        <w:rPr>
          <w:i/>
          <w:lang w:val="en-GB"/>
        </w:rPr>
        <w:t>9]</w:t>
      </w:r>
    </w:p>
    <w:p w14:paraId="4B4315A7" w14:textId="5124EA20" w:rsidR="00F14F96" w:rsidRPr="007D36A1" w:rsidRDefault="00280F3E" w:rsidP="008641F7">
      <w:pPr>
        <w:pStyle w:val="SingleTxtG"/>
        <w:tabs>
          <w:tab w:val="left" w:pos="2268"/>
        </w:tabs>
        <w:rPr>
          <w:lang w:val="en-GB"/>
        </w:rPr>
      </w:pPr>
      <w:r>
        <w:rPr>
          <w:lang w:val="en-GB"/>
        </w:rPr>
        <w:t>6.4.9.1</w:t>
      </w:r>
      <w:r>
        <w:rPr>
          <w:lang w:val="en-GB"/>
        </w:rPr>
        <w:tab/>
        <w:t>Delete “</w:t>
      </w:r>
      <w:r w:rsidR="00E301AB" w:rsidRPr="007D36A1">
        <w:rPr>
          <w:lang w:val="en-GB"/>
        </w:rPr>
        <w:t>Notwithstanding</w:t>
      </w:r>
      <w:r w:rsidR="00F14F96" w:rsidRPr="007D36A1">
        <w:rPr>
          <w:lang w:val="en-GB"/>
        </w:rPr>
        <w:t>,</w:t>
      </w:r>
      <w:r w:rsidR="00E301AB" w:rsidRPr="007D36A1">
        <w:rPr>
          <w:lang w:val="en-GB"/>
        </w:rPr>
        <w:t>” at the beginning of the second sentence</w:t>
      </w:r>
      <w:r w:rsidR="00F14F96" w:rsidRPr="007D36A1">
        <w:rPr>
          <w:lang w:val="en-GB"/>
        </w:rPr>
        <w:t>.</w:t>
      </w:r>
    </w:p>
    <w:p w14:paraId="67A272D2" w14:textId="77777777" w:rsidR="00827916" w:rsidRPr="007D36A1" w:rsidRDefault="00E301AB" w:rsidP="008641F7">
      <w:pPr>
        <w:pStyle w:val="SingleTxtG"/>
        <w:tabs>
          <w:tab w:val="left" w:pos="2268"/>
        </w:tabs>
        <w:rPr>
          <w:i/>
          <w:lang w:val="en-GB"/>
        </w:rPr>
      </w:pPr>
      <w:r w:rsidRPr="007D36A1">
        <w:rPr>
          <w:i/>
          <w:lang w:val="en-GB"/>
        </w:rPr>
        <w:t>[IAEA: 667]</w:t>
      </w:r>
    </w:p>
    <w:p w14:paraId="5E1BC33F" w14:textId="77777777" w:rsidR="009A16A2" w:rsidRPr="007D36A1" w:rsidRDefault="00B24238" w:rsidP="008641F7">
      <w:pPr>
        <w:pStyle w:val="SingleTxtG"/>
        <w:tabs>
          <w:tab w:val="left" w:pos="2268"/>
        </w:tabs>
        <w:rPr>
          <w:lang w:val="en-GB"/>
        </w:rPr>
      </w:pPr>
      <w:r w:rsidRPr="007D36A1">
        <w:rPr>
          <w:lang w:val="en-GB"/>
        </w:rPr>
        <w:t>6.4.11.2</w:t>
      </w:r>
      <w:r w:rsidRPr="007D36A1">
        <w:rPr>
          <w:lang w:val="en-GB"/>
        </w:rPr>
        <w:tab/>
        <w:t>Replace “maximum</w:t>
      </w:r>
      <w:r w:rsidR="009A16A2" w:rsidRPr="007D36A1">
        <w:rPr>
          <w:lang w:val="en-GB"/>
        </w:rPr>
        <w:t xml:space="preserve"> mass</w:t>
      </w:r>
      <w:r w:rsidRPr="007D36A1">
        <w:rPr>
          <w:lang w:val="en-GB"/>
        </w:rPr>
        <w:t>” with “total</w:t>
      </w:r>
      <w:r w:rsidR="009A16A2" w:rsidRPr="007D36A1">
        <w:rPr>
          <w:lang w:val="en-GB"/>
        </w:rPr>
        <w:t xml:space="preserve"> mass</w:t>
      </w:r>
      <w:r w:rsidRPr="007D36A1">
        <w:rPr>
          <w:lang w:val="en-GB"/>
        </w:rPr>
        <w:t xml:space="preserve">” in </w:t>
      </w:r>
      <w:r w:rsidR="008B6EF7" w:rsidRPr="007D36A1">
        <w:rPr>
          <w:lang w:val="en-GB"/>
        </w:rPr>
        <w:t>sub-paragraph</w:t>
      </w:r>
      <w:r w:rsidRPr="007D36A1">
        <w:rPr>
          <w:lang w:val="en-GB"/>
        </w:rPr>
        <w:t xml:space="preserve"> (c) (iv)</w:t>
      </w:r>
      <w:r w:rsidR="009A16A2" w:rsidRPr="007D36A1">
        <w:rPr>
          <w:lang w:val="en-GB"/>
        </w:rPr>
        <w:t>.</w:t>
      </w:r>
    </w:p>
    <w:p w14:paraId="6A1E235F" w14:textId="77777777" w:rsidR="00DF7DB8" w:rsidRPr="007D36A1" w:rsidRDefault="00DF7DB8" w:rsidP="008641F7">
      <w:pPr>
        <w:pStyle w:val="SingleTxtG"/>
        <w:tabs>
          <w:tab w:val="left" w:pos="2268"/>
        </w:tabs>
        <w:rPr>
          <w:lang w:val="en-GB"/>
        </w:rPr>
      </w:pPr>
      <w:r w:rsidRPr="007D36A1">
        <w:rPr>
          <w:lang w:val="en-GB"/>
        </w:rPr>
        <w:t xml:space="preserve">In </w:t>
      </w:r>
      <w:r w:rsidR="008B6EF7" w:rsidRPr="007D36A1">
        <w:rPr>
          <w:lang w:val="en-GB"/>
        </w:rPr>
        <w:t>sub-paragraph</w:t>
      </w:r>
      <w:r w:rsidR="00B24238" w:rsidRPr="007D36A1">
        <w:rPr>
          <w:lang w:val="en-GB"/>
        </w:rPr>
        <w:t xml:space="preserve"> (d)</w:t>
      </w:r>
      <w:r w:rsidRPr="007D36A1">
        <w:rPr>
          <w:lang w:val="en-GB"/>
        </w:rPr>
        <w:t xml:space="preserve"> replace “their total concentration” by “the total concentration of these materials”.</w:t>
      </w:r>
    </w:p>
    <w:p w14:paraId="213FEB66" w14:textId="77777777" w:rsidR="00962BE5" w:rsidRPr="007D36A1" w:rsidRDefault="009F1EFF" w:rsidP="008641F7">
      <w:pPr>
        <w:pStyle w:val="SingleTxtG"/>
        <w:tabs>
          <w:tab w:val="left" w:pos="2268"/>
        </w:tabs>
        <w:rPr>
          <w:i/>
          <w:lang w:val="en-GB"/>
        </w:rPr>
      </w:pPr>
      <w:r w:rsidRPr="007D36A1">
        <w:rPr>
          <w:i/>
          <w:lang w:val="en-GB"/>
        </w:rPr>
        <w:t>[IAEA: 674]</w:t>
      </w:r>
    </w:p>
    <w:p w14:paraId="2C367382" w14:textId="77777777" w:rsidR="00B24238" w:rsidRPr="007D36A1" w:rsidRDefault="00B24238" w:rsidP="008641F7">
      <w:pPr>
        <w:pStyle w:val="SingleTxtG"/>
        <w:tabs>
          <w:tab w:val="left" w:pos="2268"/>
        </w:tabs>
        <w:rPr>
          <w:lang w:val="en-GB"/>
        </w:rPr>
      </w:pPr>
      <w:r w:rsidRPr="007D36A1">
        <w:rPr>
          <w:lang w:val="en-GB"/>
        </w:rPr>
        <w:t>6.4.11.8</w:t>
      </w:r>
      <w:r w:rsidRPr="007D36A1">
        <w:rPr>
          <w:lang w:val="en-GB"/>
        </w:rPr>
        <w:tab/>
      </w:r>
      <w:r w:rsidR="00DF7DB8" w:rsidRPr="007D36A1">
        <w:rPr>
          <w:lang w:val="en-GB"/>
        </w:rPr>
        <w:t xml:space="preserve">In </w:t>
      </w:r>
      <w:r w:rsidR="008B6EF7" w:rsidRPr="007D36A1">
        <w:rPr>
          <w:lang w:val="en-GB"/>
        </w:rPr>
        <w:t>sub-paragraph</w:t>
      </w:r>
      <w:r w:rsidRPr="007D36A1">
        <w:rPr>
          <w:lang w:val="en-GB"/>
        </w:rPr>
        <w:t xml:space="preserve"> (b) (</w:t>
      </w:r>
      <w:proofErr w:type="spellStart"/>
      <w:r w:rsidRPr="007D36A1">
        <w:rPr>
          <w:lang w:val="en-GB"/>
        </w:rPr>
        <w:t>i</w:t>
      </w:r>
      <w:proofErr w:type="spellEnd"/>
      <w:r w:rsidRPr="007D36A1">
        <w:rPr>
          <w:lang w:val="en-GB"/>
        </w:rPr>
        <w:t>)</w:t>
      </w:r>
      <w:r w:rsidR="00DF7DB8" w:rsidRPr="007D36A1">
        <w:rPr>
          <w:lang w:val="en-GB"/>
        </w:rPr>
        <w:t>, after “between the valve” add “or the plug” and, at the end, after “the valves” add “and the plug”.</w:t>
      </w:r>
    </w:p>
    <w:p w14:paraId="3FFA18B2" w14:textId="77777777" w:rsidR="00962BE5" w:rsidRPr="007D36A1" w:rsidRDefault="009F1EFF" w:rsidP="008641F7">
      <w:pPr>
        <w:pStyle w:val="SingleTxtG"/>
        <w:tabs>
          <w:tab w:val="left" w:pos="2268"/>
        </w:tabs>
        <w:rPr>
          <w:i/>
          <w:lang w:val="en-GB"/>
        </w:rPr>
      </w:pPr>
      <w:r w:rsidRPr="007D36A1">
        <w:rPr>
          <w:i/>
          <w:lang w:val="en-GB"/>
        </w:rPr>
        <w:t>[IAEA: 680]</w:t>
      </w:r>
    </w:p>
    <w:p w14:paraId="78922FAA" w14:textId="77777777" w:rsidR="00840B1E" w:rsidRPr="007D36A1" w:rsidRDefault="00840B1E" w:rsidP="008641F7">
      <w:pPr>
        <w:pStyle w:val="SingleTxtG"/>
        <w:tabs>
          <w:tab w:val="left" w:pos="2268"/>
        </w:tabs>
        <w:rPr>
          <w:lang w:val="en-GB"/>
        </w:rPr>
      </w:pPr>
      <w:r w:rsidRPr="007D36A1">
        <w:rPr>
          <w:lang w:val="en-GB"/>
        </w:rPr>
        <w:t>6.4.11.11</w:t>
      </w:r>
      <w:r w:rsidRPr="007D36A1">
        <w:rPr>
          <w:lang w:val="en-GB"/>
        </w:rPr>
        <w:tab/>
        <w:t>Amend sub-paragraph (b) as follows:</w:t>
      </w:r>
    </w:p>
    <w:p w14:paraId="1B3B8625" w14:textId="77777777" w:rsidR="00840B1E" w:rsidRPr="007D36A1" w:rsidRDefault="00840B1E" w:rsidP="008641F7">
      <w:pPr>
        <w:pStyle w:val="SingleTxtG"/>
        <w:tabs>
          <w:tab w:val="left" w:pos="2268"/>
        </w:tabs>
        <w:rPr>
          <w:lang w:val="en-GB"/>
        </w:rPr>
      </w:pPr>
      <w:r w:rsidRPr="007D36A1">
        <w:rPr>
          <w:lang w:val="en-GB"/>
        </w:rPr>
        <w:t>“(b) In the assessment of 6.4.11.10, use of special features as specified in 6.4.11.8 is allowed provided that leakage of water into or out of the void spaces is prevented when the package is submitted to the Type C package tests specified in 6.4.20.1 followed by the water leakage test specified in 6.4.19.3</w:t>
      </w:r>
      <w:r w:rsidR="00B15032" w:rsidRPr="007D36A1">
        <w:rPr>
          <w:lang w:val="en-GB"/>
        </w:rPr>
        <w:t>.”</w:t>
      </w:r>
      <w:r w:rsidRPr="007D36A1">
        <w:rPr>
          <w:lang w:val="en-GB"/>
        </w:rPr>
        <w:t xml:space="preserve"> </w:t>
      </w:r>
    </w:p>
    <w:p w14:paraId="752A33F8" w14:textId="74AACADA" w:rsidR="00962BE5" w:rsidRPr="007D36A1" w:rsidRDefault="007D36A1" w:rsidP="008641F7">
      <w:pPr>
        <w:pStyle w:val="SingleTxtG"/>
        <w:tabs>
          <w:tab w:val="left" w:pos="2268"/>
        </w:tabs>
        <w:rPr>
          <w:i/>
          <w:lang w:val="en-GB"/>
        </w:rPr>
      </w:pPr>
      <w:r w:rsidRPr="007D36A1">
        <w:rPr>
          <w:i/>
          <w:lang w:val="en-GB"/>
        </w:rPr>
        <w:t>[IAEA: 683]</w:t>
      </w:r>
    </w:p>
    <w:p w14:paraId="6F18A9F3" w14:textId="77777777" w:rsidR="00DF7DB8" w:rsidRPr="007D36A1" w:rsidRDefault="00B24238" w:rsidP="008641F7">
      <w:pPr>
        <w:pStyle w:val="SingleTxtG"/>
        <w:tabs>
          <w:tab w:val="left" w:pos="2268"/>
        </w:tabs>
        <w:rPr>
          <w:lang w:val="en-GB"/>
        </w:rPr>
      </w:pPr>
      <w:r w:rsidRPr="007D36A1">
        <w:rPr>
          <w:lang w:val="en-GB"/>
        </w:rPr>
        <w:t>6.4.12.1</w:t>
      </w:r>
      <w:r w:rsidRPr="007D36A1">
        <w:rPr>
          <w:lang w:val="en-GB"/>
        </w:rPr>
        <w:tab/>
        <w:t>Delete “LSA-III material</w:t>
      </w:r>
      <w:r w:rsidR="00DF7DB8" w:rsidRPr="007D36A1">
        <w:rPr>
          <w:lang w:val="en-GB"/>
        </w:rPr>
        <w:t>, or” at the beginning of</w:t>
      </w:r>
      <w:r w:rsidRPr="007D36A1">
        <w:rPr>
          <w:lang w:val="en-GB"/>
        </w:rPr>
        <w:t xml:space="preserve"> </w:t>
      </w:r>
      <w:r w:rsidR="008B6EF7" w:rsidRPr="007D36A1">
        <w:rPr>
          <w:lang w:val="en-GB"/>
        </w:rPr>
        <w:t>sub-paragraph</w:t>
      </w:r>
      <w:r w:rsidRPr="007D36A1">
        <w:rPr>
          <w:lang w:val="en-GB"/>
        </w:rPr>
        <w:t xml:space="preserve"> (a)</w:t>
      </w:r>
      <w:r w:rsidR="00DF7DB8" w:rsidRPr="007D36A1">
        <w:rPr>
          <w:lang w:val="en-GB"/>
        </w:rPr>
        <w:t>.</w:t>
      </w:r>
    </w:p>
    <w:p w14:paraId="203CCF08" w14:textId="77777777" w:rsidR="00962BE5" w:rsidRPr="007D36A1" w:rsidRDefault="009F1EFF" w:rsidP="008641F7">
      <w:pPr>
        <w:pStyle w:val="SingleTxtG"/>
        <w:tabs>
          <w:tab w:val="left" w:pos="2268"/>
        </w:tabs>
        <w:rPr>
          <w:i/>
          <w:lang w:val="en-GB"/>
        </w:rPr>
      </w:pPr>
      <w:r w:rsidRPr="007D36A1">
        <w:rPr>
          <w:i/>
          <w:lang w:val="en-GB"/>
        </w:rPr>
        <w:t>[IAEA: 701]</w:t>
      </w:r>
    </w:p>
    <w:p w14:paraId="57DF3435" w14:textId="77777777" w:rsidR="00B24238" w:rsidRPr="007D36A1" w:rsidRDefault="00B24238" w:rsidP="008641F7">
      <w:pPr>
        <w:pStyle w:val="SingleTxtG"/>
        <w:tabs>
          <w:tab w:val="left" w:pos="2268"/>
        </w:tabs>
        <w:rPr>
          <w:lang w:val="en-GB"/>
        </w:rPr>
      </w:pPr>
      <w:r w:rsidRPr="007D36A1">
        <w:rPr>
          <w:lang w:val="en-GB"/>
        </w:rPr>
        <w:t>6.4.13</w:t>
      </w:r>
      <w:r w:rsidRPr="007D36A1">
        <w:rPr>
          <w:lang w:val="en-GB"/>
        </w:rPr>
        <w:tab/>
      </w:r>
      <w:r w:rsidRPr="007D36A1">
        <w:rPr>
          <w:lang w:val="en-GB"/>
        </w:rPr>
        <w:tab/>
        <w:t>Amend the introductory sentence to read as follows:</w:t>
      </w:r>
    </w:p>
    <w:p w14:paraId="28E2A7FA" w14:textId="77777777" w:rsidR="00B24238" w:rsidRPr="007D36A1" w:rsidRDefault="00B24238" w:rsidP="008641F7">
      <w:pPr>
        <w:pStyle w:val="SingleTxtG"/>
        <w:tabs>
          <w:tab w:val="left" w:pos="2268"/>
        </w:tabs>
        <w:rPr>
          <w:lang w:val="en-GB"/>
        </w:rPr>
      </w:pPr>
      <w:r w:rsidRPr="007D36A1">
        <w:rPr>
          <w:lang w:val="en-GB"/>
        </w:rPr>
        <w:t xml:space="preserve">“After </w:t>
      </w:r>
      <w:proofErr w:type="gramStart"/>
      <w:r w:rsidRPr="007D36A1">
        <w:rPr>
          <w:lang w:val="en-GB"/>
        </w:rPr>
        <w:t>each  test</w:t>
      </w:r>
      <w:proofErr w:type="gramEnd"/>
      <w:r w:rsidRPr="007D36A1">
        <w:rPr>
          <w:lang w:val="en-GB"/>
        </w:rPr>
        <w:t xml:space="preserve"> or group of tests or sequence</w:t>
      </w:r>
      <w:r w:rsidR="00B15032" w:rsidRPr="007D36A1">
        <w:rPr>
          <w:lang w:val="en-GB"/>
        </w:rPr>
        <w:t xml:space="preserve"> </w:t>
      </w:r>
      <w:r w:rsidRPr="007D36A1">
        <w:rPr>
          <w:lang w:val="en-GB"/>
        </w:rPr>
        <w:t>of the applicable tests, as appropriate, specified in</w:t>
      </w:r>
      <w:r w:rsidR="0034743C" w:rsidRPr="007D36A1">
        <w:rPr>
          <w:lang w:val="en-GB"/>
        </w:rPr>
        <w:t xml:space="preserve"> 6.4.15 to 6.4.21</w:t>
      </w:r>
      <w:r w:rsidR="00DF7DB8" w:rsidRPr="007D36A1">
        <w:rPr>
          <w:lang w:val="en-GB"/>
        </w:rPr>
        <w:t xml:space="preserve">:” </w:t>
      </w:r>
    </w:p>
    <w:p w14:paraId="1A52E9AE" w14:textId="77777777" w:rsidR="00962BE5" w:rsidRPr="007D36A1" w:rsidRDefault="009F1EFF" w:rsidP="008641F7">
      <w:pPr>
        <w:pStyle w:val="SingleTxtG"/>
        <w:tabs>
          <w:tab w:val="left" w:pos="2268"/>
        </w:tabs>
        <w:rPr>
          <w:i/>
          <w:lang w:val="en-GB"/>
        </w:rPr>
      </w:pPr>
      <w:r w:rsidRPr="007D36A1">
        <w:rPr>
          <w:i/>
          <w:lang w:val="en-GB"/>
        </w:rPr>
        <w:t>[IAEA: 716]</w:t>
      </w:r>
    </w:p>
    <w:p w14:paraId="79DB731A" w14:textId="77777777" w:rsidR="00DF7DB8" w:rsidRPr="007D36A1" w:rsidRDefault="00B24238" w:rsidP="008641F7">
      <w:pPr>
        <w:pStyle w:val="SingleTxtG"/>
        <w:tabs>
          <w:tab w:val="left" w:pos="2268"/>
        </w:tabs>
        <w:rPr>
          <w:lang w:val="en-GB"/>
        </w:rPr>
      </w:pPr>
      <w:r w:rsidRPr="007D36A1">
        <w:rPr>
          <w:lang w:val="en-GB"/>
        </w:rPr>
        <w:t>6.4.15.4</w:t>
      </w:r>
      <w:r w:rsidRPr="007D36A1">
        <w:rPr>
          <w:lang w:val="en-GB"/>
        </w:rPr>
        <w:tab/>
      </w:r>
      <w:r w:rsidR="00DF7DB8" w:rsidRPr="007D36A1">
        <w:rPr>
          <w:lang w:val="en-GB"/>
        </w:rPr>
        <w:t xml:space="preserve">In </w:t>
      </w:r>
      <w:r w:rsidR="008B6EF7" w:rsidRPr="007D36A1">
        <w:rPr>
          <w:lang w:val="en-GB"/>
        </w:rPr>
        <w:t>sub-paragraph</w:t>
      </w:r>
      <w:r w:rsidRPr="007D36A1">
        <w:rPr>
          <w:lang w:val="en-GB"/>
        </w:rPr>
        <w:t xml:space="preserve"> (a)</w:t>
      </w:r>
      <w:r w:rsidR="00DF7DB8" w:rsidRPr="007D36A1">
        <w:rPr>
          <w:lang w:val="en-GB"/>
        </w:rPr>
        <w:t>, at the beginning, replace “of drop” by “of the drop,” and add a comma after “of the target”.</w:t>
      </w:r>
    </w:p>
    <w:p w14:paraId="72DBA3CE" w14:textId="77777777" w:rsidR="00962BE5" w:rsidRPr="007D36A1" w:rsidRDefault="009F1EFF" w:rsidP="008641F7">
      <w:pPr>
        <w:pStyle w:val="SingleTxtG"/>
        <w:tabs>
          <w:tab w:val="left" w:pos="2268"/>
        </w:tabs>
        <w:rPr>
          <w:i/>
          <w:lang w:val="en-GB"/>
        </w:rPr>
      </w:pPr>
      <w:r w:rsidRPr="007D36A1">
        <w:rPr>
          <w:i/>
          <w:lang w:val="en-GB"/>
        </w:rPr>
        <w:lastRenderedPageBreak/>
        <w:t>[IAEA: 722]</w:t>
      </w:r>
    </w:p>
    <w:p w14:paraId="6F27FD4F" w14:textId="77777777" w:rsidR="00B24238" w:rsidRPr="007D36A1" w:rsidRDefault="00B24238" w:rsidP="008641F7">
      <w:pPr>
        <w:pStyle w:val="SingleTxtG"/>
        <w:tabs>
          <w:tab w:val="left" w:pos="2268"/>
        </w:tabs>
        <w:rPr>
          <w:lang w:val="en-GB"/>
        </w:rPr>
      </w:pPr>
      <w:r w:rsidRPr="007D36A1">
        <w:rPr>
          <w:lang w:val="en-GB"/>
        </w:rPr>
        <w:t>6.4.15.6</w:t>
      </w:r>
      <w:r w:rsidRPr="007D36A1">
        <w:rPr>
          <w:lang w:val="en-GB"/>
        </w:rPr>
        <w:tab/>
      </w:r>
      <w:r w:rsidR="00DF7DB8" w:rsidRPr="007D36A1">
        <w:rPr>
          <w:lang w:val="en-GB"/>
        </w:rPr>
        <w:t xml:space="preserve">In </w:t>
      </w:r>
      <w:r w:rsidR="008B6EF7" w:rsidRPr="007D36A1">
        <w:rPr>
          <w:lang w:val="en-GB"/>
        </w:rPr>
        <w:t>sub-paragraph</w:t>
      </w:r>
      <w:r w:rsidRPr="007D36A1">
        <w:rPr>
          <w:lang w:val="en-GB"/>
        </w:rPr>
        <w:t xml:space="preserve"> (b) </w:t>
      </w:r>
      <w:r w:rsidR="00DF7DB8" w:rsidRPr="007D36A1">
        <w:rPr>
          <w:lang w:val="en-GB"/>
        </w:rPr>
        <w:t xml:space="preserve">replace “of drop” by “of the drop” and add commas before “measured” and after “of the specimen”. </w:t>
      </w:r>
    </w:p>
    <w:p w14:paraId="6C2DBA0E" w14:textId="77777777" w:rsidR="00962BE5" w:rsidRPr="007D36A1" w:rsidRDefault="009F1EFF" w:rsidP="008641F7">
      <w:pPr>
        <w:pStyle w:val="SingleTxtG"/>
        <w:tabs>
          <w:tab w:val="left" w:pos="2268"/>
        </w:tabs>
        <w:rPr>
          <w:i/>
          <w:lang w:val="en-GB"/>
        </w:rPr>
      </w:pPr>
      <w:r w:rsidRPr="007D36A1">
        <w:rPr>
          <w:i/>
          <w:lang w:val="en-GB"/>
        </w:rPr>
        <w:t>[IAEA: 724]</w:t>
      </w:r>
    </w:p>
    <w:p w14:paraId="31479CC1" w14:textId="77777777" w:rsidR="00327920" w:rsidRPr="007D36A1" w:rsidRDefault="00B24238" w:rsidP="008641F7">
      <w:pPr>
        <w:pStyle w:val="SingleTxtG"/>
        <w:tabs>
          <w:tab w:val="left" w:pos="2268"/>
        </w:tabs>
        <w:rPr>
          <w:lang w:val="en-GB"/>
        </w:rPr>
      </w:pPr>
      <w:r w:rsidRPr="007D36A1">
        <w:rPr>
          <w:lang w:val="en-GB"/>
        </w:rPr>
        <w:t>6.4.17.2</w:t>
      </w:r>
      <w:r w:rsidRPr="007D36A1">
        <w:rPr>
          <w:lang w:val="en-GB"/>
        </w:rPr>
        <w:tab/>
      </w:r>
      <w:r w:rsidR="00327920" w:rsidRPr="007D36A1">
        <w:rPr>
          <w:lang w:val="en-GB"/>
        </w:rPr>
        <w:t xml:space="preserve">In </w:t>
      </w:r>
      <w:r w:rsidR="008B6EF7" w:rsidRPr="007D36A1">
        <w:rPr>
          <w:lang w:val="en-GB"/>
        </w:rPr>
        <w:t>sub-paragraph</w:t>
      </w:r>
      <w:r w:rsidRPr="007D36A1">
        <w:rPr>
          <w:lang w:val="en-GB"/>
        </w:rPr>
        <w:t xml:space="preserve"> (b)</w:t>
      </w:r>
      <w:r w:rsidR="00327920" w:rsidRPr="007D36A1">
        <w:rPr>
          <w:lang w:val="en-GB"/>
        </w:rPr>
        <w:t>, in the third sentence, replace “section” by “cross-section”.</w:t>
      </w:r>
    </w:p>
    <w:p w14:paraId="235560B9" w14:textId="77777777" w:rsidR="00840431" w:rsidRPr="007D36A1" w:rsidRDefault="009F1EFF" w:rsidP="008641F7">
      <w:pPr>
        <w:pStyle w:val="SingleTxtG"/>
        <w:tabs>
          <w:tab w:val="left" w:pos="2268"/>
        </w:tabs>
        <w:rPr>
          <w:i/>
          <w:lang w:val="en-GB"/>
        </w:rPr>
      </w:pPr>
      <w:r w:rsidRPr="007D36A1">
        <w:rPr>
          <w:i/>
          <w:lang w:val="en-GB"/>
        </w:rPr>
        <w:t>[IAEA: 727]</w:t>
      </w:r>
    </w:p>
    <w:p w14:paraId="1D6C4D0F" w14:textId="77777777" w:rsidR="00327920" w:rsidRPr="007D36A1" w:rsidRDefault="00B24238" w:rsidP="008641F7">
      <w:pPr>
        <w:pStyle w:val="SingleTxtG"/>
        <w:tabs>
          <w:tab w:val="left" w:pos="2268"/>
        </w:tabs>
        <w:rPr>
          <w:lang w:val="en-GB"/>
        </w:rPr>
      </w:pPr>
      <w:r w:rsidRPr="007D36A1">
        <w:rPr>
          <w:lang w:val="en-GB"/>
        </w:rPr>
        <w:t>6.4.17.3</w:t>
      </w:r>
      <w:r w:rsidRPr="007D36A1">
        <w:rPr>
          <w:lang w:val="en-GB"/>
        </w:rPr>
        <w:tab/>
      </w:r>
      <w:r w:rsidR="00327920" w:rsidRPr="007D36A1">
        <w:rPr>
          <w:lang w:val="en-GB"/>
        </w:rPr>
        <w:t xml:space="preserve">In </w:t>
      </w:r>
      <w:r w:rsidR="008B6EF7" w:rsidRPr="007D36A1">
        <w:rPr>
          <w:lang w:val="en-GB"/>
        </w:rPr>
        <w:t>sub-paragraph</w:t>
      </w:r>
      <w:r w:rsidRPr="007D36A1">
        <w:rPr>
          <w:lang w:val="en-GB"/>
        </w:rPr>
        <w:t xml:space="preserve"> (b)</w:t>
      </w:r>
      <w:r w:rsidR="00327920" w:rsidRPr="007D36A1">
        <w:rPr>
          <w:lang w:val="en-GB"/>
        </w:rPr>
        <w:t>, replace “are everywhere decreasing” by “are decreasing in all parts of the specimen”.</w:t>
      </w:r>
    </w:p>
    <w:p w14:paraId="5ED50699" w14:textId="77777777" w:rsidR="00840431" w:rsidRPr="007D36A1" w:rsidRDefault="00B24238" w:rsidP="008641F7">
      <w:pPr>
        <w:pStyle w:val="SingleTxtG"/>
        <w:tabs>
          <w:tab w:val="left" w:pos="2268"/>
        </w:tabs>
        <w:rPr>
          <w:i/>
          <w:lang w:val="en-GB"/>
        </w:rPr>
      </w:pPr>
      <w:r w:rsidRPr="007D36A1">
        <w:rPr>
          <w:i/>
          <w:lang w:val="en-GB"/>
        </w:rPr>
        <w:t>[IAEA: 728]</w:t>
      </w:r>
    </w:p>
    <w:p w14:paraId="2D6B06BB" w14:textId="4B4C36CC" w:rsidR="00494AB7" w:rsidRPr="007D36A1" w:rsidRDefault="00494AB7" w:rsidP="00D80568">
      <w:pPr>
        <w:pStyle w:val="SingleTxtG"/>
        <w:tabs>
          <w:tab w:val="left" w:pos="2268"/>
        </w:tabs>
        <w:rPr>
          <w:lang w:val="en-GB"/>
        </w:rPr>
      </w:pPr>
      <w:r w:rsidRPr="007D36A1">
        <w:rPr>
          <w:lang w:val="en-GB"/>
        </w:rPr>
        <w:t>After 6.4.23.2</w:t>
      </w:r>
      <w:r w:rsidRPr="007D36A1">
        <w:rPr>
          <w:lang w:val="en-GB"/>
        </w:rPr>
        <w:tab/>
        <w:t>Add new paragraph</w:t>
      </w:r>
      <w:r w:rsidR="00CE0246" w:rsidRPr="007D36A1">
        <w:rPr>
          <w:lang w:val="en-GB"/>
        </w:rPr>
        <w:t xml:space="preserve"> 6.4.23.2.1</w:t>
      </w:r>
      <w:r w:rsidRPr="007D36A1">
        <w:rPr>
          <w:lang w:val="en-GB"/>
        </w:rPr>
        <w:t xml:space="preserve"> to read as follows:</w:t>
      </w:r>
    </w:p>
    <w:p w14:paraId="7DEE0407" w14:textId="7F1AB7EC" w:rsidR="007A510C" w:rsidRPr="007D36A1" w:rsidRDefault="00494AB7" w:rsidP="00D80568">
      <w:pPr>
        <w:pStyle w:val="SingleTxtG"/>
        <w:tabs>
          <w:tab w:val="left" w:pos="2268"/>
        </w:tabs>
        <w:rPr>
          <w:lang w:val="en-GB"/>
        </w:rPr>
      </w:pPr>
      <w:r w:rsidRPr="007D36A1">
        <w:rPr>
          <w:lang w:val="en-GB"/>
        </w:rPr>
        <w:t>“</w:t>
      </w:r>
      <w:r w:rsidR="00CE0246" w:rsidRPr="007D36A1">
        <w:rPr>
          <w:lang w:val="en-GB"/>
        </w:rPr>
        <w:t>6.4.23.2.1</w:t>
      </w:r>
      <w:r w:rsidR="00CE0246" w:rsidRPr="007D36A1">
        <w:rPr>
          <w:lang w:val="en-GB"/>
        </w:rPr>
        <w:tab/>
      </w:r>
      <w:r w:rsidR="007A510C" w:rsidRPr="007D36A1">
        <w:rPr>
          <w:lang w:val="en-GB"/>
        </w:rPr>
        <w:t>An application for approval of SCO-III shipments shall include:</w:t>
      </w:r>
    </w:p>
    <w:p w14:paraId="2F1D876A" w14:textId="7BA3573B" w:rsidR="007A510C" w:rsidRPr="007D36A1" w:rsidRDefault="00D80568" w:rsidP="00D80568">
      <w:pPr>
        <w:pStyle w:val="SingleTxtG"/>
        <w:tabs>
          <w:tab w:val="left" w:pos="2268"/>
        </w:tabs>
        <w:rPr>
          <w:lang w:val="en-GB"/>
        </w:rPr>
      </w:pPr>
      <w:r w:rsidRPr="007D36A1">
        <w:rPr>
          <w:lang w:val="en-GB"/>
        </w:rPr>
        <w:t>(a)</w:t>
      </w:r>
      <w:r w:rsidRPr="007D36A1">
        <w:rPr>
          <w:lang w:val="en-GB"/>
        </w:rPr>
        <w:tab/>
      </w:r>
      <w:r w:rsidR="007A510C" w:rsidRPr="007D36A1">
        <w:rPr>
          <w:lang w:val="en-GB"/>
        </w:rPr>
        <w:t>A statement of the respects in which, and of the reasons why, the consignment is considered SCO-III</w:t>
      </w:r>
      <w:r w:rsidR="007D36A1" w:rsidRPr="007D36A1">
        <w:rPr>
          <w:lang w:val="en-GB"/>
        </w:rPr>
        <w:t>;</w:t>
      </w:r>
    </w:p>
    <w:p w14:paraId="1AE0C58D" w14:textId="784C9700" w:rsidR="007A510C" w:rsidRPr="007D36A1" w:rsidRDefault="00D80568" w:rsidP="00D80568">
      <w:pPr>
        <w:pStyle w:val="SingleTxtG"/>
        <w:tabs>
          <w:tab w:val="left" w:pos="2268"/>
        </w:tabs>
        <w:rPr>
          <w:lang w:val="en-GB"/>
        </w:rPr>
      </w:pPr>
      <w:r w:rsidRPr="007D36A1">
        <w:rPr>
          <w:lang w:val="en-GB"/>
        </w:rPr>
        <w:t>(b)</w:t>
      </w:r>
      <w:r w:rsidRPr="007D36A1">
        <w:rPr>
          <w:lang w:val="en-GB"/>
        </w:rPr>
        <w:tab/>
      </w:r>
      <w:r w:rsidR="007A510C" w:rsidRPr="007D36A1">
        <w:rPr>
          <w:lang w:val="en-GB"/>
        </w:rPr>
        <w:t>Justification for choosing SCO-III by demonstrating that:</w:t>
      </w:r>
    </w:p>
    <w:p w14:paraId="3C07761C" w14:textId="16A4D37B" w:rsidR="007A510C" w:rsidRPr="007D36A1" w:rsidRDefault="00D80568" w:rsidP="007D36A1">
      <w:pPr>
        <w:pStyle w:val="SingleTxtG"/>
        <w:tabs>
          <w:tab w:val="left" w:pos="2268"/>
        </w:tabs>
        <w:ind w:left="2268"/>
        <w:rPr>
          <w:lang w:val="en-GB"/>
        </w:rPr>
      </w:pPr>
      <w:r w:rsidRPr="007D36A1">
        <w:rPr>
          <w:lang w:val="en-GB"/>
        </w:rPr>
        <w:t>(</w:t>
      </w:r>
      <w:proofErr w:type="spellStart"/>
      <w:r w:rsidRPr="007D36A1">
        <w:rPr>
          <w:lang w:val="en-GB"/>
        </w:rPr>
        <w:t>i</w:t>
      </w:r>
      <w:proofErr w:type="spellEnd"/>
      <w:r w:rsidRPr="007D36A1">
        <w:rPr>
          <w:lang w:val="en-GB"/>
        </w:rPr>
        <w:t>)</w:t>
      </w:r>
      <w:r w:rsidRPr="007D36A1">
        <w:rPr>
          <w:lang w:val="en-GB"/>
        </w:rPr>
        <w:tab/>
      </w:r>
      <w:r w:rsidR="007A510C" w:rsidRPr="007D36A1">
        <w:rPr>
          <w:lang w:val="en-GB"/>
        </w:rPr>
        <w:t>No suitable packaging currently exists;</w:t>
      </w:r>
    </w:p>
    <w:p w14:paraId="054AD961" w14:textId="7B444B4A" w:rsidR="007A510C" w:rsidRPr="007D36A1" w:rsidRDefault="00D80568" w:rsidP="007D36A1">
      <w:pPr>
        <w:pStyle w:val="SingleTxtG"/>
        <w:tabs>
          <w:tab w:val="left" w:pos="2268"/>
        </w:tabs>
        <w:ind w:left="2268"/>
        <w:rPr>
          <w:lang w:val="en-GB"/>
        </w:rPr>
      </w:pPr>
      <w:r w:rsidRPr="007D36A1">
        <w:rPr>
          <w:lang w:val="en-GB"/>
        </w:rPr>
        <w:t>(ii)</w:t>
      </w:r>
      <w:r w:rsidRPr="007D36A1">
        <w:rPr>
          <w:lang w:val="en-GB"/>
        </w:rPr>
        <w:tab/>
      </w:r>
      <w:r w:rsidR="007A510C" w:rsidRPr="007D36A1">
        <w:rPr>
          <w:lang w:val="en-GB"/>
        </w:rPr>
        <w:t>Designing and/or constructing a packaging or segmenting the object is not practically, technically or economically feasible;</w:t>
      </w:r>
    </w:p>
    <w:p w14:paraId="23822379" w14:textId="54B6E5A1" w:rsidR="007A510C" w:rsidRPr="007D36A1" w:rsidRDefault="00D80568" w:rsidP="007D36A1">
      <w:pPr>
        <w:pStyle w:val="SingleTxtG"/>
        <w:tabs>
          <w:tab w:val="left" w:pos="2268"/>
        </w:tabs>
        <w:ind w:left="2268"/>
        <w:rPr>
          <w:lang w:val="en-GB"/>
        </w:rPr>
      </w:pPr>
      <w:r w:rsidRPr="007D36A1">
        <w:rPr>
          <w:lang w:val="en-GB"/>
        </w:rPr>
        <w:t>(iii)</w:t>
      </w:r>
      <w:r w:rsidRPr="007D36A1">
        <w:rPr>
          <w:lang w:val="en-GB"/>
        </w:rPr>
        <w:tab/>
      </w:r>
      <w:r w:rsidR="007A510C" w:rsidRPr="007D36A1">
        <w:rPr>
          <w:lang w:val="en-GB"/>
        </w:rPr>
        <w:t>No other viable alternative exists</w:t>
      </w:r>
      <w:r w:rsidR="007D36A1" w:rsidRPr="007D36A1">
        <w:rPr>
          <w:lang w:val="en-GB"/>
        </w:rPr>
        <w:t>;</w:t>
      </w:r>
    </w:p>
    <w:p w14:paraId="5297AC80" w14:textId="78692534" w:rsidR="007A510C" w:rsidRPr="007D36A1" w:rsidRDefault="00D80568" w:rsidP="00D80568">
      <w:pPr>
        <w:pStyle w:val="SingleTxtG"/>
        <w:tabs>
          <w:tab w:val="left" w:pos="2268"/>
        </w:tabs>
        <w:rPr>
          <w:lang w:val="en-GB"/>
        </w:rPr>
      </w:pPr>
      <w:r w:rsidRPr="007D36A1">
        <w:rPr>
          <w:lang w:val="en-GB"/>
        </w:rPr>
        <w:t>(</w:t>
      </w:r>
      <w:r w:rsidR="007D36A1" w:rsidRPr="007D36A1">
        <w:rPr>
          <w:lang w:val="en-GB"/>
        </w:rPr>
        <w:t>c</w:t>
      </w:r>
      <w:r w:rsidRPr="007D36A1">
        <w:rPr>
          <w:lang w:val="en-GB"/>
        </w:rPr>
        <w:t>)</w:t>
      </w:r>
      <w:r w:rsidR="007D36A1" w:rsidRPr="007D36A1">
        <w:rPr>
          <w:lang w:val="en-GB"/>
        </w:rPr>
        <w:tab/>
      </w:r>
      <w:r w:rsidR="007A510C" w:rsidRPr="007D36A1">
        <w:rPr>
          <w:lang w:val="en-GB"/>
        </w:rPr>
        <w:t>A detailed description of the proposed radioactive contents with reference to their physical and chemical states and the nature of the radiation emitted</w:t>
      </w:r>
      <w:r w:rsidR="007D36A1" w:rsidRPr="007D36A1">
        <w:rPr>
          <w:lang w:val="en-GB"/>
        </w:rPr>
        <w:t>;</w:t>
      </w:r>
    </w:p>
    <w:p w14:paraId="1FC198A6" w14:textId="553B942C" w:rsidR="007A510C" w:rsidRPr="007D36A1" w:rsidRDefault="00D80568" w:rsidP="00D80568">
      <w:pPr>
        <w:pStyle w:val="SingleTxtG"/>
        <w:tabs>
          <w:tab w:val="left" w:pos="2268"/>
        </w:tabs>
        <w:rPr>
          <w:lang w:val="en-GB"/>
        </w:rPr>
      </w:pPr>
      <w:r w:rsidRPr="007D36A1">
        <w:rPr>
          <w:lang w:val="en-GB"/>
        </w:rPr>
        <w:t>(</w:t>
      </w:r>
      <w:r w:rsidR="007D36A1" w:rsidRPr="007D36A1">
        <w:rPr>
          <w:lang w:val="en-GB"/>
        </w:rPr>
        <w:t>d</w:t>
      </w:r>
      <w:r w:rsidRPr="007D36A1">
        <w:rPr>
          <w:lang w:val="en-GB"/>
        </w:rPr>
        <w:t xml:space="preserve">) </w:t>
      </w:r>
      <w:r w:rsidR="007D36A1" w:rsidRPr="007D36A1">
        <w:rPr>
          <w:lang w:val="en-GB"/>
        </w:rPr>
        <w:tab/>
      </w:r>
      <w:r w:rsidR="007A510C" w:rsidRPr="007D36A1">
        <w:rPr>
          <w:lang w:val="en-GB"/>
        </w:rPr>
        <w:t>A detailed statement of the design of the SCO-III, including complete engineering drawings and schedules of materials and methods of manufacture</w:t>
      </w:r>
      <w:r w:rsidR="007D36A1" w:rsidRPr="007D36A1">
        <w:rPr>
          <w:lang w:val="en-GB"/>
        </w:rPr>
        <w:t>;</w:t>
      </w:r>
    </w:p>
    <w:p w14:paraId="6109CC3A" w14:textId="0E32F12C" w:rsidR="007A510C" w:rsidRPr="007D36A1" w:rsidRDefault="00D80568" w:rsidP="00D80568">
      <w:pPr>
        <w:pStyle w:val="SingleTxtG"/>
        <w:tabs>
          <w:tab w:val="left" w:pos="2268"/>
        </w:tabs>
        <w:rPr>
          <w:lang w:val="en-GB"/>
        </w:rPr>
      </w:pPr>
      <w:r w:rsidRPr="007D36A1">
        <w:rPr>
          <w:lang w:val="en-GB"/>
        </w:rPr>
        <w:t>(</w:t>
      </w:r>
      <w:r w:rsidR="007D36A1" w:rsidRPr="007D36A1">
        <w:rPr>
          <w:lang w:val="en-GB"/>
        </w:rPr>
        <w:t>e</w:t>
      </w:r>
      <w:r w:rsidRPr="007D36A1">
        <w:rPr>
          <w:lang w:val="en-GB"/>
        </w:rPr>
        <w:t>)</w:t>
      </w:r>
      <w:r w:rsidR="007D36A1" w:rsidRPr="007D36A1">
        <w:rPr>
          <w:lang w:val="en-GB"/>
        </w:rPr>
        <w:tab/>
      </w:r>
      <w:r w:rsidR="007A510C" w:rsidRPr="007D36A1">
        <w:rPr>
          <w:lang w:val="en-GB"/>
        </w:rPr>
        <w:t xml:space="preserve">All information necessary to satisfy the competent authority that the requirements of </w:t>
      </w:r>
      <w:r w:rsidR="00C97B7B" w:rsidRPr="007D36A1">
        <w:rPr>
          <w:lang w:val="en-GB"/>
        </w:rPr>
        <w:t>4.1.9.2.4</w:t>
      </w:r>
      <w:r w:rsidR="009704C2" w:rsidRPr="007D36A1">
        <w:rPr>
          <w:lang w:val="en-GB"/>
        </w:rPr>
        <w:t xml:space="preserve"> </w:t>
      </w:r>
      <w:r w:rsidR="00C97B7B" w:rsidRPr="007D36A1">
        <w:rPr>
          <w:lang w:val="en-GB"/>
        </w:rPr>
        <w:t xml:space="preserve">(e) </w:t>
      </w:r>
      <w:r w:rsidR="007A510C" w:rsidRPr="007D36A1">
        <w:rPr>
          <w:lang w:val="en-GB"/>
        </w:rPr>
        <w:t xml:space="preserve">and the requirements of </w:t>
      </w:r>
      <w:r w:rsidR="00C97B7B" w:rsidRPr="007D36A1">
        <w:rPr>
          <w:lang w:val="en-GB"/>
        </w:rPr>
        <w:t>7.1.8.2</w:t>
      </w:r>
      <w:r w:rsidR="007A510C" w:rsidRPr="007D36A1">
        <w:rPr>
          <w:lang w:val="en-GB"/>
        </w:rPr>
        <w:t>, if applicable, are satisfied</w:t>
      </w:r>
      <w:r w:rsidR="007D36A1" w:rsidRPr="007D36A1">
        <w:rPr>
          <w:lang w:val="en-GB"/>
        </w:rPr>
        <w:t>;</w:t>
      </w:r>
    </w:p>
    <w:p w14:paraId="4FECC88D" w14:textId="46026058" w:rsidR="007A510C" w:rsidRPr="007D36A1" w:rsidRDefault="00D80568" w:rsidP="00D80568">
      <w:pPr>
        <w:pStyle w:val="SingleTxtG"/>
        <w:tabs>
          <w:tab w:val="left" w:pos="2268"/>
        </w:tabs>
        <w:rPr>
          <w:lang w:val="en-GB"/>
        </w:rPr>
      </w:pPr>
      <w:r w:rsidRPr="007D36A1">
        <w:rPr>
          <w:lang w:val="en-GB"/>
        </w:rPr>
        <w:t>(</w:t>
      </w:r>
      <w:r w:rsidR="007D36A1" w:rsidRPr="007D36A1">
        <w:rPr>
          <w:lang w:val="en-GB"/>
        </w:rPr>
        <w:t>f</w:t>
      </w:r>
      <w:r w:rsidRPr="007D36A1">
        <w:rPr>
          <w:lang w:val="en-GB"/>
        </w:rPr>
        <w:t xml:space="preserve">) </w:t>
      </w:r>
      <w:r w:rsidR="007D36A1" w:rsidRPr="007D36A1">
        <w:rPr>
          <w:lang w:val="en-GB"/>
        </w:rPr>
        <w:tab/>
      </w:r>
      <w:r w:rsidR="007A510C" w:rsidRPr="007D36A1">
        <w:rPr>
          <w:lang w:val="en-GB"/>
        </w:rPr>
        <w:t>A transport plan</w:t>
      </w:r>
      <w:r w:rsidR="007D36A1" w:rsidRPr="007D36A1">
        <w:rPr>
          <w:lang w:val="en-GB"/>
        </w:rPr>
        <w:t>;</w:t>
      </w:r>
    </w:p>
    <w:p w14:paraId="49D6B040" w14:textId="07362199" w:rsidR="00494AB7" w:rsidRPr="007D36A1" w:rsidRDefault="00D80568" w:rsidP="00D80568">
      <w:pPr>
        <w:pStyle w:val="SingleTxtG"/>
        <w:tabs>
          <w:tab w:val="left" w:pos="2268"/>
        </w:tabs>
        <w:rPr>
          <w:lang w:val="en-GB"/>
        </w:rPr>
      </w:pPr>
      <w:r w:rsidRPr="007D36A1">
        <w:rPr>
          <w:lang w:val="en-GB"/>
        </w:rPr>
        <w:t>(</w:t>
      </w:r>
      <w:r w:rsidR="007D36A1" w:rsidRPr="007D36A1">
        <w:rPr>
          <w:lang w:val="en-GB"/>
        </w:rPr>
        <w:t>g</w:t>
      </w:r>
      <w:r w:rsidRPr="007D36A1">
        <w:rPr>
          <w:lang w:val="en-GB"/>
        </w:rPr>
        <w:t xml:space="preserve">) </w:t>
      </w:r>
      <w:r w:rsidR="007D36A1" w:rsidRPr="007D36A1">
        <w:rPr>
          <w:lang w:val="en-GB"/>
        </w:rPr>
        <w:tab/>
      </w:r>
      <w:r w:rsidR="007A510C" w:rsidRPr="007D36A1">
        <w:rPr>
          <w:lang w:val="en-GB"/>
        </w:rPr>
        <w:t xml:space="preserve">A specification of the applicable management system as required in </w:t>
      </w:r>
      <w:r w:rsidR="00327920" w:rsidRPr="007D36A1">
        <w:rPr>
          <w:lang w:val="en-GB"/>
        </w:rPr>
        <w:t>1.5.3.1</w:t>
      </w:r>
      <w:r w:rsidR="00585334" w:rsidRPr="007D36A1">
        <w:rPr>
          <w:lang w:val="en-GB"/>
        </w:rPr>
        <w:t>.</w:t>
      </w:r>
      <w:r w:rsidR="00327920" w:rsidRPr="007D36A1">
        <w:rPr>
          <w:lang w:val="en-GB"/>
        </w:rPr>
        <w:t>”.</w:t>
      </w:r>
    </w:p>
    <w:p w14:paraId="4C3457B9" w14:textId="326185D3" w:rsidR="00494AB7" w:rsidRPr="007D36A1" w:rsidRDefault="00494AB7" w:rsidP="00D80568">
      <w:pPr>
        <w:pStyle w:val="SingleTxtG"/>
        <w:tabs>
          <w:tab w:val="left" w:pos="2268"/>
        </w:tabs>
        <w:rPr>
          <w:i/>
          <w:lang w:val="en-GB"/>
        </w:rPr>
      </w:pPr>
      <w:r w:rsidRPr="007D36A1">
        <w:rPr>
          <w:i/>
          <w:lang w:val="en-GB"/>
        </w:rPr>
        <w:t>[IAEA: 827A]</w:t>
      </w:r>
    </w:p>
    <w:p w14:paraId="0F163132" w14:textId="77777777" w:rsidR="0034743C" w:rsidRPr="007D36A1" w:rsidRDefault="0034743C" w:rsidP="00D80568">
      <w:pPr>
        <w:pStyle w:val="SingleTxtG"/>
        <w:tabs>
          <w:tab w:val="left" w:pos="2268"/>
        </w:tabs>
        <w:rPr>
          <w:lang w:val="en-GB"/>
        </w:rPr>
      </w:pPr>
      <w:r w:rsidRPr="007D36A1">
        <w:rPr>
          <w:lang w:val="en-GB"/>
        </w:rPr>
        <w:t>6.4.23.4</w:t>
      </w:r>
      <w:r w:rsidRPr="007D36A1">
        <w:rPr>
          <w:lang w:val="en-GB"/>
        </w:rPr>
        <w:tab/>
      </w:r>
      <w:r w:rsidR="00946279" w:rsidRPr="007D36A1">
        <w:rPr>
          <w:lang w:val="en-GB"/>
        </w:rPr>
        <w:t xml:space="preserve">Insert </w:t>
      </w:r>
      <w:r w:rsidR="00B15032" w:rsidRPr="007D36A1">
        <w:rPr>
          <w:lang w:val="en-GB"/>
        </w:rPr>
        <w:t xml:space="preserve">an </w:t>
      </w:r>
      <w:r w:rsidRPr="007D36A1">
        <w:rPr>
          <w:lang w:val="en-GB"/>
        </w:rPr>
        <w:t>additional sub-paragraph (f) to read as follows:</w:t>
      </w:r>
    </w:p>
    <w:p w14:paraId="616A0E99" w14:textId="128A1A02" w:rsidR="0034743C" w:rsidRPr="007D36A1" w:rsidRDefault="00946279" w:rsidP="00D80568">
      <w:pPr>
        <w:pStyle w:val="SingleTxtG"/>
        <w:tabs>
          <w:tab w:val="left" w:pos="2268"/>
        </w:tabs>
        <w:rPr>
          <w:lang w:val="en-GB"/>
        </w:rPr>
      </w:pPr>
      <w:r w:rsidRPr="007D36A1">
        <w:rPr>
          <w:lang w:val="en-GB"/>
        </w:rPr>
        <w:t xml:space="preserve">“(f) </w:t>
      </w:r>
      <w:r w:rsidR="007D36A1">
        <w:rPr>
          <w:lang w:val="en-GB"/>
        </w:rPr>
        <w:tab/>
      </w:r>
      <w:r w:rsidRPr="007D36A1">
        <w:rPr>
          <w:lang w:val="en-GB"/>
        </w:rPr>
        <w:t>If the package is to be used for shipment after storage, a justification of considerations to ageing mechanisms in the safety analysis and within the proposed operating and maintenance instructions</w:t>
      </w:r>
      <w:r w:rsidR="009704C2" w:rsidRPr="007D36A1">
        <w:rPr>
          <w:lang w:val="en-GB"/>
        </w:rPr>
        <w:t>;”</w:t>
      </w:r>
      <w:r w:rsidR="00CE0246" w:rsidRPr="007D36A1">
        <w:rPr>
          <w:lang w:val="en-GB"/>
        </w:rPr>
        <w:t>.</w:t>
      </w:r>
    </w:p>
    <w:p w14:paraId="5191D856" w14:textId="2173DDBE" w:rsidR="00CE0246" w:rsidRPr="007D36A1" w:rsidRDefault="007D36A1" w:rsidP="00D80568">
      <w:pPr>
        <w:pStyle w:val="SingleTxtG"/>
        <w:tabs>
          <w:tab w:val="left" w:pos="2268"/>
        </w:tabs>
        <w:rPr>
          <w:lang w:val="en-GB"/>
        </w:rPr>
      </w:pPr>
      <w:r>
        <w:rPr>
          <w:lang w:val="en-GB"/>
        </w:rPr>
        <w:tab/>
      </w:r>
      <w:r w:rsidR="00CE0246" w:rsidRPr="007D36A1">
        <w:rPr>
          <w:lang w:val="en-GB"/>
        </w:rPr>
        <w:t>Renumber subsequent sub-paragraphs accordingly.</w:t>
      </w:r>
    </w:p>
    <w:p w14:paraId="3CBEEFB4" w14:textId="54BDAE47" w:rsidR="0034743C" w:rsidRPr="007D36A1" w:rsidRDefault="007D36A1" w:rsidP="00D80568">
      <w:pPr>
        <w:pStyle w:val="SingleTxtG"/>
        <w:tabs>
          <w:tab w:val="left" w:pos="2268"/>
        </w:tabs>
        <w:rPr>
          <w:lang w:val="en-GB"/>
        </w:rPr>
      </w:pPr>
      <w:r>
        <w:rPr>
          <w:lang w:val="en-GB"/>
        </w:rPr>
        <w:tab/>
      </w:r>
      <w:r w:rsidR="0034743C" w:rsidRPr="007D36A1">
        <w:rPr>
          <w:lang w:val="en-GB"/>
        </w:rPr>
        <w:t>Add additional sub-paragraph (k) to read as follows:</w:t>
      </w:r>
    </w:p>
    <w:p w14:paraId="03FEAA5B" w14:textId="66B0FFDE" w:rsidR="00946279" w:rsidRPr="007D36A1" w:rsidRDefault="00946279" w:rsidP="00D80568">
      <w:pPr>
        <w:pStyle w:val="SingleTxtG"/>
        <w:tabs>
          <w:tab w:val="left" w:pos="2268"/>
        </w:tabs>
        <w:rPr>
          <w:lang w:val="en-GB"/>
        </w:rPr>
      </w:pPr>
      <w:r w:rsidRPr="007D36A1">
        <w:rPr>
          <w:lang w:val="en-GB"/>
        </w:rPr>
        <w:t xml:space="preserve">“(k) </w:t>
      </w:r>
      <w:r w:rsidR="007D36A1">
        <w:rPr>
          <w:lang w:val="en-GB"/>
        </w:rPr>
        <w:tab/>
      </w:r>
      <w:r w:rsidRPr="007D36A1">
        <w:rPr>
          <w:lang w:val="en-GB"/>
        </w:rPr>
        <w:t>For packages which are to be used for shipment after storage, a gap analysis programme describing a systematic procedure for a periodic evaluation of changes of Regulations, changes in technical knowledge and changes of the state of the package design during storage.”</w:t>
      </w:r>
    </w:p>
    <w:p w14:paraId="5BDA0FFE" w14:textId="6A6E381F" w:rsidR="00946279" w:rsidRPr="007D36A1" w:rsidRDefault="00981BC3" w:rsidP="00D80568">
      <w:pPr>
        <w:pStyle w:val="SingleTxtG"/>
        <w:tabs>
          <w:tab w:val="left" w:pos="2268"/>
        </w:tabs>
        <w:rPr>
          <w:lang w:val="en-GB"/>
        </w:rPr>
      </w:pPr>
      <w:r w:rsidRPr="007D36A1">
        <w:rPr>
          <w:i/>
          <w:lang w:val="en-GB"/>
        </w:rPr>
        <w:t>[IAEA: 809]</w:t>
      </w:r>
    </w:p>
    <w:p w14:paraId="1E681C13" w14:textId="77777777" w:rsidR="007D36A1" w:rsidRDefault="00946279" w:rsidP="00D80568">
      <w:pPr>
        <w:pStyle w:val="SingleTxtG"/>
        <w:tabs>
          <w:tab w:val="left" w:pos="2268"/>
        </w:tabs>
        <w:rPr>
          <w:lang w:val="en-GB"/>
        </w:rPr>
      </w:pPr>
      <w:r w:rsidRPr="007D36A1">
        <w:rPr>
          <w:lang w:val="en-GB"/>
        </w:rPr>
        <w:t>6.4.23.8 (c)</w:t>
      </w:r>
      <w:r w:rsidRPr="007D36A1">
        <w:rPr>
          <w:lang w:val="en-GB"/>
        </w:rPr>
        <w:tab/>
      </w:r>
      <w:r w:rsidR="007D36A1">
        <w:rPr>
          <w:lang w:val="en-GB"/>
        </w:rPr>
        <w:t xml:space="preserve">Replace “calculative methods” by “calculations”. </w:t>
      </w:r>
    </w:p>
    <w:p w14:paraId="580ACDE7" w14:textId="29E428AB" w:rsidR="00981BC3" w:rsidRPr="007D36A1" w:rsidRDefault="00981BC3" w:rsidP="00D80568">
      <w:pPr>
        <w:pStyle w:val="SingleTxtG"/>
        <w:tabs>
          <w:tab w:val="left" w:pos="2268"/>
        </w:tabs>
        <w:rPr>
          <w:i/>
          <w:lang w:val="en-GB"/>
        </w:rPr>
      </w:pPr>
      <w:r w:rsidRPr="007D36A1">
        <w:rPr>
          <w:i/>
          <w:lang w:val="en-GB"/>
        </w:rPr>
        <w:lastRenderedPageBreak/>
        <w:t>[IAEA: 803]</w:t>
      </w:r>
    </w:p>
    <w:p w14:paraId="318A0729" w14:textId="77777777" w:rsidR="009704C2" w:rsidRPr="007D36A1" w:rsidRDefault="00D950A6" w:rsidP="00D80568">
      <w:pPr>
        <w:pStyle w:val="SingleTxtG"/>
        <w:tabs>
          <w:tab w:val="left" w:pos="2268"/>
        </w:tabs>
        <w:rPr>
          <w:lang w:val="en-GB"/>
        </w:rPr>
      </w:pPr>
      <w:r w:rsidRPr="007D36A1">
        <w:rPr>
          <w:lang w:val="en-GB"/>
        </w:rPr>
        <w:t>6.4.23.10</w:t>
      </w:r>
      <w:r w:rsidR="00293C61" w:rsidRPr="007D36A1">
        <w:rPr>
          <w:lang w:val="en-GB"/>
        </w:rPr>
        <w:tab/>
      </w:r>
      <w:r w:rsidR="00C53C30" w:rsidRPr="007D36A1">
        <w:rPr>
          <w:lang w:val="en-GB"/>
        </w:rPr>
        <w:t xml:space="preserve">Replace </w:t>
      </w:r>
      <w:r w:rsidR="009704C2" w:rsidRPr="007D36A1">
        <w:rPr>
          <w:lang w:val="en-GB"/>
        </w:rPr>
        <w:t>“International Basic Safety Standards for Protection against Ionizing Radiation and for the Safety of Radiation Sources, Safety Series No.115, IAEA, Vienna (1996)”</w:t>
      </w:r>
      <w:r w:rsidR="00C53C30" w:rsidRPr="007D36A1">
        <w:rPr>
          <w:lang w:val="en-GB"/>
        </w:rPr>
        <w:t xml:space="preserve"> </w:t>
      </w:r>
      <w:r w:rsidR="009704C2" w:rsidRPr="007D36A1">
        <w:rPr>
          <w:lang w:val="en-GB"/>
        </w:rPr>
        <w:t xml:space="preserve">by </w:t>
      </w:r>
      <w:r w:rsidR="00C53C30" w:rsidRPr="007D36A1">
        <w:rPr>
          <w:lang w:val="en-GB"/>
        </w:rPr>
        <w:t>“</w:t>
      </w:r>
      <w:r w:rsidR="009704C2" w:rsidRPr="007D36A1">
        <w:rPr>
          <w:lang w:val="en-GB"/>
        </w:rPr>
        <w:t>Radiation Protection and Safety of Radiation Sources: International Basic Safety Standards, IAEA Safety Standards Series No. GSR Part 3, IAEA, Vienna (2014)</w:t>
      </w:r>
      <w:r w:rsidR="00C53C30" w:rsidRPr="007D36A1">
        <w:rPr>
          <w:lang w:val="en-GB"/>
        </w:rPr>
        <w:t xml:space="preserve">” in </w:t>
      </w:r>
      <w:r w:rsidR="008B6EF7" w:rsidRPr="007D36A1">
        <w:rPr>
          <w:lang w:val="en-GB"/>
        </w:rPr>
        <w:t>sub-paragraph</w:t>
      </w:r>
      <w:r w:rsidR="00293C61" w:rsidRPr="007D36A1">
        <w:rPr>
          <w:lang w:val="en-GB"/>
        </w:rPr>
        <w:t xml:space="preserve"> (</w:t>
      </w:r>
      <w:r w:rsidR="00C53C30" w:rsidRPr="007D36A1">
        <w:rPr>
          <w:lang w:val="en-GB"/>
        </w:rPr>
        <w:t>h</w:t>
      </w:r>
      <w:r w:rsidR="00293C61" w:rsidRPr="007D36A1">
        <w:rPr>
          <w:lang w:val="en-GB"/>
        </w:rPr>
        <w:t>)</w:t>
      </w:r>
      <w:r w:rsidR="009704C2" w:rsidRPr="007D36A1">
        <w:rPr>
          <w:lang w:val="en-GB"/>
        </w:rPr>
        <w:t>.</w:t>
      </w:r>
    </w:p>
    <w:p w14:paraId="17418D7C" w14:textId="77777777" w:rsidR="00981BC3" w:rsidRPr="007D36A1" w:rsidRDefault="00293C61" w:rsidP="00D80568">
      <w:pPr>
        <w:pStyle w:val="SingleTxtG"/>
        <w:tabs>
          <w:tab w:val="left" w:pos="2268"/>
        </w:tabs>
        <w:rPr>
          <w:i/>
          <w:lang w:val="en-GB"/>
        </w:rPr>
      </w:pPr>
      <w:r w:rsidRPr="007D36A1">
        <w:rPr>
          <w:i/>
          <w:lang w:val="en-GB"/>
        </w:rPr>
        <w:t xml:space="preserve">[IAEA: </w:t>
      </w:r>
      <w:r w:rsidR="00C53C30" w:rsidRPr="007D36A1">
        <w:rPr>
          <w:i/>
          <w:lang w:val="en-GB"/>
        </w:rPr>
        <w:t>817</w:t>
      </w:r>
      <w:r w:rsidR="009F1EFF" w:rsidRPr="007D36A1">
        <w:rPr>
          <w:i/>
          <w:lang w:val="en-GB"/>
        </w:rPr>
        <w:t>]</w:t>
      </w:r>
    </w:p>
    <w:p w14:paraId="48DD7C81" w14:textId="77777777" w:rsidR="00293C61" w:rsidRPr="007D36A1" w:rsidRDefault="00281B6A" w:rsidP="00D80568">
      <w:pPr>
        <w:pStyle w:val="SingleTxtG"/>
        <w:tabs>
          <w:tab w:val="left" w:pos="2268"/>
        </w:tabs>
        <w:rPr>
          <w:lang w:val="en-GB"/>
        </w:rPr>
      </w:pPr>
      <w:r w:rsidRPr="007D36A1">
        <w:rPr>
          <w:lang w:val="en-GB"/>
        </w:rPr>
        <w:t>6.4.23.11</w:t>
      </w:r>
      <w:r w:rsidR="00293C61" w:rsidRPr="007D36A1">
        <w:rPr>
          <w:lang w:val="en-GB"/>
        </w:rPr>
        <w:tab/>
      </w:r>
      <w:r w:rsidRPr="007D36A1">
        <w:rPr>
          <w:lang w:val="en-GB"/>
        </w:rPr>
        <w:t>Delete</w:t>
      </w:r>
      <w:r w:rsidR="00293C61" w:rsidRPr="007D36A1">
        <w:rPr>
          <w:lang w:val="en-GB"/>
        </w:rPr>
        <w:t xml:space="preserve"> </w:t>
      </w:r>
      <w:r w:rsidR="008B6EF7" w:rsidRPr="007D36A1">
        <w:rPr>
          <w:lang w:val="en-GB"/>
        </w:rPr>
        <w:t>sub-paragraph</w:t>
      </w:r>
      <w:r w:rsidRPr="007D36A1">
        <w:rPr>
          <w:lang w:val="en-GB"/>
        </w:rPr>
        <w:t xml:space="preserve"> (d).</w:t>
      </w:r>
    </w:p>
    <w:p w14:paraId="73FE2C03" w14:textId="77777777" w:rsidR="00981BC3" w:rsidRPr="007D36A1" w:rsidRDefault="00293C61" w:rsidP="00D80568">
      <w:pPr>
        <w:pStyle w:val="SingleTxtG"/>
        <w:tabs>
          <w:tab w:val="left" w:pos="2268"/>
        </w:tabs>
        <w:rPr>
          <w:i/>
          <w:lang w:val="en-GB"/>
        </w:rPr>
      </w:pPr>
      <w:r w:rsidRPr="007D36A1">
        <w:rPr>
          <w:i/>
          <w:lang w:val="en-GB"/>
        </w:rPr>
        <w:t xml:space="preserve">[IAEA: </w:t>
      </w:r>
      <w:r w:rsidR="00281B6A" w:rsidRPr="007D36A1">
        <w:rPr>
          <w:i/>
          <w:lang w:val="en-GB"/>
        </w:rPr>
        <w:t>832</w:t>
      </w:r>
      <w:r w:rsidR="00D62F29" w:rsidRPr="007D36A1">
        <w:rPr>
          <w:i/>
          <w:lang w:val="en-GB"/>
        </w:rPr>
        <w:t>]</w:t>
      </w:r>
    </w:p>
    <w:p w14:paraId="78EB7668" w14:textId="77777777" w:rsidR="009704C2" w:rsidRPr="007D36A1" w:rsidRDefault="00441D3F" w:rsidP="00D80568">
      <w:pPr>
        <w:pStyle w:val="SingleTxtG"/>
        <w:tabs>
          <w:tab w:val="left" w:pos="2268"/>
        </w:tabs>
        <w:rPr>
          <w:lang w:val="en-GB"/>
        </w:rPr>
      </w:pPr>
      <w:r w:rsidRPr="007D36A1">
        <w:rPr>
          <w:lang w:val="en-GB"/>
        </w:rPr>
        <w:t>6.4.23.12</w:t>
      </w:r>
      <w:r w:rsidR="00293C61" w:rsidRPr="007D36A1">
        <w:rPr>
          <w:lang w:val="en-GB"/>
        </w:rPr>
        <w:tab/>
      </w:r>
      <w:r w:rsidR="009704C2" w:rsidRPr="007D36A1">
        <w:rPr>
          <w:lang w:val="en-GB"/>
        </w:rPr>
        <w:t>In (a), replace “6.4.23.11 (a), (b), (c) and (d)” by “6.4.23.11 (a), (b) and (c)” and d</w:t>
      </w:r>
      <w:r w:rsidRPr="007D36A1">
        <w:rPr>
          <w:lang w:val="en-GB"/>
        </w:rPr>
        <w:t>elete “including, if applicable, the symbol “-96””</w:t>
      </w:r>
      <w:r w:rsidR="009704C2" w:rsidRPr="007D36A1">
        <w:rPr>
          <w:lang w:val="en-GB"/>
        </w:rPr>
        <w:t>.</w:t>
      </w:r>
      <w:r w:rsidR="006A6B8C" w:rsidRPr="007D36A1">
        <w:rPr>
          <w:lang w:val="en-GB"/>
        </w:rPr>
        <w:t xml:space="preserve"> At the end of the first sentence of (a), replace “identification marks” by “identification mark”.</w:t>
      </w:r>
    </w:p>
    <w:p w14:paraId="7C2A75C7" w14:textId="77777777" w:rsidR="00293C61" w:rsidRPr="007D36A1" w:rsidRDefault="00293C61" w:rsidP="00D80568">
      <w:pPr>
        <w:pStyle w:val="SingleTxtG"/>
        <w:tabs>
          <w:tab w:val="left" w:pos="2268"/>
        </w:tabs>
        <w:rPr>
          <w:i/>
          <w:lang w:val="en-GB"/>
        </w:rPr>
      </w:pPr>
      <w:r w:rsidRPr="007D36A1">
        <w:rPr>
          <w:i/>
          <w:lang w:val="en-GB"/>
        </w:rPr>
        <w:t xml:space="preserve">[IAEA: </w:t>
      </w:r>
      <w:r w:rsidR="008A2B44" w:rsidRPr="007D36A1">
        <w:rPr>
          <w:i/>
          <w:lang w:val="en-GB"/>
        </w:rPr>
        <w:t>833</w:t>
      </w:r>
      <w:r w:rsidRPr="007D36A1">
        <w:rPr>
          <w:i/>
          <w:lang w:val="en-GB"/>
        </w:rPr>
        <w:t>]</w:t>
      </w:r>
    </w:p>
    <w:p w14:paraId="03F55932" w14:textId="77777777" w:rsidR="006A6B8C" w:rsidRPr="007D36A1" w:rsidRDefault="00B939E5" w:rsidP="00D80568">
      <w:pPr>
        <w:pStyle w:val="SingleTxtG"/>
        <w:tabs>
          <w:tab w:val="left" w:pos="2268"/>
        </w:tabs>
        <w:rPr>
          <w:lang w:val="en-GB"/>
        </w:rPr>
      </w:pPr>
      <w:r w:rsidRPr="007D36A1">
        <w:rPr>
          <w:lang w:val="en-GB"/>
        </w:rPr>
        <w:t>6.4.23.15</w:t>
      </w:r>
      <w:r w:rsidR="00293C61" w:rsidRPr="007D36A1">
        <w:rPr>
          <w:lang w:val="en-GB"/>
        </w:rPr>
        <w:tab/>
      </w:r>
      <w:r w:rsidRPr="007D36A1">
        <w:rPr>
          <w:lang w:val="en-GB"/>
        </w:rPr>
        <w:t>Replace “contents</w:t>
      </w:r>
      <w:r w:rsidR="006A6B8C" w:rsidRPr="007D36A1">
        <w:rPr>
          <w:lang w:val="en-GB"/>
        </w:rPr>
        <w:t>”</w:t>
      </w:r>
      <w:r w:rsidRPr="007D36A1">
        <w:rPr>
          <w:lang w:val="en-GB"/>
        </w:rPr>
        <w:t xml:space="preserve"> with </w:t>
      </w:r>
      <w:r w:rsidR="009344D3" w:rsidRPr="007D36A1">
        <w:rPr>
          <w:lang w:val="en-GB"/>
        </w:rPr>
        <w:t>“</w:t>
      </w:r>
      <w:r w:rsidRPr="007D36A1">
        <w:rPr>
          <w:lang w:val="en-GB"/>
        </w:rPr>
        <w:t xml:space="preserve">package” in </w:t>
      </w:r>
      <w:r w:rsidR="008B6EF7" w:rsidRPr="007D36A1">
        <w:rPr>
          <w:lang w:val="en-GB"/>
        </w:rPr>
        <w:t>sub-paragraph</w:t>
      </w:r>
      <w:r w:rsidRPr="007D36A1">
        <w:rPr>
          <w:lang w:val="en-GB"/>
        </w:rPr>
        <w:t xml:space="preserve"> (k</w:t>
      </w:r>
      <w:r w:rsidR="00293C61" w:rsidRPr="007D36A1">
        <w:rPr>
          <w:lang w:val="en-GB"/>
        </w:rPr>
        <w:t>)</w:t>
      </w:r>
      <w:r w:rsidRPr="007D36A1">
        <w:rPr>
          <w:lang w:val="en-GB"/>
        </w:rPr>
        <w:t xml:space="preserve"> (iii)</w:t>
      </w:r>
      <w:r w:rsidR="006A6B8C" w:rsidRPr="007D36A1">
        <w:rPr>
          <w:lang w:val="en-GB"/>
        </w:rPr>
        <w:t xml:space="preserve">. </w:t>
      </w:r>
    </w:p>
    <w:p w14:paraId="766B770D" w14:textId="77777777" w:rsidR="00B04D80" w:rsidRPr="007D36A1" w:rsidRDefault="00293C61" w:rsidP="00D80568">
      <w:pPr>
        <w:pStyle w:val="SingleTxtG"/>
        <w:tabs>
          <w:tab w:val="left" w:pos="2268"/>
        </w:tabs>
        <w:rPr>
          <w:i/>
          <w:lang w:val="en-GB"/>
        </w:rPr>
      </w:pPr>
      <w:r w:rsidRPr="007D36A1">
        <w:rPr>
          <w:i/>
          <w:lang w:val="en-GB"/>
        </w:rPr>
        <w:t xml:space="preserve">[IAEA: </w:t>
      </w:r>
      <w:r w:rsidR="00B939E5" w:rsidRPr="007D36A1">
        <w:rPr>
          <w:i/>
          <w:lang w:val="en-GB"/>
        </w:rPr>
        <w:t>836</w:t>
      </w:r>
      <w:r w:rsidRPr="007D36A1">
        <w:rPr>
          <w:i/>
          <w:lang w:val="en-GB"/>
        </w:rPr>
        <w:t>]</w:t>
      </w:r>
    </w:p>
    <w:p w14:paraId="13C32E27" w14:textId="77777777" w:rsidR="006A6B8C" w:rsidRPr="007D36A1" w:rsidRDefault="00B04D80" w:rsidP="00D80568">
      <w:pPr>
        <w:pStyle w:val="SingleTxtG"/>
        <w:tabs>
          <w:tab w:val="left" w:pos="2268"/>
        </w:tabs>
        <w:rPr>
          <w:lang w:val="en-GB"/>
        </w:rPr>
      </w:pPr>
      <w:r w:rsidRPr="007D36A1">
        <w:rPr>
          <w:lang w:val="en-GB"/>
        </w:rPr>
        <w:t>6.4.23.17</w:t>
      </w:r>
      <w:r w:rsidRPr="007D36A1">
        <w:rPr>
          <w:lang w:val="en-GB"/>
        </w:rPr>
        <w:tab/>
        <w:t>Replace “contents</w:t>
      </w:r>
      <w:r w:rsidR="006A6B8C" w:rsidRPr="007D36A1">
        <w:rPr>
          <w:lang w:val="en-GB"/>
        </w:rPr>
        <w:t>”</w:t>
      </w:r>
      <w:r w:rsidRPr="007D36A1">
        <w:rPr>
          <w:lang w:val="en-GB"/>
        </w:rPr>
        <w:t xml:space="preserve"> </w:t>
      </w:r>
      <w:proofErr w:type="gramStart"/>
      <w:r w:rsidRPr="007D36A1">
        <w:rPr>
          <w:lang w:val="en-GB"/>
        </w:rPr>
        <w:t>with ”package</w:t>
      </w:r>
      <w:proofErr w:type="gramEnd"/>
      <w:r w:rsidRPr="007D36A1">
        <w:rPr>
          <w:lang w:val="en-GB"/>
        </w:rPr>
        <w:t xml:space="preserve">” in </w:t>
      </w:r>
      <w:r w:rsidR="008B6EF7" w:rsidRPr="007D36A1">
        <w:rPr>
          <w:lang w:val="en-GB"/>
        </w:rPr>
        <w:t>sub-paragraph</w:t>
      </w:r>
      <w:r w:rsidRPr="007D36A1">
        <w:rPr>
          <w:lang w:val="en-GB"/>
        </w:rPr>
        <w:t xml:space="preserve"> (n) (iv)</w:t>
      </w:r>
      <w:r w:rsidR="006A6B8C" w:rsidRPr="007D36A1">
        <w:rPr>
          <w:lang w:val="en-GB"/>
        </w:rPr>
        <w:t>.</w:t>
      </w:r>
    </w:p>
    <w:p w14:paraId="41CE4E88" w14:textId="77777777" w:rsidR="007327D6" w:rsidRPr="007D36A1" w:rsidRDefault="007327D6" w:rsidP="00D80568">
      <w:pPr>
        <w:pStyle w:val="SingleTxtG"/>
        <w:tabs>
          <w:tab w:val="left" w:pos="2268"/>
        </w:tabs>
        <w:rPr>
          <w:lang w:val="en-GB"/>
        </w:rPr>
      </w:pPr>
      <w:r w:rsidRPr="007D36A1">
        <w:rPr>
          <w:lang w:val="en-GB"/>
        </w:rPr>
        <w:t>Insert a new sub-paragraph</w:t>
      </w:r>
      <w:r w:rsidR="006A6B8C" w:rsidRPr="007D36A1">
        <w:rPr>
          <w:lang w:val="en-GB"/>
        </w:rPr>
        <w:t xml:space="preserve"> (p)</w:t>
      </w:r>
      <w:r w:rsidRPr="007D36A1">
        <w:rPr>
          <w:lang w:val="en-GB"/>
        </w:rPr>
        <w:t xml:space="preserve"> after 5.4.23.17 (o)</w:t>
      </w:r>
      <w:r w:rsidR="006A6B8C" w:rsidRPr="007D36A1">
        <w:rPr>
          <w:lang w:val="en-GB"/>
        </w:rPr>
        <w:t xml:space="preserve"> and renumber subsequent sub-paragraphs accordingly:</w:t>
      </w:r>
    </w:p>
    <w:p w14:paraId="22A7925F" w14:textId="77777777" w:rsidR="007327D6" w:rsidRPr="007D36A1" w:rsidRDefault="006A6B8C" w:rsidP="00D80568">
      <w:pPr>
        <w:pStyle w:val="SingleTxtG"/>
        <w:tabs>
          <w:tab w:val="left" w:pos="2268"/>
        </w:tabs>
        <w:rPr>
          <w:lang w:val="en-GB"/>
        </w:rPr>
      </w:pPr>
      <w:r w:rsidRPr="007D36A1">
        <w:rPr>
          <w:lang w:val="en-GB"/>
        </w:rPr>
        <w:t>“(p)</w:t>
      </w:r>
      <w:r w:rsidRPr="007D36A1">
        <w:rPr>
          <w:lang w:val="en-GB"/>
        </w:rPr>
        <w:tab/>
      </w:r>
      <w:r w:rsidR="007327D6" w:rsidRPr="007D36A1">
        <w:rPr>
          <w:lang w:val="en-GB"/>
        </w:rPr>
        <w:t>For package</w:t>
      </w:r>
      <w:r w:rsidR="007327D6" w:rsidRPr="007D36A1">
        <w:rPr>
          <w:i/>
          <w:lang w:val="en-GB"/>
        </w:rPr>
        <w:t xml:space="preserve"> </w:t>
      </w:r>
      <w:r w:rsidR="007327D6" w:rsidRPr="007D36A1">
        <w:rPr>
          <w:lang w:val="en-GB"/>
        </w:rPr>
        <w:t>designs subject to para. 6.4.24.2, a statement specifying those requirements of the current regulations with which the package does not conform</w:t>
      </w:r>
      <w:r w:rsidRPr="007D36A1">
        <w:rPr>
          <w:lang w:val="en-GB"/>
        </w:rPr>
        <w:t>;”.</w:t>
      </w:r>
    </w:p>
    <w:p w14:paraId="11A70D9F" w14:textId="77777777" w:rsidR="00B04D80" w:rsidRPr="007D36A1" w:rsidRDefault="00D62F29" w:rsidP="00D80568">
      <w:pPr>
        <w:pStyle w:val="SingleTxtG"/>
        <w:tabs>
          <w:tab w:val="left" w:pos="2268"/>
        </w:tabs>
        <w:rPr>
          <w:i/>
          <w:lang w:val="en-GB"/>
        </w:rPr>
      </w:pPr>
      <w:r w:rsidRPr="007D36A1">
        <w:rPr>
          <w:i/>
          <w:lang w:val="en-GB"/>
        </w:rPr>
        <w:t>[IAEA: 838]</w:t>
      </w:r>
    </w:p>
    <w:p w14:paraId="4951FCDF" w14:textId="4F816EAB" w:rsidR="00840431" w:rsidRPr="007D36A1" w:rsidRDefault="00164F65" w:rsidP="00D80568">
      <w:pPr>
        <w:pStyle w:val="SingleTxtG"/>
        <w:tabs>
          <w:tab w:val="left" w:pos="2268"/>
        </w:tabs>
        <w:rPr>
          <w:lang w:val="en-GB"/>
        </w:rPr>
      </w:pPr>
      <w:r w:rsidRPr="007D36A1">
        <w:rPr>
          <w:lang w:val="en-GB"/>
        </w:rPr>
        <w:t>6.4.24</w:t>
      </w:r>
      <w:r w:rsidRPr="007D36A1">
        <w:rPr>
          <w:lang w:val="en-GB"/>
        </w:rPr>
        <w:tab/>
      </w:r>
      <w:r w:rsidRPr="007D36A1">
        <w:rPr>
          <w:lang w:val="en-GB"/>
        </w:rPr>
        <w:tab/>
        <w:t>Amend the title over 6.4.24.1 to read</w:t>
      </w:r>
      <w:r w:rsidR="007D36A1">
        <w:rPr>
          <w:lang w:val="en-GB"/>
        </w:rPr>
        <w:t xml:space="preserve"> </w:t>
      </w:r>
      <w:r w:rsidR="007D36A1" w:rsidRPr="007D36A1">
        <w:rPr>
          <w:lang w:val="en-GB"/>
        </w:rPr>
        <w:t>“</w:t>
      </w:r>
      <w:r w:rsidRPr="007D36A1">
        <w:rPr>
          <w:lang w:val="en-GB"/>
        </w:rPr>
        <w:t xml:space="preserve">Packages not requiring competent authority approval of design under the 1985, 1985 (As Amended 1990), 1996 Edition, 1996 Edition (Revised), 1996 (As Amended 2003), 2005, 2009 Editions of IAEA Safety </w:t>
      </w:r>
      <w:r w:rsidR="00F37713" w:rsidRPr="007D36A1">
        <w:rPr>
          <w:lang w:val="en-GB"/>
        </w:rPr>
        <w:t>S</w:t>
      </w:r>
      <w:r w:rsidRPr="007D36A1">
        <w:rPr>
          <w:lang w:val="en-GB"/>
        </w:rPr>
        <w:t xml:space="preserve">eries </w:t>
      </w:r>
      <w:r w:rsidR="00F37713" w:rsidRPr="007D36A1">
        <w:rPr>
          <w:lang w:val="en-GB"/>
        </w:rPr>
        <w:t xml:space="preserve">No. 6 </w:t>
      </w:r>
      <w:r w:rsidR="00280F3E">
        <w:rPr>
          <w:lang w:val="en-GB"/>
        </w:rPr>
        <w:t xml:space="preserve">and 2012 </w:t>
      </w:r>
      <w:r w:rsidRPr="007D36A1">
        <w:rPr>
          <w:lang w:val="en-GB"/>
        </w:rPr>
        <w:t xml:space="preserve">Edition of </w:t>
      </w:r>
      <w:r w:rsidR="00F37713" w:rsidRPr="007D36A1">
        <w:rPr>
          <w:lang w:val="en-GB"/>
        </w:rPr>
        <w:t>IAEA Safety Standards Serie No. SSR-6</w:t>
      </w:r>
      <w:r w:rsidR="007D36A1">
        <w:rPr>
          <w:lang w:val="en-GB"/>
        </w:rPr>
        <w:t>”.</w:t>
      </w:r>
    </w:p>
    <w:p w14:paraId="695EDAAA" w14:textId="77777777" w:rsidR="00293C61" w:rsidRPr="007D36A1" w:rsidRDefault="00A35F4E" w:rsidP="00D80568">
      <w:pPr>
        <w:pStyle w:val="SingleTxtG"/>
        <w:tabs>
          <w:tab w:val="left" w:pos="2268"/>
        </w:tabs>
        <w:rPr>
          <w:lang w:val="en-GB"/>
        </w:rPr>
      </w:pPr>
      <w:r w:rsidRPr="007D36A1">
        <w:rPr>
          <w:lang w:val="en-GB"/>
        </w:rPr>
        <w:t>6.4.24.1</w:t>
      </w:r>
      <w:r w:rsidR="00293C61" w:rsidRPr="007D36A1">
        <w:rPr>
          <w:lang w:val="en-GB"/>
        </w:rPr>
        <w:tab/>
        <w:t>Amend to read as follows:</w:t>
      </w:r>
    </w:p>
    <w:p w14:paraId="76F79BEC" w14:textId="77777777" w:rsidR="00D5257A" w:rsidRPr="007D36A1" w:rsidRDefault="00293C61" w:rsidP="00D80568">
      <w:pPr>
        <w:pStyle w:val="SingleTxtG"/>
        <w:tabs>
          <w:tab w:val="left" w:pos="2268"/>
        </w:tabs>
        <w:rPr>
          <w:lang w:val="en-GB"/>
        </w:rPr>
      </w:pPr>
      <w:r w:rsidRPr="007D36A1">
        <w:rPr>
          <w:lang w:val="en-GB"/>
        </w:rPr>
        <w:t>“</w:t>
      </w:r>
      <w:r w:rsidR="00D5257A" w:rsidRPr="007D36A1">
        <w:rPr>
          <w:i/>
          <w:lang w:val="en-GB"/>
        </w:rPr>
        <w:t>Packages</w:t>
      </w:r>
      <w:r w:rsidR="00D5257A" w:rsidRPr="007D36A1">
        <w:rPr>
          <w:lang w:val="en-GB"/>
        </w:rPr>
        <w:t xml:space="preserve"> not requiring </w:t>
      </w:r>
      <w:r w:rsidR="00D5257A" w:rsidRPr="007D36A1">
        <w:rPr>
          <w:i/>
          <w:lang w:val="en-GB"/>
        </w:rPr>
        <w:t>competent authority</w:t>
      </w:r>
      <w:r w:rsidR="00D5257A" w:rsidRPr="007D36A1">
        <w:rPr>
          <w:lang w:val="en-GB"/>
        </w:rPr>
        <w:t xml:space="preserve"> </w:t>
      </w:r>
      <w:r w:rsidR="00D5257A" w:rsidRPr="007D36A1">
        <w:rPr>
          <w:i/>
          <w:lang w:val="en-GB"/>
        </w:rPr>
        <w:t>approval</w:t>
      </w:r>
      <w:r w:rsidR="00D5257A" w:rsidRPr="007D36A1">
        <w:rPr>
          <w:lang w:val="en-GB"/>
        </w:rPr>
        <w:t xml:space="preserve"> of </w:t>
      </w:r>
      <w:r w:rsidR="00D5257A" w:rsidRPr="007D36A1">
        <w:rPr>
          <w:i/>
          <w:lang w:val="en-GB"/>
        </w:rPr>
        <w:t>design</w:t>
      </w:r>
      <w:r w:rsidR="00D5257A" w:rsidRPr="007D36A1">
        <w:rPr>
          <w:lang w:val="en-GB"/>
        </w:rPr>
        <w:t xml:space="preserve"> (</w:t>
      </w:r>
      <w:r w:rsidR="00D5257A" w:rsidRPr="007D36A1">
        <w:rPr>
          <w:i/>
          <w:lang w:val="en-GB"/>
        </w:rPr>
        <w:t>excepted packages, Type IP-1, Type IP-2, Type IP-3</w:t>
      </w:r>
      <w:r w:rsidR="00D5257A" w:rsidRPr="007D36A1">
        <w:rPr>
          <w:lang w:val="en-GB"/>
        </w:rPr>
        <w:t xml:space="preserve"> and </w:t>
      </w:r>
      <w:r w:rsidR="00D5257A" w:rsidRPr="007D36A1">
        <w:rPr>
          <w:i/>
          <w:lang w:val="en-GB"/>
        </w:rPr>
        <w:t>Type A packages</w:t>
      </w:r>
      <w:r w:rsidR="00D5257A" w:rsidRPr="007D36A1">
        <w:rPr>
          <w:lang w:val="en-GB"/>
        </w:rPr>
        <w:t>) shall meet this Edition of these Regulations in full, except that:</w:t>
      </w:r>
    </w:p>
    <w:p w14:paraId="1425A9B8" w14:textId="0EC81B71" w:rsidR="00D5257A" w:rsidRPr="007D36A1" w:rsidRDefault="00D5257A" w:rsidP="00D80568">
      <w:pPr>
        <w:pStyle w:val="SingleTxtG"/>
        <w:tabs>
          <w:tab w:val="left" w:pos="2268"/>
        </w:tabs>
        <w:rPr>
          <w:lang w:val="en-GB"/>
        </w:rPr>
      </w:pPr>
      <w:r w:rsidRPr="007D36A1">
        <w:rPr>
          <w:lang w:val="en-GB"/>
        </w:rPr>
        <w:t>(a)</w:t>
      </w:r>
      <w:r w:rsidR="007D36A1">
        <w:rPr>
          <w:lang w:val="en-GB"/>
        </w:rPr>
        <w:tab/>
      </w:r>
      <w:r w:rsidRPr="007D36A1">
        <w:rPr>
          <w:i/>
          <w:lang w:val="en-GB"/>
        </w:rPr>
        <w:t xml:space="preserve">Packages </w:t>
      </w:r>
      <w:r w:rsidRPr="007D36A1">
        <w:rPr>
          <w:lang w:val="en-GB"/>
        </w:rPr>
        <w:t xml:space="preserve">that meet the requirements of the 1985 or 1985 (As Amended 1990) Editions of </w:t>
      </w:r>
      <w:r w:rsidR="00981BC3" w:rsidRPr="007D36A1">
        <w:rPr>
          <w:lang w:val="en-GB"/>
        </w:rPr>
        <w:t>IAEA</w:t>
      </w:r>
      <w:r w:rsidRPr="007D36A1">
        <w:rPr>
          <w:lang w:val="en-GB"/>
        </w:rPr>
        <w:t xml:space="preserve"> Regulations:</w:t>
      </w:r>
    </w:p>
    <w:p w14:paraId="03ECAA6D" w14:textId="6DB88060" w:rsidR="00D5257A" w:rsidRPr="007D36A1" w:rsidRDefault="00D80568" w:rsidP="007D36A1">
      <w:pPr>
        <w:pStyle w:val="SingleTxtG"/>
        <w:tabs>
          <w:tab w:val="left" w:pos="2268"/>
        </w:tabs>
        <w:ind w:left="2268"/>
        <w:rPr>
          <w:lang w:val="en-GB"/>
        </w:rPr>
      </w:pPr>
      <w:r w:rsidRPr="007D36A1">
        <w:rPr>
          <w:lang w:val="en-GB"/>
        </w:rPr>
        <w:t>(</w:t>
      </w:r>
      <w:proofErr w:type="spellStart"/>
      <w:r w:rsidRPr="007D36A1">
        <w:rPr>
          <w:lang w:val="en-GB"/>
        </w:rPr>
        <w:t>i</w:t>
      </w:r>
      <w:proofErr w:type="spellEnd"/>
      <w:r w:rsidRPr="007D36A1">
        <w:rPr>
          <w:lang w:val="en-GB"/>
        </w:rPr>
        <w:t>)</w:t>
      </w:r>
      <w:r w:rsidR="007D36A1">
        <w:rPr>
          <w:lang w:val="en-GB"/>
        </w:rPr>
        <w:tab/>
      </w:r>
      <w:r w:rsidR="00D5257A" w:rsidRPr="007D36A1">
        <w:rPr>
          <w:lang w:val="en-GB"/>
        </w:rPr>
        <w:t xml:space="preserve">May continue in transport provided that they were prepared for transport prior to 31 December 2003 and are subject to the requirements of </w:t>
      </w:r>
      <w:r w:rsidR="00AA0427" w:rsidRPr="007D36A1">
        <w:rPr>
          <w:lang w:val="en-GB"/>
        </w:rPr>
        <w:t>6.4.24.4</w:t>
      </w:r>
      <w:r w:rsidR="00D5257A" w:rsidRPr="007D36A1">
        <w:rPr>
          <w:lang w:val="en-GB"/>
        </w:rPr>
        <w:t>, if applicable; or</w:t>
      </w:r>
    </w:p>
    <w:p w14:paraId="2952BC04" w14:textId="3A3A3296" w:rsidR="00D5257A" w:rsidRPr="007D36A1" w:rsidRDefault="00D80568" w:rsidP="007D36A1">
      <w:pPr>
        <w:pStyle w:val="SingleTxtG"/>
        <w:tabs>
          <w:tab w:val="left" w:pos="2268"/>
        </w:tabs>
        <w:ind w:left="2268"/>
        <w:rPr>
          <w:lang w:val="en-GB"/>
        </w:rPr>
      </w:pPr>
      <w:r w:rsidRPr="007D36A1">
        <w:rPr>
          <w:lang w:val="en-GB"/>
        </w:rPr>
        <w:t>(ii)</w:t>
      </w:r>
      <w:r w:rsidR="007D36A1">
        <w:rPr>
          <w:lang w:val="en-GB"/>
        </w:rPr>
        <w:tab/>
      </w:r>
      <w:r w:rsidR="00D5257A" w:rsidRPr="007D36A1">
        <w:rPr>
          <w:lang w:val="en-GB"/>
        </w:rPr>
        <w:t>May continue to be used, provided that all the following conditions are met:</w:t>
      </w:r>
    </w:p>
    <w:p w14:paraId="6603A391" w14:textId="2F61520E" w:rsidR="00D5257A" w:rsidRPr="007D36A1" w:rsidRDefault="00D80568" w:rsidP="007D36A1">
      <w:pPr>
        <w:pStyle w:val="SingleTxtG"/>
        <w:tabs>
          <w:tab w:val="left" w:pos="2268"/>
        </w:tabs>
        <w:ind w:left="2835"/>
        <w:rPr>
          <w:lang w:val="en-GB"/>
        </w:rPr>
      </w:pPr>
      <w:r w:rsidRPr="007D36A1">
        <w:rPr>
          <w:lang w:val="en-GB"/>
        </w:rPr>
        <w:t>-</w:t>
      </w:r>
      <w:r w:rsidR="007D36A1">
        <w:rPr>
          <w:lang w:val="en-GB"/>
        </w:rPr>
        <w:tab/>
      </w:r>
      <w:r w:rsidR="00D5257A" w:rsidRPr="007D36A1">
        <w:rPr>
          <w:lang w:val="en-GB"/>
        </w:rPr>
        <w:t>They were not designed to contain uranium hexafluoride</w:t>
      </w:r>
      <w:r w:rsidR="007D36A1">
        <w:rPr>
          <w:lang w:val="en-GB"/>
        </w:rPr>
        <w:t>;</w:t>
      </w:r>
    </w:p>
    <w:p w14:paraId="34A6E1C5" w14:textId="2A75A9C4" w:rsidR="00D5257A" w:rsidRPr="007D36A1" w:rsidRDefault="00D80568" w:rsidP="007D36A1">
      <w:pPr>
        <w:pStyle w:val="SingleTxtG"/>
        <w:tabs>
          <w:tab w:val="left" w:pos="2268"/>
        </w:tabs>
        <w:ind w:left="2835"/>
        <w:rPr>
          <w:lang w:val="en-GB"/>
        </w:rPr>
      </w:pPr>
      <w:r w:rsidRPr="007D36A1">
        <w:rPr>
          <w:lang w:val="en-GB"/>
        </w:rPr>
        <w:t>-</w:t>
      </w:r>
      <w:r w:rsidR="007D36A1">
        <w:rPr>
          <w:lang w:val="en-GB"/>
        </w:rPr>
        <w:tab/>
      </w:r>
      <w:r w:rsidR="00D5257A" w:rsidRPr="007D36A1">
        <w:rPr>
          <w:lang w:val="en-GB"/>
        </w:rPr>
        <w:t>The applicable requirements of</w:t>
      </w:r>
      <w:r w:rsidR="00AA0427" w:rsidRPr="007D36A1">
        <w:rPr>
          <w:lang w:val="en-GB"/>
        </w:rPr>
        <w:t xml:space="preserve"> 1.5.3.1</w:t>
      </w:r>
      <w:r w:rsidR="00D5257A" w:rsidRPr="007D36A1">
        <w:rPr>
          <w:lang w:val="en-GB"/>
        </w:rPr>
        <w:t xml:space="preserve"> of this Edition o</w:t>
      </w:r>
      <w:r w:rsidR="007D36A1">
        <w:rPr>
          <w:lang w:val="en-GB"/>
        </w:rPr>
        <w:t>f these Regulations are applied;</w:t>
      </w:r>
    </w:p>
    <w:p w14:paraId="01301238" w14:textId="62670C89" w:rsidR="00D5257A" w:rsidRPr="007D36A1" w:rsidRDefault="00D80568" w:rsidP="007D36A1">
      <w:pPr>
        <w:pStyle w:val="SingleTxtG"/>
        <w:tabs>
          <w:tab w:val="left" w:pos="2268"/>
        </w:tabs>
        <w:ind w:left="2835"/>
        <w:rPr>
          <w:lang w:val="en-GB"/>
        </w:rPr>
      </w:pPr>
      <w:r w:rsidRPr="007D36A1">
        <w:rPr>
          <w:lang w:val="en-GB"/>
        </w:rPr>
        <w:t>-</w:t>
      </w:r>
      <w:r w:rsidR="007D36A1">
        <w:rPr>
          <w:lang w:val="en-GB"/>
        </w:rPr>
        <w:tab/>
      </w:r>
      <w:r w:rsidR="00D5257A" w:rsidRPr="007D36A1">
        <w:rPr>
          <w:lang w:val="en-GB"/>
        </w:rPr>
        <w:t>The activity limits and classification in Section IV of this Edition of these Regulations are applied</w:t>
      </w:r>
      <w:r w:rsidR="007D36A1">
        <w:rPr>
          <w:lang w:val="en-GB"/>
        </w:rPr>
        <w:t>;</w:t>
      </w:r>
    </w:p>
    <w:p w14:paraId="2C37A50B" w14:textId="67FA687C" w:rsidR="00D5257A" w:rsidRPr="007D36A1" w:rsidRDefault="00D80568" w:rsidP="007D36A1">
      <w:pPr>
        <w:pStyle w:val="SingleTxtG"/>
        <w:tabs>
          <w:tab w:val="left" w:pos="2268"/>
        </w:tabs>
        <w:ind w:left="2835"/>
        <w:rPr>
          <w:lang w:val="en-GB"/>
        </w:rPr>
      </w:pPr>
      <w:r w:rsidRPr="007D36A1">
        <w:rPr>
          <w:lang w:val="en-GB"/>
        </w:rPr>
        <w:lastRenderedPageBreak/>
        <w:t>-</w:t>
      </w:r>
      <w:r w:rsidR="007D36A1">
        <w:rPr>
          <w:lang w:val="en-GB"/>
        </w:rPr>
        <w:tab/>
      </w:r>
      <w:r w:rsidR="00D5257A" w:rsidRPr="007D36A1">
        <w:rPr>
          <w:lang w:val="en-GB"/>
        </w:rPr>
        <w:t>The requirements and controls for transport in Section V of this Edition o</w:t>
      </w:r>
      <w:r w:rsidR="007D36A1">
        <w:rPr>
          <w:lang w:val="en-GB"/>
        </w:rPr>
        <w:t>f these Regulations are applied;</w:t>
      </w:r>
    </w:p>
    <w:p w14:paraId="6DC36166" w14:textId="46721575" w:rsidR="00D5257A" w:rsidRPr="007D36A1" w:rsidRDefault="00D80568" w:rsidP="007D36A1">
      <w:pPr>
        <w:pStyle w:val="SingleTxtG"/>
        <w:tabs>
          <w:tab w:val="left" w:pos="2268"/>
        </w:tabs>
        <w:ind w:left="2835"/>
        <w:rPr>
          <w:lang w:val="en-GB"/>
        </w:rPr>
      </w:pPr>
      <w:r w:rsidRPr="007D36A1">
        <w:rPr>
          <w:lang w:val="en-GB"/>
        </w:rPr>
        <w:t>-</w:t>
      </w:r>
      <w:r w:rsidR="007D36A1">
        <w:rPr>
          <w:lang w:val="en-GB"/>
        </w:rPr>
        <w:tab/>
      </w:r>
      <w:r w:rsidR="00D5257A" w:rsidRPr="007D36A1">
        <w:rPr>
          <w:lang w:val="en-GB"/>
        </w:rPr>
        <w:t xml:space="preserve">The </w:t>
      </w:r>
      <w:r w:rsidR="00D5257A" w:rsidRPr="007D36A1">
        <w:rPr>
          <w:i/>
          <w:iCs/>
          <w:lang w:val="en-GB"/>
        </w:rPr>
        <w:t xml:space="preserve">packaging </w:t>
      </w:r>
      <w:r w:rsidR="00D5257A" w:rsidRPr="007D36A1">
        <w:rPr>
          <w:lang w:val="en-GB"/>
        </w:rPr>
        <w:t xml:space="preserve">was not manufactured or </w:t>
      </w:r>
      <w:r w:rsidR="007D36A1">
        <w:rPr>
          <w:lang w:val="en-GB"/>
        </w:rPr>
        <w:t>modified after 31 December 2003;</w:t>
      </w:r>
    </w:p>
    <w:p w14:paraId="7B7C798E" w14:textId="6DEB8E0A" w:rsidR="00D5257A" w:rsidRPr="007D36A1" w:rsidRDefault="00D5257A" w:rsidP="00D80568">
      <w:pPr>
        <w:pStyle w:val="SingleTxtG"/>
        <w:tabs>
          <w:tab w:val="left" w:pos="2268"/>
        </w:tabs>
        <w:rPr>
          <w:lang w:val="en-GB"/>
        </w:rPr>
      </w:pPr>
      <w:r w:rsidRPr="007D36A1">
        <w:rPr>
          <w:lang w:val="en-GB"/>
        </w:rPr>
        <w:t>(b)</w:t>
      </w:r>
      <w:r w:rsidR="007D36A1">
        <w:rPr>
          <w:lang w:val="en-GB"/>
        </w:rPr>
        <w:tab/>
      </w:r>
      <w:r w:rsidRPr="007D36A1">
        <w:rPr>
          <w:i/>
          <w:lang w:val="en-GB"/>
        </w:rPr>
        <w:t>Packages</w:t>
      </w:r>
      <w:r w:rsidRPr="007D36A1">
        <w:rPr>
          <w:lang w:val="en-GB"/>
        </w:rPr>
        <w:t xml:space="preserve"> that meet the requirements of the 1996 Edition, 1996 Edition (Revised), 1996 (As Amended 2003), 2005, 2009 or 2012 Editions of these Regulations:</w:t>
      </w:r>
    </w:p>
    <w:p w14:paraId="7150299B" w14:textId="641500AD" w:rsidR="00D5257A" w:rsidRPr="007D36A1" w:rsidRDefault="00D80568" w:rsidP="00BC06D5">
      <w:pPr>
        <w:pStyle w:val="SingleTxtG"/>
        <w:tabs>
          <w:tab w:val="left" w:pos="2268"/>
        </w:tabs>
        <w:ind w:left="2268"/>
        <w:rPr>
          <w:lang w:val="en-GB"/>
        </w:rPr>
      </w:pPr>
      <w:r w:rsidRPr="007D36A1">
        <w:rPr>
          <w:lang w:val="en-GB"/>
        </w:rPr>
        <w:t>(</w:t>
      </w:r>
      <w:proofErr w:type="spellStart"/>
      <w:r w:rsidRPr="007D36A1">
        <w:rPr>
          <w:lang w:val="en-GB"/>
        </w:rPr>
        <w:t>i</w:t>
      </w:r>
      <w:proofErr w:type="spellEnd"/>
      <w:r w:rsidRPr="007D36A1">
        <w:rPr>
          <w:lang w:val="en-GB"/>
        </w:rPr>
        <w:t>)</w:t>
      </w:r>
      <w:r w:rsidR="007D36A1">
        <w:rPr>
          <w:lang w:val="en-GB"/>
        </w:rPr>
        <w:tab/>
      </w:r>
      <w:r w:rsidR="00D5257A" w:rsidRPr="007D36A1">
        <w:rPr>
          <w:lang w:val="en-GB"/>
        </w:rPr>
        <w:t xml:space="preserve">May continue in transport provided that they were prepared for transport prior to 31 December 2025 and are subject to the requirements of </w:t>
      </w:r>
      <w:r w:rsidR="00AA0427" w:rsidRPr="007D36A1">
        <w:rPr>
          <w:lang w:val="en-GB"/>
        </w:rPr>
        <w:t>6.4.24.4</w:t>
      </w:r>
      <w:r w:rsidR="00D5257A" w:rsidRPr="007D36A1">
        <w:rPr>
          <w:lang w:val="en-GB"/>
        </w:rPr>
        <w:t>, if applicable; or</w:t>
      </w:r>
    </w:p>
    <w:p w14:paraId="2B59043D" w14:textId="3F047551" w:rsidR="00D5257A" w:rsidRPr="007D36A1" w:rsidRDefault="00D80568" w:rsidP="00BC06D5">
      <w:pPr>
        <w:pStyle w:val="SingleTxtG"/>
        <w:tabs>
          <w:tab w:val="left" w:pos="2268"/>
        </w:tabs>
        <w:ind w:left="2268"/>
        <w:rPr>
          <w:lang w:val="en-GB"/>
        </w:rPr>
      </w:pPr>
      <w:r w:rsidRPr="007D36A1">
        <w:rPr>
          <w:lang w:val="en-GB"/>
        </w:rPr>
        <w:t>(ii)</w:t>
      </w:r>
      <w:r w:rsidR="007D36A1">
        <w:rPr>
          <w:lang w:val="en-GB"/>
        </w:rPr>
        <w:tab/>
      </w:r>
      <w:r w:rsidR="00D5257A" w:rsidRPr="007D36A1">
        <w:rPr>
          <w:lang w:val="en-GB"/>
        </w:rPr>
        <w:t>May continue to be used, provided that all the following conditions are met:</w:t>
      </w:r>
    </w:p>
    <w:p w14:paraId="1104656A" w14:textId="59A8A685" w:rsidR="00D5257A" w:rsidRPr="007D36A1" w:rsidRDefault="00D80568" w:rsidP="00BC06D5">
      <w:pPr>
        <w:pStyle w:val="SingleTxtG"/>
        <w:tabs>
          <w:tab w:val="left" w:pos="2268"/>
        </w:tabs>
        <w:ind w:left="2835"/>
        <w:rPr>
          <w:lang w:val="en-GB"/>
        </w:rPr>
      </w:pPr>
      <w:r w:rsidRPr="007D36A1">
        <w:rPr>
          <w:lang w:val="en-GB"/>
        </w:rPr>
        <w:t>-</w:t>
      </w:r>
      <w:r w:rsidR="007D36A1">
        <w:rPr>
          <w:lang w:val="en-GB"/>
        </w:rPr>
        <w:tab/>
      </w:r>
      <w:r w:rsidR="00D5257A" w:rsidRPr="007D36A1">
        <w:rPr>
          <w:lang w:val="en-GB"/>
        </w:rPr>
        <w:t xml:space="preserve">The applicable requirements of </w:t>
      </w:r>
      <w:r w:rsidR="00AA0427" w:rsidRPr="007D36A1">
        <w:rPr>
          <w:lang w:val="en-GB"/>
        </w:rPr>
        <w:t xml:space="preserve">1.5.3.1 </w:t>
      </w:r>
      <w:r w:rsidR="00D5257A" w:rsidRPr="007D36A1">
        <w:rPr>
          <w:lang w:val="en-GB"/>
        </w:rPr>
        <w:t>of this Edition of these Regulations are applied;</w:t>
      </w:r>
    </w:p>
    <w:p w14:paraId="70B35165" w14:textId="6B052574" w:rsidR="00D5257A" w:rsidRPr="007D36A1" w:rsidRDefault="00D80568" w:rsidP="00BC06D5">
      <w:pPr>
        <w:pStyle w:val="SingleTxtG"/>
        <w:tabs>
          <w:tab w:val="left" w:pos="2268"/>
        </w:tabs>
        <w:ind w:left="2835"/>
        <w:rPr>
          <w:lang w:val="en-GB"/>
        </w:rPr>
      </w:pPr>
      <w:r w:rsidRPr="007D36A1">
        <w:rPr>
          <w:lang w:val="en-GB"/>
        </w:rPr>
        <w:t>-</w:t>
      </w:r>
      <w:r w:rsidR="007D36A1">
        <w:rPr>
          <w:lang w:val="en-GB"/>
        </w:rPr>
        <w:tab/>
      </w:r>
      <w:r w:rsidR="00D5257A" w:rsidRPr="007D36A1">
        <w:rPr>
          <w:lang w:val="en-GB"/>
        </w:rPr>
        <w:t>The activity limits and classification in Section IV of this Edition of these Regulations are applied;</w:t>
      </w:r>
    </w:p>
    <w:p w14:paraId="2A46913E" w14:textId="4A27A6CC" w:rsidR="00EC1D5A" w:rsidRPr="007D36A1" w:rsidRDefault="00D80568" w:rsidP="00BC06D5">
      <w:pPr>
        <w:pStyle w:val="SingleTxtG"/>
        <w:tabs>
          <w:tab w:val="left" w:pos="2268"/>
        </w:tabs>
        <w:ind w:left="2835"/>
        <w:rPr>
          <w:lang w:val="en-GB"/>
        </w:rPr>
      </w:pPr>
      <w:r w:rsidRPr="007D36A1">
        <w:rPr>
          <w:lang w:val="en-GB"/>
        </w:rPr>
        <w:t>-</w:t>
      </w:r>
      <w:r w:rsidR="007D36A1">
        <w:rPr>
          <w:lang w:val="en-GB"/>
        </w:rPr>
        <w:tab/>
      </w:r>
      <w:r w:rsidR="00D5257A" w:rsidRPr="007D36A1">
        <w:rPr>
          <w:lang w:val="en-GB"/>
        </w:rPr>
        <w:t>The requirements and controls for transport in Section V of this Edition of these Regulations are applied; and</w:t>
      </w:r>
    </w:p>
    <w:p w14:paraId="703ED39C" w14:textId="05AA925B" w:rsidR="00293C61" w:rsidRPr="007D36A1" w:rsidRDefault="00D80568" w:rsidP="00BC06D5">
      <w:pPr>
        <w:pStyle w:val="SingleTxtG"/>
        <w:tabs>
          <w:tab w:val="left" w:pos="2268"/>
        </w:tabs>
        <w:ind w:left="2835"/>
        <w:rPr>
          <w:lang w:val="en-GB"/>
        </w:rPr>
      </w:pPr>
      <w:r w:rsidRPr="007D36A1">
        <w:rPr>
          <w:lang w:val="en-GB"/>
        </w:rPr>
        <w:t>-</w:t>
      </w:r>
      <w:r w:rsidR="007D36A1">
        <w:rPr>
          <w:lang w:val="en-GB"/>
        </w:rPr>
        <w:tab/>
      </w:r>
      <w:r w:rsidR="00D5257A" w:rsidRPr="007D36A1">
        <w:rPr>
          <w:lang w:val="en-GB"/>
        </w:rPr>
        <w:t xml:space="preserve">The </w:t>
      </w:r>
      <w:r w:rsidR="00D5257A" w:rsidRPr="007D36A1">
        <w:rPr>
          <w:i/>
          <w:lang w:val="en-GB"/>
        </w:rPr>
        <w:t>packaging</w:t>
      </w:r>
      <w:r w:rsidR="00D5257A" w:rsidRPr="007D36A1">
        <w:rPr>
          <w:lang w:val="en-GB"/>
        </w:rPr>
        <w:t xml:space="preserve"> was not manufactured or modified after 31 December 2</w:t>
      </w:r>
      <w:r w:rsidR="007D36A1">
        <w:rPr>
          <w:lang w:val="en-GB"/>
        </w:rPr>
        <w:t>025.”.</w:t>
      </w:r>
    </w:p>
    <w:p w14:paraId="3548EA94" w14:textId="77777777" w:rsidR="00840431" w:rsidRPr="007D36A1" w:rsidRDefault="00293C61" w:rsidP="00D80568">
      <w:pPr>
        <w:pStyle w:val="SingleTxtG"/>
        <w:tabs>
          <w:tab w:val="left" w:pos="2268"/>
        </w:tabs>
        <w:rPr>
          <w:i/>
          <w:lang w:val="en-GB"/>
        </w:rPr>
      </w:pPr>
      <w:r w:rsidRPr="007D36A1">
        <w:rPr>
          <w:i/>
          <w:lang w:val="en-GB"/>
        </w:rPr>
        <w:t xml:space="preserve">[IAEA: </w:t>
      </w:r>
      <w:r w:rsidR="00A35F4E" w:rsidRPr="007D36A1">
        <w:rPr>
          <w:i/>
          <w:lang w:val="en-GB"/>
        </w:rPr>
        <w:t>819</w:t>
      </w:r>
      <w:r w:rsidRPr="007D36A1">
        <w:rPr>
          <w:i/>
          <w:lang w:val="en-GB"/>
        </w:rPr>
        <w:t>]</w:t>
      </w:r>
    </w:p>
    <w:p w14:paraId="6990607F" w14:textId="56EFD657" w:rsidR="00D86E25" w:rsidRPr="00BC06D5" w:rsidRDefault="00D86E25" w:rsidP="00D80568">
      <w:pPr>
        <w:pStyle w:val="SingleTxtG"/>
        <w:tabs>
          <w:tab w:val="left" w:pos="2268"/>
        </w:tabs>
        <w:rPr>
          <w:lang w:val="en-GB"/>
        </w:rPr>
      </w:pPr>
      <w:r w:rsidRPr="007D36A1">
        <w:rPr>
          <w:lang w:val="en-GB"/>
        </w:rPr>
        <w:t>Amend the title over 6.4.24.2 to read</w:t>
      </w:r>
      <w:r w:rsidR="00BC06D5">
        <w:rPr>
          <w:lang w:val="en-GB"/>
        </w:rPr>
        <w:t xml:space="preserve">: </w:t>
      </w:r>
      <w:r w:rsidR="00BC06D5" w:rsidRPr="00BC06D5">
        <w:rPr>
          <w:lang w:val="en-GB"/>
        </w:rPr>
        <w:t>“</w:t>
      </w:r>
      <w:r w:rsidRPr="00BC06D5">
        <w:rPr>
          <w:lang w:val="en-GB"/>
        </w:rPr>
        <w:t>Package designs approved under t</w:t>
      </w:r>
      <w:r w:rsidR="00280F3E">
        <w:rPr>
          <w:lang w:val="en-GB"/>
        </w:rPr>
        <w:t>he 1985, 1985 (As Amended 1990)</w:t>
      </w:r>
      <w:r w:rsidRPr="00BC06D5">
        <w:rPr>
          <w:lang w:val="en-GB"/>
        </w:rPr>
        <w:t>, 1996 Edition, 1996 Edition (Revised), 1996 (As Amended 2003), 2005, 2009 Editions of IAE</w:t>
      </w:r>
      <w:r w:rsidR="00BC06D5">
        <w:rPr>
          <w:lang w:val="en-GB"/>
        </w:rPr>
        <w:t xml:space="preserve">A Safety Series No. 6 and 2012 </w:t>
      </w:r>
      <w:r w:rsidRPr="00BC06D5">
        <w:rPr>
          <w:lang w:val="en-GB"/>
        </w:rPr>
        <w:t>Edition of IAEA S</w:t>
      </w:r>
      <w:r w:rsidR="00007DA6" w:rsidRPr="00BC06D5">
        <w:rPr>
          <w:lang w:val="en-GB"/>
        </w:rPr>
        <w:t>afety Standards Serie No. SSR-6</w:t>
      </w:r>
      <w:r w:rsidR="00BC06D5" w:rsidRPr="00BC06D5">
        <w:rPr>
          <w:lang w:val="en-GB"/>
        </w:rPr>
        <w:t>”.</w:t>
      </w:r>
    </w:p>
    <w:p w14:paraId="62D2E3B1" w14:textId="77777777" w:rsidR="00293C61" w:rsidRPr="007D36A1" w:rsidRDefault="00BC0C02" w:rsidP="00D80568">
      <w:pPr>
        <w:pStyle w:val="SingleTxtG"/>
        <w:tabs>
          <w:tab w:val="left" w:pos="2268"/>
        </w:tabs>
        <w:rPr>
          <w:lang w:val="en-GB"/>
        </w:rPr>
      </w:pPr>
      <w:r w:rsidRPr="007D36A1">
        <w:rPr>
          <w:lang w:val="en-GB"/>
        </w:rPr>
        <w:t>6.4.24.2</w:t>
      </w:r>
      <w:r w:rsidR="00293C61" w:rsidRPr="007D36A1">
        <w:rPr>
          <w:lang w:val="en-GB"/>
        </w:rPr>
        <w:tab/>
      </w:r>
      <w:r w:rsidR="001C53D2" w:rsidRPr="007D36A1">
        <w:rPr>
          <w:lang w:val="en-GB"/>
        </w:rPr>
        <w:t>Amend to read as follows:</w:t>
      </w:r>
    </w:p>
    <w:p w14:paraId="4F75EB4B" w14:textId="7D5AC689" w:rsidR="00BC0C02" w:rsidRPr="007D36A1" w:rsidRDefault="00293C61" w:rsidP="00D80568">
      <w:pPr>
        <w:pStyle w:val="SingleTxtG"/>
        <w:tabs>
          <w:tab w:val="left" w:pos="2268"/>
        </w:tabs>
        <w:rPr>
          <w:lang w:val="en-GB"/>
        </w:rPr>
      </w:pPr>
      <w:r w:rsidRPr="007D36A1">
        <w:rPr>
          <w:lang w:val="en-GB"/>
        </w:rPr>
        <w:t>“</w:t>
      </w:r>
      <w:r w:rsidR="00BC0C02" w:rsidRPr="007D36A1">
        <w:rPr>
          <w:iCs/>
          <w:lang w:val="en-GB"/>
        </w:rPr>
        <w:t xml:space="preserve">Packages </w:t>
      </w:r>
      <w:r w:rsidR="00BC0C02" w:rsidRPr="007D36A1">
        <w:rPr>
          <w:lang w:val="en-GB"/>
        </w:rPr>
        <w:t xml:space="preserve">requiring </w:t>
      </w:r>
      <w:r w:rsidR="00BC0C02" w:rsidRPr="007D36A1">
        <w:rPr>
          <w:iCs/>
          <w:lang w:val="en-GB"/>
        </w:rPr>
        <w:t xml:space="preserve">competent authority approval </w:t>
      </w:r>
      <w:r w:rsidR="00BC0C02" w:rsidRPr="007D36A1">
        <w:rPr>
          <w:lang w:val="en-GB"/>
        </w:rPr>
        <w:t xml:space="preserve">of the </w:t>
      </w:r>
      <w:r w:rsidR="00BC0C02" w:rsidRPr="007D36A1">
        <w:rPr>
          <w:iCs/>
          <w:lang w:val="en-GB"/>
        </w:rPr>
        <w:t xml:space="preserve">design </w:t>
      </w:r>
      <w:r w:rsidR="00BC0C02" w:rsidRPr="007D36A1">
        <w:rPr>
          <w:lang w:val="en-GB"/>
        </w:rPr>
        <w:t xml:space="preserve">shall meet this Edition of these Regulations in full except that: </w:t>
      </w:r>
    </w:p>
    <w:p w14:paraId="79D08EF5" w14:textId="63B4C60F" w:rsidR="00BC0C02" w:rsidRPr="007D36A1" w:rsidRDefault="00D80568" w:rsidP="00D80568">
      <w:pPr>
        <w:pStyle w:val="SingleTxtG"/>
        <w:tabs>
          <w:tab w:val="left" w:pos="2268"/>
        </w:tabs>
        <w:rPr>
          <w:lang w:val="en-GB"/>
        </w:rPr>
      </w:pPr>
      <w:r w:rsidRPr="007D36A1">
        <w:rPr>
          <w:lang w:val="en-GB"/>
        </w:rPr>
        <w:t>(a)</w:t>
      </w:r>
      <w:r w:rsidR="00BC06D5">
        <w:rPr>
          <w:lang w:val="en-GB"/>
        </w:rPr>
        <w:tab/>
      </w:r>
      <w:proofErr w:type="spellStart"/>
      <w:r w:rsidR="00BC0C02" w:rsidRPr="007D36A1">
        <w:rPr>
          <w:lang w:val="en-GB"/>
        </w:rPr>
        <w:t>Packagings</w:t>
      </w:r>
      <w:proofErr w:type="spellEnd"/>
      <w:r w:rsidR="00BC0C02" w:rsidRPr="007D36A1">
        <w:rPr>
          <w:lang w:val="en-GB"/>
        </w:rPr>
        <w:t xml:space="preserve"> that were manufactured to a package design approved by the competent authority under the provisions of 1985 or 1985 (As Amended 1990) Editions of </w:t>
      </w:r>
      <w:r w:rsidR="006D6E40" w:rsidRPr="007D36A1">
        <w:rPr>
          <w:lang w:val="en-GB"/>
        </w:rPr>
        <w:t>IAEA</w:t>
      </w:r>
      <w:r w:rsidR="00BC0C02" w:rsidRPr="007D36A1">
        <w:rPr>
          <w:lang w:val="en-GB"/>
        </w:rPr>
        <w:t xml:space="preserve"> Regulations may continue to be used provided that all of the following conditions are met:</w:t>
      </w:r>
    </w:p>
    <w:p w14:paraId="510950BA" w14:textId="5033901B" w:rsidR="00BC0C02" w:rsidRPr="007D36A1" w:rsidRDefault="00D80568" w:rsidP="00BC06D5">
      <w:pPr>
        <w:pStyle w:val="SingleTxtG"/>
        <w:tabs>
          <w:tab w:val="left" w:pos="2268"/>
        </w:tabs>
        <w:ind w:left="2268"/>
        <w:rPr>
          <w:lang w:val="en-GB"/>
        </w:rPr>
      </w:pPr>
      <w:r w:rsidRPr="007D36A1">
        <w:rPr>
          <w:lang w:val="en-GB"/>
        </w:rPr>
        <w:t>(</w:t>
      </w:r>
      <w:proofErr w:type="spellStart"/>
      <w:r w:rsidRPr="007D36A1">
        <w:rPr>
          <w:lang w:val="en-GB"/>
        </w:rPr>
        <w:t>i</w:t>
      </w:r>
      <w:proofErr w:type="spellEnd"/>
      <w:r w:rsidRPr="007D36A1">
        <w:rPr>
          <w:lang w:val="en-GB"/>
        </w:rPr>
        <w:t>)</w:t>
      </w:r>
      <w:r w:rsidR="00BC06D5">
        <w:rPr>
          <w:lang w:val="en-GB"/>
        </w:rPr>
        <w:tab/>
      </w:r>
      <w:r w:rsidR="00BC0C02" w:rsidRPr="007D36A1">
        <w:rPr>
          <w:lang w:val="en-GB"/>
        </w:rPr>
        <w:t>The package design is subject to multilateral approval</w:t>
      </w:r>
      <w:r w:rsidR="00BC06D5">
        <w:rPr>
          <w:lang w:val="en-GB"/>
        </w:rPr>
        <w:t>;</w:t>
      </w:r>
    </w:p>
    <w:p w14:paraId="6D6AD5FF" w14:textId="42C926C7" w:rsidR="00BC0C02" w:rsidRPr="007D36A1" w:rsidRDefault="00D80568" w:rsidP="00BC06D5">
      <w:pPr>
        <w:pStyle w:val="SingleTxtG"/>
        <w:tabs>
          <w:tab w:val="left" w:pos="2268"/>
        </w:tabs>
        <w:ind w:left="2268"/>
        <w:rPr>
          <w:lang w:val="en-GB"/>
        </w:rPr>
      </w:pPr>
      <w:r w:rsidRPr="007D36A1">
        <w:rPr>
          <w:lang w:val="en-GB"/>
        </w:rPr>
        <w:t>(ii)</w:t>
      </w:r>
      <w:r w:rsidR="00BC06D5">
        <w:rPr>
          <w:lang w:val="en-GB"/>
        </w:rPr>
        <w:tab/>
      </w:r>
      <w:r w:rsidR="00BC0C02" w:rsidRPr="007D36A1">
        <w:rPr>
          <w:lang w:val="en-GB"/>
        </w:rPr>
        <w:t xml:space="preserve">The applicable requirements of </w:t>
      </w:r>
      <w:r w:rsidR="00AA0427" w:rsidRPr="007D36A1">
        <w:rPr>
          <w:lang w:val="en-GB"/>
        </w:rPr>
        <w:t xml:space="preserve">1.5.3.1 </w:t>
      </w:r>
      <w:r w:rsidR="00BC0C02" w:rsidRPr="007D36A1">
        <w:rPr>
          <w:lang w:val="en-GB"/>
        </w:rPr>
        <w:t>of this Edition of these Regulations are applied</w:t>
      </w:r>
      <w:r w:rsidR="00BC06D5">
        <w:rPr>
          <w:lang w:val="en-GB"/>
        </w:rPr>
        <w:t>;</w:t>
      </w:r>
    </w:p>
    <w:p w14:paraId="36A07D17" w14:textId="6ACF8DBB" w:rsidR="00BC0C02" w:rsidRPr="007D36A1" w:rsidRDefault="00D80568" w:rsidP="00BC06D5">
      <w:pPr>
        <w:pStyle w:val="SingleTxtG"/>
        <w:tabs>
          <w:tab w:val="left" w:pos="2268"/>
        </w:tabs>
        <w:ind w:left="2268"/>
        <w:rPr>
          <w:lang w:val="en-GB"/>
        </w:rPr>
      </w:pPr>
      <w:r w:rsidRPr="007D36A1">
        <w:rPr>
          <w:lang w:val="en-GB"/>
        </w:rPr>
        <w:t>(iii)</w:t>
      </w:r>
      <w:r w:rsidR="00BC06D5">
        <w:rPr>
          <w:lang w:val="en-GB"/>
        </w:rPr>
        <w:tab/>
      </w:r>
      <w:r w:rsidR="00BC0C02" w:rsidRPr="007D36A1">
        <w:rPr>
          <w:lang w:val="en-GB"/>
        </w:rPr>
        <w:t>The activity limits and classification in Section IV of this Edition o</w:t>
      </w:r>
      <w:r w:rsidR="00BC06D5">
        <w:rPr>
          <w:lang w:val="en-GB"/>
        </w:rPr>
        <w:t>f these Regulations are applied;</w:t>
      </w:r>
    </w:p>
    <w:p w14:paraId="45EBB319" w14:textId="25F5E3F3" w:rsidR="00BC0C02" w:rsidRPr="007D36A1" w:rsidRDefault="00D80568" w:rsidP="00BC06D5">
      <w:pPr>
        <w:pStyle w:val="SingleTxtG"/>
        <w:tabs>
          <w:tab w:val="left" w:pos="2268"/>
        </w:tabs>
        <w:ind w:left="2268"/>
        <w:rPr>
          <w:lang w:val="en-GB"/>
        </w:rPr>
      </w:pPr>
      <w:r w:rsidRPr="007D36A1">
        <w:rPr>
          <w:lang w:val="en-GB"/>
        </w:rPr>
        <w:t>(iv)</w:t>
      </w:r>
      <w:r w:rsidR="00BC06D5">
        <w:rPr>
          <w:lang w:val="en-GB"/>
        </w:rPr>
        <w:tab/>
      </w:r>
      <w:r w:rsidR="00BC0C02" w:rsidRPr="007D36A1">
        <w:rPr>
          <w:lang w:val="en-GB"/>
        </w:rPr>
        <w:t>The requirements and controls for transport in Section V of this Edition o</w:t>
      </w:r>
      <w:r w:rsidR="00BC06D5">
        <w:rPr>
          <w:lang w:val="en-GB"/>
        </w:rPr>
        <w:t>f these Regulations are applied;</w:t>
      </w:r>
    </w:p>
    <w:p w14:paraId="7E429474" w14:textId="3B1DA193" w:rsidR="00BC0C02" w:rsidRPr="007D36A1" w:rsidRDefault="00D80568" w:rsidP="00BC06D5">
      <w:pPr>
        <w:pStyle w:val="SingleTxtG"/>
        <w:tabs>
          <w:tab w:val="left" w:pos="2268"/>
        </w:tabs>
        <w:ind w:left="2268"/>
        <w:rPr>
          <w:lang w:val="en-GB"/>
        </w:rPr>
      </w:pPr>
      <w:r w:rsidRPr="007D36A1">
        <w:rPr>
          <w:lang w:val="en-GB"/>
        </w:rPr>
        <w:t>(v)</w:t>
      </w:r>
      <w:r w:rsidR="00BC06D5">
        <w:rPr>
          <w:lang w:val="en-GB"/>
        </w:rPr>
        <w:tab/>
      </w:r>
      <w:r w:rsidR="00BC0C02" w:rsidRPr="007D36A1">
        <w:rPr>
          <w:lang w:val="en-GB"/>
        </w:rPr>
        <w:t>For a package containing fissile material and transported by air, the requirement of</w:t>
      </w:r>
      <w:r w:rsidR="00AA0427" w:rsidRPr="007D36A1">
        <w:rPr>
          <w:lang w:val="en-GB"/>
        </w:rPr>
        <w:t xml:space="preserve"> 6.4.11.11</w:t>
      </w:r>
      <w:r w:rsidR="00BC06D5">
        <w:rPr>
          <w:lang w:val="en-GB"/>
        </w:rPr>
        <w:t xml:space="preserve"> is met;</w:t>
      </w:r>
    </w:p>
    <w:p w14:paraId="5B462631" w14:textId="0D9FB31D" w:rsidR="00BC0C02" w:rsidRPr="007D36A1" w:rsidRDefault="00D80568" w:rsidP="00D80568">
      <w:pPr>
        <w:pStyle w:val="SingleTxtG"/>
        <w:tabs>
          <w:tab w:val="left" w:pos="2268"/>
        </w:tabs>
        <w:rPr>
          <w:lang w:val="en-GB"/>
        </w:rPr>
      </w:pPr>
      <w:r w:rsidRPr="007D36A1">
        <w:rPr>
          <w:lang w:val="en-GB"/>
        </w:rPr>
        <w:t>(b)</w:t>
      </w:r>
      <w:r w:rsidR="00BC06D5">
        <w:rPr>
          <w:lang w:val="en-GB"/>
        </w:rPr>
        <w:tab/>
      </w:r>
      <w:proofErr w:type="spellStart"/>
      <w:r w:rsidR="00BC0C02" w:rsidRPr="007D36A1">
        <w:rPr>
          <w:lang w:val="en-GB"/>
        </w:rPr>
        <w:t>Packagings</w:t>
      </w:r>
      <w:proofErr w:type="spellEnd"/>
      <w:r w:rsidR="00BC0C02" w:rsidRPr="007D36A1">
        <w:rPr>
          <w:lang w:val="en-GB"/>
        </w:rPr>
        <w:t xml:space="preserve"> that were manufactured to a package design approved by the competent authority under the provisions of the 1996 Edition, 1996 Edition (Revised), 1996 (As Amended 2003), 2005, 2009 and 2012 Editions of these Regulations may continue to be used provided that all of the following conditions are met:</w:t>
      </w:r>
    </w:p>
    <w:p w14:paraId="2D340FFA" w14:textId="3237816A" w:rsidR="00BC0C02" w:rsidRPr="007D36A1" w:rsidRDefault="00D80568" w:rsidP="00BC06D5">
      <w:pPr>
        <w:pStyle w:val="SingleTxtG"/>
        <w:tabs>
          <w:tab w:val="left" w:pos="2268"/>
        </w:tabs>
        <w:ind w:left="2268"/>
        <w:rPr>
          <w:lang w:val="en-GB"/>
        </w:rPr>
      </w:pPr>
      <w:r w:rsidRPr="007D36A1">
        <w:rPr>
          <w:lang w:val="en-GB"/>
        </w:rPr>
        <w:lastRenderedPageBreak/>
        <w:t>(</w:t>
      </w:r>
      <w:proofErr w:type="spellStart"/>
      <w:r w:rsidRPr="007D36A1">
        <w:rPr>
          <w:lang w:val="en-GB"/>
        </w:rPr>
        <w:t>i</w:t>
      </w:r>
      <w:proofErr w:type="spellEnd"/>
      <w:r w:rsidRPr="007D36A1">
        <w:rPr>
          <w:lang w:val="en-GB"/>
        </w:rPr>
        <w:t>)</w:t>
      </w:r>
      <w:r w:rsidR="00BC06D5">
        <w:rPr>
          <w:lang w:val="en-GB"/>
        </w:rPr>
        <w:tab/>
      </w:r>
      <w:r w:rsidR="00BC0C02" w:rsidRPr="007D36A1">
        <w:rPr>
          <w:lang w:val="en-GB"/>
        </w:rPr>
        <w:t xml:space="preserve">The package design is subject to multilateral approval </w:t>
      </w:r>
      <w:r w:rsidR="00BC06D5">
        <w:rPr>
          <w:lang w:val="en-GB"/>
        </w:rPr>
        <w:t>after 31 December 2025;</w:t>
      </w:r>
    </w:p>
    <w:p w14:paraId="4155AC0F" w14:textId="57B465AD" w:rsidR="00BC0C02" w:rsidRPr="007D36A1" w:rsidRDefault="00D80568" w:rsidP="00BC06D5">
      <w:pPr>
        <w:pStyle w:val="SingleTxtG"/>
        <w:tabs>
          <w:tab w:val="left" w:pos="2268"/>
        </w:tabs>
        <w:ind w:left="2268"/>
        <w:rPr>
          <w:lang w:val="en-GB"/>
        </w:rPr>
      </w:pPr>
      <w:r w:rsidRPr="007D36A1">
        <w:rPr>
          <w:lang w:val="en-GB"/>
        </w:rPr>
        <w:t>(ii)</w:t>
      </w:r>
      <w:r w:rsidR="00BC06D5">
        <w:rPr>
          <w:lang w:val="en-GB"/>
        </w:rPr>
        <w:tab/>
      </w:r>
      <w:r w:rsidR="00BC0C02" w:rsidRPr="007D36A1">
        <w:rPr>
          <w:lang w:val="en-GB"/>
        </w:rPr>
        <w:t xml:space="preserve">The applicable requirements of </w:t>
      </w:r>
      <w:r w:rsidR="00AA0427" w:rsidRPr="007D36A1">
        <w:rPr>
          <w:lang w:val="en-GB"/>
        </w:rPr>
        <w:t xml:space="preserve">1.5.3.1 </w:t>
      </w:r>
      <w:r w:rsidR="00BC0C02" w:rsidRPr="007D36A1">
        <w:rPr>
          <w:lang w:val="en-GB"/>
        </w:rPr>
        <w:t>of this Edition</w:t>
      </w:r>
      <w:r w:rsidR="00BC06D5">
        <w:rPr>
          <w:lang w:val="en-GB"/>
        </w:rPr>
        <w:t xml:space="preserve"> of the Regulations are applied;</w:t>
      </w:r>
    </w:p>
    <w:p w14:paraId="0EB684CF" w14:textId="049559A8" w:rsidR="00BC0C02" w:rsidRPr="007D36A1" w:rsidRDefault="00D80568" w:rsidP="00BC06D5">
      <w:pPr>
        <w:pStyle w:val="SingleTxtG"/>
        <w:tabs>
          <w:tab w:val="left" w:pos="2268"/>
        </w:tabs>
        <w:ind w:left="2268"/>
        <w:rPr>
          <w:lang w:val="en-GB"/>
        </w:rPr>
      </w:pPr>
      <w:r w:rsidRPr="007D36A1">
        <w:rPr>
          <w:lang w:val="en-GB"/>
        </w:rPr>
        <w:t>(iii)</w:t>
      </w:r>
      <w:r w:rsidR="00BC06D5">
        <w:rPr>
          <w:lang w:val="en-GB"/>
        </w:rPr>
        <w:tab/>
      </w:r>
      <w:r w:rsidR="00BC0C02" w:rsidRPr="007D36A1">
        <w:rPr>
          <w:lang w:val="en-GB"/>
        </w:rPr>
        <w:t>The activity limits and material restrictions of Section IV of this Edition o</w:t>
      </w:r>
      <w:r w:rsidR="00BC06D5">
        <w:rPr>
          <w:lang w:val="en-GB"/>
        </w:rPr>
        <w:t>f these Regulations are applied;</w:t>
      </w:r>
    </w:p>
    <w:p w14:paraId="0B11A603" w14:textId="0C172369" w:rsidR="00293C61" w:rsidRPr="007D36A1" w:rsidRDefault="00D80568" w:rsidP="00BC06D5">
      <w:pPr>
        <w:pStyle w:val="SingleTxtG"/>
        <w:tabs>
          <w:tab w:val="left" w:pos="2268"/>
        </w:tabs>
        <w:ind w:left="2268"/>
        <w:rPr>
          <w:lang w:val="en-GB"/>
        </w:rPr>
      </w:pPr>
      <w:r w:rsidRPr="007D36A1">
        <w:rPr>
          <w:lang w:val="en-GB"/>
        </w:rPr>
        <w:t>(iv)</w:t>
      </w:r>
      <w:r w:rsidR="00BC06D5">
        <w:rPr>
          <w:lang w:val="en-GB"/>
        </w:rPr>
        <w:tab/>
      </w:r>
      <w:r w:rsidR="00BC0C02" w:rsidRPr="007D36A1">
        <w:rPr>
          <w:lang w:val="en-GB"/>
        </w:rPr>
        <w:t>The requirements and controls for transport in Section V of this Edition of</w:t>
      </w:r>
      <w:r w:rsidR="00BC06D5">
        <w:rPr>
          <w:lang w:val="en-GB"/>
        </w:rPr>
        <w:t xml:space="preserve"> these Regulations are applied.”.</w:t>
      </w:r>
    </w:p>
    <w:p w14:paraId="3F1A6608" w14:textId="77777777" w:rsidR="00840431" w:rsidRPr="00BC06D5" w:rsidRDefault="00293C61" w:rsidP="00BC06D5">
      <w:pPr>
        <w:pStyle w:val="SingleTxtG"/>
        <w:rPr>
          <w:i/>
          <w:lang w:val="en-GB"/>
        </w:rPr>
      </w:pPr>
      <w:r w:rsidRPr="00BC06D5">
        <w:rPr>
          <w:i/>
          <w:lang w:val="en-GB"/>
        </w:rPr>
        <w:t xml:space="preserve">[IAEA: </w:t>
      </w:r>
      <w:r w:rsidR="00BC0C02" w:rsidRPr="00BC06D5">
        <w:rPr>
          <w:i/>
          <w:lang w:val="en-GB"/>
        </w:rPr>
        <w:t>820</w:t>
      </w:r>
      <w:r w:rsidR="00007DA6" w:rsidRPr="00BC06D5">
        <w:rPr>
          <w:i/>
          <w:lang w:val="en-GB"/>
        </w:rPr>
        <w:t>]</w:t>
      </w:r>
    </w:p>
    <w:p w14:paraId="72C9096F" w14:textId="63EADF67" w:rsidR="009E6B85" w:rsidRPr="007D36A1" w:rsidRDefault="009E6B85" w:rsidP="00D80568">
      <w:pPr>
        <w:pStyle w:val="SingleTxtG"/>
        <w:tabs>
          <w:tab w:val="left" w:pos="2268"/>
        </w:tabs>
        <w:rPr>
          <w:lang w:val="en-GB"/>
        </w:rPr>
      </w:pPr>
      <w:r w:rsidRPr="007D36A1">
        <w:rPr>
          <w:lang w:val="en-GB"/>
        </w:rPr>
        <w:t>After 6.4.24.3</w:t>
      </w:r>
      <w:r w:rsidRPr="007D36A1">
        <w:rPr>
          <w:lang w:val="en-GB"/>
        </w:rPr>
        <w:tab/>
        <w:t xml:space="preserve">Add new </w:t>
      </w:r>
      <w:r w:rsidR="00BC06D5">
        <w:rPr>
          <w:lang w:val="en-GB"/>
        </w:rPr>
        <w:t>6.4.24.4</w:t>
      </w:r>
      <w:r w:rsidRPr="007D36A1">
        <w:rPr>
          <w:lang w:val="en-GB"/>
        </w:rPr>
        <w:t xml:space="preserve"> to read as follows:</w:t>
      </w:r>
    </w:p>
    <w:p w14:paraId="257BE0EF" w14:textId="736DC7A3" w:rsidR="009E6B85" w:rsidRDefault="009E6B85" w:rsidP="00D80568">
      <w:pPr>
        <w:pStyle w:val="SingleTxtG"/>
        <w:tabs>
          <w:tab w:val="left" w:pos="2268"/>
        </w:tabs>
        <w:rPr>
          <w:lang w:val="en-GB"/>
        </w:rPr>
      </w:pPr>
      <w:r w:rsidRPr="007D36A1">
        <w:rPr>
          <w:lang w:val="en-GB"/>
        </w:rPr>
        <w:t>“</w:t>
      </w:r>
      <w:r w:rsidR="00BC06D5">
        <w:rPr>
          <w:lang w:val="en-GB"/>
        </w:rPr>
        <w:t>6.4.24.4</w:t>
      </w:r>
      <w:r w:rsidR="00BC06D5">
        <w:rPr>
          <w:lang w:val="en-GB"/>
        </w:rPr>
        <w:tab/>
      </w:r>
      <w:r w:rsidRPr="007D36A1">
        <w:rPr>
          <w:lang w:val="en-GB"/>
        </w:rPr>
        <w:t xml:space="preserve">No new manufacture of </w:t>
      </w:r>
      <w:proofErr w:type="spellStart"/>
      <w:r w:rsidRPr="007D36A1">
        <w:rPr>
          <w:i/>
          <w:lang w:val="en-GB"/>
        </w:rPr>
        <w:t>packagings</w:t>
      </w:r>
      <w:proofErr w:type="spellEnd"/>
      <w:r w:rsidRPr="007D36A1">
        <w:rPr>
          <w:i/>
          <w:lang w:val="en-GB"/>
        </w:rPr>
        <w:t xml:space="preserve"> </w:t>
      </w:r>
      <w:r w:rsidRPr="007D36A1">
        <w:rPr>
          <w:lang w:val="en-GB"/>
        </w:rPr>
        <w:t xml:space="preserve">of a </w:t>
      </w:r>
      <w:r w:rsidRPr="007D36A1">
        <w:rPr>
          <w:i/>
          <w:lang w:val="en-GB"/>
        </w:rPr>
        <w:t xml:space="preserve">package design </w:t>
      </w:r>
      <w:r w:rsidRPr="007D36A1">
        <w:rPr>
          <w:lang w:val="en-GB"/>
        </w:rPr>
        <w:t>meeting the provisions of the 1996 Edition, 1996 Edition (Revised), 1996 (As Amended 2003), 2005, 2009 and 2012</w:t>
      </w:r>
      <w:r w:rsidRPr="007D36A1">
        <w:rPr>
          <w:b/>
          <w:lang w:val="en-GB"/>
        </w:rPr>
        <w:t xml:space="preserve"> </w:t>
      </w:r>
      <w:r w:rsidRPr="007D36A1">
        <w:rPr>
          <w:lang w:val="en-GB"/>
        </w:rPr>
        <w:t>Editions of these Regulations shall be permitted to commence after 31 December 2028</w:t>
      </w:r>
      <w:r w:rsidRPr="007D36A1">
        <w:rPr>
          <w:i/>
          <w:lang w:val="en-GB"/>
        </w:rPr>
        <w:t>.</w:t>
      </w:r>
      <w:r w:rsidR="00BC06D5">
        <w:rPr>
          <w:lang w:val="en-GB"/>
        </w:rPr>
        <w:t>”.</w:t>
      </w:r>
    </w:p>
    <w:p w14:paraId="5590A6A8" w14:textId="2D50F5E1" w:rsidR="00BC06D5" w:rsidRPr="007D36A1" w:rsidRDefault="00BC06D5" w:rsidP="00D80568">
      <w:pPr>
        <w:pStyle w:val="SingleTxtG"/>
        <w:tabs>
          <w:tab w:val="left" w:pos="2268"/>
        </w:tabs>
        <w:rPr>
          <w:lang w:val="en-GB"/>
        </w:rPr>
      </w:pPr>
      <w:r>
        <w:rPr>
          <w:lang w:val="en-GB"/>
        </w:rPr>
        <w:t>Renumber 6.4.24.4 and 6.4.24.5 as 6.4.24.5 and 6.4.24.6.</w:t>
      </w:r>
    </w:p>
    <w:p w14:paraId="1C71032C" w14:textId="77777777" w:rsidR="00840431" w:rsidRPr="00BC06D5" w:rsidRDefault="00D62F29" w:rsidP="00BC06D5">
      <w:pPr>
        <w:pStyle w:val="SingleTxtG"/>
        <w:rPr>
          <w:i/>
          <w:lang w:val="en-GB"/>
        </w:rPr>
      </w:pPr>
      <w:r w:rsidRPr="00BC06D5">
        <w:rPr>
          <w:i/>
          <w:lang w:val="en-GB"/>
        </w:rPr>
        <w:t>[IAEA: 821A]</w:t>
      </w:r>
    </w:p>
    <w:p w14:paraId="52CA1149" w14:textId="17939E20" w:rsidR="00840431" w:rsidRPr="007D36A1" w:rsidRDefault="006D6E40" w:rsidP="00D80568">
      <w:pPr>
        <w:pStyle w:val="SingleTxtG"/>
        <w:tabs>
          <w:tab w:val="left" w:pos="2268"/>
        </w:tabs>
        <w:rPr>
          <w:b/>
          <w:bCs/>
          <w:lang w:val="en-GB"/>
        </w:rPr>
      </w:pPr>
      <w:r w:rsidRPr="007D36A1">
        <w:rPr>
          <w:lang w:val="en-GB"/>
        </w:rPr>
        <w:t>Amend the title over 6.4.24.</w:t>
      </w:r>
      <w:r w:rsidR="00BC06D5">
        <w:rPr>
          <w:lang w:val="en-GB"/>
        </w:rPr>
        <w:t>6</w:t>
      </w:r>
      <w:r w:rsidRPr="007D36A1">
        <w:rPr>
          <w:lang w:val="en-GB"/>
        </w:rPr>
        <w:t xml:space="preserve"> </w:t>
      </w:r>
      <w:r w:rsidR="00BC06D5">
        <w:rPr>
          <w:lang w:val="en-GB"/>
        </w:rPr>
        <w:t xml:space="preserve">(previously 6.4.24.5) </w:t>
      </w:r>
      <w:r w:rsidRPr="007D36A1">
        <w:rPr>
          <w:lang w:val="en-GB"/>
        </w:rPr>
        <w:t>to read</w:t>
      </w:r>
      <w:r w:rsidR="00BC06D5">
        <w:rPr>
          <w:lang w:val="en-GB"/>
        </w:rPr>
        <w:t xml:space="preserve">: </w:t>
      </w:r>
      <w:r w:rsidR="00BC06D5" w:rsidRPr="00BC06D5">
        <w:rPr>
          <w:lang w:val="en-GB"/>
        </w:rPr>
        <w:t>“</w:t>
      </w:r>
      <w:r w:rsidRPr="00BC06D5">
        <w:rPr>
          <w:bCs/>
          <w:lang w:val="en-GB"/>
        </w:rPr>
        <w:t>Special form radioact</w:t>
      </w:r>
      <w:r w:rsidR="00BC06D5">
        <w:rPr>
          <w:bCs/>
          <w:lang w:val="en-GB"/>
        </w:rPr>
        <w:t>ive material approved under the</w:t>
      </w:r>
      <w:r w:rsidRPr="00BC06D5">
        <w:rPr>
          <w:bCs/>
          <w:lang w:val="en-GB"/>
        </w:rPr>
        <w:t xml:space="preserve"> 1985, 1985 (</w:t>
      </w:r>
      <w:r w:rsidR="00BC06D5">
        <w:rPr>
          <w:bCs/>
          <w:lang w:val="en-GB"/>
        </w:rPr>
        <w:t>As Amended 1990)</w:t>
      </w:r>
      <w:r w:rsidRPr="00BC06D5">
        <w:rPr>
          <w:bCs/>
          <w:lang w:val="en-GB"/>
        </w:rPr>
        <w:t xml:space="preserve">, 1996 Edition, 1996 </w:t>
      </w:r>
      <w:r w:rsidRPr="00BC06D5">
        <w:rPr>
          <w:lang w:val="en-GB"/>
        </w:rPr>
        <w:t>Edition</w:t>
      </w:r>
      <w:r w:rsidRPr="00BC06D5">
        <w:rPr>
          <w:bCs/>
          <w:lang w:val="en-GB"/>
        </w:rPr>
        <w:t xml:space="preserve"> (Revised), 1996 (As Amended 2003), 2005, 2009 Editions of IAE</w:t>
      </w:r>
      <w:r w:rsidR="00D23266">
        <w:rPr>
          <w:bCs/>
          <w:lang w:val="en-GB"/>
        </w:rPr>
        <w:t xml:space="preserve">A Safety Series No. 6 and 2012 </w:t>
      </w:r>
      <w:r w:rsidRPr="00BC06D5">
        <w:rPr>
          <w:bCs/>
          <w:lang w:val="en-GB"/>
        </w:rPr>
        <w:t>Edition of IAEA S</w:t>
      </w:r>
      <w:r w:rsidR="00007DA6" w:rsidRPr="00BC06D5">
        <w:rPr>
          <w:bCs/>
          <w:lang w:val="en-GB"/>
        </w:rPr>
        <w:t>afety Standards Serie No. SSR-6</w:t>
      </w:r>
      <w:r w:rsidR="00BC06D5" w:rsidRPr="00BC06D5">
        <w:rPr>
          <w:bCs/>
          <w:lang w:val="en-GB"/>
        </w:rPr>
        <w:t>”.</w:t>
      </w:r>
    </w:p>
    <w:p w14:paraId="2D05ECA5" w14:textId="3104921A" w:rsidR="00BC0C02" w:rsidRPr="007D36A1" w:rsidRDefault="00827916" w:rsidP="00D80568">
      <w:pPr>
        <w:pStyle w:val="SingleTxtG"/>
        <w:tabs>
          <w:tab w:val="left" w:pos="2268"/>
        </w:tabs>
        <w:rPr>
          <w:lang w:val="en-GB"/>
        </w:rPr>
      </w:pPr>
      <w:r w:rsidRPr="007D36A1">
        <w:rPr>
          <w:lang w:val="en-GB"/>
        </w:rPr>
        <w:t>6.4.24.</w:t>
      </w:r>
      <w:r w:rsidR="00BC06D5">
        <w:rPr>
          <w:lang w:val="en-GB"/>
        </w:rPr>
        <w:t>6 (previously 6.4.24.5)</w:t>
      </w:r>
      <w:r w:rsidR="00BC0C02" w:rsidRPr="007D36A1">
        <w:rPr>
          <w:lang w:val="en-GB"/>
        </w:rPr>
        <w:tab/>
      </w:r>
      <w:r w:rsidRPr="007D36A1">
        <w:rPr>
          <w:lang w:val="en-GB"/>
        </w:rPr>
        <w:t>Amend to read as follows:</w:t>
      </w:r>
    </w:p>
    <w:p w14:paraId="57544896" w14:textId="71975D15" w:rsidR="00BC0C02" w:rsidRPr="007D36A1" w:rsidRDefault="00BC0C02" w:rsidP="00D80568">
      <w:pPr>
        <w:pStyle w:val="SingleTxtG"/>
        <w:tabs>
          <w:tab w:val="left" w:pos="2268"/>
        </w:tabs>
        <w:rPr>
          <w:lang w:val="en-GB"/>
        </w:rPr>
      </w:pPr>
      <w:r w:rsidRPr="007D36A1">
        <w:rPr>
          <w:lang w:val="en-GB"/>
        </w:rPr>
        <w:t>“</w:t>
      </w:r>
      <w:r w:rsidR="00BC06D5">
        <w:rPr>
          <w:lang w:val="en-GB"/>
        </w:rPr>
        <w:t>6.4.24.6</w:t>
      </w:r>
      <w:r w:rsidR="00BC06D5">
        <w:rPr>
          <w:lang w:val="en-GB"/>
        </w:rPr>
        <w:tab/>
      </w:r>
      <w:r w:rsidR="00827916" w:rsidRPr="007D36A1">
        <w:rPr>
          <w:lang w:val="en-GB"/>
        </w:rPr>
        <w:t>Special form radioactive material manufactured to a design that had received unilateral approval by the competent authority under the 1985, 1985 (As Amended 1990), 1996 Edition, 1996 Edition (Revised), 1996 (As Amended 2003), 2005, 2009 and 2012</w:t>
      </w:r>
      <w:r w:rsidR="00827916" w:rsidRPr="007D36A1">
        <w:rPr>
          <w:b/>
          <w:lang w:val="en-GB"/>
        </w:rPr>
        <w:t xml:space="preserve"> </w:t>
      </w:r>
      <w:r w:rsidR="00827916" w:rsidRPr="007D36A1">
        <w:rPr>
          <w:lang w:val="en-GB"/>
        </w:rPr>
        <w:t xml:space="preserve">Editions of </w:t>
      </w:r>
      <w:r w:rsidR="006D6E40" w:rsidRPr="007D36A1">
        <w:rPr>
          <w:lang w:val="en-GB"/>
        </w:rPr>
        <w:t xml:space="preserve">IAEA </w:t>
      </w:r>
      <w:r w:rsidR="00827916" w:rsidRPr="007D36A1">
        <w:rPr>
          <w:lang w:val="en-GB"/>
        </w:rPr>
        <w:t xml:space="preserve">Regulations may continue to be used when in compliance with the mandatory management system in accordance with the applicable requirements of </w:t>
      </w:r>
      <w:proofErr w:type="gramStart"/>
      <w:r w:rsidR="00073FAC" w:rsidRPr="007D36A1">
        <w:rPr>
          <w:lang w:val="en-GB"/>
        </w:rPr>
        <w:t>1.5.3.1</w:t>
      </w:r>
      <w:r w:rsidR="00585334" w:rsidRPr="007D36A1">
        <w:rPr>
          <w:lang w:val="en-GB"/>
        </w:rPr>
        <w:t xml:space="preserve"> </w:t>
      </w:r>
      <w:r w:rsidR="00827916" w:rsidRPr="007D36A1">
        <w:rPr>
          <w:lang w:val="en-GB"/>
        </w:rPr>
        <w:t>.</w:t>
      </w:r>
      <w:proofErr w:type="gramEnd"/>
      <w:r w:rsidR="00827916" w:rsidRPr="007D36A1">
        <w:rPr>
          <w:lang w:val="en-GB"/>
        </w:rPr>
        <w:t xml:space="preserve"> There shall be no new manufacture of special form radioactive material to a design that had received unilateral approval by the competent authority under the 1985 or 1985 (As Amended 1990) Editions of these Regulations. No new manufacture of special form radioactive material to a design that had received unilateral approval by the competent authority under the 1996 Edition, 1996 Edition (Revised), 1996 (As Amended 2003), 2005, 2009 and 2012 Editions of these Regulations shall be permitted to c</w:t>
      </w:r>
      <w:r w:rsidR="00BC06D5">
        <w:rPr>
          <w:lang w:val="en-GB"/>
        </w:rPr>
        <w:t>ommence after 31 December 2025.”.</w:t>
      </w:r>
    </w:p>
    <w:p w14:paraId="577189BE" w14:textId="77777777" w:rsidR="00BC0C02" w:rsidRPr="007D36A1" w:rsidRDefault="00BC0C02" w:rsidP="00D80568">
      <w:pPr>
        <w:pStyle w:val="SingleTxtG"/>
        <w:tabs>
          <w:tab w:val="left" w:pos="2268"/>
        </w:tabs>
        <w:rPr>
          <w:i/>
          <w:lang w:val="en-GB"/>
        </w:rPr>
      </w:pPr>
      <w:r w:rsidRPr="007D36A1">
        <w:rPr>
          <w:i/>
          <w:lang w:val="en-GB"/>
        </w:rPr>
        <w:t xml:space="preserve">[IAEA: </w:t>
      </w:r>
      <w:r w:rsidR="00827916" w:rsidRPr="007D36A1">
        <w:rPr>
          <w:i/>
          <w:lang w:val="en-GB"/>
        </w:rPr>
        <w:t>823</w:t>
      </w:r>
      <w:r w:rsidRPr="007D36A1">
        <w:rPr>
          <w:i/>
          <w:lang w:val="en-GB"/>
        </w:rPr>
        <w:t>]</w:t>
      </w:r>
    </w:p>
    <w:p w14:paraId="39BE2367" w14:textId="2070F1D0" w:rsidR="000A4AE8" w:rsidRPr="007D36A1" w:rsidRDefault="00BC06D5" w:rsidP="00DA4D16">
      <w:pPr>
        <w:pStyle w:val="H1G"/>
      </w:pPr>
      <w:r>
        <w:tab/>
      </w:r>
      <w:r>
        <w:tab/>
      </w:r>
      <w:r w:rsidR="000A4AE8" w:rsidRPr="007D36A1">
        <w:t>Chapter 7.1</w:t>
      </w:r>
    </w:p>
    <w:p w14:paraId="4E60F70A" w14:textId="77777777" w:rsidR="00BC0C02" w:rsidRPr="007D36A1" w:rsidRDefault="00AD4CEF" w:rsidP="00D80568">
      <w:pPr>
        <w:pStyle w:val="SingleTxtG"/>
        <w:tabs>
          <w:tab w:val="left" w:pos="2268"/>
        </w:tabs>
        <w:rPr>
          <w:lang w:val="en-GB"/>
        </w:rPr>
      </w:pPr>
      <w:r w:rsidRPr="007D36A1">
        <w:rPr>
          <w:lang w:val="en-GB"/>
        </w:rPr>
        <w:t>7.1.8.2</w:t>
      </w:r>
      <w:r w:rsidRPr="007D36A1">
        <w:rPr>
          <w:lang w:val="en-GB"/>
        </w:rPr>
        <w:tab/>
      </w:r>
      <w:r w:rsidR="00BC0C02" w:rsidRPr="007D36A1">
        <w:rPr>
          <w:lang w:val="en-GB"/>
        </w:rPr>
        <w:tab/>
        <w:t>A</w:t>
      </w:r>
      <w:r w:rsidRPr="007D36A1">
        <w:rPr>
          <w:lang w:val="en-GB"/>
        </w:rPr>
        <w:t xml:space="preserve">dd </w:t>
      </w:r>
      <w:r w:rsidR="00C11A52" w:rsidRPr="007D36A1">
        <w:rPr>
          <w:lang w:val="en-GB"/>
        </w:rPr>
        <w:t xml:space="preserve">the following new </w:t>
      </w:r>
      <w:r w:rsidRPr="007D36A1">
        <w:rPr>
          <w:lang w:val="en-GB"/>
        </w:rPr>
        <w:t>sentence after the first sentence</w:t>
      </w:r>
      <w:r w:rsidR="00BC0C02" w:rsidRPr="007D36A1">
        <w:rPr>
          <w:lang w:val="en-GB"/>
        </w:rPr>
        <w:t>:</w:t>
      </w:r>
    </w:p>
    <w:p w14:paraId="78F2258D" w14:textId="77777777" w:rsidR="00BC0C02" w:rsidRPr="007D36A1" w:rsidRDefault="00BC0C02" w:rsidP="00D80568">
      <w:pPr>
        <w:pStyle w:val="SingleTxtG"/>
        <w:tabs>
          <w:tab w:val="left" w:pos="2268"/>
        </w:tabs>
        <w:rPr>
          <w:lang w:val="en-GB"/>
        </w:rPr>
      </w:pPr>
      <w:r w:rsidRPr="007D36A1">
        <w:rPr>
          <w:lang w:val="en-GB"/>
        </w:rPr>
        <w:t>“</w:t>
      </w:r>
      <w:r w:rsidR="00AD4CEF" w:rsidRPr="007D36A1">
        <w:rPr>
          <w:lang w:val="en-GB"/>
        </w:rPr>
        <w:t xml:space="preserve">For SCO-III, the limits in </w:t>
      </w:r>
      <w:r w:rsidR="00073FAC" w:rsidRPr="007D36A1">
        <w:rPr>
          <w:lang w:val="en-GB"/>
        </w:rPr>
        <w:t xml:space="preserve">Table 7.1.8.2 </w:t>
      </w:r>
      <w:r w:rsidR="00AD4CEF" w:rsidRPr="007D36A1">
        <w:rPr>
          <w:lang w:val="en-GB"/>
        </w:rPr>
        <w:t>may be exceeded provided that the transport plan contains precautions which are to be employed during transport to obtain an overall level of safety at least equivalent to that which would be provided if the limits had been applied.</w:t>
      </w:r>
      <w:r w:rsidR="00C11A52" w:rsidRPr="007D36A1">
        <w:rPr>
          <w:lang w:val="en-GB"/>
        </w:rPr>
        <w:t>”.</w:t>
      </w:r>
    </w:p>
    <w:p w14:paraId="7C979A24" w14:textId="77777777" w:rsidR="00840431" w:rsidRPr="007D36A1" w:rsidRDefault="00BC0C02" w:rsidP="00D80568">
      <w:pPr>
        <w:pStyle w:val="SingleTxtG"/>
        <w:tabs>
          <w:tab w:val="left" w:pos="2268"/>
        </w:tabs>
        <w:rPr>
          <w:i/>
          <w:lang w:val="en-GB"/>
        </w:rPr>
      </w:pPr>
      <w:r w:rsidRPr="007D36A1">
        <w:rPr>
          <w:i/>
          <w:lang w:val="en-GB"/>
        </w:rPr>
        <w:t xml:space="preserve">[IAEA: </w:t>
      </w:r>
      <w:r w:rsidR="00AD4CEF" w:rsidRPr="007D36A1">
        <w:rPr>
          <w:i/>
          <w:lang w:val="en-GB"/>
        </w:rPr>
        <w:t>522</w:t>
      </w:r>
      <w:r w:rsidR="00007DA6" w:rsidRPr="007D36A1">
        <w:rPr>
          <w:i/>
          <w:lang w:val="en-GB"/>
        </w:rPr>
        <w:t>]</w:t>
      </w:r>
    </w:p>
    <w:p w14:paraId="5F014419" w14:textId="77777777" w:rsidR="00BC0C02" w:rsidRPr="007D36A1" w:rsidRDefault="00761406" w:rsidP="00D80568">
      <w:pPr>
        <w:pStyle w:val="SingleTxtG"/>
        <w:tabs>
          <w:tab w:val="left" w:pos="2268"/>
        </w:tabs>
        <w:rPr>
          <w:lang w:val="en-GB"/>
        </w:rPr>
      </w:pPr>
      <w:r w:rsidRPr="007D36A1">
        <w:rPr>
          <w:lang w:val="en-GB"/>
        </w:rPr>
        <w:t>7.1.8.3.3</w:t>
      </w:r>
      <w:r w:rsidR="00BC0C02" w:rsidRPr="007D36A1">
        <w:rPr>
          <w:lang w:val="en-GB"/>
        </w:rPr>
        <w:tab/>
        <w:t xml:space="preserve">Amend </w:t>
      </w:r>
      <w:r w:rsidR="008B6EF7" w:rsidRPr="007D36A1">
        <w:rPr>
          <w:lang w:val="en-GB"/>
        </w:rPr>
        <w:t>sub-paragraph</w:t>
      </w:r>
      <w:r w:rsidR="00BC0C02" w:rsidRPr="007D36A1">
        <w:rPr>
          <w:lang w:val="en-GB"/>
        </w:rPr>
        <w:t xml:space="preserve"> (b) to read as follows:</w:t>
      </w:r>
    </w:p>
    <w:p w14:paraId="4E9E5803" w14:textId="0D0A513C" w:rsidR="00BC0C02" w:rsidRPr="007D36A1" w:rsidRDefault="00BC0C02" w:rsidP="00D80568">
      <w:pPr>
        <w:pStyle w:val="SingleTxtG"/>
        <w:tabs>
          <w:tab w:val="left" w:pos="2268"/>
        </w:tabs>
        <w:rPr>
          <w:lang w:val="en-GB"/>
        </w:rPr>
      </w:pPr>
      <w:r w:rsidRPr="007D36A1">
        <w:rPr>
          <w:lang w:val="en-GB"/>
        </w:rPr>
        <w:t>“</w:t>
      </w:r>
      <w:r w:rsidR="00761406" w:rsidRPr="007D36A1">
        <w:rPr>
          <w:lang w:val="en-GB"/>
        </w:rPr>
        <w:t xml:space="preserve">(b) </w:t>
      </w:r>
      <w:r w:rsidR="00BC06D5">
        <w:rPr>
          <w:lang w:val="en-GB"/>
        </w:rPr>
        <w:tab/>
      </w:r>
      <w:r w:rsidR="00280F3E">
        <w:rPr>
          <w:lang w:val="en-GB"/>
        </w:rPr>
        <w:t xml:space="preserve">The </w:t>
      </w:r>
      <w:bookmarkStart w:id="2" w:name="_GoBack"/>
      <w:bookmarkEnd w:id="2"/>
      <w:r w:rsidR="00761406" w:rsidRPr="007D36A1">
        <w:rPr>
          <w:lang w:val="en-GB"/>
        </w:rPr>
        <w:t xml:space="preserve">dose rate under routine conditions of transport shall not exceed 2 </w:t>
      </w:r>
      <w:proofErr w:type="spellStart"/>
      <w:r w:rsidR="00761406" w:rsidRPr="007D36A1">
        <w:rPr>
          <w:lang w:val="en-GB"/>
        </w:rPr>
        <w:t>mSv</w:t>
      </w:r>
      <w:proofErr w:type="spellEnd"/>
      <w:r w:rsidR="00761406" w:rsidRPr="007D36A1">
        <w:rPr>
          <w:lang w:val="en-GB"/>
        </w:rPr>
        <w:t xml:space="preserve">/h at any point on the external surface of the vehicle or freight container, and 0.1 </w:t>
      </w:r>
      <w:proofErr w:type="spellStart"/>
      <w:r w:rsidR="00761406" w:rsidRPr="007D36A1">
        <w:rPr>
          <w:lang w:val="en-GB"/>
        </w:rPr>
        <w:t>mSv</w:t>
      </w:r>
      <w:proofErr w:type="spellEnd"/>
      <w:r w:rsidR="00761406" w:rsidRPr="007D36A1">
        <w:rPr>
          <w:lang w:val="en-GB"/>
        </w:rPr>
        <w:t xml:space="preserve">/h at 2 m </w:t>
      </w:r>
      <w:r w:rsidR="00567E0A" w:rsidRPr="007D36A1">
        <w:rPr>
          <w:lang w:val="en-GB"/>
        </w:rPr>
        <w:t xml:space="preserve">from </w:t>
      </w:r>
      <w:r w:rsidR="00761406" w:rsidRPr="007D36A1">
        <w:rPr>
          <w:lang w:val="en-GB"/>
        </w:rPr>
        <w:t xml:space="preserve">the external surface of the vehicle or freight container, except for consignments </w:t>
      </w:r>
      <w:r w:rsidR="00761406" w:rsidRPr="007D36A1">
        <w:rPr>
          <w:lang w:val="en-GB"/>
        </w:rPr>
        <w:lastRenderedPageBreak/>
        <w:t xml:space="preserve">transported under exclusive use by road or rail for which the radiation limits around the vehicle are set forth in </w:t>
      </w:r>
      <w:r w:rsidR="00073FAC" w:rsidRPr="007D36A1">
        <w:rPr>
          <w:lang w:val="en-GB"/>
        </w:rPr>
        <w:t>7.2.3.1.2(b) and (c)</w:t>
      </w:r>
      <w:r w:rsidR="00585334" w:rsidRPr="007D36A1">
        <w:rPr>
          <w:lang w:val="en-GB"/>
        </w:rPr>
        <w:t>.”</w:t>
      </w:r>
      <w:r w:rsidR="00073FAC" w:rsidRPr="007D36A1">
        <w:rPr>
          <w:lang w:val="en-GB"/>
        </w:rPr>
        <w:t xml:space="preserve"> </w:t>
      </w:r>
    </w:p>
    <w:p w14:paraId="2BA33844" w14:textId="77777777" w:rsidR="00840431" w:rsidRPr="007D36A1" w:rsidRDefault="00BC0C02" w:rsidP="00D80568">
      <w:pPr>
        <w:pStyle w:val="SingleTxtG"/>
        <w:tabs>
          <w:tab w:val="left" w:pos="2268"/>
        </w:tabs>
        <w:rPr>
          <w:i/>
          <w:lang w:val="en-GB"/>
        </w:rPr>
      </w:pPr>
      <w:r w:rsidRPr="007D36A1">
        <w:rPr>
          <w:i/>
          <w:lang w:val="en-GB"/>
        </w:rPr>
        <w:t xml:space="preserve">[IAEA: </w:t>
      </w:r>
      <w:r w:rsidR="00761406" w:rsidRPr="007D36A1">
        <w:rPr>
          <w:i/>
          <w:lang w:val="en-GB"/>
        </w:rPr>
        <w:t>566</w:t>
      </w:r>
      <w:r w:rsidR="00007DA6" w:rsidRPr="007D36A1">
        <w:rPr>
          <w:i/>
          <w:lang w:val="en-GB"/>
        </w:rPr>
        <w:t>]</w:t>
      </w:r>
    </w:p>
    <w:p w14:paraId="2FB265FD" w14:textId="77777777" w:rsidR="00C11A52" w:rsidRPr="007D36A1" w:rsidRDefault="00761406" w:rsidP="00D80568">
      <w:pPr>
        <w:pStyle w:val="SingleTxtG"/>
        <w:tabs>
          <w:tab w:val="left" w:pos="2268"/>
        </w:tabs>
        <w:rPr>
          <w:lang w:val="en-GB"/>
        </w:rPr>
      </w:pPr>
      <w:r w:rsidRPr="007D36A1">
        <w:rPr>
          <w:lang w:val="en-GB"/>
        </w:rPr>
        <w:t>7.1.8.5.5</w:t>
      </w:r>
      <w:r w:rsidR="00BC0C02" w:rsidRPr="007D36A1">
        <w:rPr>
          <w:lang w:val="en-GB"/>
        </w:rPr>
        <w:tab/>
      </w:r>
      <w:r w:rsidR="00C11A52" w:rsidRPr="007D36A1">
        <w:rPr>
          <w:lang w:val="en-GB"/>
        </w:rPr>
        <w:t xml:space="preserve">At the beginning, delete </w:t>
      </w:r>
      <w:r w:rsidRPr="007D36A1">
        <w:rPr>
          <w:lang w:val="en-GB"/>
        </w:rPr>
        <w:t>“</w:t>
      </w:r>
      <w:r w:rsidR="00C11A52" w:rsidRPr="007D36A1">
        <w:rPr>
          <w:lang w:val="en-GB"/>
        </w:rPr>
        <w:t>, tank, intermediate bulk container</w:t>
      </w:r>
      <w:r w:rsidRPr="007D36A1">
        <w:rPr>
          <w:lang w:val="en-GB"/>
        </w:rPr>
        <w:t>”</w:t>
      </w:r>
      <w:r w:rsidR="00C11A52" w:rsidRPr="007D36A1">
        <w:rPr>
          <w:lang w:val="en-GB"/>
        </w:rPr>
        <w:t>.</w:t>
      </w:r>
      <w:r w:rsidR="00BC0C02" w:rsidRPr="007D36A1">
        <w:rPr>
          <w:lang w:val="en-GB"/>
        </w:rPr>
        <w:t xml:space="preserve"> </w:t>
      </w:r>
    </w:p>
    <w:p w14:paraId="69FF7A37" w14:textId="77777777" w:rsidR="00BC0C02" w:rsidRPr="007D36A1" w:rsidRDefault="00BC0C02" w:rsidP="00D80568">
      <w:pPr>
        <w:pStyle w:val="SingleTxtG"/>
        <w:tabs>
          <w:tab w:val="left" w:pos="2268"/>
        </w:tabs>
        <w:rPr>
          <w:i/>
          <w:lang w:val="en-GB"/>
        </w:rPr>
      </w:pPr>
      <w:r w:rsidRPr="007D36A1">
        <w:rPr>
          <w:i/>
          <w:lang w:val="en-GB"/>
        </w:rPr>
        <w:t xml:space="preserve">[IAEA: </w:t>
      </w:r>
      <w:r w:rsidR="00761406" w:rsidRPr="007D36A1">
        <w:rPr>
          <w:i/>
          <w:lang w:val="en-GB"/>
        </w:rPr>
        <w:t>514</w:t>
      </w:r>
      <w:r w:rsidRPr="007D36A1">
        <w:rPr>
          <w:i/>
          <w:lang w:val="en-GB"/>
        </w:rPr>
        <w:t>]</w:t>
      </w:r>
    </w:p>
    <w:p w14:paraId="090091FC" w14:textId="700B0479" w:rsidR="000A4AE8" w:rsidRPr="007D36A1" w:rsidRDefault="00BC06D5" w:rsidP="00DA4D16">
      <w:pPr>
        <w:pStyle w:val="H1G"/>
      </w:pPr>
      <w:r>
        <w:tab/>
      </w:r>
      <w:r>
        <w:tab/>
      </w:r>
      <w:r w:rsidR="000A4AE8" w:rsidRPr="007D36A1">
        <w:t>Chapter 7.2</w:t>
      </w:r>
    </w:p>
    <w:p w14:paraId="75ED29A4" w14:textId="77777777" w:rsidR="00693412" w:rsidRPr="007D36A1" w:rsidRDefault="000637D4" w:rsidP="00D80568">
      <w:pPr>
        <w:pStyle w:val="SingleTxtG"/>
        <w:tabs>
          <w:tab w:val="left" w:pos="2268"/>
        </w:tabs>
        <w:rPr>
          <w:lang w:val="en-GB"/>
        </w:rPr>
      </w:pPr>
      <w:r w:rsidRPr="007D36A1">
        <w:rPr>
          <w:lang w:val="en-GB"/>
        </w:rPr>
        <w:t>7.2.3.1.1</w:t>
      </w:r>
      <w:r w:rsidR="00BC0C02" w:rsidRPr="007D36A1">
        <w:rPr>
          <w:lang w:val="en-GB"/>
        </w:rPr>
        <w:tab/>
      </w:r>
      <w:r w:rsidR="00C11A52" w:rsidRPr="007D36A1">
        <w:rPr>
          <w:lang w:val="en-GB"/>
        </w:rPr>
        <w:t xml:space="preserve">In the </w:t>
      </w:r>
      <w:r w:rsidRPr="007D36A1">
        <w:rPr>
          <w:lang w:val="en-GB"/>
        </w:rPr>
        <w:t>introductory sentence</w:t>
      </w:r>
      <w:r w:rsidR="00C11A52" w:rsidRPr="007D36A1">
        <w:rPr>
          <w:lang w:val="en-GB"/>
        </w:rPr>
        <w:t>, replace “consignments under exclusive use” by “</w:t>
      </w:r>
      <w:r w:rsidR="00693412" w:rsidRPr="007D36A1">
        <w:rPr>
          <w:lang w:val="en-GB"/>
        </w:rPr>
        <w:t>unpackaged LSA-I material, SCO-I or SCO-III”.</w:t>
      </w:r>
    </w:p>
    <w:p w14:paraId="26636227" w14:textId="246B3B9F" w:rsidR="003E7EB1" w:rsidRDefault="00BC0C02" w:rsidP="00D80568">
      <w:pPr>
        <w:pStyle w:val="SingleTxtG"/>
        <w:tabs>
          <w:tab w:val="left" w:pos="2268"/>
        </w:tabs>
        <w:rPr>
          <w:i/>
          <w:lang w:val="en-GB"/>
        </w:rPr>
      </w:pPr>
      <w:r w:rsidRPr="007D36A1">
        <w:rPr>
          <w:i/>
          <w:lang w:val="en-GB"/>
        </w:rPr>
        <w:t xml:space="preserve">[IAEA: </w:t>
      </w:r>
      <w:r w:rsidR="000637D4" w:rsidRPr="007D36A1">
        <w:rPr>
          <w:i/>
          <w:lang w:val="en-GB"/>
        </w:rPr>
        <w:t>571</w:t>
      </w:r>
      <w:r w:rsidR="00007DA6" w:rsidRPr="007D36A1">
        <w:rPr>
          <w:i/>
          <w:lang w:val="en-GB"/>
        </w:rPr>
        <w:t>]</w:t>
      </w:r>
    </w:p>
    <w:p w14:paraId="40DB0CB7" w14:textId="0131D474" w:rsidR="00BC06D5" w:rsidRPr="00BC06D5" w:rsidRDefault="00BC06D5" w:rsidP="00BC06D5">
      <w:pPr>
        <w:pStyle w:val="SingleTxtG"/>
        <w:tabs>
          <w:tab w:val="left" w:pos="2268"/>
        </w:tabs>
        <w:spacing w:before="240" w:after="0"/>
        <w:jc w:val="center"/>
        <w:rPr>
          <w:i/>
          <w:u w:val="single"/>
          <w:lang w:val="en-GB"/>
        </w:rPr>
      </w:pPr>
      <w:r>
        <w:rPr>
          <w:i/>
          <w:u w:val="single"/>
          <w:lang w:val="en-GB"/>
        </w:rPr>
        <w:tab/>
      </w:r>
      <w:r>
        <w:rPr>
          <w:i/>
          <w:u w:val="single"/>
          <w:lang w:val="en-GB"/>
        </w:rPr>
        <w:tab/>
      </w:r>
      <w:r>
        <w:rPr>
          <w:i/>
          <w:u w:val="single"/>
          <w:lang w:val="en-GB"/>
        </w:rPr>
        <w:tab/>
      </w:r>
    </w:p>
    <w:sectPr w:rsidR="00BC06D5" w:rsidRPr="00BC06D5" w:rsidSect="007F737B">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1CC6" w14:textId="77777777" w:rsidR="00BD6049" w:rsidRDefault="00BD6049"/>
  </w:endnote>
  <w:endnote w:type="continuationSeparator" w:id="0">
    <w:p w14:paraId="51C923AA" w14:textId="77777777" w:rsidR="00BD6049" w:rsidRDefault="00BD6049"/>
  </w:endnote>
  <w:endnote w:type="continuationNotice" w:id="1">
    <w:p w14:paraId="7BAC7B2C" w14:textId="77777777" w:rsidR="00BD6049" w:rsidRDefault="00BD6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0258" w14:textId="22346778" w:rsidR="009704C2" w:rsidRPr="007F737B" w:rsidRDefault="009704C2" w:rsidP="007F737B">
    <w:pPr>
      <w:pStyle w:val="Footer"/>
      <w:tabs>
        <w:tab w:val="right" w:pos="9638"/>
      </w:tabs>
      <w:rPr>
        <w:sz w:val="18"/>
      </w:rPr>
    </w:pPr>
    <w:r w:rsidRPr="007F737B">
      <w:rPr>
        <w:b/>
        <w:sz w:val="18"/>
      </w:rPr>
      <w:fldChar w:fldCharType="begin"/>
    </w:r>
    <w:r w:rsidRPr="007F737B">
      <w:rPr>
        <w:b/>
        <w:sz w:val="18"/>
      </w:rPr>
      <w:instrText xml:space="preserve"> PAGE  \* MERGEFORMAT </w:instrText>
    </w:r>
    <w:r w:rsidRPr="007F737B">
      <w:rPr>
        <w:b/>
        <w:sz w:val="18"/>
      </w:rPr>
      <w:fldChar w:fldCharType="separate"/>
    </w:r>
    <w:r w:rsidR="00280F3E">
      <w:rPr>
        <w:b/>
        <w:noProof/>
        <w:sz w:val="18"/>
      </w:rPr>
      <w:t>14</w:t>
    </w:r>
    <w:r w:rsidRPr="007F73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E3BA" w14:textId="31FC0200" w:rsidR="009704C2" w:rsidRPr="007F737B" w:rsidRDefault="009704C2" w:rsidP="007F737B">
    <w:pPr>
      <w:pStyle w:val="Footer"/>
      <w:tabs>
        <w:tab w:val="right" w:pos="9638"/>
      </w:tabs>
      <w:rPr>
        <w:b/>
        <w:sz w:val="18"/>
      </w:rPr>
    </w:pPr>
    <w:r>
      <w:tab/>
    </w:r>
    <w:r w:rsidRPr="007F737B">
      <w:rPr>
        <w:b/>
        <w:sz w:val="18"/>
      </w:rPr>
      <w:fldChar w:fldCharType="begin"/>
    </w:r>
    <w:r w:rsidRPr="007F737B">
      <w:rPr>
        <w:b/>
        <w:sz w:val="18"/>
      </w:rPr>
      <w:instrText xml:space="preserve"> PAGE  \* MERGEFORMAT </w:instrText>
    </w:r>
    <w:r w:rsidRPr="007F737B">
      <w:rPr>
        <w:b/>
        <w:sz w:val="18"/>
      </w:rPr>
      <w:fldChar w:fldCharType="separate"/>
    </w:r>
    <w:r w:rsidR="00280F3E">
      <w:rPr>
        <w:b/>
        <w:noProof/>
        <w:sz w:val="18"/>
      </w:rPr>
      <w:t>13</w:t>
    </w:r>
    <w:r w:rsidRPr="007F737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568A" w14:textId="77777777" w:rsidR="00BD6049" w:rsidRPr="000B175B" w:rsidRDefault="00BD6049" w:rsidP="000B175B">
      <w:pPr>
        <w:tabs>
          <w:tab w:val="right" w:pos="2155"/>
        </w:tabs>
        <w:spacing w:after="80"/>
        <w:ind w:left="680"/>
        <w:rPr>
          <w:u w:val="single"/>
        </w:rPr>
      </w:pPr>
      <w:r>
        <w:rPr>
          <w:u w:val="single"/>
        </w:rPr>
        <w:tab/>
      </w:r>
    </w:p>
  </w:footnote>
  <w:footnote w:type="continuationSeparator" w:id="0">
    <w:p w14:paraId="5AB11470" w14:textId="77777777" w:rsidR="00BD6049" w:rsidRPr="00FC68B7" w:rsidRDefault="00BD6049" w:rsidP="00FC68B7">
      <w:pPr>
        <w:tabs>
          <w:tab w:val="left" w:pos="2155"/>
        </w:tabs>
        <w:spacing w:after="80"/>
        <w:ind w:left="680"/>
        <w:rPr>
          <w:u w:val="single"/>
        </w:rPr>
      </w:pPr>
      <w:r>
        <w:rPr>
          <w:u w:val="single"/>
        </w:rPr>
        <w:tab/>
      </w:r>
    </w:p>
  </w:footnote>
  <w:footnote w:type="continuationNotice" w:id="1">
    <w:p w14:paraId="39196B11" w14:textId="77777777" w:rsidR="00BD6049" w:rsidRDefault="00BD6049"/>
  </w:footnote>
  <w:footnote w:id="2">
    <w:p w14:paraId="10A6E3EF" w14:textId="3AD714A8" w:rsidR="00280F3E" w:rsidRPr="00280F3E" w:rsidRDefault="00280F3E" w:rsidP="00280F3E">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t>100, para.</w:t>
      </w:r>
      <w:r>
        <w:t xml:space="preserve">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B21F" w14:textId="2A89AB92" w:rsidR="009704C2" w:rsidRPr="007F737B" w:rsidRDefault="009704C2">
    <w:pPr>
      <w:pStyle w:val="Header"/>
    </w:pPr>
    <w:r>
      <w:t>ST/SG/AC.10/C.3/2018/</w:t>
    </w:r>
    <w:r w:rsidR="007D36A1">
      <w:t>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6941" w14:textId="7E615444" w:rsidR="009704C2" w:rsidRPr="007F737B" w:rsidRDefault="009704C2" w:rsidP="007F737B">
    <w:pPr>
      <w:pStyle w:val="Header"/>
      <w:jc w:val="right"/>
    </w:pPr>
    <w:r w:rsidRPr="007D36A1">
      <w:t>ST/SG/AC.10/C.3/</w:t>
    </w:r>
    <w:r w:rsidR="007D36A1" w:rsidRPr="007D36A1">
      <w:t>2018/54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27279"/>
    <w:multiLevelType w:val="hybridMultilevel"/>
    <w:tmpl w:val="863AED94"/>
    <w:lvl w:ilvl="0" w:tplc="E7540F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477DEB"/>
    <w:multiLevelType w:val="hybridMultilevel"/>
    <w:tmpl w:val="E82ECAC4"/>
    <w:lvl w:ilvl="0" w:tplc="928208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B67288"/>
    <w:multiLevelType w:val="hybridMultilevel"/>
    <w:tmpl w:val="0E2E5DAE"/>
    <w:lvl w:ilvl="0" w:tplc="579C800E">
      <w:start w:val="1"/>
      <w:numFmt w:val="lowerRoman"/>
      <w:lvlText w:val="(%1)"/>
      <w:lvlJc w:val="left"/>
      <w:pPr>
        <w:ind w:left="720" w:hanging="360"/>
      </w:pPr>
      <w:rPr>
        <w:rFonts w:hint="default"/>
      </w:rPr>
    </w:lvl>
    <w:lvl w:ilvl="1" w:tplc="579C800E">
      <w:start w:val="1"/>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A24264"/>
    <w:multiLevelType w:val="multilevel"/>
    <w:tmpl w:val="61C2EAD8"/>
    <w:lvl w:ilvl="0">
      <w:start w:val="1"/>
      <w:numFmt w:val="lowerLetter"/>
      <w:pStyle w:val="subtitle1"/>
      <w:lvlText w:val="%1 -)"/>
      <w:lvlJc w:val="left"/>
      <w:pPr>
        <w:tabs>
          <w:tab w:val="num" w:pos="900"/>
        </w:tabs>
        <w:ind w:left="90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59"/>
        </w:tabs>
        <w:ind w:left="1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18"/>
        </w:tabs>
        <w:ind w:left="191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351"/>
        </w:tabs>
        <w:ind w:left="1351" w:hanging="360"/>
      </w:pPr>
      <w:rPr>
        <w:rFonts w:hint="default"/>
      </w:rPr>
    </w:lvl>
    <w:lvl w:ilvl="4">
      <w:start w:val="1"/>
      <w:numFmt w:val="lowerLetter"/>
      <w:lvlText w:val="(%5)"/>
      <w:lvlJc w:val="left"/>
      <w:pPr>
        <w:tabs>
          <w:tab w:val="num" w:pos="1711"/>
        </w:tabs>
        <w:ind w:left="1711" w:hanging="360"/>
      </w:pPr>
      <w:rPr>
        <w:rFonts w:hint="default"/>
      </w:rPr>
    </w:lvl>
    <w:lvl w:ilvl="5">
      <w:start w:val="1"/>
      <w:numFmt w:val="lowerRoman"/>
      <w:lvlText w:val="(%6)"/>
      <w:lvlJc w:val="left"/>
      <w:pPr>
        <w:tabs>
          <w:tab w:val="num" w:pos="2071"/>
        </w:tabs>
        <w:ind w:left="2071" w:hanging="360"/>
      </w:pPr>
      <w:rPr>
        <w:rFonts w:hint="default"/>
      </w:rPr>
    </w:lvl>
    <w:lvl w:ilvl="6">
      <w:start w:val="1"/>
      <w:numFmt w:val="decimal"/>
      <w:lvlText w:val="%7."/>
      <w:lvlJc w:val="left"/>
      <w:pPr>
        <w:tabs>
          <w:tab w:val="num" w:pos="2431"/>
        </w:tabs>
        <w:ind w:left="2431" w:hanging="360"/>
      </w:pPr>
      <w:rPr>
        <w:rFonts w:hint="default"/>
      </w:rPr>
    </w:lvl>
    <w:lvl w:ilvl="7">
      <w:start w:val="1"/>
      <w:numFmt w:val="lowerLetter"/>
      <w:lvlText w:val="%8."/>
      <w:lvlJc w:val="left"/>
      <w:pPr>
        <w:tabs>
          <w:tab w:val="num" w:pos="2791"/>
        </w:tabs>
        <w:ind w:left="2791" w:hanging="360"/>
      </w:pPr>
      <w:rPr>
        <w:rFonts w:hint="default"/>
      </w:rPr>
    </w:lvl>
    <w:lvl w:ilvl="8">
      <w:start w:val="1"/>
      <w:numFmt w:val="lowerRoman"/>
      <w:lvlText w:val="%9."/>
      <w:lvlJc w:val="left"/>
      <w:pPr>
        <w:tabs>
          <w:tab w:val="num" w:pos="3151"/>
        </w:tabs>
        <w:ind w:left="3151" w:hanging="360"/>
      </w:pPr>
      <w:rPr>
        <w:rFonts w:hint="default"/>
      </w:rPr>
    </w:lvl>
  </w:abstractNum>
  <w:abstractNum w:abstractNumId="15" w15:restartNumberingAfterBreak="0">
    <w:nsid w:val="0F0F6FE8"/>
    <w:multiLevelType w:val="hybridMultilevel"/>
    <w:tmpl w:val="EE3889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1A16EC5"/>
    <w:multiLevelType w:val="hybridMultilevel"/>
    <w:tmpl w:val="9D94D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A7470E"/>
    <w:multiLevelType w:val="hybridMultilevel"/>
    <w:tmpl w:val="1362DAB4"/>
    <w:lvl w:ilvl="0" w:tplc="A4389C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515F27"/>
    <w:multiLevelType w:val="hybridMultilevel"/>
    <w:tmpl w:val="3E5CC096"/>
    <w:lvl w:ilvl="0" w:tplc="579C800E">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057C99"/>
    <w:multiLevelType w:val="hybridMultilevel"/>
    <w:tmpl w:val="8D2400D6"/>
    <w:lvl w:ilvl="0" w:tplc="E7540F12">
      <w:start w:val="1"/>
      <w:numFmt w:val="lowerLetter"/>
      <w:lvlText w:val="(%1)"/>
      <w:lvlJc w:val="left"/>
      <w:pPr>
        <w:ind w:left="720" w:hanging="360"/>
      </w:pPr>
      <w:rPr>
        <w:rFonts w:hint="default"/>
      </w:rPr>
    </w:lvl>
    <w:lvl w:ilvl="1" w:tplc="856E30A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622287"/>
    <w:multiLevelType w:val="hybridMultilevel"/>
    <w:tmpl w:val="9D7E5AF6"/>
    <w:lvl w:ilvl="0" w:tplc="EF5890F4">
      <w:start w:val="1"/>
      <w:numFmt w:val="decimal"/>
      <w:lvlText w:val="%1."/>
      <w:lvlJc w:val="left"/>
      <w:pPr>
        <w:ind w:left="106" w:hanging="801"/>
      </w:pPr>
      <w:rPr>
        <w:rFonts w:ascii="Times New Roman" w:eastAsia="Times New Roman" w:hAnsi="Times New Roman" w:cs="Times New Roman" w:hint="default"/>
        <w:w w:val="103"/>
        <w:sz w:val="20"/>
        <w:szCs w:val="20"/>
      </w:rPr>
    </w:lvl>
    <w:lvl w:ilvl="1" w:tplc="70F4B8E6">
      <w:start w:val="1"/>
      <w:numFmt w:val="lowerLetter"/>
      <w:lvlText w:val="(%2)"/>
      <w:lvlJc w:val="left"/>
      <w:pPr>
        <w:ind w:left="1440" w:hanging="534"/>
      </w:pPr>
      <w:rPr>
        <w:rFonts w:ascii="Times New Roman" w:eastAsia="Times New Roman" w:hAnsi="Times New Roman" w:cs="Times New Roman" w:hint="default"/>
        <w:spacing w:val="-1"/>
        <w:w w:val="103"/>
        <w:sz w:val="20"/>
        <w:szCs w:val="20"/>
      </w:rPr>
    </w:lvl>
    <w:lvl w:ilvl="2" w:tplc="FD123726">
      <w:numFmt w:val="bullet"/>
      <w:lvlText w:val="•"/>
      <w:lvlJc w:val="left"/>
      <w:pPr>
        <w:ind w:left="2311" w:hanging="534"/>
      </w:pPr>
    </w:lvl>
    <w:lvl w:ilvl="3" w:tplc="1BC0E5D8">
      <w:numFmt w:val="bullet"/>
      <w:lvlText w:val="•"/>
      <w:lvlJc w:val="left"/>
      <w:pPr>
        <w:ind w:left="3182" w:hanging="534"/>
      </w:pPr>
    </w:lvl>
    <w:lvl w:ilvl="4" w:tplc="4532160C">
      <w:numFmt w:val="bullet"/>
      <w:lvlText w:val="•"/>
      <w:lvlJc w:val="left"/>
      <w:pPr>
        <w:ind w:left="4053" w:hanging="534"/>
      </w:pPr>
    </w:lvl>
    <w:lvl w:ilvl="5" w:tplc="351E3A06">
      <w:numFmt w:val="bullet"/>
      <w:lvlText w:val="•"/>
      <w:lvlJc w:val="left"/>
      <w:pPr>
        <w:ind w:left="4924" w:hanging="534"/>
      </w:pPr>
    </w:lvl>
    <w:lvl w:ilvl="6" w:tplc="67C0B99C">
      <w:numFmt w:val="bullet"/>
      <w:lvlText w:val="•"/>
      <w:lvlJc w:val="left"/>
      <w:pPr>
        <w:ind w:left="5795" w:hanging="534"/>
      </w:pPr>
    </w:lvl>
    <w:lvl w:ilvl="7" w:tplc="150236C6">
      <w:numFmt w:val="bullet"/>
      <w:lvlText w:val="•"/>
      <w:lvlJc w:val="left"/>
      <w:pPr>
        <w:ind w:left="6666" w:hanging="534"/>
      </w:pPr>
    </w:lvl>
    <w:lvl w:ilvl="8" w:tplc="D2FE1366">
      <w:numFmt w:val="bullet"/>
      <w:lvlText w:val="•"/>
      <w:lvlJc w:val="left"/>
      <w:pPr>
        <w:ind w:left="7537" w:hanging="534"/>
      </w:pPr>
    </w:lvl>
  </w:abstractNum>
  <w:abstractNum w:abstractNumId="22" w15:restartNumberingAfterBreak="0">
    <w:nsid w:val="24BC6E11"/>
    <w:multiLevelType w:val="multilevel"/>
    <w:tmpl w:val="9244E728"/>
    <w:lvl w:ilvl="0">
      <w:start w:val="2"/>
      <w:numFmt w:val="decimal"/>
      <w:lvlText w:val="%1"/>
      <w:lvlJc w:val="left"/>
      <w:pPr>
        <w:ind w:left="855" w:hanging="855"/>
      </w:pPr>
      <w:rPr>
        <w:rFonts w:hint="default"/>
      </w:rPr>
    </w:lvl>
    <w:lvl w:ilvl="1">
      <w:start w:val="7"/>
      <w:numFmt w:val="decimal"/>
      <w:lvlText w:val="%1.%2"/>
      <w:lvlJc w:val="left"/>
      <w:pPr>
        <w:ind w:left="1081" w:hanging="855"/>
      </w:pPr>
      <w:rPr>
        <w:rFonts w:hint="default"/>
      </w:rPr>
    </w:lvl>
    <w:lvl w:ilvl="2">
      <w:start w:val="2"/>
      <w:numFmt w:val="decimal"/>
      <w:lvlText w:val="%1.%2.%3"/>
      <w:lvlJc w:val="left"/>
      <w:pPr>
        <w:ind w:left="1307" w:hanging="855"/>
      </w:pPr>
      <w:rPr>
        <w:rFonts w:hint="default"/>
      </w:rPr>
    </w:lvl>
    <w:lvl w:ilvl="3">
      <w:start w:val="3"/>
      <w:numFmt w:val="decimal"/>
      <w:lvlText w:val="%1.%2.%3.%4"/>
      <w:lvlJc w:val="left"/>
      <w:pPr>
        <w:ind w:left="1533" w:hanging="855"/>
      </w:pPr>
      <w:rPr>
        <w:rFonts w:hint="default"/>
      </w:rPr>
    </w:lvl>
    <w:lvl w:ilvl="4">
      <w:start w:val="4"/>
      <w:numFmt w:val="decimal"/>
      <w:lvlText w:val="%1.%2.%3.%4.%5"/>
      <w:lvlJc w:val="left"/>
      <w:pPr>
        <w:ind w:left="1759" w:hanging="855"/>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23" w15:restartNumberingAfterBreak="0">
    <w:nsid w:val="29A55E24"/>
    <w:multiLevelType w:val="hybridMultilevel"/>
    <w:tmpl w:val="758C18D2"/>
    <w:lvl w:ilvl="0" w:tplc="579C800E">
      <w:start w:val="1"/>
      <w:numFmt w:val="lowerRoman"/>
      <w:lvlText w:val="(%1)"/>
      <w:lvlJc w:val="left"/>
      <w:pPr>
        <w:ind w:left="1146" w:hanging="720"/>
      </w:pPr>
      <w:rPr>
        <w:rFonts w:hint="default"/>
      </w:rPr>
    </w:lvl>
    <w:lvl w:ilvl="1" w:tplc="85742946">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2C1B485C"/>
    <w:multiLevelType w:val="hybridMultilevel"/>
    <w:tmpl w:val="8DDE1586"/>
    <w:lvl w:ilvl="0" w:tplc="856E30A6">
      <w:start w:val="1"/>
      <w:numFmt w:val="lowerRoman"/>
      <w:lvlText w:val="(%1)"/>
      <w:lvlJc w:val="left"/>
      <w:pPr>
        <w:ind w:left="3423" w:hanging="360"/>
      </w:pPr>
      <w:rPr>
        <w:rFonts w:hint="default"/>
      </w:rPr>
    </w:lvl>
    <w:lvl w:ilvl="1" w:tplc="08090019" w:tentative="1">
      <w:start w:val="1"/>
      <w:numFmt w:val="lowerLetter"/>
      <w:lvlText w:val="%2."/>
      <w:lvlJc w:val="left"/>
      <w:pPr>
        <w:ind w:left="4143" w:hanging="360"/>
      </w:pPr>
    </w:lvl>
    <w:lvl w:ilvl="2" w:tplc="0809001B" w:tentative="1">
      <w:start w:val="1"/>
      <w:numFmt w:val="lowerRoman"/>
      <w:lvlText w:val="%3."/>
      <w:lvlJc w:val="right"/>
      <w:pPr>
        <w:ind w:left="4863" w:hanging="180"/>
      </w:pPr>
    </w:lvl>
    <w:lvl w:ilvl="3" w:tplc="0809000F" w:tentative="1">
      <w:start w:val="1"/>
      <w:numFmt w:val="decimal"/>
      <w:lvlText w:val="%4."/>
      <w:lvlJc w:val="left"/>
      <w:pPr>
        <w:ind w:left="5583" w:hanging="360"/>
      </w:pPr>
    </w:lvl>
    <w:lvl w:ilvl="4" w:tplc="08090019" w:tentative="1">
      <w:start w:val="1"/>
      <w:numFmt w:val="lowerLetter"/>
      <w:lvlText w:val="%5."/>
      <w:lvlJc w:val="left"/>
      <w:pPr>
        <w:ind w:left="6303" w:hanging="360"/>
      </w:pPr>
    </w:lvl>
    <w:lvl w:ilvl="5" w:tplc="0809001B" w:tentative="1">
      <w:start w:val="1"/>
      <w:numFmt w:val="lowerRoman"/>
      <w:lvlText w:val="%6."/>
      <w:lvlJc w:val="right"/>
      <w:pPr>
        <w:ind w:left="7023" w:hanging="180"/>
      </w:pPr>
    </w:lvl>
    <w:lvl w:ilvl="6" w:tplc="0809000F" w:tentative="1">
      <w:start w:val="1"/>
      <w:numFmt w:val="decimal"/>
      <w:lvlText w:val="%7."/>
      <w:lvlJc w:val="left"/>
      <w:pPr>
        <w:ind w:left="7743" w:hanging="360"/>
      </w:pPr>
    </w:lvl>
    <w:lvl w:ilvl="7" w:tplc="08090019" w:tentative="1">
      <w:start w:val="1"/>
      <w:numFmt w:val="lowerLetter"/>
      <w:lvlText w:val="%8."/>
      <w:lvlJc w:val="left"/>
      <w:pPr>
        <w:ind w:left="8463" w:hanging="360"/>
      </w:pPr>
    </w:lvl>
    <w:lvl w:ilvl="8" w:tplc="0809001B" w:tentative="1">
      <w:start w:val="1"/>
      <w:numFmt w:val="lowerRoman"/>
      <w:lvlText w:val="%9."/>
      <w:lvlJc w:val="right"/>
      <w:pPr>
        <w:ind w:left="9183" w:hanging="180"/>
      </w:pPr>
    </w:lvl>
  </w:abstractNum>
  <w:abstractNum w:abstractNumId="25" w15:restartNumberingAfterBreak="0">
    <w:nsid w:val="32883744"/>
    <w:multiLevelType w:val="multilevel"/>
    <w:tmpl w:val="BD0C11EA"/>
    <w:lvl w:ilvl="0">
      <w:start w:val="2"/>
      <w:numFmt w:val="decimal"/>
      <w:lvlText w:val="%1"/>
      <w:lvlJc w:val="left"/>
      <w:pPr>
        <w:ind w:left="855" w:hanging="855"/>
      </w:pPr>
      <w:rPr>
        <w:rFonts w:hint="default"/>
      </w:rPr>
    </w:lvl>
    <w:lvl w:ilvl="1">
      <w:start w:val="7"/>
      <w:numFmt w:val="decimal"/>
      <w:lvlText w:val="%1.%2"/>
      <w:lvlJc w:val="left"/>
      <w:pPr>
        <w:ind w:left="1081" w:hanging="855"/>
      </w:pPr>
      <w:rPr>
        <w:rFonts w:hint="default"/>
      </w:rPr>
    </w:lvl>
    <w:lvl w:ilvl="2">
      <w:start w:val="2"/>
      <w:numFmt w:val="decimal"/>
      <w:lvlText w:val="%1.%2.%3"/>
      <w:lvlJc w:val="left"/>
      <w:pPr>
        <w:ind w:left="1307" w:hanging="855"/>
      </w:pPr>
      <w:rPr>
        <w:rFonts w:hint="default"/>
      </w:rPr>
    </w:lvl>
    <w:lvl w:ilvl="3">
      <w:start w:val="3"/>
      <w:numFmt w:val="decimal"/>
      <w:lvlText w:val="%1.%2.%3.%4"/>
      <w:lvlJc w:val="left"/>
      <w:pPr>
        <w:ind w:left="1533" w:hanging="855"/>
      </w:pPr>
      <w:rPr>
        <w:rFonts w:hint="default"/>
      </w:rPr>
    </w:lvl>
    <w:lvl w:ilvl="4">
      <w:start w:val="3"/>
      <w:numFmt w:val="decimal"/>
      <w:lvlText w:val="%1.%2.%3.%4.%5"/>
      <w:lvlJc w:val="left"/>
      <w:pPr>
        <w:ind w:left="1759" w:hanging="855"/>
      </w:pPr>
      <w:rPr>
        <w:rFonts w:hint="default"/>
      </w:rPr>
    </w:lvl>
    <w:lvl w:ilvl="5">
      <w:start w:val="7"/>
      <w:numFmt w:val="decimal"/>
      <w:lvlText w:val="%1.%2.%3.%4.%5.%6"/>
      <w:lvlJc w:val="left"/>
      <w:pPr>
        <w:ind w:left="2210" w:hanging="1080"/>
      </w:pPr>
      <w:rPr>
        <w:rFonts w:hint="default"/>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26" w15:restartNumberingAfterBreak="0">
    <w:nsid w:val="3B685569"/>
    <w:multiLevelType w:val="multilevel"/>
    <w:tmpl w:val="084204CE"/>
    <w:lvl w:ilvl="0">
      <w:start w:val="1"/>
      <w:numFmt w:val="decimal"/>
      <w:lvlText w:val="%1"/>
      <w:lvlJc w:val="left"/>
      <w:pPr>
        <w:ind w:left="106" w:hanging="1335"/>
      </w:pPr>
      <w:rPr>
        <w:rFonts w:hint="default"/>
      </w:rPr>
    </w:lvl>
    <w:lvl w:ilvl="1">
      <w:start w:val="5"/>
      <w:numFmt w:val="decimal"/>
      <w:lvlText w:val="%1.%2"/>
      <w:lvlJc w:val="left"/>
      <w:pPr>
        <w:ind w:left="106" w:hanging="1335"/>
      </w:pPr>
      <w:rPr>
        <w:rFonts w:hint="default"/>
      </w:rPr>
    </w:lvl>
    <w:lvl w:ilvl="2">
      <w:start w:val="1"/>
      <w:numFmt w:val="decimal"/>
      <w:lvlText w:val="%1.%2.%3"/>
      <w:lvlJc w:val="left"/>
      <w:pPr>
        <w:ind w:left="106" w:hanging="1335"/>
      </w:pPr>
      <w:rPr>
        <w:rFonts w:hint="default"/>
      </w:rPr>
    </w:lvl>
    <w:lvl w:ilvl="3">
      <w:start w:val="5"/>
      <w:numFmt w:val="decimal"/>
      <w:lvlText w:val="%1.%2.%3.%4"/>
      <w:lvlJc w:val="left"/>
      <w:pPr>
        <w:ind w:left="106" w:hanging="1335"/>
      </w:pPr>
      <w:rPr>
        <w:rFonts w:hint="default"/>
      </w:rPr>
    </w:lvl>
    <w:lvl w:ilvl="4">
      <w:start w:val="1"/>
      <w:numFmt w:val="decimal"/>
      <w:lvlText w:val="%1.%2.%3.%4.%5"/>
      <w:lvlJc w:val="left"/>
      <w:pPr>
        <w:ind w:left="106" w:hanging="1335"/>
      </w:pPr>
      <w:rPr>
        <w:rFonts w:ascii="Times New Roman" w:eastAsia="Times New Roman" w:hAnsi="Times New Roman" w:cs="Times New Roman" w:hint="default"/>
        <w:spacing w:val="-2"/>
        <w:w w:val="103"/>
        <w:sz w:val="20"/>
        <w:szCs w:val="20"/>
      </w:rPr>
    </w:lvl>
    <w:lvl w:ilvl="5">
      <w:numFmt w:val="bullet"/>
      <w:lvlText w:val="•"/>
      <w:lvlJc w:val="left"/>
      <w:pPr>
        <w:ind w:left="4690" w:hanging="1335"/>
      </w:pPr>
      <w:rPr>
        <w:rFonts w:hint="default"/>
      </w:rPr>
    </w:lvl>
    <w:lvl w:ilvl="6">
      <w:numFmt w:val="bullet"/>
      <w:lvlText w:val="•"/>
      <w:lvlJc w:val="left"/>
      <w:pPr>
        <w:ind w:left="5608" w:hanging="1335"/>
      </w:pPr>
      <w:rPr>
        <w:rFonts w:hint="default"/>
      </w:rPr>
    </w:lvl>
    <w:lvl w:ilvl="7">
      <w:numFmt w:val="bullet"/>
      <w:lvlText w:val="•"/>
      <w:lvlJc w:val="left"/>
      <w:pPr>
        <w:ind w:left="6526" w:hanging="1335"/>
      </w:pPr>
      <w:rPr>
        <w:rFonts w:hint="default"/>
      </w:rPr>
    </w:lvl>
    <w:lvl w:ilvl="8">
      <w:numFmt w:val="bullet"/>
      <w:lvlText w:val="•"/>
      <w:lvlJc w:val="left"/>
      <w:pPr>
        <w:ind w:left="7444" w:hanging="1335"/>
      </w:pPr>
      <w:rPr>
        <w:rFonts w:hint="default"/>
      </w:rPr>
    </w:lvl>
  </w:abstractNum>
  <w:abstractNum w:abstractNumId="27" w15:restartNumberingAfterBreak="0">
    <w:nsid w:val="3F7E0AB6"/>
    <w:multiLevelType w:val="multilevel"/>
    <w:tmpl w:val="327297CA"/>
    <w:lvl w:ilvl="0">
      <w:start w:val="7"/>
      <w:numFmt w:val="decimal"/>
      <w:lvlText w:val="%1"/>
      <w:lvlJc w:val="left"/>
      <w:pPr>
        <w:ind w:left="1441" w:hanging="1335"/>
      </w:pPr>
      <w:rPr>
        <w:rFonts w:hint="default"/>
      </w:rPr>
    </w:lvl>
    <w:lvl w:ilvl="1">
      <w:start w:val="2"/>
      <w:numFmt w:val="decimal"/>
      <w:lvlText w:val="%1.%2"/>
      <w:lvlJc w:val="left"/>
      <w:pPr>
        <w:ind w:left="1441" w:hanging="1335"/>
      </w:pPr>
      <w:rPr>
        <w:rFonts w:hint="default"/>
      </w:rPr>
    </w:lvl>
    <w:lvl w:ilvl="2">
      <w:start w:val="1"/>
      <w:numFmt w:val="decimal"/>
      <w:lvlText w:val="%1.%2.%3"/>
      <w:lvlJc w:val="left"/>
      <w:pPr>
        <w:ind w:left="1441" w:hanging="1335"/>
      </w:pPr>
      <w:rPr>
        <w:rFonts w:ascii="Times New Roman" w:eastAsia="Times New Roman" w:hAnsi="Times New Roman" w:cs="Times New Roman" w:hint="default"/>
        <w:b/>
        <w:bCs/>
        <w:w w:val="103"/>
        <w:sz w:val="20"/>
        <w:szCs w:val="20"/>
      </w:rPr>
    </w:lvl>
    <w:lvl w:ilvl="3">
      <w:start w:val="1"/>
      <w:numFmt w:val="decimal"/>
      <w:lvlText w:val="%1.%2.%3.%4"/>
      <w:lvlJc w:val="left"/>
      <w:pPr>
        <w:ind w:left="1440" w:hanging="1335"/>
      </w:pPr>
      <w:rPr>
        <w:rFonts w:hint="default"/>
        <w:b/>
        <w:bCs/>
        <w:spacing w:val="-2"/>
        <w:w w:val="103"/>
      </w:rPr>
    </w:lvl>
    <w:lvl w:ilvl="4">
      <w:start w:val="1"/>
      <w:numFmt w:val="decimal"/>
      <w:lvlText w:val="%1.%2.%3.%4.%5"/>
      <w:lvlJc w:val="left"/>
      <w:pPr>
        <w:ind w:left="106" w:hanging="1336"/>
      </w:pPr>
      <w:rPr>
        <w:rFonts w:ascii="Times New Roman" w:eastAsia="Times New Roman" w:hAnsi="Times New Roman" w:cs="Times New Roman" w:hint="default"/>
        <w:spacing w:val="-2"/>
        <w:w w:val="103"/>
        <w:sz w:val="20"/>
        <w:szCs w:val="20"/>
      </w:rPr>
    </w:lvl>
    <w:lvl w:ilvl="5">
      <w:start w:val="1"/>
      <w:numFmt w:val="lowerLetter"/>
      <w:lvlText w:val="(%6)"/>
      <w:lvlJc w:val="left"/>
      <w:pPr>
        <w:ind w:left="1974" w:hanging="534"/>
      </w:pPr>
      <w:rPr>
        <w:rFonts w:ascii="Times New Roman" w:eastAsia="Times New Roman" w:hAnsi="Times New Roman" w:cs="Times New Roman" w:hint="default"/>
        <w:w w:val="103"/>
        <w:sz w:val="20"/>
        <w:szCs w:val="20"/>
      </w:rPr>
    </w:lvl>
    <w:lvl w:ilvl="6">
      <w:numFmt w:val="bullet"/>
      <w:lvlText w:val="•"/>
      <w:lvlJc w:val="left"/>
      <w:pPr>
        <w:ind w:left="5630" w:hanging="534"/>
      </w:pPr>
      <w:rPr>
        <w:rFonts w:hint="default"/>
      </w:rPr>
    </w:lvl>
    <w:lvl w:ilvl="7">
      <w:numFmt w:val="bullet"/>
      <w:lvlText w:val="•"/>
      <w:lvlJc w:val="left"/>
      <w:pPr>
        <w:ind w:left="6542" w:hanging="534"/>
      </w:pPr>
      <w:rPr>
        <w:rFonts w:hint="default"/>
      </w:rPr>
    </w:lvl>
    <w:lvl w:ilvl="8">
      <w:numFmt w:val="bullet"/>
      <w:lvlText w:val="•"/>
      <w:lvlJc w:val="left"/>
      <w:pPr>
        <w:ind w:left="7455" w:hanging="534"/>
      </w:pPr>
      <w:rPr>
        <w:rFonts w:hint="default"/>
      </w:rPr>
    </w:lvl>
  </w:abstractNum>
  <w:abstractNum w:abstractNumId="28" w15:restartNumberingAfterBreak="0">
    <w:nsid w:val="42F27B19"/>
    <w:multiLevelType w:val="hybridMultilevel"/>
    <w:tmpl w:val="8200BB10"/>
    <w:lvl w:ilvl="0" w:tplc="4204E1F6">
      <w:start w:val="1"/>
      <w:numFmt w:val="lowerLetter"/>
      <w:lvlText w:val="(%1)"/>
      <w:lvlJc w:val="left"/>
      <w:pPr>
        <w:ind w:left="720" w:hanging="360"/>
      </w:pPr>
      <w:rPr>
        <w:rFonts w:hint="default"/>
      </w:rPr>
    </w:lvl>
    <w:lvl w:ilvl="1" w:tplc="29B8BBD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EC5A86"/>
    <w:multiLevelType w:val="hybridMultilevel"/>
    <w:tmpl w:val="F8A475FA"/>
    <w:lvl w:ilvl="0" w:tplc="0D18BF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90269"/>
    <w:multiLevelType w:val="hybridMultilevel"/>
    <w:tmpl w:val="DE5053DA"/>
    <w:lvl w:ilvl="0" w:tplc="856E30A6">
      <w:start w:val="1"/>
      <w:numFmt w:val="lowerRoman"/>
      <w:lvlText w:val="(%1)"/>
      <w:lvlJc w:val="left"/>
      <w:pPr>
        <w:ind w:left="720" w:hanging="360"/>
      </w:pPr>
      <w:rPr>
        <w:rFonts w:hint="default"/>
      </w:rPr>
    </w:lvl>
    <w:lvl w:ilvl="1" w:tplc="3AF8CDB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AB19B0"/>
    <w:multiLevelType w:val="hybridMultilevel"/>
    <w:tmpl w:val="7AF6B0A6"/>
    <w:lvl w:ilvl="0" w:tplc="579C800E">
      <w:start w:val="1"/>
      <w:numFmt w:val="lowerRoman"/>
      <w:lvlText w:val="(%1)"/>
      <w:lvlJc w:val="left"/>
      <w:pPr>
        <w:ind w:left="1146" w:hanging="720"/>
      </w:pPr>
      <w:rPr>
        <w:rFonts w:hint="default"/>
      </w:rPr>
    </w:lvl>
    <w:lvl w:ilvl="1" w:tplc="7736DAFA">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4FAB22F3"/>
    <w:multiLevelType w:val="hybridMultilevel"/>
    <w:tmpl w:val="0762BA88"/>
    <w:lvl w:ilvl="0" w:tplc="E7540F12">
      <w:start w:val="1"/>
      <w:numFmt w:val="lowerLetter"/>
      <w:lvlText w:val="(%1)"/>
      <w:lvlJc w:val="left"/>
      <w:pPr>
        <w:ind w:left="720" w:hanging="360"/>
      </w:pPr>
      <w:rPr>
        <w:rFonts w:hint="default"/>
      </w:rPr>
    </w:lvl>
    <w:lvl w:ilvl="1" w:tplc="856E30A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114383"/>
    <w:multiLevelType w:val="hybridMultilevel"/>
    <w:tmpl w:val="67C67E3E"/>
    <w:lvl w:ilvl="0" w:tplc="92E84752">
      <w:start w:val="1"/>
      <w:numFmt w:val="lowerLetter"/>
      <w:lvlText w:val="(%1)"/>
      <w:lvlJc w:val="left"/>
      <w:pPr>
        <w:ind w:left="720" w:hanging="360"/>
      </w:pPr>
      <w:rPr>
        <w:rFonts w:hint="default"/>
      </w:rPr>
    </w:lvl>
    <w:lvl w:ilvl="1" w:tplc="856E30A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422EFD"/>
    <w:multiLevelType w:val="hybridMultilevel"/>
    <w:tmpl w:val="12EE8392"/>
    <w:lvl w:ilvl="0" w:tplc="E7540F1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4966A0"/>
    <w:multiLevelType w:val="hybridMultilevel"/>
    <w:tmpl w:val="3A0A1DDA"/>
    <w:lvl w:ilvl="0" w:tplc="4204E1F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8A472B"/>
    <w:multiLevelType w:val="hybridMultilevel"/>
    <w:tmpl w:val="60C4D89E"/>
    <w:lvl w:ilvl="0" w:tplc="92E84752">
      <w:start w:val="1"/>
      <w:numFmt w:val="lowerLetter"/>
      <w:lvlText w:val="(%1)"/>
      <w:lvlJc w:val="left"/>
      <w:pPr>
        <w:ind w:left="720" w:hanging="360"/>
      </w:pPr>
      <w:rPr>
        <w:rFonts w:hint="default"/>
      </w:rPr>
    </w:lvl>
    <w:lvl w:ilvl="1" w:tplc="F1A281A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2608"/>
        </w:tabs>
        <w:ind w:left="2608" w:hanging="170"/>
      </w:pPr>
      <w:rPr>
        <w:rFonts w:ascii="Times New Roman" w:hAnsi="Times New Roman" w:cs="Times New Roman" w:hint="default"/>
        <w:b w:val="0"/>
        <w:i w:val="0"/>
        <w:sz w:val="20"/>
      </w:rPr>
    </w:lvl>
    <w:lvl w:ilvl="1" w:tplc="040C0003" w:tentative="1">
      <w:start w:val="1"/>
      <w:numFmt w:val="bullet"/>
      <w:lvlText w:val="o"/>
      <w:lvlJc w:val="left"/>
      <w:pPr>
        <w:tabs>
          <w:tab w:val="num" w:pos="2347"/>
        </w:tabs>
        <w:ind w:left="2347" w:hanging="360"/>
      </w:pPr>
      <w:rPr>
        <w:rFonts w:ascii="Courier New" w:hAnsi="Courier New" w:cs="Courier New" w:hint="default"/>
      </w:rPr>
    </w:lvl>
    <w:lvl w:ilvl="2" w:tplc="040C0005" w:tentative="1">
      <w:start w:val="1"/>
      <w:numFmt w:val="bullet"/>
      <w:lvlText w:val=""/>
      <w:lvlJc w:val="left"/>
      <w:pPr>
        <w:tabs>
          <w:tab w:val="num" w:pos="3067"/>
        </w:tabs>
        <w:ind w:left="3067" w:hanging="360"/>
      </w:pPr>
      <w:rPr>
        <w:rFonts w:ascii="Wingdings" w:hAnsi="Wingdings" w:hint="default"/>
      </w:rPr>
    </w:lvl>
    <w:lvl w:ilvl="3" w:tplc="040C0001" w:tentative="1">
      <w:start w:val="1"/>
      <w:numFmt w:val="bullet"/>
      <w:lvlText w:val=""/>
      <w:lvlJc w:val="left"/>
      <w:pPr>
        <w:tabs>
          <w:tab w:val="num" w:pos="3787"/>
        </w:tabs>
        <w:ind w:left="3787" w:hanging="360"/>
      </w:pPr>
      <w:rPr>
        <w:rFonts w:ascii="Symbol" w:hAnsi="Symbol" w:hint="default"/>
      </w:rPr>
    </w:lvl>
    <w:lvl w:ilvl="4" w:tplc="040C0003" w:tentative="1">
      <w:start w:val="1"/>
      <w:numFmt w:val="bullet"/>
      <w:lvlText w:val="o"/>
      <w:lvlJc w:val="left"/>
      <w:pPr>
        <w:tabs>
          <w:tab w:val="num" w:pos="4507"/>
        </w:tabs>
        <w:ind w:left="4507" w:hanging="360"/>
      </w:pPr>
      <w:rPr>
        <w:rFonts w:ascii="Courier New" w:hAnsi="Courier New" w:cs="Courier New" w:hint="default"/>
      </w:rPr>
    </w:lvl>
    <w:lvl w:ilvl="5" w:tplc="040C0005" w:tentative="1">
      <w:start w:val="1"/>
      <w:numFmt w:val="bullet"/>
      <w:lvlText w:val=""/>
      <w:lvlJc w:val="left"/>
      <w:pPr>
        <w:tabs>
          <w:tab w:val="num" w:pos="5227"/>
        </w:tabs>
        <w:ind w:left="5227" w:hanging="360"/>
      </w:pPr>
      <w:rPr>
        <w:rFonts w:ascii="Wingdings" w:hAnsi="Wingdings" w:hint="default"/>
      </w:rPr>
    </w:lvl>
    <w:lvl w:ilvl="6" w:tplc="040C0001" w:tentative="1">
      <w:start w:val="1"/>
      <w:numFmt w:val="bullet"/>
      <w:lvlText w:val=""/>
      <w:lvlJc w:val="left"/>
      <w:pPr>
        <w:tabs>
          <w:tab w:val="num" w:pos="5947"/>
        </w:tabs>
        <w:ind w:left="5947" w:hanging="360"/>
      </w:pPr>
      <w:rPr>
        <w:rFonts w:ascii="Symbol" w:hAnsi="Symbol" w:hint="default"/>
      </w:rPr>
    </w:lvl>
    <w:lvl w:ilvl="7" w:tplc="040C0003" w:tentative="1">
      <w:start w:val="1"/>
      <w:numFmt w:val="bullet"/>
      <w:lvlText w:val="o"/>
      <w:lvlJc w:val="left"/>
      <w:pPr>
        <w:tabs>
          <w:tab w:val="num" w:pos="6667"/>
        </w:tabs>
        <w:ind w:left="6667" w:hanging="360"/>
      </w:pPr>
      <w:rPr>
        <w:rFonts w:ascii="Courier New" w:hAnsi="Courier New" w:cs="Courier New" w:hint="default"/>
      </w:rPr>
    </w:lvl>
    <w:lvl w:ilvl="8" w:tplc="040C0005" w:tentative="1">
      <w:start w:val="1"/>
      <w:numFmt w:val="bullet"/>
      <w:lvlText w:val=""/>
      <w:lvlJc w:val="left"/>
      <w:pPr>
        <w:tabs>
          <w:tab w:val="num" w:pos="7387"/>
        </w:tabs>
        <w:ind w:left="7387" w:hanging="360"/>
      </w:pPr>
      <w:rPr>
        <w:rFonts w:ascii="Wingdings" w:hAnsi="Wingdings" w:hint="default"/>
      </w:rPr>
    </w:lvl>
  </w:abstractNum>
  <w:abstractNum w:abstractNumId="39" w15:restartNumberingAfterBreak="0">
    <w:nsid w:val="66964350"/>
    <w:multiLevelType w:val="hybridMultilevel"/>
    <w:tmpl w:val="14148374"/>
    <w:lvl w:ilvl="0" w:tplc="F1A281AE">
      <w:start w:val="1"/>
      <w:numFmt w:val="lowerRoman"/>
      <w:lvlText w:val="(%1)"/>
      <w:lvlJc w:val="left"/>
      <w:pPr>
        <w:ind w:left="2732" w:hanging="180"/>
      </w:pPr>
      <w:rPr>
        <w:rFonts w:hint="default"/>
      </w:r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40" w15:restartNumberingAfterBreak="0">
    <w:nsid w:val="69D155F2"/>
    <w:multiLevelType w:val="hybridMultilevel"/>
    <w:tmpl w:val="FF7025FA"/>
    <w:lvl w:ilvl="0" w:tplc="EA50A3D6">
      <w:start w:val="1"/>
      <w:numFmt w:val="lowerRoman"/>
      <w:lvlText w:val="(%1)"/>
      <w:lvlJc w:val="left"/>
      <w:pPr>
        <w:ind w:left="2007" w:hanging="720"/>
      </w:pPr>
      <w:rPr>
        <w:rFonts w:hint="default"/>
      </w:rPr>
    </w:lvl>
    <w:lvl w:ilvl="1" w:tplc="3278847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0676290"/>
    <w:multiLevelType w:val="hybridMultilevel"/>
    <w:tmpl w:val="CFC2FB6E"/>
    <w:lvl w:ilvl="0" w:tplc="579C800E">
      <w:start w:val="1"/>
      <w:numFmt w:val="lowerRoman"/>
      <w:lvlText w:val="(%1)"/>
      <w:lvlJc w:val="left"/>
      <w:pPr>
        <w:ind w:left="2246" w:hanging="720"/>
      </w:pPr>
      <w:rPr>
        <w:rFonts w:hint="default"/>
      </w:rPr>
    </w:lvl>
    <w:lvl w:ilvl="1" w:tplc="08090019" w:tentative="1">
      <w:start w:val="1"/>
      <w:numFmt w:val="lowerLetter"/>
      <w:lvlText w:val="%2."/>
      <w:lvlJc w:val="left"/>
      <w:pPr>
        <w:ind w:left="2606" w:hanging="360"/>
      </w:pPr>
    </w:lvl>
    <w:lvl w:ilvl="2" w:tplc="0809001B" w:tentative="1">
      <w:start w:val="1"/>
      <w:numFmt w:val="lowerRoman"/>
      <w:lvlText w:val="%3."/>
      <w:lvlJc w:val="right"/>
      <w:pPr>
        <w:ind w:left="3326" w:hanging="180"/>
      </w:pPr>
    </w:lvl>
    <w:lvl w:ilvl="3" w:tplc="0809000F" w:tentative="1">
      <w:start w:val="1"/>
      <w:numFmt w:val="decimal"/>
      <w:lvlText w:val="%4."/>
      <w:lvlJc w:val="left"/>
      <w:pPr>
        <w:ind w:left="4046" w:hanging="360"/>
      </w:pPr>
    </w:lvl>
    <w:lvl w:ilvl="4" w:tplc="08090019" w:tentative="1">
      <w:start w:val="1"/>
      <w:numFmt w:val="lowerLetter"/>
      <w:lvlText w:val="%5."/>
      <w:lvlJc w:val="left"/>
      <w:pPr>
        <w:ind w:left="4766" w:hanging="360"/>
      </w:pPr>
    </w:lvl>
    <w:lvl w:ilvl="5" w:tplc="0809001B" w:tentative="1">
      <w:start w:val="1"/>
      <w:numFmt w:val="lowerRoman"/>
      <w:lvlText w:val="%6."/>
      <w:lvlJc w:val="right"/>
      <w:pPr>
        <w:ind w:left="5486" w:hanging="180"/>
      </w:pPr>
    </w:lvl>
    <w:lvl w:ilvl="6" w:tplc="0809000F" w:tentative="1">
      <w:start w:val="1"/>
      <w:numFmt w:val="decimal"/>
      <w:lvlText w:val="%7."/>
      <w:lvlJc w:val="left"/>
      <w:pPr>
        <w:ind w:left="6206" w:hanging="360"/>
      </w:pPr>
    </w:lvl>
    <w:lvl w:ilvl="7" w:tplc="08090019" w:tentative="1">
      <w:start w:val="1"/>
      <w:numFmt w:val="lowerLetter"/>
      <w:lvlText w:val="%8."/>
      <w:lvlJc w:val="left"/>
      <w:pPr>
        <w:ind w:left="6926" w:hanging="360"/>
      </w:pPr>
    </w:lvl>
    <w:lvl w:ilvl="8" w:tplc="0809001B" w:tentative="1">
      <w:start w:val="1"/>
      <w:numFmt w:val="lowerRoman"/>
      <w:lvlText w:val="%9."/>
      <w:lvlJc w:val="right"/>
      <w:pPr>
        <w:ind w:left="7646" w:hanging="180"/>
      </w:pPr>
    </w:lvl>
  </w:abstractNum>
  <w:abstractNum w:abstractNumId="42" w15:restartNumberingAfterBreak="0">
    <w:nsid w:val="7142517D"/>
    <w:multiLevelType w:val="hybridMultilevel"/>
    <w:tmpl w:val="9082711C"/>
    <w:lvl w:ilvl="0" w:tplc="0D36360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EE1B8C"/>
    <w:multiLevelType w:val="hybridMultilevel"/>
    <w:tmpl w:val="082244D4"/>
    <w:lvl w:ilvl="0" w:tplc="4204E1F6">
      <w:start w:val="1"/>
      <w:numFmt w:val="lowerLetter"/>
      <w:lvlText w:val="(%1)"/>
      <w:lvlJc w:val="left"/>
      <w:pPr>
        <w:ind w:left="720" w:hanging="360"/>
      </w:pPr>
      <w:rPr>
        <w:rFonts w:hint="default"/>
      </w:rPr>
    </w:lvl>
    <w:lvl w:ilvl="1" w:tplc="151400F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3E58CF"/>
    <w:multiLevelType w:val="hybridMultilevel"/>
    <w:tmpl w:val="30F6CC42"/>
    <w:lvl w:ilvl="0" w:tplc="E7540F12">
      <w:start w:val="1"/>
      <w:numFmt w:val="lowerLetter"/>
      <w:lvlText w:val="(%1)"/>
      <w:lvlJc w:val="left"/>
      <w:pPr>
        <w:ind w:left="720" w:hanging="360"/>
      </w:pPr>
      <w:rPr>
        <w:rFonts w:hint="default"/>
      </w:rPr>
    </w:lvl>
    <w:lvl w:ilvl="1" w:tplc="856E30A6">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D7355C"/>
    <w:multiLevelType w:val="hybridMultilevel"/>
    <w:tmpl w:val="8AD6A974"/>
    <w:lvl w:ilvl="0" w:tplc="856E30A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7"/>
  </w:num>
  <w:num w:numId="13">
    <w:abstractNumId w:val="11"/>
  </w:num>
  <w:num w:numId="14">
    <w:abstractNumId w:val="38"/>
  </w:num>
  <w:num w:numId="15">
    <w:abstractNumId w:val="44"/>
  </w:num>
  <w:num w:numId="16">
    <w:abstractNumId w:val="14"/>
  </w:num>
  <w:num w:numId="17">
    <w:abstractNumId w:val="23"/>
  </w:num>
  <w:num w:numId="18">
    <w:abstractNumId w:val="31"/>
  </w:num>
  <w:num w:numId="19">
    <w:abstractNumId w:val="41"/>
  </w:num>
  <w:num w:numId="20">
    <w:abstractNumId w:val="33"/>
  </w:num>
  <w:num w:numId="21">
    <w:abstractNumId w:val="25"/>
  </w:num>
  <w:num w:numId="22">
    <w:abstractNumId w:val="37"/>
  </w:num>
  <w:num w:numId="23">
    <w:abstractNumId w:val="22"/>
  </w:num>
  <w:num w:numId="24">
    <w:abstractNumId w:val="29"/>
  </w:num>
  <w:num w:numId="25">
    <w:abstractNumId w:val="39"/>
  </w:num>
  <w:num w:numId="26">
    <w:abstractNumId w:val="18"/>
  </w:num>
  <w:num w:numId="27">
    <w:abstractNumId w:val="24"/>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2"/>
  </w:num>
  <w:num w:numId="31">
    <w:abstractNumId w:val="28"/>
  </w:num>
  <w:num w:numId="32">
    <w:abstractNumId w:val="42"/>
  </w:num>
  <w:num w:numId="33">
    <w:abstractNumId w:val="32"/>
  </w:num>
  <w:num w:numId="34">
    <w:abstractNumId w:val="20"/>
  </w:num>
  <w:num w:numId="35">
    <w:abstractNumId w:val="45"/>
  </w:num>
  <w:num w:numId="36">
    <w:abstractNumId w:val="34"/>
  </w:num>
  <w:num w:numId="37">
    <w:abstractNumId w:val="30"/>
  </w:num>
  <w:num w:numId="38">
    <w:abstractNumId w:val="27"/>
  </w:num>
  <w:num w:numId="39">
    <w:abstractNumId w:val="2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0"/>
  </w:num>
  <w:num w:numId="43">
    <w:abstractNumId w:val="16"/>
  </w:num>
  <w:num w:numId="44">
    <w:abstractNumId w:val="19"/>
  </w:num>
  <w:num w:numId="45">
    <w:abstractNumId w:val="36"/>
  </w:num>
  <w:num w:numId="46">
    <w:abstractNumId w:val="40"/>
  </w:num>
  <w:num w:numId="47">
    <w:abstractNumId w:val="15"/>
  </w:num>
  <w:num w:numId="4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7B"/>
    <w:rsid w:val="00007653"/>
    <w:rsid w:val="00007DA6"/>
    <w:rsid w:val="0001243B"/>
    <w:rsid w:val="00016299"/>
    <w:rsid w:val="00016EF9"/>
    <w:rsid w:val="00034AF0"/>
    <w:rsid w:val="0004241F"/>
    <w:rsid w:val="00050F6B"/>
    <w:rsid w:val="00061164"/>
    <w:rsid w:val="0006146B"/>
    <w:rsid w:val="000637D4"/>
    <w:rsid w:val="00072C8C"/>
    <w:rsid w:val="00073FAC"/>
    <w:rsid w:val="00075036"/>
    <w:rsid w:val="00091419"/>
    <w:rsid w:val="000920F2"/>
    <w:rsid w:val="000931C0"/>
    <w:rsid w:val="00094E21"/>
    <w:rsid w:val="000A4AE8"/>
    <w:rsid w:val="000B042A"/>
    <w:rsid w:val="000B175B"/>
    <w:rsid w:val="000B2B48"/>
    <w:rsid w:val="000B3A0F"/>
    <w:rsid w:val="000B7D71"/>
    <w:rsid w:val="000D1153"/>
    <w:rsid w:val="000D5430"/>
    <w:rsid w:val="000E0415"/>
    <w:rsid w:val="000E10AC"/>
    <w:rsid w:val="000E3CE6"/>
    <w:rsid w:val="00113E21"/>
    <w:rsid w:val="00117787"/>
    <w:rsid w:val="00131D42"/>
    <w:rsid w:val="00134130"/>
    <w:rsid w:val="001342DA"/>
    <w:rsid w:val="00134369"/>
    <w:rsid w:val="00135EB5"/>
    <w:rsid w:val="00142080"/>
    <w:rsid w:val="00156EF9"/>
    <w:rsid w:val="00161837"/>
    <w:rsid w:val="00162677"/>
    <w:rsid w:val="001633FB"/>
    <w:rsid w:val="00164F65"/>
    <w:rsid w:val="00167EC1"/>
    <w:rsid w:val="0017188B"/>
    <w:rsid w:val="00172223"/>
    <w:rsid w:val="00190DB6"/>
    <w:rsid w:val="001A4772"/>
    <w:rsid w:val="001B3D89"/>
    <w:rsid w:val="001B4B04"/>
    <w:rsid w:val="001B774E"/>
    <w:rsid w:val="001C0B39"/>
    <w:rsid w:val="001C53D2"/>
    <w:rsid w:val="001C55EA"/>
    <w:rsid w:val="001C6663"/>
    <w:rsid w:val="001C7895"/>
    <w:rsid w:val="001D26DF"/>
    <w:rsid w:val="001D2FDC"/>
    <w:rsid w:val="001F1275"/>
    <w:rsid w:val="001F3D4B"/>
    <w:rsid w:val="001F49EE"/>
    <w:rsid w:val="001F652E"/>
    <w:rsid w:val="001F71A8"/>
    <w:rsid w:val="002017FA"/>
    <w:rsid w:val="00204AD1"/>
    <w:rsid w:val="00211E0B"/>
    <w:rsid w:val="00213234"/>
    <w:rsid w:val="00226257"/>
    <w:rsid w:val="002279E0"/>
    <w:rsid w:val="002309A7"/>
    <w:rsid w:val="00230F5F"/>
    <w:rsid w:val="00234C20"/>
    <w:rsid w:val="00237785"/>
    <w:rsid w:val="00241466"/>
    <w:rsid w:val="00246EC2"/>
    <w:rsid w:val="0025285D"/>
    <w:rsid w:val="002725CA"/>
    <w:rsid w:val="00280EB7"/>
    <w:rsid w:val="00280F3E"/>
    <w:rsid w:val="00281B6A"/>
    <w:rsid w:val="002872C0"/>
    <w:rsid w:val="00291B8C"/>
    <w:rsid w:val="00293C61"/>
    <w:rsid w:val="002B1CDA"/>
    <w:rsid w:val="002C4487"/>
    <w:rsid w:val="002C5C13"/>
    <w:rsid w:val="002C7876"/>
    <w:rsid w:val="002D1F9B"/>
    <w:rsid w:val="002D5DFB"/>
    <w:rsid w:val="002E2D74"/>
    <w:rsid w:val="002F303D"/>
    <w:rsid w:val="00301742"/>
    <w:rsid w:val="00301D33"/>
    <w:rsid w:val="003107FA"/>
    <w:rsid w:val="00311E11"/>
    <w:rsid w:val="0031335E"/>
    <w:rsid w:val="00320764"/>
    <w:rsid w:val="003229D8"/>
    <w:rsid w:val="00326AEE"/>
    <w:rsid w:val="00327920"/>
    <w:rsid w:val="00345311"/>
    <w:rsid w:val="0034743C"/>
    <w:rsid w:val="003606D2"/>
    <w:rsid w:val="003610D3"/>
    <w:rsid w:val="003636D9"/>
    <w:rsid w:val="0037670C"/>
    <w:rsid w:val="0038502E"/>
    <w:rsid w:val="00385DAE"/>
    <w:rsid w:val="00386C31"/>
    <w:rsid w:val="0039277A"/>
    <w:rsid w:val="0039376D"/>
    <w:rsid w:val="003972E0"/>
    <w:rsid w:val="003A33EF"/>
    <w:rsid w:val="003A34BE"/>
    <w:rsid w:val="003A4E6E"/>
    <w:rsid w:val="003A5740"/>
    <w:rsid w:val="003B6BF2"/>
    <w:rsid w:val="003C2CC4"/>
    <w:rsid w:val="003C6165"/>
    <w:rsid w:val="003D025C"/>
    <w:rsid w:val="003D1A8B"/>
    <w:rsid w:val="003D491D"/>
    <w:rsid w:val="003D4B23"/>
    <w:rsid w:val="003D701F"/>
    <w:rsid w:val="003D7483"/>
    <w:rsid w:val="003E7EB1"/>
    <w:rsid w:val="003F2F3A"/>
    <w:rsid w:val="00414A6B"/>
    <w:rsid w:val="00423109"/>
    <w:rsid w:val="00424A5A"/>
    <w:rsid w:val="00427524"/>
    <w:rsid w:val="004325CB"/>
    <w:rsid w:val="00432E93"/>
    <w:rsid w:val="00437F3F"/>
    <w:rsid w:val="00441D3F"/>
    <w:rsid w:val="00446DE4"/>
    <w:rsid w:val="00454036"/>
    <w:rsid w:val="00484068"/>
    <w:rsid w:val="00494AB7"/>
    <w:rsid w:val="00495543"/>
    <w:rsid w:val="004A5C29"/>
    <w:rsid w:val="004A77DF"/>
    <w:rsid w:val="004B00CD"/>
    <w:rsid w:val="004B2C9D"/>
    <w:rsid w:val="004B3955"/>
    <w:rsid w:val="004B561A"/>
    <w:rsid w:val="004C22C9"/>
    <w:rsid w:val="004C779B"/>
    <w:rsid w:val="004D3182"/>
    <w:rsid w:val="004D5F41"/>
    <w:rsid w:val="004D7A1A"/>
    <w:rsid w:val="004F4ED1"/>
    <w:rsid w:val="004F6088"/>
    <w:rsid w:val="00500C72"/>
    <w:rsid w:val="005031D0"/>
    <w:rsid w:val="00511818"/>
    <w:rsid w:val="005152BD"/>
    <w:rsid w:val="00517A3F"/>
    <w:rsid w:val="005211A8"/>
    <w:rsid w:val="005263D9"/>
    <w:rsid w:val="00527910"/>
    <w:rsid w:val="00533C19"/>
    <w:rsid w:val="005420F2"/>
    <w:rsid w:val="0054405D"/>
    <w:rsid w:val="00545783"/>
    <w:rsid w:val="0054752D"/>
    <w:rsid w:val="00551748"/>
    <w:rsid w:val="00554948"/>
    <w:rsid w:val="00557CFD"/>
    <w:rsid w:val="0056723E"/>
    <w:rsid w:val="00567CE8"/>
    <w:rsid w:val="00567E0A"/>
    <w:rsid w:val="00572188"/>
    <w:rsid w:val="00573A71"/>
    <w:rsid w:val="00585334"/>
    <w:rsid w:val="005868E1"/>
    <w:rsid w:val="00590144"/>
    <w:rsid w:val="00591540"/>
    <w:rsid w:val="00594044"/>
    <w:rsid w:val="005B2E56"/>
    <w:rsid w:val="005B3DB3"/>
    <w:rsid w:val="005B538C"/>
    <w:rsid w:val="005D12E1"/>
    <w:rsid w:val="005D2C2A"/>
    <w:rsid w:val="005D3D91"/>
    <w:rsid w:val="005D5756"/>
    <w:rsid w:val="005E5519"/>
    <w:rsid w:val="005E631B"/>
    <w:rsid w:val="005F1FA0"/>
    <w:rsid w:val="005F578B"/>
    <w:rsid w:val="006036A7"/>
    <w:rsid w:val="006047A2"/>
    <w:rsid w:val="006079BC"/>
    <w:rsid w:val="00610299"/>
    <w:rsid w:val="00611FC4"/>
    <w:rsid w:val="00616552"/>
    <w:rsid w:val="006176FB"/>
    <w:rsid w:val="00622268"/>
    <w:rsid w:val="00624DC3"/>
    <w:rsid w:val="0063419C"/>
    <w:rsid w:val="0063426D"/>
    <w:rsid w:val="006361C7"/>
    <w:rsid w:val="00640A4F"/>
    <w:rsid w:val="00640B26"/>
    <w:rsid w:val="0064232F"/>
    <w:rsid w:val="006458DD"/>
    <w:rsid w:val="006500BA"/>
    <w:rsid w:val="0065664D"/>
    <w:rsid w:val="00670D17"/>
    <w:rsid w:val="00677DE0"/>
    <w:rsid w:val="00677FBE"/>
    <w:rsid w:val="00693412"/>
    <w:rsid w:val="00697058"/>
    <w:rsid w:val="006A1DA3"/>
    <w:rsid w:val="006A655D"/>
    <w:rsid w:val="006A6B8C"/>
    <w:rsid w:val="006A7392"/>
    <w:rsid w:val="006B350D"/>
    <w:rsid w:val="006B68DB"/>
    <w:rsid w:val="006C0D34"/>
    <w:rsid w:val="006C25A7"/>
    <w:rsid w:val="006C5944"/>
    <w:rsid w:val="006C6B50"/>
    <w:rsid w:val="006C7E11"/>
    <w:rsid w:val="006D6E40"/>
    <w:rsid w:val="006E0C35"/>
    <w:rsid w:val="006E564B"/>
    <w:rsid w:val="00704C50"/>
    <w:rsid w:val="00705993"/>
    <w:rsid w:val="0072632A"/>
    <w:rsid w:val="00730A94"/>
    <w:rsid w:val="00730E46"/>
    <w:rsid w:val="007327D6"/>
    <w:rsid w:val="007358C7"/>
    <w:rsid w:val="00741708"/>
    <w:rsid w:val="007447A4"/>
    <w:rsid w:val="007514BD"/>
    <w:rsid w:val="00752D7A"/>
    <w:rsid w:val="00753FF2"/>
    <w:rsid w:val="00754B26"/>
    <w:rsid w:val="00756B3D"/>
    <w:rsid w:val="007578F1"/>
    <w:rsid w:val="00761406"/>
    <w:rsid w:val="00761BD7"/>
    <w:rsid w:val="00766846"/>
    <w:rsid w:val="007739E4"/>
    <w:rsid w:val="00785253"/>
    <w:rsid w:val="00790131"/>
    <w:rsid w:val="00790791"/>
    <w:rsid w:val="00792C59"/>
    <w:rsid w:val="007961B6"/>
    <w:rsid w:val="0079661D"/>
    <w:rsid w:val="007A3F9B"/>
    <w:rsid w:val="007A510C"/>
    <w:rsid w:val="007A7FFD"/>
    <w:rsid w:val="007B31BA"/>
    <w:rsid w:val="007B6BA5"/>
    <w:rsid w:val="007C3390"/>
    <w:rsid w:val="007C4F4B"/>
    <w:rsid w:val="007D36A1"/>
    <w:rsid w:val="007E21DC"/>
    <w:rsid w:val="007E35D2"/>
    <w:rsid w:val="007E4777"/>
    <w:rsid w:val="007F1022"/>
    <w:rsid w:val="007F1885"/>
    <w:rsid w:val="007F5EF3"/>
    <w:rsid w:val="007F6611"/>
    <w:rsid w:val="007F737B"/>
    <w:rsid w:val="008113BD"/>
    <w:rsid w:val="008148F7"/>
    <w:rsid w:val="008175E9"/>
    <w:rsid w:val="00823E8D"/>
    <w:rsid w:val="008242D7"/>
    <w:rsid w:val="00825FE6"/>
    <w:rsid w:val="00827916"/>
    <w:rsid w:val="00840431"/>
    <w:rsid w:val="00840B1E"/>
    <w:rsid w:val="00842C06"/>
    <w:rsid w:val="008545F7"/>
    <w:rsid w:val="00854B44"/>
    <w:rsid w:val="0086154A"/>
    <w:rsid w:val="008641F7"/>
    <w:rsid w:val="00871FD5"/>
    <w:rsid w:val="008770FF"/>
    <w:rsid w:val="00886F1F"/>
    <w:rsid w:val="0088714A"/>
    <w:rsid w:val="008979B1"/>
    <w:rsid w:val="008A2B44"/>
    <w:rsid w:val="008A6B25"/>
    <w:rsid w:val="008A6C4F"/>
    <w:rsid w:val="008B58FA"/>
    <w:rsid w:val="008B6EF7"/>
    <w:rsid w:val="008E0E46"/>
    <w:rsid w:val="008E1F11"/>
    <w:rsid w:val="008F1823"/>
    <w:rsid w:val="008F4C80"/>
    <w:rsid w:val="008F656C"/>
    <w:rsid w:val="00900E8C"/>
    <w:rsid w:val="00910F0C"/>
    <w:rsid w:val="00912410"/>
    <w:rsid w:val="009139C3"/>
    <w:rsid w:val="009210E7"/>
    <w:rsid w:val="00926C2B"/>
    <w:rsid w:val="00926E16"/>
    <w:rsid w:val="00927D65"/>
    <w:rsid w:val="009344D3"/>
    <w:rsid w:val="0093502D"/>
    <w:rsid w:val="00943B33"/>
    <w:rsid w:val="00945A5D"/>
    <w:rsid w:val="00946279"/>
    <w:rsid w:val="009615AA"/>
    <w:rsid w:val="00962BE5"/>
    <w:rsid w:val="00963CBA"/>
    <w:rsid w:val="009704C2"/>
    <w:rsid w:val="009706B5"/>
    <w:rsid w:val="00972AA8"/>
    <w:rsid w:val="00981BC3"/>
    <w:rsid w:val="009865C8"/>
    <w:rsid w:val="00987FEE"/>
    <w:rsid w:val="009906BA"/>
    <w:rsid w:val="00990DB3"/>
    <w:rsid w:val="0099124E"/>
    <w:rsid w:val="00991261"/>
    <w:rsid w:val="00997397"/>
    <w:rsid w:val="009A020D"/>
    <w:rsid w:val="009A16A2"/>
    <w:rsid w:val="009B1F43"/>
    <w:rsid w:val="009B692F"/>
    <w:rsid w:val="009C3671"/>
    <w:rsid w:val="009D09C4"/>
    <w:rsid w:val="009D21C0"/>
    <w:rsid w:val="009D7832"/>
    <w:rsid w:val="009E4C83"/>
    <w:rsid w:val="009E6B85"/>
    <w:rsid w:val="009F0F06"/>
    <w:rsid w:val="009F1D56"/>
    <w:rsid w:val="009F1EFF"/>
    <w:rsid w:val="00A04DAA"/>
    <w:rsid w:val="00A13D48"/>
    <w:rsid w:val="00A1427D"/>
    <w:rsid w:val="00A1520A"/>
    <w:rsid w:val="00A15530"/>
    <w:rsid w:val="00A20760"/>
    <w:rsid w:val="00A22FFB"/>
    <w:rsid w:val="00A27F2E"/>
    <w:rsid w:val="00A35F4E"/>
    <w:rsid w:val="00A379E3"/>
    <w:rsid w:val="00A63F9D"/>
    <w:rsid w:val="00A644E3"/>
    <w:rsid w:val="00A7264C"/>
    <w:rsid w:val="00A72F22"/>
    <w:rsid w:val="00A748A6"/>
    <w:rsid w:val="00A75EC9"/>
    <w:rsid w:val="00A77A35"/>
    <w:rsid w:val="00A82805"/>
    <w:rsid w:val="00A849E4"/>
    <w:rsid w:val="00A85057"/>
    <w:rsid w:val="00A879A4"/>
    <w:rsid w:val="00A930DE"/>
    <w:rsid w:val="00A9565C"/>
    <w:rsid w:val="00A96198"/>
    <w:rsid w:val="00AA0427"/>
    <w:rsid w:val="00AA6768"/>
    <w:rsid w:val="00AA7885"/>
    <w:rsid w:val="00AC0C35"/>
    <w:rsid w:val="00AC4307"/>
    <w:rsid w:val="00AD160E"/>
    <w:rsid w:val="00AD4CEF"/>
    <w:rsid w:val="00AE709A"/>
    <w:rsid w:val="00AF1263"/>
    <w:rsid w:val="00AF2104"/>
    <w:rsid w:val="00B00DAA"/>
    <w:rsid w:val="00B04D80"/>
    <w:rsid w:val="00B05FD0"/>
    <w:rsid w:val="00B07111"/>
    <w:rsid w:val="00B07502"/>
    <w:rsid w:val="00B15032"/>
    <w:rsid w:val="00B16E4E"/>
    <w:rsid w:val="00B1718C"/>
    <w:rsid w:val="00B23234"/>
    <w:rsid w:val="00B24238"/>
    <w:rsid w:val="00B30179"/>
    <w:rsid w:val="00B30E28"/>
    <w:rsid w:val="00B31A40"/>
    <w:rsid w:val="00B3317B"/>
    <w:rsid w:val="00B5072F"/>
    <w:rsid w:val="00B509FB"/>
    <w:rsid w:val="00B718EF"/>
    <w:rsid w:val="00B81E12"/>
    <w:rsid w:val="00B83AC5"/>
    <w:rsid w:val="00B8445D"/>
    <w:rsid w:val="00B910EE"/>
    <w:rsid w:val="00B93068"/>
    <w:rsid w:val="00B939E5"/>
    <w:rsid w:val="00BA7BEF"/>
    <w:rsid w:val="00BB0EA8"/>
    <w:rsid w:val="00BB1B95"/>
    <w:rsid w:val="00BC06D5"/>
    <w:rsid w:val="00BC0C02"/>
    <w:rsid w:val="00BC74E9"/>
    <w:rsid w:val="00BD1DCF"/>
    <w:rsid w:val="00BD24CB"/>
    <w:rsid w:val="00BD6049"/>
    <w:rsid w:val="00BE618E"/>
    <w:rsid w:val="00BF304C"/>
    <w:rsid w:val="00BF47D3"/>
    <w:rsid w:val="00C06990"/>
    <w:rsid w:val="00C10828"/>
    <w:rsid w:val="00C11788"/>
    <w:rsid w:val="00C11A52"/>
    <w:rsid w:val="00C24DB5"/>
    <w:rsid w:val="00C252AB"/>
    <w:rsid w:val="00C33955"/>
    <w:rsid w:val="00C35570"/>
    <w:rsid w:val="00C457FB"/>
    <w:rsid w:val="00C463DD"/>
    <w:rsid w:val="00C51A30"/>
    <w:rsid w:val="00C53C30"/>
    <w:rsid w:val="00C56D24"/>
    <w:rsid w:val="00C6116E"/>
    <w:rsid w:val="00C62F76"/>
    <w:rsid w:val="00C713D1"/>
    <w:rsid w:val="00C745C3"/>
    <w:rsid w:val="00C80E97"/>
    <w:rsid w:val="00C97B71"/>
    <w:rsid w:val="00C97B7B"/>
    <w:rsid w:val="00CA1D9A"/>
    <w:rsid w:val="00CC0B07"/>
    <w:rsid w:val="00CC31FE"/>
    <w:rsid w:val="00CC5827"/>
    <w:rsid w:val="00CC66C8"/>
    <w:rsid w:val="00CD3225"/>
    <w:rsid w:val="00CE0246"/>
    <w:rsid w:val="00CE0FB9"/>
    <w:rsid w:val="00CE1C21"/>
    <w:rsid w:val="00CE3BCA"/>
    <w:rsid w:val="00CE4A8F"/>
    <w:rsid w:val="00CF135C"/>
    <w:rsid w:val="00CF6F3E"/>
    <w:rsid w:val="00D11BED"/>
    <w:rsid w:val="00D14E04"/>
    <w:rsid w:val="00D2031B"/>
    <w:rsid w:val="00D2153B"/>
    <w:rsid w:val="00D23266"/>
    <w:rsid w:val="00D24B2A"/>
    <w:rsid w:val="00D25FE2"/>
    <w:rsid w:val="00D3252C"/>
    <w:rsid w:val="00D342A8"/>
    <w:rsid w:val="00D40DF0"/>
    <w:rsid w:val="00D411BC"/>
    <w:rsid w:val="00D43252"/>
    <w:rsid w:val="00D439F5"/>
    <w:rsid w:val="00D5257A"/>
    <w:rsid w:val="00D53D62"/>
    <w:rsid w:val="00D62F29"/>
    <w:rsid w:val="00D753D8"/>
    <w:rsid w:val="00D80568"/>
    <w:rsid w:val="00D8448E"/>
    <w:rsid w:val="00D86E25"/>
    <w:rsid w:val="00D950A6"/>
    <w:rsid w:val="00D96CC5"/>
    <w:rsid w:val="00D978C6"/>
    <w:rsid w:val="00D97AE4"/>
    <w:rsid w:val="00DA0150"/>
    <w:rsid w:val="00DA4D16"/>
    <w:rsid w:val="00DA67AD"/>
    <w:rsid w:val="00DA7143"/>
    <w:rsid w:val="00DB1EB0"/>
    <w:rsid w:val="00DC4749"/>
    <w:rsid w:val="00DD4D09"/>
    <w:rsid w:val="00DE5351"/>
    <w:rsid w:val="00DE5D9F"/>
    <w:rsid w:val="00DF5676"/>
    <w:rsid w:val="00DF56B9"/>
    <w:rsid w:val="00DF7DB8"/>
    <w:rsid w:val="00E0635C"/>
    <w:rsid w:val="00E130AB"/>
    <w:rsid w:val="00E2308E"/>
    <w:rsid w:val="00E2339C"/>
    <w:rsid w:val="00E23656"/>
    <w:rsid w:val="00E2586C"/>
    <w:rsid w:val="00E301AB"/>
    <w:rsid w:val="00E42DB6"/>
    <w:rsid w:val="00E5644E"/>
    <w:rsid w:val="00E61BFD"/>
    <w:rsid w:val="00E71484"/>
    <w:rsid w:val="00E7260F"/>
    <w:rsid w:val="00E77EBE"/>
    <w:rsid w:val="00E825B7"/>
    <w:rsid w:val="00E8535A"/>
    <w:rsid w:val="00E90404"/>
    <w:rsid w:val="00E96630"/>
    <w:rsid w:val="00EA6C38"/>
    <w:rsid w:val="00EA772F"/>
    <w:rsid w:val="00EB4961"/>
    <w:rsid w:val="00EB63C9"/>
    <w:rsid w:val="00EB6832"/>
    <w:rsid w:val="00EC1D5A"/>
    <w:rsid w:val="00EC29B0"/>
    <w:rsid w:val="00EC3250"/>
    <w:rsid w:val="00ED7A2A"/>
    <w:rsid w:val="00EE02ED"/>
    <w:rsid w:val="00EF1D7F"/>
    <w:rsid w:val="00EF7F53"/>
    <w:rsid w:val="00F00DDA"/>
    <w:rsid w:val="00F01FD3"/>
    <w:rsid w:val="00F054BE"/>
    <w:rsid w:val="00F134E6"/>
    <w:rsid w:val="00F14F96"/>
    <w:rsid w:val="00F163DA"/>
    <w:rsid w:val="00F210DC"/>
    <w:rsid w:val="00F275C0"/>
    <w:rsid w:val="00F31D4A"/>
    <w:rsid w:val="00F37713"/>
    <w:rsid w:val="00F40E75"/>
    <w:rsid w:val="00F54674"/>
    <w:rsid w:val="00F666B2"/>
    <w:rsid w:val="00F672EF"/>
    <w:rsid w:val="00F74DC1"/>
    <w:rsid w:val="00F82B22"/>
    <w:rsid w:val="00F834BC"/>
    <w:rsid w:val="00F83E0D"/>
    <w:rsid w:val="00F86F67"/>
    <w:rsid w:val="00F944C8"/>
    <w:rsid w:val="00FA11C5"/>
    <w:rsid w:val="00FC3BDA"/>
    <w:rsid w:val="00FC636A"/>
    <w:rsid w:val="00FC68B7"/>
    <w:rsid w:val="00FD05A2"/>
    <w:rsid w:val="00FD2C1D"/>
    <w:rsid w:val="00FD6B2B"/>
    <w:rsid w:val="00FD7CF7"/>
    <w:rsid w:val="00FD7EA8"/>
    <w:rsid w:val="00FE44D3"/>
    <w:rsid w:val="00FE565C"/>
    <w:rsid w:val="00FF03BB"/>
    <w:rsid w:val="00FF2BBD"/>
    <w:rsid w:val="00FF6D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22ADDC7"/>
  <w15:chartTrackingRefBased/>
  <w15:docId w15:val="{E5F46813-81A4-4C60-B0E1-EF7AF93F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6C7E11"/>
    <w:pPr>
      <w:spacing w:after="120"/>
      <w:ind w:left="1134" w:right="1134"/>
      <w:jc w:val="both"/>
    </w:pPr>
    <w:rPr>
      <w:lang w:val="x-none"/>
    </w:r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customStyle="1" w:styleId="Subpara1">
    <w:name w:val="Sub para1"/>
    <w:basedOn w:val="BodyText"/>
    <w:link w:val="Subpara1Char"/>
    <w:qFormat/>
    <w:rsid w:val="007F737B"/>
    <w:pPr>
      <w:suppressAutoHyphens w:val="0"/>
      <w:spacing w:before="160" w:after="120" w:line="240" w:lineRule="auto"/>
      <w:ind w:left="720" w:hanging="720"/>
    </w:pPr>
    <w:rPr>
      <w:rFonts w:eastAsia="MS Mincho"/>
      <w:sz w:val="22"/>
      <w:lang w:val="x-none"/>
    </w:rPr>
  </w:style>
  <w:style w:type="character" w:customStyle="1" w:styleId="Subpara1Char">
    <w:name w:val="Sub para1 Char"/>
    <w:link w:val="Subpara1"/>
    <w:rsid w:val="007F737B"/>
    <w:rPr>
      <w:rFonts w:eastAsia="MS Mincho"/>
      <w:sz w:val="22"/>
      <w:lang w:eastAsia="en-US"/>
    </w:rPr>
  </w:style>
  <w:style w:type="character" w:customStyle="1" w:styleId="SC3241789">
    <w:name w:val="SC.3.241789"/>
    <w:rsid w:val="007F737B"/>
    <w:rPr>
      <w:rFonts w:cs="Times Ten"/>
      <w:color w:val="000000"/>
      <w:sz w:val="20"/>
      <w:szCs w:val="20"/>
    </w:rPr>
  </w:style>
  <w:style w:type="character" w:customStyle="1" w:styleId="SC3241680">
    <w:name w:val="SC.3.241680"/>
    <w:rsid w:val="007F737B"/>
    <w:rPr>
      <w:rFonts w:cs="Times Ten"/>
      <w:color w:val="000000"/>
      <w:sz w:val="13"/>
      <w:szCs w:val="13"/>
    </w:rPr>
  </w:style>
  <w:style w:type="paragraph" w:customStyle="1" w:styleId="subtitle1">
    <w:name w:val="subtitle 1"/>
    <w:basedOn w:val="Normal"/>
    <w:rsid w:val="007F737B"/>
    <w:pPr>
      <w:widowControl w:val="0"/>
      <w:numPr>
        <w:numId w:val="16"/>
      </w:numPr>
      <w:suppressAutoHyphens w:val="0"/>
      <w:spacing w:line="240" w:lineRule="auto"/>
      <w:jc w:val="both"/>
    </w:pPr>
    <w:rPr>
      <w:rFonts w:eastAsia="MS Mincho"/>
      <w:kern w:val="2"/>
      <w:sz w:val="22"/>
      <w:szCs w:val="24"/>
      <w:lang w:val="en-US" w:eastAsia="ja-JP"/>
    </w:rPr>
  </w:style>
  <w:style w:type="character" w:styleId="PlaceholderText">
    <w:name w:val="Placeholder Text"/>
    <w:uiPriority w:val="99"/>
    <w:semiHidden/>
    <w:rsid w:val="007F737B"/>
    <w:rPr>
      <w:color w:val="808080"/>
    </w:rPr>
  </w:style>
  <w:style w:type="paragraph" w:customStyle="1" w:styleId="Style1">
    <w:name w:val="Style1"/>
    <w:basedOn w:val="Normal"/>
    <w:rsid w:val="007F737B"/>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SingleTxtGChar">
    <w:name w:val="_ Single Txt_G Char"/>
    <w:link w:val="SingleTxtG"/>
    <w:rsid w:val="005D2C2A"/>
    <w:rPr>
      <w:lang w:eastAsia="en-US"/>
    </w:rPr>
  </w:style>
  <w:style w:type="paragraph" w:styleId="ListParagraph">
    <w:name w:val="List Paragraph"/>
    <w:basedOn w:val="Normal"/>
    <w:uiPriority w:val="1"/>
    <w:qFormat/>
    <w:rsid w:val="00A22FFB"/>
    <w:pPr>
      <w:suppressAutoHyphens w:val="0"/>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qFormat/>
    <w:rsid w:val="00A22FFB"/>
    <w:pPr>
      <w:suppressAutoHyphens w:val="0"/>
      <w:spacing w:before="240" w:line="240" w:lineRule="auto"/>
    </w:pPr>
    <w:rPr>
      <w:bCs/>
      <w:caps/>
      <w:sz w:val="22"/>
      <w:szCs w:val="24"/>
      <w:lang w:eastAsia="en-GB"/>
    </w:rPr>
  </w:style>
  <w:style w:type="paragraph" w:styleId="CommentSubject">
    <w:name w:val="annotation subject"/>
    <w:basedOn w:val="CommentText"/>
    <w:next w:val="CommentText"/>
    <w:link w:val="CommentSubjectChar"/>
    <w:rsid w:val="00495543"/>
    <w:rPr>
      <w:b/>
      <w:bCs/>
    </w:rPr>
  </w:style>
  <w:style w:type="character" w:customStyle="1" w:styleId="CommentTextChar">
    <w:name w:val="Comment Text Char"/>
    <w:link w:val="CommentText"/>
    <w:semiHidden/>
    <w:rsid w:val="00495543"/>
    <w:rPr>
      <w:lang w:eastAsia="en-US"/>
    </w:rPr>
  </w:style>
  <w:style w:type="character" w:customStyle="1" w:styleId="CommentSubjectChar">
    <w:name w:val="Comment Subject Char"/>
    <w:link w:val="CommentSubject"/>
    <w:rsid w:val="00495543"/>
    <w:rPr>
      <w:b/>
      <w:bCs/>
      <w:lang w:eastAsia="en-US"/>
    </w:rPr>
  </w:style>
  <w:style w:type="paragraph" w:styleId="BalloonText">
    <w:name w:val="Balloon Text"/>
    <w:basedOn w:val="Normal"/>
    <w:link w:val="BalloonTextChar"/>
    <w:rsid w:val="00495543"/>
    <w:pPr>
      <w:spacing w:line="240" w:lineRule="auto"/>
    </w:pPr>
    <w:rPr>
      <w:rFonts w:ascii="Tahoma" w:hAnsi="Tahoma"/>
      <w:sz w:val="16"/>
      <w:szCs w:val="16"/>
      <w:lang w:val="x-none"/>
    </w:rPr>
  </w:style>
  <w:style w:type="character" w:customStyle="1" w:styleId="BalloonTextChar">
    <w:name w:val="Balloon Text Char"/>
    <w:link w:val="BalloonText"/>
    <w:rsid w:val="00495543"/>
    <w:rPr>
      <w:rFonts w:ascii="Tahoma" w:hAnsi="Tahoma" w:cs="Tahoma"/>
      <w:sz w:val="16"/>
      <w:szCs w:val="16"/>
      <w:lang w:eastAsia="en-US"/>
    </w:rPr>
  </w:style>
  <w:style w:type="paragraph" w:styleId="TOC3">
    <w:name w:val="toc 3"/>
    <w:basedOn w:val="Normal"/>
    <w:next w:val="Normal"/>
    <w:autoRedefine/>
    <w:rsid w:val="003606D2"/>
    <w:pPr>
      <w:ind w:left="400"/>
    </w:pPr>
  </w:style>
  <w:style w:type="paragraph" w:customStyle="1" w:styleId="second">
    <w:name w:val="second"/>
    <w:basedOn w:val="BodyText"/>
    <w:link w:val="secondChar"/>
    <w:uiPriority w:val="49"/>
    <w:qFormat/>
    <w:rsid w:val="00962BE5"/>
    <w:pPr>
      <w:suppressAutoHyphens w:val="0"/>
      <w:spacing w:before="240" w:after="120" w:line="240" w:lineRule="auto"/>
      <w:ind w:left="426" w:hanging="426"/>
      <w:jc w:val="both"/>
    </w:pPr>
    <w:rPr>
      <w:sz w:val="22"/>
    </w:rPr>
  </w:style>
  <w:style w:type="character" w:customStyle="1" w:styleId="secondChar">
    <w:name w:val="second Char"/>
    <w:link w:val="second"/>
    <w:uiPriority w:val="49"/>
    <w:rsid w:val="00962BE5"/>
    <w:rPr>
      <w:sz w:val="22"/>
      <w:lang w:eastAsia="en-US"/>
    </w:rPr>
  </w:style>
  <w:style w:type="paragraph" w:styleId="Revision">
    <w:name w:val="Revision"/>
    <w:hidden/>
    <w:uiPriority w:val="99"/>
    <w:semiHidden/>
    <w:rsid w:val="000D54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352">
      <w:bodyDiv w:val="1"/>
      <w:marLeft w:val="0"/>
      <w:marRight w:val="0"/>
      <w:marTop w:val="0"/>
      <w:marBottom w:val="0"/>
      <w:divBdr>
        <w:top w:val="none" w:sz="0" w:space="0" w:color="auto"/>
        <w:left w:val="none" w:sz="0" w:space="0" w:color="auto"/>
        <w:bottom w:val="none" w:sz="0" w:space="0" w:color="auto"/>
        <w:right w:val="none" w:sz="0" w:space="0" w:color="auto"/>
      </w:divBdr>
    </w:div>
    <w:div w:id="123669225">
      <w:bodyDiv w:val="1"/>
      <w:marLeft w:val="0"/>
      <w:marRight w:val="0"/>
      <w:marTop w:val="0"/>
      <w:marBottom w:val="0"/>
      <w:divBdr>
        <w:top w:val="none" w:sz="0" w:space="0" w:color="auto"/>
        <w:left w:val="none" w:sz="0" w:space="0" w:color="auto"/>
        <w:bottom w:val="none" w:sz="0" w:space="0" w:color="auto"/>
        <w:right w:val="none" w:sz="0" w:space="0" w:color="auto"/>
      </w:divBdr>
    </w:div>
    <w:div w:id="286863426">
      <w:bodyDiv w:val="1"/>
      <w:marLeft w:val="0"/>
      <w:marRight w:val="0"/>
      <w:marTop w:val="0"/>
      <w:marBottom w:val="0"/>
      <w:divBdr>
        <w:top w:val="none" w:sz="0" w:space="0" w:color="auto"/>
        <w:left w:val="none" w:sz="0" w:space="0" w:color="auto"/>
        <w:bottom w:val="none" w:sz="0" w:space="0" w:color="auto"/>
        <w:right w:val="none" w:sz="0" w:space="0" w:color="auto"/>
      </w:divBdr>
    </w:div>
    <w:div w:id="308940294">
      <w:bodyDiv w:val="1"/>
      <w:marLeft w:val="0"/>
      <w:marRight w:val="0"/>
      <w:marTop w:val="0"/>
      <w:marBottom w:val="0"/>
      <w:divBdr>
        <w:top w:val="none" w:sz="0" w:space="0" w:color="auto"/>
        <w:left w:val="none" w:sz="0" w:space="0" w:color="auto"/>
        <w:bottom w:val="none" w:sz="0" w:space="0" w:color="auto"/>
        <w:right w:val="none" w:sz="0" w:space="0" w:color="auto"/>
      </w:divBdr>
    </w:div>
    <w:div w:id="514808151">
      <w:bodyDiv w:val="1"/>
      <w:marLeft w:val="0"/>
      <w:marRight w:val="0"/>
      <w:marTop w:val="0"/>
      <w:marBottom w:val="0"/>
      <w:divBdr>
        <w:top w:val="none" w:sz="0" w:space="0" w:color="auto"/>
        <w:left w:val="none" w:sz="0" w:space="0" w:color="auto"/>
        <w:bottom w:val="none" w:sz="0" w:space="0" w:color="auto"/>
        <w:right w:val="none" w:sz="0" w:space="0" w:color="auto"/>
      </w:divBdr>
    </w:div>
    <w:div w:id="524750232">
      <w:bodyDiv w:val="1"/>
      <w:marLeft w:val="0"/>
      <w:marRight w:val="0"/>
      <w:marTop w:val="0"/>
      <w:marBottom w:val="0"/>
      <w:divBdr>
        <w:top w:val="none" w:sz="0" w:space="0" w:color="auto"/>
        <w:left w:val="none" w:sz="0" w:space="0" w:color="auto"/>
        <w:bottom w:val="none" w:sz="0" w:space="0" w:color="auto"/>
        <w:right w:val="none" w:sz="0" w:space="0" w:color="auto"/>
      </w:divBdr>
    </w:div>
    <w:div w:id="1331714859">
      <w:bodyDiv w:val="1"/>
      <w:marLeft w:val="0"/>
      <w:marRight w:val="0"/>
      <w:marTop w:val="0"/>
      <w:marBottom w:val="0"/>
      <w:divBdr>
        <w:top w:val="none" w:sz="0" w:space="0" w:color="auto"/>
        <w:left w:val="none" w:sz="0" w:space="0" w:color="auto"/>
        <w:bottom w:val="none" w:sz="0" w:space="0" w:color="auto"/>
        <w:right w:val="none" w:sz="0" w:space="0" w:color="auto"/>
      </w:divBdr>
    </w:div>
    <w:div w:id="1444811036">
      <w:bodyDiv w:val="1"/>
      <w:marLeft w:val="0"/>
      <w:marRight w:val="0"/>
      <w:marTop w:val="0"/>
      <w:marBottom w:val="0"/>
      <w:divBdr>
        <w:top w:val="none" w:sz="0" w:space="0" w:color="auto"/>
        <w:left w:val="none" w:sz="0" w:space="0" w:color="auto"/>
        <w:bottom w:val="none" w:sz="0" w:space="0" w:color="auto"/>
        <w:right w:val="none" w:sz="0" w:space="0" w:color="auto"/>
      </w:divBdr>
    </w:div>
    <w:div w:id="16587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FB0E-3FB6-49A5-9F51-F137CDE7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75</TotalTime>
  <Pages>14</Pages>
  <Words>4443</Words>
  <Characters>24145</Characters>
  <Application>Microsoft Office Word</Application>
  <DocSecurity>0</DocSecurity>
  <Lines>554</Lines>
  <Paragraphs>335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cp:lastModifiedBy>Laurence Berthet</cp:lastModifiedBy>
  <cp:revision>9</cp:revision>
  <cp:lastPrinted>2018-04-11T11:24:00Z</cp:lastPrinted>
  <dcterms:created xsi:type="dcterms:W3CDTF">2018-04-11T07:53:00Z</dcterms:created>
  <dcterms:modified xsi:type="dcterms:W3CDTF">2018-04-11T11:31:00Z</dcterms:modified>
</cp:coreProperties>
</file>