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14:paraId="4A942AD7" w14:textId="77777777" w:rsidTr="00FE646C">
        <w:trPr>
          <w:trHeight w:val="851"/>
        </w:trPr>
        <w:tc>
          <w:tcPr>
            <w:tcW w:w="1259" w:type="dxa"/>
            <w:tcBorders>
              <w:top w:val="nil"/>
              <w:left w:val="nil"/>
              <w:bottom w:val="single" w:sz="4" w:space="0" w:color="auto"/>
              <w:right w:val="nil"/>
            </w:tcBorders>
          </w:tcPr>
          <w:p w14:paraId="764068BE" w14:textId="77777777" w:rsidR="0048539B" w:rsidRPr="006500BA" w:rsidRDefault="0048539B" w:rsidP="00FE646C">
            <w:pPr>
              <w:spacing w:after="80" w:line="340" w:lineRule="exact"/>
            </w:pPr>
            <w:bookmarkStart w:id="0" w:name="_Hlk510518800"/>
            <w:bookmarkEnd w:id="0"/>
          </w:p>
        </w:tc>
        <w:tc>
          <w:tcPr>
            <w:tcW w:w="2236" w:type="dxa"/>
            <w:tcBorders>
              <w:top w:val="nil"/>
              <w:left w:val="nil"/>
              <w:bottom w:val="single" w:sz="4" w:space="0" w:color="auto"/>
              <w:right w:val="nil"/>
            </w:tcBorders>
            <w:vAlign w:val="bottom"/>
          </w:tcPr>
          <w:p w14:paraId="1FFF37F0" w14:textId="77777777"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14:paraId="1D11AFDB" w14:textId="2458908C" w:rsidR="0048539B" w:rsidRPr="006500BA" w:rsidRDefault="0048539B" w:rsidP="00155514">
            <w:pPr>
              <w:jc w:val="right"/>
            </w:pPr>
            <w:r w:rsidRPr="00FE646C">
              <w:rPr>
                <w:sz w:val="40"/>
              </w:rPr>
              <w:t>ST</w:t>
            </w:r>
            <w:r>
              <w:t>/SG/AC.10/C.3/</w:t>
            </w:r>
            <w:r w:rsidR="00FB0119">
              <w:t>2018</w:t>
            </w:r>
            <w:r>
              <w:t>/</w:t>
            </w:r>
            <w:r w:rsidR="00D363F7">
              <w:t>4</w:t>
            </w:r>
            <w:r w:rsidR="00690EFC">
              <w:t>5</w:t>
            </w:r>
          </w:p>
        </w:tc>
      </w:tr>
      <w:tr w:rsidR="0048539B" w:rsidRPr="006500BA" w14:paraId="0C1F61BC" w14:textId="77777777" w:rsidTr="00CA7D03">
        <w:trPr>
          <w:trHeight w:val="1835"/>
        </w:trPr>
        <w:tc>
          <w:tcPr>
            <w:tcW w:w="1259" w:type="dxa"/>
            <w:tcBorders>
              <w:top w:val="single" w:sz="4" w:space="0" w:color="auto"/>
              <w:left w:val="nil"/>
              <w:bottom w:val="single" w:sz="12" w:space="0" w:color="auto"/>
              <w:right w:val="nil"/>
            </w:tcBorders>
          </w:tcPr>
          <w:p w14:paraId="313C627B" w14:textId="77777777" w:rsidR="0048539B" w:rsidRPr="006500BA" w:rsidRDefault="00F17D83" w:rsidP="00FE646C">
            <w:pPr>
              <w:spacing w:before="120"/>
              <w:jc w:val="center"/>
            </w:pPr>
            <w:r>
              <w:rPr>
                <w:noProof/>
                <w:lang w:val="en-US"/>
              </w:rPr>
              <w:drawing>
                <wp:inline distT="0" distB="0" distL="0" distR="0" wp14:anchorId="4A80F4DA" wp14:editId="503E1BE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49AE37E" w14:textId="77777777"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14:paraId="75165EAB" w14:textId="2B93C1E8" w:rsidR="0048539B" w:rsidRPr="00BC53AB" w:rsidRDefault="00E4094C" w:rsidP="00E4094C">
            <w:pPr>
              <w:spacing w:before="240" w:line="240" w:lineRule="exact"/>
            </w:pPr>
            <w:r>
              <w:t>Distr.: General</w:t>
            </w:r>
            <w:r w:rsidR="00934214">
              <w:br/>
            </w:r>
            <w:r w:rsidR="002B1D2A">
              <w:t>5</w:t>
            </w:r>
            <w:r w:rsidR="002D09FB">
              <w:t xml:space="preserve"> April</w:t>
            </w:r>
            <w:r w:rsidR="00BC53AB" w:rsidRPr="00BC53AB">
              <w:t xml:space="preserve"> 2018</w:t>
            </w:r>
          </w:p>
          <w:p w14:paraId="763AB6BC" w14:textId="77777777" w:rsidR="0048539B" w:rsidRPr="00BC53AB" w:rsidRDefault="0048539B" w:rsidP="00FE646C">
            <w:pPr>
              <w:spacing w:line="240" w:lineRule="exact"/>
            </w:pPr>
          </w:p>
          <w:p w14:paraId="45814ACD" w14:textId="77777777" w:rsidR="0048539B" w:rsidRPr="006500BA" w:rsidRDefault="0048539B" w:rsidP="00FE646C">
            <w:pPr>
              <w:spacing w:line="240" w:lineRule="exact"/>
            </w:pPr>
            <w:r>
              <w:t>Original: English</w:t>
            </w:r>
          </w:p>
        </w:tc>
      </w:tr>
    </w:tbl>
    <w:p w14:paraId="2AF512CF" w14:textId="77777777"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DF5ACE" w14:textId="77777777"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14:paraId="11AB4EE1" w14:textId="77777777" w:rsidR="0048539B" w:rsidRPr="006500BA" w:rsidRDefault="00B9329E" w:rsidP="0048539B">
      <w:pPr>
        <w:spacing w:before="100"/>
        <w:rPr>
          <w:b/>
        </w:rPr>
      </w:pPr>
      <w:r>
        <w:rPr>
          <w:b/>
        </w:rPr>
        <w:t>Fifty-third session</w:t>
      </w:r>
    </w:p>
    <w:p w14:paraId="6B349244" w14:textId="3830FA5A"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297F3D">
        <w:t>6 (b</w:t>
      </w:r>
      <w:r w:rsidR="00D363F7">
        <w:t>)</w:t>
      </w:r>
      <w:r w:rsidR="009D3AC0" w:rsidRPr="009D3AC0">
        <w:t xml:space="preserve"> of the provisional agenda</w:t>
      </w:r>
    </w:p>
    <w:p w14:paraId="68EC4CBD" w14:textId="2F3D991D" w:rsidR="00D363F7" w:rsidRDefault="00D363F7" w:rsidP="00D363F7">
      <w:pPr>
        <w:rPr>
          <w:b/>
          <w:bCs/>
        </w:rPr>
      </w:pPr>
      <w:r w:rsidRPr="002B1D2A">
        <w:rPr>
          <w:b/>
          <w:bCs/>
        </w:rPr>
        <w:t xml:space="preserve">Miscellaneous proposals for amendments to the </w:t>
      </w:r>
      <w:r w:rsidRPr="002B1D2A">
        <w:rPr>
          <w:b/>
          <w:bCs/>
        </w:rPr>
        <w:br/>
      </w:r>
      <w:r w:rsidRPr="00D363F7">
        <w:rPr>
          <w:b/>
          <w:bCs/>
        </w:rPr>
        <w:t>Model Regulations on the Transport of Dangerous Goods:</w:t>
      </w:r>
      <w:r w:rsidRPr="00D363F7">
        <w:rPr>
          <w:b/>
          <w:bCs/>
        </w:rPr>
        <w:br/>
      </w:r>
      <w:proofErr w:type="spellStart"/>
      <w:r w:rsidR="00297F3D" w:rsidRPr="00297F3D">
        <w:rPr>
          <w:b/>
          <w:bCs/>
        </w:rPr>
        <w:t>packagings</w:t>
      </w:r>
      <w:proofErr w:type="spellEnd"/>
    </w:p>
    <w:p w14:paraId="76F6C636" w14:textId="77777777" w:rsidR="002B1D2A" w:rsidRDefault="00690EFC" w:rsidP="002B1D2A">
      <w:pPr>
        <w:pStyle w:val="HChG"/>
      </w:pPr>
      <w:r>
        <w:rPr>
          <w:lang w:val="en-US"/>
        </w:rPr>
        <w:tab/>
      </w:r>
      <w:r>
        <w:rPr>
          <w:lang w:val="en-US"/>
        </w:rPr>
        <w:tab/>
      </w:r>
      <w:r>
        <w:t xml:space="preserve">Composite </w:t>
      </w:r>
      <w:r w:rsidR="002B1D2A">
        <w:t>Intermediate Bulk Containers (IBC</w:t>
      </w:r>
      <w:r>
        <w:t>s</w:t>
      </w:r>
      <w:r w:rsidR="002B1D2A">
        <w:t>): inner receptacle marking</w:t>
      </w:r>
    </w:p>
    <w:p w14:paraId="5F5D2D2A" w14:textId="4569628E" w:rsidR="00690EFC" w:rsidRPr="006B4408" w:rsidRDefault="00690EFC" w:rsidP="002B1D2A">
      <w:pPr>
        <w:pStyle w:val="H1G"/>
      </w:pPr>
      <w:r>
        <w:tab/>
      </w:r>
      <w:r>
        <w:tab/>
        <w:t>Transmitted</w:t>
      </w:r>
      <w:r w:rsidRPr="006B4408">
        <w:t xml:space="preserve"> by the expert </w:t>
      </w:r>
      <w:r>
        <w:t>from</w:t>
      </w:r>
      <w:r w:rsidRPr="006B4408">
        <w:t xml:space="preserve"> </w:t>
      </w:r>
      <w:r>
        <w:t>Belgium</w:t>
      </w:r>
      <w:r>
        <w:rPr>
          <w:rStyle w:val="FootnoteReference"/>
        </w:rPr>
        <w:footnoteReference w:id="2"/>
      </w:r>
    </w:p>
    <w:p w14:paraId="149A873E" w14:textId="77777777" w:rsidR="00690EFC" w:rsidRPr="00F82A63" w:rsidRDefault="00690EFC" w:rsidP="00690EFC">
      <w:pPr>
        <w:pStyle w:val="HChG"/>
      </w:pPr>
      <w:r w:rsidRPr="006B4408">
        <w:tab/>
      </w:r>
      <w:r w:rsidRPr="006B4408">
        <w:tab/>
      </w:r>
      <w:r>
        <w:t>Introduction</w:t>
      </w:r>
    </w:p>
    <w:p w14:paraId="3A7AF77E" w14:textId="7B621450" w:rsidR="00690EFC" w:rsidRPr="00690EFC" w:rsidRDefault="00690EFC" w:rsidP="00690EFC">
      <w:pPr>
        <w:pStyle w:val="SingleTxtG"/>
        <w:numPr>
          <w:ilvl w:val="0"/>
          <w:numId w:val="23"/>
        </w:numPr>
        <w:ind w:left="1134" w:firstLine="0"/>
      </w:pPr>
      <w:r w:rsidRPr="00690EFC">
        <w:t xml:space="preserve">In accordance with 6.5.2.2.4, the inner receptacle of composite IBCs shall be identified by the application of the marks indicated in 6.5.2.1.1 (b), (c), (d) where this date is that of the manufacture of the plastics inner receptacle, (e) and (f).  </w:t>
      </w:r>
      <w:r w:rsidRPr="00690EFC">
        <w:rPr>
          <w:rFonts w:eastAsia="SimSun"/>
        </w:rPr>
        <w:t xml:space="preserve">The UN packaging symbol shall not be applied. The marks shall be applied in the sequence shown in 6.5.2.1.1. It shall be durable, legible and placed in a location </w:t>
      </w:r>
      <w:proofErr w:type="gramStart"/>
      <w:r w:rsidRPr="00690EFC">
        <w:rPr>
          <w:rFonts w:eastAsia="SimSun"/>
        </w:rPr>
        <w:t>so as to</w:t>
      </w:r>
      <w:proofErr w:type="gramEnd"/>
      <w:r w:rsidRPr="00690EFC">
        <w:rPr>
          <w:rFonts w:eastAsia="SimSun"/>
        </w:rPr>
        <w:t xml:space="preserve"> be readily visible when the inner receptacle is placed in the outer casing.</w:t>
      </w:r>
    </w:p>
    <w:p w14:paraId="1A757005" w14:textId="156D9DA6" w:rsidR="00690EFC" w:rsidRPr="00690EFC" w:rsidRDefault="00690EFC" w:rsidP="00690EFC">
      <w:pPr>
        <w:pStyle w:val="SingleTxtG"/>
        <w:numPr>
          <w:ilvl w:val="0"/>
          <w:numId w:val="23"/>
        </w:numPr>
        <w:ind w:left="1134" w:firstLine="0"/>
      </w:pPr>
      <w:r w:rsidRPr="00690EFC">
        <w:t>Most of the composite IBCs with a rigid inner plastic receptacle are made by assembling a pallet as base, a metal open glitter cage</w:t>
      </w:r>
      <w:r w:rsidR="002B1D2A">
        <w:t xml:space="preserve"> and a plastic inner receptacle (s</w:t>
      </w:r>
      <w:r w:rsidRPr="00690EFC">
        <w:t xml:space="preserve">ee pictures in </w:t>
      </w:r>
      <w:r w:rsidR="002B1D2A">
        <w:t>the a</w:t>
      </w:r>
      <w:r w:rsidRPr="00690EFC">
        <w:t xml:space="preserve">nnex </w:t>
      </w:r>
      <w:r w:rsidR="002B1D2A">
        <w:t>to this document</w:t>
      </w:r>
      <w:r w:rsidRPr="00690EFC">
        <w:t>). After assembling the mark on the inner receptacle is readily visible.</w:t>
      </w:r>
    </w:p>
    <w:p w14:paraId="26574217" w14:textId="3366664C" w:rsidR="00690EFC" w:rsidRPr="00690EFC" w:rsidRDefault="00690EFC" w:rsidP="00690EFC">
      <w:pPr>
        <w:pStyle w:val="SingleTxtG"/>
        <w:numPr>
          <w:ilvl w:val="0"/>
          <w:numId w:val="23"/>
        </w:numPr>
        <w:ind w:left="1134" w:firstLine="0"/>
      </w:pPr>
      <w:r w:rsidRPr="00690EFC">
        <w:t xml:space="preserve">Beside the above described IBCs, composite IBCs with full external walls (metal shelfs or plastic </w:t>
      </w:r>
      <w:r w:rsidR="002B1D2A">
        <w:t>shelves) also exist (see picture in the</w:t>
      </w:r>
      <w:r w:rsidRPr="00690EFC">
        <w:t xml:space="preserve"> annex </w:t>
      </w:r>
      <w:r w:rsidR="002B1D2A">
        <w:t>to this document</w:t>
      </w:r>
      <w:r w:rsidRPr="00690EFC">
        <w:t>). These IBC’s are mostly used for conditioning chemicals requesting high purity.</w:t>
      </w:r>
    </w:p>
    <w:p w14:paraId="7C8F30C3" w14:textId="36062A70" w:rsidR="00690EFC" w:rsidRPr="00690EFC" w:rsidRDefault="00690EFC" w:rsidP="00690EFC">
      <w:pPr>
        <w:pStyle w:val="SingleTxtG"/>
        <w:numPr>
          <w:ilvl w:val="0"/>
          <w:numId w:val="23"/>
        </w:numPr>
        <w:ind w:left="1134" w:firstLine="0"/>
      </w:pPr>
      <w:r w:rsidRPr="00690EFC">
        <w:t>The full outer shelf construction is to prevent the products from any external environmental influence (such as light, dust…) and to cover also the upper side of the inner receptacle.</w:t>
      </w:r>
    </w:p>
    <w:p w14:paraId="1C4EA2D3" w14:textId="036203EA" w:rsidR="00690EFC" w:rsidRPr="00690EFC" w:rsidRDefault="00690EFC" w:rsidP="00690EFC">
      <w:pPr>
        <w:pStyle w:val="SingleTxtG"/>
        <w:numPr>
          <w:ilvl w:val="0"/>
          <w:numId w:val="23"/>
        </w:numPr>
        <w:ind w:left="1134" w:firstLine="0"/>
      </w:pPr>
      <w:r w:rsidRPr="00690EFC">
        <w:t>After assembling the inner receptacle (marked in accordance with 6.5.2.2.4) into the full outer shelf of the IBC, the mark of the inner receptacle is not readily visible.</w:t>
      </w:r>
    </w:p>
    <w:p w14:paraId="0FC94768" w14:textId="0EC8650B" w:rsidR="00690EFC" w:rsidRPr="00690EFC" w:rsidRDefault="00690EFC" w:rsidP="00690EFC">
      <w:pPr>
        <w:pStyle w:val="SingleTxtG"/>
        <w:numPr>
          <w:ilvl w:val="0"/>
          <w:numId w:val="23"/>
        </w:numPr>
        <w:ind w:left="1134" w:firstLine="0"/>
      </w:pPr>
      <w:r w:rsidRPr="00690EFC">
        <w:lastRenderedPageBreak/>
        <w:t xml:space="preserve">The part of the sentence “…. </w:t>
      </w:r>
      <w:r w:rsidRPr="00690EFC">
        <w:rPr>
          <w:rFonts w:eastAsia="SimSun"/>
        </w:rPr>
        <w:t xml:space="preserve">when the inner receptacle is placed in the outer casing.” leaves room for different interpretations: </w:t>
      </w:r>
      <w:r w:rsidRPr="00690EFC">
        <w:t xml:space="preserve"> Must the mark be visible only during the assembling or remain visible also after assembling? </w:t>
      </w:r>
    </w:p>
    <w:p w14:paraId="37C51096" w14:textId="7A681732" w:rsidR="00690EFC" w:rsidRPr="00690EFC" w:rsidRDefault="00690EFC" w:rsidP="00690EFC">
      <w:pPr>
        <w:pStyle w:val="SingleTxtG"/>
        <w:numPr>
          <w:ilvl w:val="0"/>
          <w:numId w:val="23"/>
        </w:numPr>
        <w:ind w:left="1134" w:firstLine="0"/>
      </w:pPr>
      <w:r w:rsidRPr="00690EFC">
        <w:t xml:space="preserve">We </w:t>
      </w:r>
      <w:proofErr w:type="gramStart"/>
      <w:r w:rsidRPr="00690EFC">
        <w:t>are of the opinion that</w:t>
      </w:r>
      <w:proofErr w:type="gramEnd"/>
      <w:r w:rsidRPr="00690EFC">
        <w:t xml:space="preserve"> the importance of having the mark on the inner receptacle is to have a traceable system which assures, that in accordance with the prototype, the correct inner receptacle has been used during the assembling.</w:t>
      </w:r>
    </w:p>
    <w:p w14:paraId="1E1A1FFD" w14:textId="77777777" w:rsidR="00690EFC" w:rsidRDefault="00690EFC" w:rsidP="00690EFC">
      <w:pPr>
        <w:pStyle w:val="HChG"/>
      </w:pPr>
      <w:r>
        <w:tab/>
      </w:r>
      <w:r>
        <w:tab/>
        <w:t xml:space="preserve">Proposal </w:t>
      </w:r>
    </w:p>
    <w:p w14:paraId="0DA4D6F5" w14:textId="5A5707BF" w:rsidR="00690EFC" w:rsidRPr="00690EFC" w:rsidRDefault="00690EFC" w:rsidP="00690EFC">
      <w:pPr>
        <w:pStyle w:val="SingleTxtG"/>
        <w:rPr>
          <w:rFonts w:eastAsia="SimSun"/>
        </w:rPr>
      </w:pPr>
      <w:r>
        <w:t>8.</w:t>
      </w:r>
      <w:r>
        <w:tab/>
      </w:r>
      <w:r w:rsidRPr="00690EFC">
        <w:t xml:space="preserve">Amend the </w:t>
      </w:r>
      <w:r w:rsidR="002B1D2A">
        <w:t>first paragraph of 6.5.2.2.4</w:t>
      </w:r>
      <w:r w:rsidRPr="00690EFC">
        <w:t xml:space="preserve"> to read as follows: (</w:t>
      </w:r>
      <w:r w:rsidRPr="00690EFC">
        <w:rPr>
          <w:u w:val="single"/>
        </w:rPr>
        <w:t>new text underlined</w:t>
      </w:r>
      <w:r w:rsidRPr="00690EFC">
        <w:t xml:space="preserve">, </w:t>
      </w:r>
      <w:r w:rsidRPr="00690EFC">
        <w:rPr>
          <w:strike/>
        </w:rPr>
        <w:t>deleted text stricken trough</w:t>
      </w:r>
      <w:r w:rsidRPr="00690EFC">
        <w:t>)</w:t>
      </w:r>
    </w:p>
    <w:p w14:paraId="07D72D94" w14:textId="1D50F202" w:rsidR="00690EFC" w:rsidRPr="00690EFC" w:rsidRDefault="002B1D2A" w:rsidP="00690EFC">
      <w:pPr>
        <w:pStyle w:val="SingleTxtG"/>
        <w:ind w:left="1701"/>
      </w:pPr>
      <w:r>
        <w:t>“</w:t>
      </w:r>
      <w:bookmarkStart w:id="1" w:name="_GoBack"/>
      <w:bookmarkEnd w:id="1"/>
      <w:r w:rsidR="00690EFC" w:rsidRPr="00690EFC">
        <w:t xml:space="preserve">6.5.2.2.4 Inner receptacles that are of composite IBC design type shall be identified by the application of the marks indicated in 6.5.2.1.1 (b), (c), (d) where this date is that of the manufacture of the plastics inner receptacle, (e) and (f). The UN packaging symbol shall not be applied. The marks shall be applied in the sequence shown in 6.5.2.1.1. It shall be durable, legible and placed in a location </w:t>
      </w:r>
      <w:proofErr w:type="gramStart"/>
      <w:r w:rsidR="00690EFC" w:rsidRPr="00690EFC">
        <w:t>so as to</w:t>
      </w:r>
      <w:proofErr w:type="gramEnd"/>
      <w:r w:rsidR="00690EFC" w:rsidRPr="00690EFC">
        <w:t xml:space="preserve"> be readily visible </w:t>
      </w:r>
      <w:r w:rsidR="00690EFC" w:rsidRPr="00690EFC">
        <w:rPr>
          <w:strike/>
        </w:rPr>
        <w:t>when</w:t>
      </w:r>
      <w:r w:rsidR="00690EFC" w:rsidRPr="00690EFC">
        <w:t xml:space="preserve"> </w:t>
      </w:r>
      <w:r w:rsidR="00690EFC" w:rsidRPr="00690EFC">
        <w:rPr>
          <w:u w:val="single"/>
        </w:rPr>
        <w:t>during the assembling of</w:t>
      </w:r>
      <w:r w:rsidR="00690EFC" w:rsidRPr="00690EFC">
        <w:t xml:space="preserve"> the inner receptacle </w:t>
      </w:r>
      <w:r w:rsidR="00690EFC" w:rsidRPr="00690EFC">
        <w:rPr>
          <w:strike/>
        </w:rPr>
        <w:t>is placed</w:t>
      </w:r>
      <w:r>
        <w:t xml:space="preserve"> in the outer casing.”.</w:t>
      </w:r>
    </w:p>
    <w:p w14:paraId="64FC3F8F" w14:textId="31B4154D" w:rsidR="00690EFC" w:rsidRDefault="00690EFC">
      <w:pPr>
        <w:suppressAutoHyphens w:val="0"/>
        <w:spacing w:line="240" w:lineRule="auto"/>
      </w:pPr>
      <w:r>
        <w:br w:type="page"/>
      </w:r>
    </w:p>
    <w:p w14:paraId="64A1E617" w14:textId="6D36CCF5" w:rsidR="00690EFC" w:rsidRDefault="00690EFC" w:rsidP="00690EFC">
      <w:pPr>
        <w:pStyle w:val="HChG"/>
      </w:pPr>
      <w:r>
        <w:lastRenderedPageBreak/>
        <w:t>Annex</w:t>
      </w:r>
      <w:r w:rsidR="002B1D2A">
        <w:t xml:space="preserve"> </w:t>
      </w:r>
    </w:p>
    <w:p w14:paraId="39031A82" w14:textId="20DD8838" w:rsidR="00690EFC" w:rsidRPr="00690EFC" w:rsidRDefault="00690EFC" w:rsidP="00690EFC">
      <w:pPr>
        <w:pStyle w:val="HChG"/>
      </w:pPr>
      <w:r>
        <w:tab/>
      </w:r>
      <w:r>
        <w:tab/>
        <w:t>Composite IBCs with glitter cage</w:t>
      </w:r>
    </w:p>
    <w:p w14:paraId="623BCA30" w14:textId="303CD562" w:rsidR="00CA7BB7" w:rsidRDefault="00CA7BB7" w:rsidP="00CA7BB7">
      <w:pPr>
        <w:pStyle w:val="SingleTxtG"/>
        <w:ind w:right="567"/>
        <w:jc w:val="left"/>
        <w:rPr>
          <w:u w:val="single"/>
        </w:rPr>
      </w:pPr>
      <w:r w:rsidRPr="00536782">
        <w:rPr>
          <w:noProof/>
          <w:color w:val="0000FF"/>
          <w:lang w:val="en-US"/>
        </w:rPr>
        <w:drawing>
          <wp:inline distT="0" distB="0" distL="0" distR="0" wp14:anchorId="480AC4BB" wp14:editId="602A230E">
            <wp:extent cx="1562100" cy="1790700"/>
            <wp:effectExtent l="0" t="0" r="0" b="0"/>
            <wp:docPr id="5" name="irc_mi" descr="Afbeeldingsresultaat voor composite IB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osite IB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790700"/>
                    </a:xfrm>
                    <a:prstGeom prst="rect">
                      <a:avLst/>
                    </a:prstGeom>
                    <a:noFill/>
                    <a:ln>
                      <a:noFill/>
                    </a:ln>
                  </pic:spPr>
                </pic:pic>
              </a:graphicData>
            </a:graphic>
          </wp:inline>
        </w:drawing>
      </w:r>
      <w:r>
        <w:rPr>
          <w:noProof/>
          <w:color w:val="0000FF"/>
          <w:lang w:val="en-US"/>
        </w:rPr>
        <w:drawing>
          <wp:inline distT="0" distB="0" distL="0" distR="0" wp14:anchorId="3F85140F" wp14:editId="6F5F489B">
            <wp:extent cx="1638300" cy="1800225"/>
            <wp:effectExtent l="0" t="0" r="0" b="0"/>
            <wp:docPr id="7" name="irc_mi" descr="Afbeeldingsresultaat voor composite IBC schut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osite IBC schutz">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800225"/>
                    </a:xfrm>
                    <a:prstGeom prst="rect">
                      <a:avLst/>
                    </a:prstGeom>
                    <a:noFill/>
                    <a:ln>
                      <a:noFill/>
                    </a:ln>
                  </pic:spPr>
                </pic:pic>
              </a:graphicData>
            </a:graphic>
          </wp:inline>
        </w:drawing>
      </w:r>
      <w:r>
        <w:rPr>
          <w:noProof/>
          <w:color w:val="0000FF"/>
          <w:lang w:val="en-US"/>
        </w:rPr>
        <w:drawing>
          <wp:inline distT="0" distB="0" distL="0" distR="0" wp14:anchorId="28D2CFC5" wp14:editId="3A7970C3">
            <wp:extent cx="1304925" cy="1400175"/>
            <wp:effectExtent l="0" t="0" r="9525" b="9525"/>
            <wp:docPr id="8" name="irc_mi" descr="Afbeeldingsresultaat voor composite IBC sotralentz">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composite IBC sotralentz">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p w14:paraId="2AC87991" w14:textId="2FC8B193" w:rsidR="00CA7BB7" w:rsidRDefault="00CA7BB7" w:rsidP="00CA7BB7">
      <w:pPr>
        <w:pStyle w:val="SingleTxtG"/>
        <w:jc w:val="left"/>
        <w:rPr>
          <w:u w:val="single"/>
        </w:rPr>
      </w:pPr>
    </w:p>
    <w:p w14:paraId="6298DEA1" w14:textId="0246E829" w:rsidR="00CA7BB7" w:rsidRDefault="00CA7BB7" w:rsidP="00CA7BB7">
      <w:pPr>
        <w:pStyle w:val="HChG"/>
      </w:pPr>
      <w:r>
        <w:tab/>
      </w:r>
      <w:r>
        <w:tab/>
        <w:t xml:space="preserve">Composite IBCs with full </w:t>
      </w:r>
      <w:r w:rsidR="002B1D2A">
        <w:t>external walls</w:t>
      </w:r>
    </w:p>
    <w:p w14:paraId="7645B8AC" w14:textId="5E23C0F3" w:rsidR="00CA7BB7" w:rsidRDefault="00CA7BB7" w:rsidP="00CA7BB7">
      <w:pPr>
        <w:pStyle w:val="SingleTxtG"/>
        <w:ind w:left="426" w:right="141" w:hanging="142"/>
        <w:jc w:val="left"/>
        <w:rPr>
          <w:rStyle w:val="Hyperlink"/>
          <w:noProof/>
        </w:rPr>
      </w:pPr>
      <w:r w:rsidRPr="009A0BEA">
        <w:t xml:space="preserve">  </w:t>
      </w:r>
      <w:r w:rsidRPr="009A0BEA">
        <w:rPr>
          <w:rFonts w:ascii="Verdana" w:hAnsi="Verdana"/>
          <w:noProof/>
          <w:color w:val="222222"/>
          <w:sz w:val="17"/>
          <w:szCs w:val="17"/>
          <w:lang w:val="en-US"/>
        </w:rPr>
        <w:drawing>
          <wp:inline distT="0" distB="0" distL="0" distR="0" wp14:anchorId="6BCA9E62" wp14:editId="572B1833">
            <wp:extent cx="1181100" cy="1085850"/>
            <wp:effectExtent l="0" t="0" r="0" b="0"/>
            <wp:docPr id="2" name="piGalImg_" descr="http://www.monopoel.de/catalog/images/ibc-1000-stun-800.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alImg_" descr="http://www.monopoel.de/catalog/images/ibc-1000-stun-800.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r>
        <w:rPr>
          <w:rFonts w:ascii="Tahoma" w:hAnsi="Tahoma" w:cs="Tahoma"/>
          <w:noProof/>
          <w:color w:val="61615E"/>
          <w:sz w:val="17"/>
          <w:szCs w:val="17"/>
        </w:rPr>
        <w:t xml:space="preserve">          </w:t>
      </w:r>
      <w:r>
        <w:rPr>
          <w:rFonts w:ascii="Tahoma" w:hAnsi="Tahoma" w:cs="Tahoma"/>
          <w:noProof/>
          <w:color w:val="61615E"/>
          <w:sz w:val="17"/>
          <w:szCs w:val="17"/>
          <w:lang w:val="en-US"/>
        </w:rPr>
        <w:drawing>
          <wp:inline distT="0" distB="0" distL="0" distR="0" wp14:anchorId="2447DDC8" wp14:editId="741411E7">
            <wp:extent cx="1154718" cy="1285750"/>
            <wp:effectExtent l="0" t="0" r="7620" b="0"/>
            <wp:docPr id="3" name="Picture 3" descr="http://www.rikutec.com/images/ibc_gr_10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kutec.com/images/ibc_gr_1000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6802" cy="1321475"/>
                    </a:xfrm>
                    <a:prstGeom prst="rect">
                      <a:avLst/>
                    </a:prstGeom>
                    <a:noFill/>
                    <a:ln>
                      <a:noFill/>
                    </a:ln>
                  </pic:spPr>
                </pic:pic>
              </a:graphicData>
            </a:graphic>
          </wp:inline>
        </w:drawing>
      </w:r>
      <w:r>
        <w:rPr>
          <w:rFonts w:ascii="Tahoma" w:hAnsi="Tahoma" w:cs="Tahoma"/>
          <w:noProof/>
          <w:color w:val="61615E"/>
          <w:sz w:val="17"/>
          <w:szCs w:val="17"/>
        </w:rPr>
        <w:t xml:space="preserve">  </w:t>
      </w:r>
      <w:r>
        <w:rPr>
          <w:noProof/>
          <w:color w:val="0000FF"/>
          <w:lang w:val="en-US"/>
        </w:rPr>
        <w:t xml:space="preserve">      </w:t>
      </w:r>
      <w:r>
        <w:rPr>
          <w:noProof/>
          <w:color w:val="0000FF"/>
          <w:lang w:val="en-US"/>
        </w:rPr>
        <w:drawing>
          <wp:inline distT="0" distB="0" distL="0" distR="0" wp14:anchorId="2BA80901" wp14:editId="686E39E3">
            <wp:extent cx="990600" cy="1123950"/>
            <wp:effectExtent l="0" t="0" r="0" b="0"/>
            <wp:docPr id="9" name="irc_mi" descr="Afbeeldingsresultaat voor entegris IB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ntegris IBC">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123950"/>
                    </a:xfrm>
                    <a:prstGeom prst="rect">
                      <a:avLst/>
                    </a:prstGeom>
                    <a:noFill/>
                    <a:ln>
                      <a:noFill/>
                    </a:ln>
                  </pic:spPr>
                </pic:pic>
              </a:graphicData>
            </a:graphic>
          </wp:inline>
        </w:drawing>
      </w:r>
      <w:r>
        <w:rPr>
          <w:rFonts w:ascii="Open Sans" w:hAnsi="Open Sans" w:cs="Arial"/>
          <w:noProof/>
          <w:color w:val="393630"/>
          <w:sz w:val="21"/>
          <w:szCs w:val="21"/>
        </w:rPr>
        <w:t xml:space="preserve">    </w:t>
      </w:r>
      <w:r w:rsidRPr="00326BE1">
        <w:rPr>
          <w:rStyle w:val="Hyperlink"/>
          <w:noProof/>
          <w:lang w:val="en-US"/>
        </w:rPr>
        <w:drawing>
          <wp:inline distT="0" distB="0" distL="0" distR="0" wp14:anchorId="1CAE1C2C" wp14:editId="5E7B7B0E">
            <wp:extent cx="1527516" cy="968131"/>
            <wp:effectExtent l="0" t="0" r="0" b="3810"/>
            <wp:docPr id="4" name="Picture 4" descr="VARIBOX® Full Containment I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IBOX® Full Containment IB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771" cy="996179"/>
                    </a:xfrm>
                    <a:prstGeom prst="rect">
                      <a:avLst/>
                    </a:prstGeom>
                    <a:noFill/>
                    <a:ln>
                      <a:noFill/>
                    </a:ln>
                  </pic:spPr>
                </pic:pic>
              </a:graphicData>
            </a:graphic>
          </wp:inline>
        </w:drawing>
      </w:r>
    </w:p>
    <w:p w14:paraId="67EC7941" w14:textId="284AAF8B" w:rsidR="00CA7BB7" w:rsidRPr="00CA7BB7" w:rsidRDefault="00CA7BB7" w:rsidP="00CA7BB7">
      <w:pPr>
        <w:pStyle w:val="HChG"/>
        <w:keepNext w:val="0"/>
        <w:keepLines w:val="0"/>
        <w:spacing w:before="240" w:after="0" w:line="240" w:lineRule="atLeast"/>
        <w:ind w:firstLine="0"/>
        <w:jc w:val="center"/>
        <w:rPr>
          <w:b w:val="0"/>
          <w:bCs/>
          <w:u w:val="single"/>
        </w:rPr>
      </w:pPr>
      <w:r w:rsidRPr="00CA7BB7">
        <w:rPr>
          <w:b w:val="0"/>
          <w:bCs/>
          <w:u w:val="single"/>
        </w:rPr>
        <w:tab/>
      </w:r>
      <w:r w:rsidRPr="00CA7BB7">
        <w:rPr>
          <w:b w:val="0"/>
          <w:bCs/>
          <w:u w:val="single"/>
        </w:rPr>
        <w:tab/>
      </w:r>
      <w:r w:rsidRPr="00CA7BB7">
        <w:rPr>
          <w:b w:val="0"/>
          <w:bCs/>
          <w:u w:val="single"/>
        </w:rPr>
        <w:tab/>
      </w:r>
      <w:r w:rsidRPr="00CA7BB7">
        <w:rPr>
          <w:b w:val="0"/>
          <w:bCs/>
          <w:u w:val="single"/>
        </w:rPr>
        <w:tab/>
      </w:r>
    </w:p>
    <w:p w14:paraId="5799DC47" w14:textId="77777777" w:rsidR="00CA7BB7" w:rsidRPr="00297F3D" w:rsidRDefault="00CA7BB7" w:rsidP="00D363F7">
      <w:pPr>
        <w:rPr>
          <w:b/>
          <w:bCs/>
        </w:rPr>
      </w:pPr>
    </w:p>
    <w:sectPr w:rsidR="00CA7BB7" w:rsidRPr="00297F3D" w:rsidSect="00D938D5">
      <w:headerReference w:type="even" r:id="rId21"/>
      <w:headerReference w:type="default" r:id="rId22"/>
      <w:footerReference w:type="even" r:id="rId23"/>
      <w:footerReference w:type="default" r:id="rId2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E4DA" w14:textId="77777777" w:rsidR="00C8066C" w:rsidRDefault="00C8066C"/>
  </w:endnote>
  <w:endnote w:type="continuationSeparator" w:id="0">
    <w:p w14:paraId="26C4CD98" w14:textId="77777777" w:rsidR="00C8066C" w:rsidRDefault="00C8066C"/>
  </w:endnote>
  <w:endnote w:type="continuationNotice" w:id="1">
    <w:p w14:paraId="6F3D6932" w14:textId="77777777" w:rsidR="00C8066C" w:rsidRDefault="00C80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F23" w14:textId="4B051187" w:rsidR="009D3AC0" w:rsidRPr="0099001C" w:rsidRDefault="009D3AC0" w:rsidP="003C5896">
    <w:pPr>
      <w:pStyle w:val="Footer"/>
      <w:rPr>
        <w:sz w:val="18"/>
      </w:rPr>
    </w:pPr>
    <w:r w:rsidRPr="00FB75E7">
      <w:rPr>
        <w:b/>
      </w:rPr>
      <w:fldChar w:fldCharType="begin"/>
    </w:r>
    <w:r w:rsidRPr="00FB75E7">
      <w:rPr>
        <w:b/>
      </w:rPr>
      <w:instrText xml:space="preserve"> PAGE   \* MERGEFORMAT </w:instrText>
    </w:r>
    <w:r w:rsidRPr="00FB75E7">
      <w:rPr>
        <w:b/>
      </w:rPr>
      <w:fldChar w:fldCharType="separate"/>
    </w:r>
    <w:r w:rsidR="00B20254">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90C6" w14:textId="323C7214" w:rsidR="009D3AC0" w:rsidRPr="004D2B47" w:rsidRDefault="009D3AC0">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B20254">
      <w:rPr>
        <w:b/>
        <w:noProof/>
      </w:rPr>
      <w:t>3</w:t>
    </w:r>
    <w:r w:rsidRPr="004D2B47">
      <w:rPr>
        <w:b/>
        <w:noProof/>
      </w:rPr>
      <w:fldChar w:fldCharType="end"/>
    </w:r>
  </w:p>
  <w:p w14:paraId="3494F889" w14:textId="77777777"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9D5C1" w14:textId="77777777" w:rsidR="00C8066C" w:rsidRPr="000B175B" w:rsidRDefault="00C8066C" w:rsidP="000B175B">
      <w:pPr>
        <w:tabs>
          <w:tab w:val="right" w:pos="2155"/>
        </w:tabs>
        <w:spacing w:after="80"/>
        <w:ind w:left="680"/>
        <w:rPr>
          <w:u w:val="single"/>
        </w:rPr>
      </w:pPr>
      <w:r>
        <w:rPr>
          <w:u w:val="single"/>
        </w:rPr>
        <w:tab/>
      </w:r>
    </w:p>
  </w:footnote>
  <w:footnote w:type="continuationSeparator" w:id="0">
    <w:p w14:paraId="34E1FDD3" w14:textId="77777777" w:rsidR="00C8066C" w:rsidRPr="00FC68B7" w:rsidRDefault="00C8066C" w:rsidP="00FC68B7">
      <w:pPr>
        <w:tabs>
          <w:tab w:val="left" w:pos="2155"/>
        </w:tabs>
        <w:spacing w:after="80"/>
        <w:ind w:left="680"/>
        <w:rPr>
          <w:u w:val="single"/>
        </w:rPr>
      </w:pPr>
      <w:r>
        <w:rPr>
          <w:u w:val="single"/>
        </w:rPr>
        <w:tab/>
      </w:r>
    </w:p>
  </w:footnote>
  <w:footnote w:type="continuationNotice" w:id="1">
    <w:p w14:paraId="32A3A3B7" w14:textId="77777777" w:rsidR="00C8066C" w:rsidRDefault="00C8066C"/>
  </w:footnote>
  <w:footnote w:id="2">
    <w:p w14:paraId="350F6BEF" w14:textId="35BCC244" w:rsidR="00690EFC" w:rsidRPr="00690EFC" w:rsidRDefault="00690EFC" w:rsidP="00690EFC">
      <w:pPr>
        <w:pStyle w:val="FootnoteText"/>
        <w:tabs>
          <w:tab w:val="left" w:pos="1418"/>
        </w:tabs>
        <w:ind w:firstLine="0"/>
        <w:rPr>
          <w:lang w:val="fr-CH"/>
        </w:rPr>
      </w:pP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8E7F" w14:textId="25B13CC6" w:rsidR="009D3AC0" w:rsidRPr="006C6A56" w:rsidRDefault="0020121B" w:rsidP="006C6A56">
    <w:pPr>
      <w:pStyle w:val="Header"/>
    </w:pPr>
    <w:r>
      <w:t>ST/SG/AC.10/C.3/</w:t>
    </w:r>
    <w:r w:rsidR="003C5896">
      <w:t>2018</w:t>
    </w:r>
    <w:r w:rsidR="00CA7BB7">
      <w:t>/45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9A5E" w14:textId="68A2AF20" w:rsidR="009D3AC0" w:rsidRPr="001F676B" w:rsidRDefault="001A356B" w:rsidP="00C42500">
    <w:pPr>
      <w:pStyle w:val="Header"/>
      <w:pBdr>
        <w:bottom w:val="single" w:sz="4" w:space="1" w:color="auto"/>
      </w:pBdr>
      <w:jc w:val="right"/>
    </w:pPr>
    <w:r>
      <w:t>ST/SG/AC.10/C.3/2018/</w:t>
    </w:r>
    <w:r w:rsidR="00CA7BB7">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31EC"/>
    <w:multiLevelType w:val="hybridMultilevel"/>
    <w:tmpl w:val="F3BAE118"/>
    <w:lvl w:ilvl="0" w:tplc="26920BE6">
      <w:start w:val="1"/>
      <w:numFmt w:val="decimal"/>
      <w:lvlText w:val="%1."/>
      <w:lvlJc w:val="left"/>
      <w:pPr>
        <w:ind w:left="1500" w:hanging="36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 w15:restartNumberingAfterBreak="0">
    <w:nsid w:val="0334021C"/>
    <w:multiLevelType w:val="hybridMultilevel"/>
    <w:tmpl w:val="B8D69FEA"/>
    <w:lvl w:ilvl="0" w:tplc="486E2B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7249CB"/>
    <w:multiLevelType w:val="hybridMultilevel"/>
    <w:tmpl w:val="F5903F86"/>
    <w:lvl w:ilvl="0" w:tplc="BE5E8F1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95260"/>
    <w:multiLevelType w:val="hybridMultilevel"/>
    <w:tmpl w:val="6C08F8C6"/>
    <w:lvl w:ilvl="0" w:tplc="2F005D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FCC3605"/>
    <w:multiLevelType w:val="hybridMultilevel"/>
    <w:tmpl w:val="4D1E0A3E"/>
    <w:lvl w:ilvl="0" w:tplc="D0363384">
      <w:start w:val="1"/>
      <w:numFmt w:val="decimal"/>
      <w:lvlText w:val="%1."/>
      <w:lvlJc w:val="left"/>
      <w:pPr>
        <w:ind w:left="957" w:hanging="39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7"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8" w15:restartNumberingAfterBreak="0">
    <w:nsid w:val="35C6284E"/>
    <w:multiLevelType w:val="hybridMultilevel"/>
    <w:tmpl w:val="B6BCE0AA"/>
    <w:lvl w:ilvl="0" w:tplc="85323F7E">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1" w15:restartNumberingAfterBreak="0">
    <w:nsid w:val="3E3C4C3A"/>
    <w:multiLevelType w:val="hybridMultilevel"/>
    <w:tmpl w:val="B8AE87C4"/>
    <w:lvl w:ilvl="0" w:tplc="8460E2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3AC59F4"/>
    <w:multiLevelType w:val="hybridMultilevel"/>
    <w:tmpl w:val="AEA4547A"/>
    <w:lvl w:ilvl="0" w:tplc="97AC49B8">
      <w:start w:val="1"/>
      <w:numFmt w:val="decimal"/>
      <w:lvlText w:val="%1."/>
      <w:lvlJc w:val="left"/>
      <w:pPr>
        <w:ind w:left="1704" w:hanging="570"/>
      </w:pPr>
      <w:rPr>
        <w:rFonts w:eastAsia="Times New Roman"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48407AA6"/>
    <w:multiLevelType w:val="hybridMultilevel"/>
    <w:tmpl w:val="BA0C16D8"/>
    <w:lvl w:ilvl="0" w:tplc="583A1CF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B2AF0"/>
    <w:multiLevelType w:val="hybridMultilevel"/>
    <w:tmpl w:val="E396B7BC"/>
    <w:lvl w:ilvl="0" w:tplc="E8E092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CC77C50"/>
    <w:multiLevelType w:val="hybridMultilevel"/>
    <w:tmpl w:val="297275D8"/>
    <w:lvl w:ilvl="0" w:tplc="480C8C6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B15C50"/>
    <w:multiLevelType w:val="hybridMultilevel"/>
    <w:tmpl w:val="C50023AA"/>
    <w:lvl w:ilvl="0" w:tplc="1B086A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21"/>
  </w:num>
  <w:num w:numId="3">
    <w:abstractNumId w:val="20"/>
  </w:num>
  <w:num w:numId="4">
    <w:abstractNumId w:val="15"/>
  </w:num>
  <w:num w:numId="5">
    <w:abstractNumId w:val="14"/>
  </w:num>
  <w:num w:numId="6">
    <w:abstractNumId w:val="9"/>
  </w:num>
  <w:num w:numId="7">
    <w:abstractNumId w:val="7"/>
  </w:num>
  <w:num w:numId="8">
    <w:abstractNumId w:val="19"/>
  </w:num>
  <w:num w:numId="9">
    <w:abstractNumId w:val="18"/>
  </w:num>
  <w:num w:numId="10">
    <w:abstractNumId w:val="10"/>
  </w:num>
  <w:num w:numId="11">
    <w:abstractNumId w:val="5"/>
  </w:num>
  <w:num w:numId="12">
    <w:abstractNumId w:val="0"/>
  </w:num>
  <w:num w:numId="13">
    <w:abstractNumId w:val="2"/>
  </w:num>
  <w:num w:numId="14">
    <w:abstractNumId w:val="11"/>
  </w:num>
  <w:num w:numId="15">
    <w:abstractNumId w:val="13"/>
  </w:num>
  <w:num w:numId="16">
    <w:abstractNumId w:val="8"/>
  </w:num>
  <w:num w:numId="17">
    <w:abstractNumId w:val="1"/>
  </w:num>
  <w:num w:numId="18">
    <w:abstractNumId w:val="6"/>
  </w:num>
  <w:num w:numId="19">
    <w:abstractNumId w:val="4"/>
  </w:num>
  <w:num w:numId="20">
    <w:abstractNumId w:val="16"/>
  </w:num>
  <w:num w:numId="21">
    <w:abstractNumId w:val="17"/>
  </w:num>
  <w:num w:numId="22">
    <w:abstractNumId w:val="12"/>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0B2B"/>
    <w:rsid w:val="00002EFA"/>
    <w:rsid w:val="00003332"/>
    <w:rsid w:val="00006396"/>
    <w:rsid w:val="00010879"/>
    <w:rsid w:val="000171C1"/>
    <w:rsid w:val="000171FC"/>
    <w:rsid w:val="00025C10"/>
    <w:rsid w:val="000261F6"/>
    <w:rsid w:val="00034899"/>
    <w:rsid w:val="000426AF"/>
    <w:rsid w:val="00043070"/>
    <w:rsid w:val="00044CD7"/>
    <w:rsid w:val="00050F6B"/>
    <w:rsid w:val="000525D8"/>
    <w:rsid w:val="0005340B"/>
    <w:rsid w:val="000551C5"/>
    <w:rsid w:val="00057262"/>
    <w:rsid w:val="00057EF1"/>
    <w:rsid w:val="00060C82"/>
    <w:rsid w:val="00067341"/>
    <w:rsid w:val="00072C8C"/>
    <w:rsid w:val="0007325A"/>
    <w:rsid w:val="00074A4D"/>
    <w:rsid w:val="00076E96"/>
    <w:rsid w:val="00082670"/>
    <w:rsid w:val="00083A13"/>
    <w:rsid w:val="00086AB4"/>
    <w:rsid w:val="00090264"/>
    <w:rsid w:val="000918C2"/>
    <w:rsid w:val="00092B2E"/>
    <w:rsid w:val="000931C0"/>
    <w:rsid w:val="00094053"/>
    <w:rsid w:val="000A32D2"/>
    <w:rsid w:val="000B0DCA"/>
    <w:rsid w:val="000B175B"/>
    <w:rsid w:val="000B3A0F"/>
    <w:rsid w:val="000B7257"/>
    <w:rsid w:val="000C2795"/>
    <w:rsid w:val="000C4459"/>
    <w:rsid w:val="000C5FE3"/>
    <w:rsid w:val="000C64FF"/>
    <w:rsid w:val="000C69A6"/>
    <w:rsid w:val="000C6E37"/>
    <w:rsid w:val="000D13B5"/>
    <w:rsid w:val="000D5EB1"/>
    <w:rsid w:val="000D7C1B"/>
    <w:rsid w:val="000E0415"/>
    <w:rsid w:val="000E143F"/>
    <w:rsid w:val="000E2262"/>
    <w:rsid w:val="000E2FEC"/>
    <w:rsid w:val="000E422C"/>
    <w:rsid w:val="000E6156"/>
    <w:rsid w:val="000F1AC1"/>
    <w:rsid w:val="000F225A"/>
    <w:rsid w:val="000F4524"/>
    <w:rsid w:val="000F570C"/>
    <w:rsid w:val="001009D0"/>
    <w:rsid w:val="00105FDD"/>
    <w:rsid w:val="00106D46"/>
    <w:rsid w:val="00111B8F"/>
    <w:rsid w:val="00112EEE"/>
    <w:rsid w:val="0011462A"/>
    <w:rsid w:val="0011529F"/>
    <w:rsid w:val="001156AA"/>
    <w:rsid w:val="001220B8"/>
    <w:rsid w:val="001223F7"/>
    <w:rsid w:val="00123154"/>
    <w:rsid w:val="001262C0"/>
    <w:rsid w:val="00126EA1"/>
    <w:rsid w:val="0012741E"/>
    <w:rsid w:val="00130E35"/>
    <w:rsid w:val="00133C7A"/>
    <w:rsid w:val="00133ED6"/>
    <w:rsid w:val="001346AE"/>
    <w:rsid w:val="00135DFB"/>
    <w:rsid w:val="00137553"/>
    <w:rsid w:val="001418E8"/>
    <w:rsid w:val="00141EC8"/>
    <w:rsid w:val="00145FFD"/>
    <w:rsid w:val="0014740A"/>
    <w:rsid w:val="00153ED2"/>
    <w:rsid w:val="00155514"/>
    <w:rsid w:val="001575DE"/>
    <w:rsid w:val="001604C0"/>
    <w:rsid w:val="00161DED"/>
    <w:rsid w:val="00162157"/>
    <w:rsid w:val="00162703"/>
    <w:rsid w:val="001666A1"/>
    <w:rsid w:val="00167BA8"/>
    <w:rsid w:val="00170810"/>
    <w:rsid w:val="00171318"/>
    <w:rsid w:val="001718D9"/>
    <w:rsid w:val="00172A5D"/>
    <w:rsid w:val="00173C41"/>
    <w:rsid w:val="00173E97"/>
    <w:rsid w:val="001811F3"/>
    <w:rsid w:val="0018298B"/>
    <w:rsid w:val="00182A9E"/>
    <w:rsid w:val="001832E3"/>
    <w:rsid w:val="001844FC"/>
    <w:rsid w:val="00184D49"/>
    <w:rsid w:val="0018528A"/>
    <w:rsid w:val="00186037"/>
    <w:rsid w:val="001A1256"/>
    <w:rsid w:val="001A1D2D"/>
    <w:rsid w:val="001A356B"/>
    <w:rsid w:val="001A63BF"/>
    <w:rsid w:val="001B4B04"/>
    <w:rsid w:val="001B7882"/>
    <w:rsid w:val="001C0A2D"/>
    <w:rsid w:val="001C291D"/>
    <w:rsid w:val="001C29F7"/>
    <w:rsid w:val="001C6663"/>
    <w:rsid w:val="001C75FB"/>
    <w:rsid w:val="001C7895"/>
    <w:rsid w:val="001D26DF"/>
    <w:rsid w:val="001D3029"/>
    <w:rsid w:val="001D3183"/>
    <w:rsid w:val="001D76EA"/>
    <w:rsid w:val="001E0EC3"/>
    <w:rsid w:val="001E1304"/>
    <w:rsid w:val="001E2993"/>
    <w:rsid w:val="001E2A42"/>
    <w:rsid w:val="001E31A8"/>
    <w:rsid w:val="001E31B0"/>
    <w:rsid w:val="001E34A4"/>
    <w:rsid w:val="001E3C0F"/>
    <w:rsid w:val="001E428B"/>
    <w:rsid w:val="001E4813"/>
    <w:rsid w:val="001F3254"/>
    <w:rsid w:val="001F676B"/>
    <w:rsid w:val="001F7D95"/>
    <w:rsid w:val="0020121B"/>
    <w:rsid w:val="00202F2F"/>
    <w:rsid w:val="0020313C"/>
    <w:rsid w:val="0020331F"/>
    <w:rsid w:val="00203DFB"/>
    <w:rsid w:val="00210BF9"/>
    <w:rsid w:val="00211E0B"/>
    <w:rsid w:val="00214740"/>
    <w:rsid w:val="00215791"/>
    <w:rsid w:val="002177BB"/>
    <w:rsid w:val="00222C94"/>
    <w:rsid w:val="00227F88"/>
    <w:rsid w:val="00232E70"/>
    <w:rsid w:val="0023451F"/>
    <w:rsid w:val="002405A7"/>
    <w:rsid w:val="00240C33"/>
    <w:rsid w:val="00241101"/>
    <w:rsid w:val="00241341"/>
    <w:rsid w:val="00246F3E"/>
    <w:rsid w:val="00251F6B"/>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97F3D"/>
    <w:rsid w:val="002A46FB"/>
    <w:rsid w:val="002B1D2A"/>
    <w:rsid w:val="002B1EF0"/>
    <w:rsid w:val="002B2B8E"/>
    <w:rsid w:val="002B4232"/>
    <w:rsid w:val="002B772A"/>
    <w:rsid w:val="002C2EB6"/>
    <w:rsid w:val="002D09FB"/>
    <w:rsid w:val="002D1193"/>
    <w:rsid w:val="002D5E30"/>
    <w:rsid w:val="002D7768"/>
    <w:rsid w:val="002D78BB"/>
    <w:rsid w:val="002E03D9"/>
    <w:rsid w:val="002E04D4"/>
    <w:rsid w:val="002E0D4A"/>
    <w:rsid w:val="002E1B9A"/>
    <w:rsid w:val="002E42C4"/>
    <w:rsid w:val="002E45A0"/>
    <w:rsid w:val="002E4DC6"/>
    <w:rsid w:val="002E6B09"/>
    <w:rsid w:val="002F0382"/>
    <w:rsid w:val="002F25CB"/>
    <w:rsid w:val="002F5E1C"/>
    <w:rsid w:val="002F6E0F"/>
    <w:rsid w:val="002F747E"/>
    <w:rsid w:val="00300C7E"/>
    <w:rsid w:val="0030113A"/>
    <w:rsid w:val="00301BD8"/>
    <w:rsid w:val="00302CC0"/>
    <w:rsid w:val="00303159"/>
    <w:rsid w:val="00305FDE"/>
    <w:rsid w:val="00307481"/>
    <w:rsid w:val="003107FA"/>
    <w:rsid w:val="00310EA8"/>
    <w:rsid w:val="00311C15"/>
    <w:rsid w:val="00317109"/>
    <w:rsid w:val="00321C05"/>
    <w:rsid w:val="00321F07"/>
    <w:rsid w:val="003229D8"/>
    <w:rsid w:val="00326AA8"/>
    <w:rsid w:val="00330C63"/>
    <w:rsid w:val="00330D86"/>
    <w:rsid w:val="0033308E"/>
    <w:rsid w:val="00334089"/>
    <w:rsid w:val="00334241"/>
    <w:rsid w:val="003368A3"/>
    <w:rsid w:val="0033745A"/>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6BE5"/>
    <w:rsid w:val="003972E0"/>
    <w:rsid w:val="00397DE2"/>
    <w:rsid w:val="003A22F5"/>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07E"/>
    <w:rsid w:val="003D67BE"/>
    <w:rsid w:val="003E14E7"/>
    <w:rsid w:val="003E7507"/>
    <w:rsid w:val="003F1ED3"/>
    <w:rsid w:val="003F2DCE"/>
    <w:rsid w:val="003F32D9"/>
    <w:rsid w:val="003F6500"/>
    <w:rsid w:val="00402B95"/>
    <w:rsid w:val="00403098"/>
    <w:rsid w:val="00407BDC"/>
    <w:rsid w:val="004108D5"/>
    <w:rsid w:val="004143A7"/>
    <w:rsid w:val="00416C4D"/>
    <w:rsid w:val="00417151"/>
    <w:rsid w:val="00424A40"/>
    <w:rsid w:val="0043151B"/>
    <w:rsid w:val="004325CB"/>
    <w:rsid w:val="00435EE3"/>
    <w:rsid w:val="00436DEF"/>
    <w:rsid w:val="00436F0D"/>
    <w:rsid w:val="00442BB5"/>
    <w:rsid w:val="004445A1"/>
    <w:rsid w:val="00444AB1"/>
    <w:rsid w:val="00446DE4"/>
    <w:rsid w:val="00447058"/>
    <w:rsid w:val="00447ACD"/>
    <w:rsid w:val="004501A7"/>
    <w:rsid w:val="00450210"/>
    <w:rsid w:val="0045275C"/>
    <w:rsid w:val="0045727E"/>
    <w:rsid w:val="00462C74"/>
    <w:rsid w:val="00466172"/>
    <w:rsid w:val="0047179D"/>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B47"/>
    <w:rsid w:val="004D4668"/>
    <w:rsid w:val="004E0E90"/>
    <w:rsid w:val="004E6063"/>
    <w:rsid w:val="004F471F"/>
    <w:rsid w:val="004F4928"/>
    <w:rsid w:val="004F721F"/>
    <w:rsid w:val="004F7E77"/>
    <w:rsid w:val="00501F03"/>
    <w:rsid w:val="005026D3"/>
    <w:rsid w:val="00503228"/>
    <w:rsid w:val="00505384"/>
    <w:rsid w:val="00510A10"/>
    <w:rsid w:val="00512AD1"/>
    <w:rsid w:val="00514641"/>
    <w:rsid w:val="0052529E"/>
    <w:rsid w:val="00530C1E"/>
    <w:rsid w:val="0053290B"/>
    <w:rsid w:val="0053591C"/>
    <w:rsid w:val="00540A06"/>
    <w:rsid w:val="005414C0"/>
    <w:rsid w:val="005420F2"/>
    <w:rsid w:val="00546CE7"/>
    <w:rsid w:val="005528AD"/>
    <w:rsid w:val="0055290C"/>
    <w:rsid w:val="005550A1"/>
    <w:rsid w:val="00557BBE"/>
    <w:rsid w:val="005602BC"/>
    <w:rsid w:val="00561935"/>
    <w:rsid w:val="00563AEA"/>
    <w:rsid w:val="00564A8C"/>
    <w:rsid w:val="005654A8"/>
    <w:rsid w:val="0056584E"/>
    <w:rsid w:val="00567492"/>
    <w:rsid w:val="00567738"/>
    <w:rsid w:val="005710FD"/>
    <w:rsid w:val="005725E1"/>
    <w:rsid w:val="00581EFE"/>
    <w:rsid w:val="00583592"/>
    <w:rsid w:val="0058576C"/>
    <w:rsid w:val="00590B35"/>
    <w:rsid w:val="00592B8C"/>
    <w:rsid w:val="005964D7"/>
    <w:rsid w:val="00596940"/>
    <w:rsid w:val="005A6006"/>
    <w:rsid w:val="005B0078"/>
    <w:rsid w:val="005B11C6"/>
    <w:rsid w:val="005B12DD"/>
    <w:rsid w:val="005B1668"/>
    <w:rsid w:val="005B3DB3"/>
    <w:rsid w:val="005B675E"/>
    <w:rsid w:val="005B793F"/>
    <w:rsid w:val="005C2712"/>
    <w:rsid w:val="005D01BA"/>
    <w:rsid w:val="005D0566"/>
    <w:rsid w:val="005D0CAA"/>
    <w:rsid w:val="005D19CB"/>
    <w:rsid w:val="005D69A1"/>
    <w:rsid w:val="005E2937"/>
    <w:rsid w:val="005E3584"/>
    <w:rsid w:val="005E52A5"/>
    <w:rsid w:val="005E6E5F"/>
    <w:rsid w:val="005F0B7C"/>
    <w:rsid w:val="005F1684"/>
    <w:rsid w:val="005F491C"/>
    <w:rsid w:val="005F57B5"/>
    <w:rsid w:val="005F6C4E"/>
    <w:rsid w:val="0060091E"/>
    <w:rsid w:val="00603986"/>
    <w:rsid w:val="0060786E"/>
    <w:rsid w:val="00610339"/>
    <w:rsid w:val="00611FB1"/>
    <w:rsid w:val="00611FC4"/>
    <w:rsid w:val="00612594"/>
    <w:rsid w:val="00613135"/>
    <w:rsid w:val="00613225"/>
    <w:rsid w:val="0061540F"/>
    <w:rsid w:val="006176FB"/>
    <w:rsid w:val="00623800"/>
    <w:rsid w:val="0062451C"/>
    <w:rsid w:val="00624CB0"/>
    <w:rsid w:val="00625938"/>
    <w:rsid w:val="00625BFD"/>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47557"/>
    <w:rsid w:val="006522E7"/>
    <w:rsid w:val="00652520"/>
    <w:rsid w:val="00661E02"/>
    <w:rsid w:val="00665396"/>
    <w:rsid w:val="00665595"/>
    <w:rsid w:val="00666BC5"/>
    <w:rsid w:val="00671353"/>
    <w:rsid w:val="006778FF"/>
    <w:rsid w:val="00680AF1"/>
    <w:rsid w:val="0068160A"/>
    <w:rsid w:val="00685BF2"/>
    <w:rsid w:val="00686869"/>
    <w:rsid w:val="00687EA5"/>
    <w:rsid w:val="00690EFC"/>
    <w:rsid w:val="00695A9B"/>
    <w:rsid w:val="006A4EF7"/>
    <w:rsid w:val="006A6F0C"/>
    <w:rsid w:val="006A7392"/>
    <w:rsid w:val="006A7A99"/>
    <w:rsid w:val="006B4ADA"/>
    <w:rsid w:val="006C2D7B"/>
    <w:rsid w:val="006C4388"/>
    <w:rsid w:val="006C52A3"/>
    <w:rsid w:val="006C582F"/>
    <w:rsid w:val="006C5A35"/>
    <w:rsid w:val="006C6888"/>
    <w:rsid w:val="006C6A56"/>
    <w:rsid w:val="006D255B"/>
    <w:rsid w:val="006D3B96"/>
    <w:rsid w:val="006D5429"/>
    <w:rsid w:val="006D7CD5"/>
    <w:rsid w:val="006E0290"/>
    <w:rsid w:val="006E564B"/>
    <w:rsid w:val="006F02D2"/>
    <w:rsid w:val="006F1EFF"/>
    <w:rsid w:val="006F530A"/>
    <w:rsid w:val="00700E34"/>
    <w:rsid w:val="00701C3D"/>
    <w:rsid w:val="007032EE"/>
    <w:rsid w:val="007044B5"/>
    <w:rsid w:val="00704BCD"/>
    <w:rsid w:val="00711902"/>
    <w:rsid w:val="00712121"/>
    <w:rsid w:val="007218CD"/>
    <w:rsid w:val="00723EFF"/>
    <w:rsid w:val="0072632A"/>
    <w:rsid w:val="00731C90"/>
    <w:rsid w:val="00733AAE"/>
    <w:rsid w:val="007364F9"/>
    <w:rsid w:val="00740334"/>
    <w:rsid w:val="007410DF"/>
    <w:rsid w:val="00743387"/>
    <w:rsid w:val="00743AD6"/>
    <w:rsid w:val="00744DCF"/>
    <w:rsid w:val="00746E2D"/>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9AE"/>
    <w:rsid w:val="007D3ADF"/>
    <w:rsid w:val="007D4DE2"/>
    <w:rsid w:val="007D5953"/>
    <w:rsid w:val="007D74EE"/>
    <w:rsid w:val="007D7B05"/>
    <w:rsid w:val="007E028F"/>
    <w:rsid w:val="007E0778"/>
    <w:rsid w:val="007E2BFF"/>
    <w:rsid w:val="007E6FFB"/>
    <w:rsid w:val="007F0B83"/>
    <w:rsid w:val="007F1651"/>
    <w:rsid w:val="007F1818"/>
    <w:rsid w:val="007F272B"/>
    <w:rsid w:val="007F4FCD"/>
    <w:rsid w:val="007F6611"/>
    <w:rsid w:val="007F768B"/>
    <w:rsid w:val="00805178"/>
    <w:rsid w:val="00812EF5"/>
    <w:rsid w:val="00814E2C"/>
    <w:rsid w:val="008154D3"/>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69BE"/>
    <w:rsid w:val="008577F2"/>
    <w:rsid w:val="0086198E"/>
    <w:rsid w:val="0086423F"/>
    <w:rsid w:val="00864934"/>
    <w:rsid w:val="00864AA1"/>
    <w:rsid w:val="008703E7"/>
    <w:rsid w:val="00871FD5"/>
    <w:rsid w:val="00872C11"/>
    <w:rsid w:val="00874E70"/>
    <w:rsid w:val="00875213"/>
    <w:rsid w:val="00875242"/>
    <w:rsid w:val="00876710"/>
    <w:rsid w:val="00881AAD"/>
    <w:rsid w:val="00881E44"/>
    <w:rsid w:val="008846DF"/>
    <w:rsid w:val="00884D20"/>
    <w:rsid w:val="008914EB"/>
    <w:rsid w:val="008979B1"/>
    <w:rsid w:val="008A2096"/>
    <w:rsid w:val="008A296D"/>
    <w:rsid w:val="008A6B25"/>
    <w:rsid w:val="008A6C4F"/>
    <w:rsid w:val="008B01F9"/>
    <w:rsid w:val="008B0EE4"/>
    <w:rsid w:val="008B3A57"/>
    <w:rsid w:val="008B6F6E"/>
    <w:rsid w:val="008C08B1"/>
    <w:rsid w:val="008C2FAB"/>
    <w:rsid w:val="008C435C"/>
    <w:rsid w:val="008D54CD"/>
    <w:rsid w:val="008E09AC"/>
    <w:rsid w:val="008E0E46"/>
    <w:rsid w:val="008E2979"/>
    <w:rsid w:val="008E3A08"/>
    <w:rsid w:val="008E3D2D"/>
    <w:rsid w:val="008E6161"/>
    <w:rsid w:val="008E61B9"/>
    <w:rsid w:val="008F1782"/>
    <w:rsid w:val="008F17E5"/>
    <w:rsid w:val="008F4AB2"/>
    <w:rsid w:val="009019A9"/>
    <w:rsid w:val="00903E58"/>
    <w:rsid w:val="00906E93"/>
    <w:rsid w:val="0090771C"/>
    <w:rsid w:val="00907AD2"/>
    <w:rsid w:val="009104B2"/>
    <w:rsid w:val="009111C7"/>
    <w:rsid w:val="009132A2"/>
    <w:rsid w:val="00913902"/>
    <w:rsid w:val="0091455F"/>
    <w:rsid w:val="00916FAA"/>
    <w:rsid w:val="00921B66"/>
    <w:rsid w:val="00921D21"/>
    <w:rsid w:val="00922876"/>
    <w:rsid w:val="00925353"/>
    <w:rsid w:val="00934214"/>
    <w:rsid w:val="00934CB1"/>
    <w:rsid w:val="009402C2"/>
    <w:rsid w:val="00940685"/>
    <w:rsid w:val="00941D3C"/>
    <w:rsid w:val="009514AC"/>
    <w:rsid w:val="00951741"/>
    <w:rsid w:val="0095645B"/>
    <w:rsid w:val="009616A8"/>
    <w:rsid w:val="009619F2"/>
    <w:rsid w:val="00963CBA"/>
    <w:rsid w:val="009647D9"/>
    <w:rsid w:val="00965BB7"/>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154"/>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E0814"/>
    <w:rsid w:val="009E401E"/>
    <w:rsid w:val="009F25D3"/>
    <w:rsid w:val="009F2B82"/>
    <w:rsid w:val="009F3A17"/>
    <w:rsid w:val="009F4329"/>
    <w:rsid w:val="009F4AA8"/>
    <w:rsid w:val="00A00840"/>
    <w:rsid w:val="00A071D1"/>
    <w:rsid w:val="00A0774F"/>
    <w:rsid w:val="00A11C1F"/>
    <w:rsid w:val="00A1427D"/>
    <w:rsid w:val="00A1540E"/>
    <w:rsid w:val="00A20839"/>
    <w:rsid w:val="00A254BF"/>
    <w:rsid w:val="00A25B13"/>
    <w:rsid w:val="00A2786B"/>
    <w:rsid w:val="00A3172C"/>
    <w:rsid w:val="00A3362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12F"/>
    <w:rsid w:val="00A63E4B"/>
    <w:rsid w:val="00A727F1"/>
    <w:rsid w:val="00A72F22"/>
    <w:rsid w:val="00A748A6"/>
    <w:rsid w:val="00A77F56"/>
    <w:rsid w:val="00A805EB"/>
    <w:rsid w:val="00A879A4"/>
    <w:rsid w:val="00A95701"/>
    <w:rsid w:val="00AA072D"/>
    <w:rsid w:val="00AB5572"/>
    <w:rsid w:val="00AB6DCD"/>
    <w:rsid w:val="00AC0025"/>
    <w:rsid w:val="00AC0334"/>
    <w:rsid w:val="00AC0759"/>
    <w:rsid w:val="00AC3F5A"/>
    <w:rsid w:val="00AC7A26"/>
    <w:rsid w:val="00AD3A50"/>
    <w:rsid w:val="00AD44F8"/>
    <w:rsid w:val="00AD701B"/>
    <w:rsid w:val="00AD7C47"/>
    <w:rsid w:val="00AE0162"/>
    <w:rsid w:val="00AE0565"/>
    <w:rsid w:val="00AE3D03"/>
    <w:rsid w:val="00AE52B5"/>
    <w:rsid w:val="00AF04A4"/>
    <w:rsid w:val="00AF0D0C"/>
    <w:rsid w:val="00AF2C25"/>
    <w:rsid w:val="00AF4A70"/>
    <w:rsid w:val="00AF4E86"/>
    <w:rsid w:val="00AF5976"/>
    <w:rsid w:val="00B0110F"/>
    <w:rsid w:val="00B109BD"/>
    <w:rsid w:val="00B10A66"/>
    <w:rsid w:val="00B12377"/>
    <w:rsid w:val="00B12EF7"/>
    <w:rsid w:val="00B16F5D"/>
    <w:rsid w:val="00B20254"/>
    <w:rsid w:val="00B23B3C"/>
    <w:rsid w:val="00B263D6"/>
    <w:rsid w:val="00B26B6D"/>
    <w:rsid w:val="00B30179"/>
    <w:rsid w:val="00B30550"/>
    <w:rsid w:val="00B33D93"/>
    <w:rsid w:val="00B33EC0"/>
    <w:rsid w:val="00B356B8"/>
    <w:rsid w:val="00B35B6B"/>
    <w:rsid w:val="00B35CB4"/>
    <w:rsid w:val="00B37624"/>
    <w:rsid w:val="00B37A59"/>
    <w:rsid w:val="00B438AD"/>
    <w:rsid w:val="00B44776"/>
    <w:rsid w:val="00B45CC5"/>
    <w:rsid w:val="00B50D1E"/>
    <w:rsid w:val="00B52A3E"/>
    <w:rsid w:val="00B55627"/>
    <w:rsid w:val="00B55F0B"/>
    <w:rsid w:val="00B56CD8"/>
    <w:rsid w:val="00B6108E"/>
    <w:rsid w:val="00B65789"/>
    <w:rsid w:val="00B712CD"/>
    <w:rsid w:val="00B72447"/>
    <w:rsid w:val="00B73980"/>
    <w:rsid w:val="00B73E97"/>
    <w:rsid w:val="00B77650"/>
    <w:rsid w:val="00B77DD4"/>
    <w:rsid w:val="00B81E12"/>
    <w:rsid w:val="00B84F89"/>
    <w:rsid w:val="00B8571C"/>
    <w:rsid w:val="00B87468"/>
    <w:rsid w:val="00B879CC"/>
    <w:rsid w:val="00B91362"/>
    <w:rsid w:val="00B916AF"/>
    <w:rsid w:val="00B9329E"/>
    <w:rsid w:val="00B97D02"/>
    <w:rsid w:val="00BA0EA4"/>
    <w:rsid w:val="00BA46E4"/>
    <w:rsid w:val="00BA6636"/>
    <w:rsid w:val="00BA6971"/>
    <w:rsid w:val="00BA72CC"/>
    <w:rsid w:val="00BA7C06"/>
    <w:rsid w:val="00BB3DAC"/>
    <w:rsid w:val="00BB7A0F"/>
    <w:rsid w:val="00BC0DBB"/>
    <w:rsid w:val="00BC4B77"/>
    <w:rsid w:val="00BC53A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86D"/>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28EC"/>
    <w:rsid w:val="00C54918"/>
    <w:rsid w:val="00C54CCB"/>
    <w:rsid w:val="00C54FF0"/>
    <w:rsid w:val="00C55410"/>
    <w:rsid w:val="00C55D07"/>
    <w:rsid w:val="00C5771E"/>
    <w:rsid w:val="00C65812"/>
    <w:rsid w:val="00C70D56"/>
    <w:rsid w:val="00C730DE"/>
    <w:rsid w:val="00C73C64"/>
    <w:rsid w:val="00C745C3"/>
    <w:rsid w:val="00C74DB9"/>
    <w:rsid w:val="00C756ED"/>
    <w:rsid w:val="00C75C4B"/>
    <w:rsid w:val="00C77A18"/>
    <w:rsid w:val="00C8066C"/>
    <w:rsid w:val="00C82590"/>
    <w:rsid w:val="00C83514"/>
    <w:rsid w:val="00C84FF4"/>
    <w:rsid w:val="00C87A98"/>
    <w:rsid w:val="00C92529"/>
    <w:rsid w:val="00C92BAC"/>
    <w:rsid w:val="00C92E61"/>
    <w:rsid w:val="00C933B6"/>
    <w:rsid w:val="00C94465"/>
    <w:rsid w:val="00CA3F9A"/>
    <w:rsid w:val="00CA4B0E"/>
    <w:rsid w:val="00CA5B67"/>
    <w:rsid w:val="00CA7BB7"/>
    <w:rsid w:val="00CA7D03"/>
    <w:rsid w:val="00CC32B3"/>
    <w:rsid w:val="00CC4B70"/>
    <w:rsid w:val="00CD41A4"/>
    <w:rsid w:val="00CD455E"/>
    <w:rsid w:val="00CD7BE6"/>
    <w:rsid w:val="00CD7CEB"/>
    <w:rsid w:val="00CE09AD"/>
    <w:rsid w:val="00CE3368"/>
    <w:rsid w:val="00CE4A8F"/>
    <w:rsid w:val="00CE5435"/>
    <w:rsid w:val="00CE7FB5"/>
    <w:rsid w:val="00CF2D57"/>
    <w:rsid w:val="00CF41EA"/>
    <w:rsid w:val="00CF5B31"/>
    <w:rsid w:val="00CF6BD0"/>
    <w:rsid w:val="00D0099B"/>
    <w:rsid w:val="00D02F6D"/>
    <w:rsid w:val="00D032B7"/>
    <w:rsid w:val="00D056CB"/>
    <w:rsid w:val="00D06516"/>
    <w:rsid w:val="00D06632"/>
    <w:rsid w:val="00D076BD"/>
    <w:rsid w:val="00D11A2D"/>
    <w:rsid w:val="00D14D31"/>
    <w:rsid w:val="00D2031B"/>
    <w:rsid w:val="00D21958"/>
    <w:rsid w:val="00D22716"/>
    <w:rsid w:val="00D228C0"/>
    <w:rsid w:val="00D25FE2"/>
    <w:rsid w:val="00D317BB"/>
    <w:rsid w:val="00D3344B"/>
    <w:rsid w:val="00D363F7"/>
    <w:rsid w:val="00D402E8"/>
    <w:rsid w:val="00D43252"/>
    <w:rsid w:val="00D4433A"/>
    <w:rsid w:val="00D44EAE"/>
    <w:rsid w:val="00D4733B"/>
    <w:rsid w:val="00D50717"/>
    <w:rsid w:val="00D50B65"/>
    <w:rsid w:val="00D524E8"/>
    <w:rsid w:val="00D5730D"/>
    <w:rsid w:val="00D57D7E"/>
    <w:rsid w:val="00D70CF6"/>
    <w:rsid w:val="00D71847"/>
    <w:rsid w:val="00D71D0C"/>
    <w:rsid w:val="00D74CF9"/>
    <w:rsid w:val="00D8399D"/>
    <w:rsid w:val="00D918A3"/>
    <w:rsid w:val="00D924F4"/>
    <w:rsid w:val="00D938D5"/>
    <w:rsid w:val="00D9479A"/>
    <w:rsid w:val="00D94AE2"/>
    <w:rsid w:val="00D978C6"/>
    <w:rsid w:val="00D978F3"/>
    <w:rsid w:val="00DA1A83"/>
    <w:rsid w:val="00DA4D3F"/>
    <w:rsid w:val="00DA67AD"/>
    <w:rsid w:val="00DB1B64"/>
    <w:rsid w:val="00DB5D0F"/>
    <w:rsid w:val="00DB7459"/>
    <w:rsid w:val="00DC1254"/>
    <w:rsid w:val="00DC1A84"/>
    <w:rsid w:val="00DC3242"/>
    <w:rsid w:val="00DC3A75"/>
    <w:rsid w:val="00DC5FDF"/>
    <w:rsid w:val="00DD0C65"/>
    <w:rsid w:val="00DD0EA3"/>
    <w:rsid w:val="00DD222A"/>
    <w:rsid w:val="00DE3A0C"/>
    <w:rsid w:val="00DE78DA"/>
    <w:rsid w:val="00DE7C34"/>
    <w:rsid w:val="00DF07FE"/>
    <w:rsid w:val="00DF12F7"/>
    <w:rsid w:val="00DF37FD"/>
    <w:rsid w:val="00DF6FDE"/>
    <w:rsid w:val="00E02C81"/>
    <w:rsid w:val="00E05851"/>
    <w:rsid w:val="00E05E6F"/>
    <w:rsid w:val="00E126AA"/>
    <w:rsid w:val="00E130AB"/>
    <w:rsid w:val="00E201CB"/>
    <w:rsid w:val="00E2307D"/>
    <w:rsid w:val="00E24B3E"/>
    <w:rsid w:val="00E31D3F"/>
    <w:rsid w:val="00E31E80"/>
    <w:rsid w:val="00E32828"/>
    <w:rsid w:val="00E32BB1"/>
    <w:rsid w:val="00E33C28"/>
    <w:rsid w:val="00E36F0F"/>
    <w:rsid w:val="00E37E28"/>
    <w:rsid w:val="00E37F51"/>
    <w:rsid w:val="00E4094C"/>
    <w:rsid w:val="00E41868"/>
    <w:rsid w:val="00E42808"/>
    <w:rsid w:val="00E43853"/>
    <w:rsid w:val="00E470C5"/>
    <w:rsid w:val="00E54137"/>
    <w:rsid w:val="00E57B05"/>
    <w:rsid w:val="00E62142"/>
    <w:rsid w:val="00E6496A"/>
    <w:rsid w:val="00E64BE8"/>
    <w:rsid w:val="00E64E10"/>
    <w:rsid w:val="00E651A3"/>
    <w:rsid w:val="00E65E4E"/>
    <w:rsid w:val="00E678EB"/>
    <w:rsid w:val="00E7260F"/>
    <w:rsid w:val="00E73F7D"/>
    <w:rsid w:val="00E76682"/>
    <w:rsid w:val="00E7733E"/>
    <w:rsid w:val="00E81BAA"/>
    <w:rsid w:val="00E87921"/>
    <w:rsid w:val="00E87BE1"/>
    <w:rsid w:val="00E930F6"/>
    <w:rsid w:val="00E93B8F"/>
    <w:rsid w:val="00E9495A"/>
    <w:rsid w:val="00E95AB3"/>
    <w:rsid w:val="00E96630"/>
    <w:rsid w:val="00EA0CBB"/>
    <w:rsid w:val="00EA264E"/>
    <w:rsid w:val="00EA2C1C"/>
    <w:rsid w:val="00EA3743"/>
    <w:rsid w:val="00EA5690"/>
    <w:rsid w:val="00EB0776"/>
    <w:rsid w:val="00EB31E8"/>
    <w:rsid w:val="00EB3CF7"/>
    <w:rsid w:val="00EB6485"/>
    <w:rsid w:val="00EB7B03"/>
    <w:rsid w:val="00EC268E"/>
    <w:rsid w:val="00EC3A43"/>
    <w:rsid w:val="00EC3D7E"/>
    <w:rsid w:val="00EC5A8A"/>
    <w:rsid w:val="00EC7CB8"/>
    <w:rsid w:val="00ED0C55"/>
    <w:rsid w:val="00ED42EB"/>
    <w:rsid w:val="00ED7A2A"/>
    <w:rsid w:val="00ED7E78"/>
    <w:rsid w:val="00EE127E"/>
    <w:rsid w:val="00EE6D04"/>
    <w:rsid w:val="00EF1D7F"/>
    <w:rsid w:val="00EF381F"/>
    <w:rsid w:val="00EF444E"/>
    <w:rsid w:val="00EF66AA"/>
    <w:rsid w:val="00EF6F11"/>
    <w:rsid w:val="00F0058A"/>
    <w:rsid w:val="00F0287E"/>
    <w:rsid w:val="00F04DB0"/>
    <w:rsid w:val="00F065D0"/>
    <w:rsid w:val="00F10CCD"/>
    <w:rsid w:val="00F13FE3"/>
    <w:rsid w:val="00F14C89"/>
    <w:rsid w:val="00F15EC0"/>
    <w:rsid w:val="00F17D83"/>
    <w:rsid w:val="00F203AE"/>
    <w:rsid w:val="00F20D16"/>
    <w:rsid w:val="00F212B0"/>
    <w:rsid w:val="00F213F2"/>
    <w:rsid w:val="00F227EE"/>
    <w:rsid w:val="00F230E4"/>
    <w:rsid w:val="00F26772"/>
    <w:rsid w:val="00F27C48"/>
    <w:rsid w:val="00F30135"/>
    <w:rsid w:val="00F307F9"/>
    <w:rsid w:val="00F348BC"/>
    <w:rsid w:val="00F35D16"/>
    <w:rsid w:val="00F419CA"/>
    <w:rsid w:val="00F42A78"/>
    <w:rsid w:val="00F43F14"/>
    <w:rsid w:val="00F4559F"/>
    <w:rsid w:val="00F461BF"/>
    <w:rsid w:val="00F47980"/>
    <w:rsid w:val="00F50610"/>
    <w:rsid w:val="00F53EDA"/>
    <w:rsid w:val="00F5428E"/>
    <w:rsid w:val="00F56518"/>
    <w:rsid w:val="00F56BFE"/>
    <w:rsid w:val="00F56DE0"/>
    <w:rsid w:val="00F61902"/>
    <w:rsid w:val="00F6227B"/>
    <w:rsid w:val="00F66579"/>
    <w:rsid w:val="00F708A8"/>
    <w:rsid w:val="00F715B6"/>
    <w:rsid w:val="00F719A2"/>
    <w:rsid w:val="00F71B6B"/>
    <w:rsid w:val="00F730FE"/>
    <w:rsid w:val="00F76CC7"/>
    <w:rsid w:val="00F77293"/>
    <w:rsid w:val="00F7753D"/>
    <w:rsid w:val="00F805CA"/>
    <w:rsid w:val="00F80636"/>
    <w:rsid w:val="00F80BC3"/>
    <w:rsid w:val="00F82D69"/>
    <w:rsid w:val="00F83C0F"/>
    <w:rsid w:val="00F85F34"/>
    <w:rsid w:val="00F87929"/>
    <w:rsid w:val="00F91414"/>
    <w:rsid w:val="00F92835"/>
    <w:rsid w:val="00F95FD0"/>
    <w:rsid w:val="00FA06F7"/>
    <w:rsid w:val="00FA18D9"/>
    <w:rsid w:val="00FA5CA3"/>
    <w:rsid w:val="00FA62FA"/>
    <w:rsid w:val="00FB0119"/>
    <w:rsid w:val="00FB171A"/>
    <w:rsid w:val="00FB24B1"/>
    <w:rsid w:val="00FB3028"/>
    <w:rsid w:val="00FB3851"/>
    <w:rsid w:val="00FB3D8C"/>
    <w:rsid w:val="00FB75E7"/>
    <w:rsid w:val="00FC24D4"/>
    <w:rsid w:val="00FC348E"/>
    <w:rsid w:val="00FC3EDE"/>
    <w:rsid w:val="00FC68B7"/>
    <w:rsid w:val="00FC751A"/>
    <w:rsid w:val="00FD0E1B"/>
    <w:rsid w:val="00FD1BD3"/>
    <w:rsid w:val="00FD3F13"/>
    <w:rsid w:val="00FD62CD"/>
    <w:rsid w:val="00FD7BF6"/>
    <w:rsid w:val="00FE13F7"/>
    <w:rsid w:val="00FE5180"/>
    <w:rsid w:val="00FE646C"/>
    <w:rsid w:val="00FF037D"/>
    <w:rsid w:val="00FF0EC1"/>
    <w:rsid w:val="00FF116A"/>
    <w:rsid w:val="00FF3A32"/>
    <w:rsid w:val="00FF55DD"/>
    <w:rsid w:val="00FF5677"/>
    <w:rsid w:val="00FF675E"/>
    <w:rsid w:val="00FF76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106B09"/>
  <w15:docId w15:val="{4FFDB39B-E5EB-4AB4-9BF8-3C7E8692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qFormat/>
    <w:rsid w:val="001A1256"/>
    <w:rPr>
      <w:lang w:eastAsia="en-US"/>
    </w:rPr>
  </w:style>
  <w:style w:type="character" w:customStyle="1" w:styleId="HeaderChar">
    <w:name w:val="Header Char"/>
    <w:aliases w:val="6_G Char"/>
    <w:link w:val="Header"/>
    <w:uiPriority w:val="99"/>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 w:type="character" w:customStyle="1" w:styleId="SingleTxtGZchnZchn">
    <w:name w:val="_ Single Txt_G Zchn Zchn"/>
    <w:uiPriority w:val="99"/>
    <w:rsid w:val="00B97D02"/>
    <w:rPr>
      <w:lang w:eastAsia="en-US"/>
    </w:rPr>
  </w:style>
  <w:style w:type="paragraph" w:customStyle="1" w:styleId="Default">
    <w:name w:val="Default"/>
    <w:rsid w:val="00297F3D"/>
    <w:pPr>
      <w:autoSpaceDE w:val="0"/>
      <w:autoSpaceDN w:val="0"/>
      <w:adjustRightInd w:val="0"/>
    </w:pPr>
    <w:rPr>
      <w:rFonts w:eastAsia="SimSun"/>
      <w:color w:val="000000"/>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318459293">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ogle.be/url?sa=i&amp;rct=j&amp;q=&amp;esrc=s&amp;source=images&amp;cd=&amp;cad=rja&amp;uact=8&amp;ved=0ahUKEwiktpji3_nVAhXHJlAKHWiJDZgQjRwIBw&amp;url=http://emballage.sotralentz.com/index.php/de/emballages-industriels-en-pehd-4/ibc&amp;psig=AFQjCNHYrSCYif34Mu1mK7mLVLZ2Ct1vdw&amp;ust=1504003494459974" TargetMode="External"/><Relationship Id="rId18" Type="http://schemas.openxmlformats.org/officeDocument/2006/relationships/hyperlink" Target="http://www.google.be/url?sa=i&amp;rct=j&amp;q=&amp;esrc=s&amp;source=images&amp;cd=&amp;cad=rja&amp;uact=8&amp;ved=0ahUKEwju8ceZ4PnVAhWCKVAKHZs8CtEQjRwIBw&amp;url=http://www.entegrisfluidhandling.com/Default.asp?G%3D1685&amp;psig=AFQjCNE9t9MaZdjIUXT0MAeB-lLAj0GoqQ&amp;ust=15040036024581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be/url?sa=i&amp;rct=j&amp;q=&amp;esrc=s&amp;source=images&amp;cd=&amp;cad=rja&amp;uact=8&amp;ved=0ahUKEwj17byZ3_nVAhVEEVAKHeR_AJIQjRwIBw&amp;url=https://www.schuetz-packaging.net/schuetz-benelux/nl/SOLUTIONS/de-ibc-als-logistiek-hulpmiddel/&amp;psig=AFQjCNE_gG8gj7HWL7VV6qSWq9NK6-Vbnw&amp;ust=150400333712738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nopoel.de/catalog/images/ibc-1000-stun-800.gi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google.be/url?sa=i&amp;rct=j&amp;q=&amp;esrc=s&amp;source=images&amp;cd=&amp;cad=rja&amp;uact=8&amp;ved=0ahUKEwi7_bby3vnVAhVBLFAKHaY4CEUQjRwIBw&amp;url=https://www.amphorea.co.uk/IBC-1000-Litre-SM13&amp;psig=AFQjCNFB98amkm9Lu1GP0ua06Zdw-d8_cQ&amp;ust=1504003255462539" TargetMode="External"/><Relationship Id="rId14" Type="http://schemas.openxmlformats.org/officeDocument/2006/relationships/image" Target="media/image4.jpe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E7B5-90DF-49F9-B8E4-7CF88573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31</TotalTime>
  <Pages>3</Pages>
  <Words>518</Words>
  <Characters>2677</Characters>
  <Application>Microsoft Office Word</Application>
  <DocSecurity>0</DocSecurity>
  <Lines>64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6</cp:revision>
  <cp:lastPrinted>2018-04-05T09:58:00Z</cp:lastPrinted>
  <dcterms:created xsi:type="dcterms:W3CDTF">2018-04-03T09:23:00Z</dcterms:created>
  <dcterms:modified xsi:type="dcterms:W3CDTF">2018-04-05T09:59:00Z</dcterms:modified>
</cp:coreProperties>
</file>