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F78C0">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F78C0" w:rsidP="009F78C0">
            <w:pPr>
              <w:jc w:val="right"/>
            </w:pPr>
            <w:r w:rsidRPr="009F78C0">
              <w:rPr>
                <w:sz w:val="40"/>
              </w:rPr>
              <w:t>ST</w:t>
            </w:r>
            <w:r>
              <w:t>/SG/AC.10/C.3/2018/39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F78C0" w:rsidP="00F01738">
            <w:pPr>
              <w:spacing w:before="240"/>
            </w:pPr>
            <w:r>
              <w:t>Distr. générale</w:t>
            </w:r>
          </w:p>
          <w:p w:rsidR="009F78C0" w:rsidRDefault="009F78C0" w:rsidP="009F78C0">
            <w:pPr>
              <w:spacing w:line="240" w:lineRule="exact"/>
            </w:pPr>
            <w:r>
              <w:t>4 avril 2018</w:t>
            </w:r>
          </w:p>
          <w:p w:rsidR="009F78C0" w:rsidRDefault="009F78C0" w:rsidP="009F78C0">
            <w:pPr>
              <w:spacing w:line="240" w:lineRule="exact"/>
            </w:pPr>
            <w:r>
              <w:t>Français</w:t>
            </w:r>
          </w:p>
          <w:p w:rsidR="009F78C0" w:rsidRPr="00DB58B5" w:rsidRDefault="003B6D87" w:rsidP="009F78C0">
            <w:pPr>
              <w:spacing w:line="240" w:lineRule="exact"/>
            </w:pPr>
            <w:r>
              <w:t>Original </w:t>
            </w:r>
            <w:r w:rsidR="009F78C0">
              <w:t>: anglais</w:t>
            </w:r>
          </w:p>
        </w:tc>
      </w:tr>
    </w:tbl>
    <w:p w:rsidR="00E30C8E" w:rsidRPr="004364F6" w:rsidRDefault="00E30C8E" w:rsidP="00E30C8E">
      <w:pPr>
        <w:spacing w:before="120"/>
        <w:rPr>
          <w:b/>
          <w:sz w:val="24"/>
          <w:szCs w:val="24"/>
        </w:rPr>
      </w:pPr>
      <w:r w:rsidRPr="004364F6">
        <w:rPr>
          <w:b/>
          <w:sz w:val="24"/>
          <w:szCs w:val="24"/>
        </w:rPr>
        <w:t>Comité d</w:t>
      </w:r>
      <w:r>
        <w:rPr>
          <w:b/>
          <w:sz w:val="24"/>
          <w:szCs w:val="24"/>
        </w:rPr>
        <w:t>’</w:t>
      </w:r>
      <w:r w:rsidRPr="004364F6">
        <w:rPr>
          <w:b/>
          <w:sz w:val="24"/>
          <w:szCs w:val="24"/>
        </w:rPr>
        <w:t xml:space="preserve">experts du transport des marchandises dangereuses </w:t>
      </w:r>
      <w:r>
        <w:rPr>
          <w:b/>
          <w:sz w:val="24"/>
          <w:szCs w:val="24"/>
        </w:rPr>
        <w:br/>
      </w:r>
      <w:r w:rsidRPr="004364F6">
        <w:rPr>
          <w:b/>
          <w:sz w:val="24"/>
          <w:szCs w:val="24"/>
        </w:rPr>
        <w:t xml:space="preserve">et du Système général harmonisé de classification </w:t>
      </w:r>
      <w:r>
        <w:rPr>
          <w:b/>
          <w:sz w:val="24"/>
          <w:szCs w:val="24"/>
        </w:rPr>
        <w:br/>
      </w:r>
      <w:r w:rsidRPr="004364F6">
        <w:rPr>
          <w:b/>
          <w:sz w:val="24"/>
          <w:szCs w:val="24"/>
        </w:rPr>
        <w:t>et d</w:t>
      </w:r>
      <w:r>
        <w:rPr>
          <w:b/>
          <w:sz w:val="24"/>
          <w:szCs w:val="24"/>
        </w:rPr>
        <w:t>’</w:t>
      </w:r>
      <w:r w:rsidRPr="004364F6">
        <w:rPr>
          <w:b/>
          <w:sz w:val="24"/>
          <w:szCs w:val="24"/>
        </w:rPr>
        <w:t>étiquetage des produits chimiques</w:t>
      </w:r>
    </w:p>
    <w:p w:rsidR="00E30C8E" w:rsidRPr="004364F6" w:rsidRDefault="00E30C8E" w:rsidP="00E30C8E">
      <w:pPr>
        <w:spacing w:before="120"/>
        <w:rPr>
          <w:b/>
        </w:rPr>
      </w:pPr>
      <w:r w:rsidRPr="004364F6">
        <w:rPr>
          <w:b/>
        </w:rPr>
        <w:t>Sous-</w:t>
      </w:r>
      <w:r w:rsidR="00677D50">
        <w:rPr>
          <w:b/>
        </w:rPr>
        <w:t>C</w:t>
      </w:r>
      <w:r w:rsidR="00677D50" w:rsidRPr="004364F6">
        <w:rPr>
          <w:b/>
        </w:rPr>
        <w:t xml:space="preserve">omité </w:t>
      </w:r>
      <w:r w:rsidRPr="004364F6">
        <w:rPr>
          <w:b/>
        </w:rPr>
        <w:t>d</w:t>
      </w:r>
      <w:r>
        <w:rPr>
          <w:b/>
        </w:rPr>
        <w:t>’</w:t>
      </w:r>
      <w:r w:rsidRPr="004364F6">
        <w:rPr>
          <w:b/>
        </w:rPr>
        <w:t>experts du transport des marchandises dangereuses</w:t>
      </w:r>
    </w:p>
    <w:p w:rsidR="00E30C8E" w:rsidRPr="004364F6" w:rsidRDefault="00E30C8E" w:rsidP="00E30C8E">
      <w:pPr>
        <w:spacing w:before="120"/>
        <w:rPr>
          <w:b/>
        </w:rPr>
      </w:pPr>
      <w:r w:rsidRPr="004364F6">
        <w:rPr>
          <w:b/>
        </w:rPr>
        <w:t>Cinquante</w:t>
      </w:r>
      <w:r>
        <w:rPr>
          <w:b/>
        </w:rPr>
        <w:t>-</w:t>
      </w:r>
      <w:r w:rsidRPr="004364F6">
        <w:rPr>
          <w:b/>
        </w:rPr>
        <w:t>troisième session</w:t>
      </w:r>
    </w:p>
    <w:p w:rsidR="00E30C8E" w:rsidRPr="00C94FB2" w:rsidRDefault="00E30C8E" w:rsidP="00E30C8E">
      <w:r>
        <w:t>Genève, 25 juin-</w:t>
      </w:r>
      <w:r w:rsidRPr="00C94FB2">
        <w:t>4 juillet 2018</w:t>
      </w:r>
    </w:p>
    <w:p w:rsidR="00E30C8E" w:rsidRPr="00C94FB2" w:rsidRDefault="00E30C8E" w:rsidP="00E30C8E">
      <w:r w:rsidRPr="00C94FB2">
        <w:t>Point</w:t>
      </w:r>
      <w:r>
        <w:t xml:space="preserve"> 7</w:t>
      </w:r>
      <w:r w:rsidRPr="00C94FB2">
        <w:t xml:space="preserve"> de l</w:t>
      </w:r>
      <w:r>
        <w:t>’</w:t>
      </w:r>
      <w:r w:rsidRPr="00C94FB2">
        <w:t>ordre du jour provisoire</w:t>
      </w:r>
    </w:p>
    <w:p w:rsidR="00E30C8E" w:rsidRPr="004364F6" w:rsidRDefault="00E30C8E" w:rsidP="00E30C8E">
      <w:pPr>
        <w:rPr>
          <w:b/>
        </w:rPr>
      </w:pPr>
      <w:r w:rsidRPr="004364F6">
        <w:rPr>
          <w:b/>
        </w:rPr>
        <w:t xml:space="preserve">Harmonisation générale des règlements de transport </w:t>
      </w:r>
      <w:r>
        <w:rPr>
          <w:b/>
        </w:rPr>
        <w:br/>
      </w:r>
      <w:r w:rsidRPr="004364F6">
        <w:rPr>
          <w:b/>
        </w:rPr>
        <w:t>des marchandises dangereuses avec le Règlement type</w:t>
      </w:r>
    </w:p>
    <w:p w:rsidR="00E30C8E" w:rsidRPr="00C94FB2" w:rsidRDefault="00E30C8E" w:rsidP="00E30C8E">
      <w:pPr>
        <w:pStyle w:val="HChG"/>
      </w:pPr>
      <w:r w:rsidRPr="00C94FB2">
        <w:tab/>
      </w:r>
      <w:r w:rsidRPr="00C94FB2">
        <w:tab/>
      </w:r>
      <w:r>
        <w:t>Modification du 7.1.5.4.5</w:t>
      </w:r>
    </w:p>
    <w:p w:rsidR="00E30C8E" w:rsidRPr="00CA4EE1" w:rsidRDefault="00E30C8E" w:rsidP="00E30C8E">
      <w:pPr>
        <w:pStyle w:val="H1G"/>
      </w:pPr>
      <w:r w:rsidRPr="00C94FB2">
        <w:tab/>
      </w:r>
      <w:r w:rsidRPr="00C94FB2">
        <w:tab/>
      </w:r>
      <w:r w:rsidRPr="00CA4EE1">
        <w:t>Communication de l</w:t>
      </w:r>
      <w:r>
        <w:t>’</w:t>
      </w:r>
      <w:r w:rsidRPr="00CA4EE1">
        <w:t>expert des Pay</w:t>
      </w:r>
      <w:r>
        <w:t>s</w:t>
      </w:r>
      <w:r w:rsidRPr="00CA4EE1">
        <w:t>-Bas</w:t>
      </w:r>
      <w:r w:rsidR="00677D50" w:rsidRPr="00677D50">
        <w:rPr>
          <w:rStyle w:val="FootnoteReference"/>
          <w:b w:val="0"/>
          <w:sz w:val="20"/>
          <w:vertAlign w:val="baseline"/>
        </w:rPr>
        <w:footnoteReference w:customMarkFollows="1" w:id="2"/>
        <w:t>*</w:t>
      </w:r>
    </w:p>
    <w:p w:rsidR="00E30C8E" w:rsidRPr="00CA4EE1" w:rsidRDefault="00E30C8E" w:rsidP="00E30C8E">
      <w:pPr>
        <w:pStyle w:val="HChG"/>
      </w:pPr>
      <w:r w:rsidRPr="00CA4EE1">
        <w:tab/>
      </w:r>
      <w:r w:rsidRPr="00CA4EE1">
        <w:tab/>
        <w:t>Introduction</w:t>
      </w:r>
    </w:p>
    <w:p w:rsidR="00E30C8E" w:rsidRPr="00C94FB2" w:rsidRDefault="00E30C8E" w:rsidP="00E30C8E">
      <w:pPr>
        <w:pStyle w:val="SingleTxtG"/>
      </w:pPr>
      <w:r w:rsidRPr="00C94FB2">
        <w:t>1.</w:t>
      </w:r>
      <w:r w:rsidRPr="00C94FB2">
        <w:tab/>
      </w:r>
      <w:r>
        <w:t>À sa cinquantième session, en décembre 2016, le Sous-</w:t>
      </w:r>
      <w:r w:rsidR="00B07E17">
        <w:t xml:space="preserve">Comité </w:t>
      </w:r>
      <w:r>
        <w:t xml:space="preserve">a adopté une nouvelle section (7.1.5) applicable au transport des matières </w:t>
      </w:r>
      <w:proofErr w:type="spellStart"/>
      <w:r>
        <w:t>a</w:t>
      </w:r>
      <w:r w:rsidR="00B07E17">
        <w:t>utoréactives</w:t>
      </w:r>
      <w:proofErr w:type="spellEnd"/>
      <w:r w:rsidR="00B07E17">
        <w:t xml:space="preserve"> de la Division </w:t>
      </w:r>
      <w:r>
        <w:t>4.1, des peroxydes organiques de la Division 5.2 et des matières s</w:t>
      </w:r>
      <w:r w:rsidR="00B07E17">
        <w:t xml:space="preserve">tabilisées par régulation de la </w:t>
      </w:r>
      <w:r>
        <w:t xml:space="preserve">température. Toutes ces dispositions ont été insérées dans la vingtième édition du Règlement type. </w:t>
      </w:r>
    </w:p>
    <w:p w:rsidR="00E30C8E" w:rsidRPr="00D20317" w:rsidRDefault="00E30C8E" w:rsidP="00E30C8E">
      <w:pPr>
        <w:pStyle w:val="SingleTxtG"/>
      </w:pPr>
      <w:r w:rsidRPr="00CA4EE1">
        <w:t>2.</w:t>
      </w:r>
      <w:r w:rsidRPr="00CA4EE1">
        <w:tab/>
      </w:r>
      <w:r>
        <w:t>L’inclusion de ces dispositions dans l’Accord européen relatif au transport international des marchandises dangereuses par route (ADR) a été examinée lors de la 103</w:t>
      </w:r>
      <w:r w:rsidRPr="00CA4EE1">
        <w:rPr>
          <w:vertAlign w:val="superscript"/>
        </w:rPr>
        <w:t>e</w:t>
      </w:r>
      <w:r>
        <w:t> session du Groupe de travail du transport des marchandises dangereuses en novembre 2017. À cette occasion, le Groupe « </w:t>
      </w:r>
      <w:r>
        <w:rPr>
          <w:i/>
        </w:rPr>
        <w:t>a noté que les mesures proposées aux alinéas c), d) et e) du 7.1.7.4.5 n’avaient pas de sens sans isolation thermique </w:t>
      </w:r>
      <w:r w:rsidRPr="00D20317">
        <w:t>» (ECE/TRANS/WP.15/239, par. 29). Le Groupe de travail a donc modifié ces dispositions en prescrivant l</w:t>
      </w:r>
      <w:r>
        <w:t>’</w:t>
      </w:r>
      <w:r w:rsidRPr="00D20317">
        <w:t>obligation d</w:t>
      </w:r>
      <w:r>
        <w:t>’</w:t>
      </w:r>
      <w:r w:rsidRPr="00D20317">
        <w:t>une isolation thermique aux alinéas c), d) et e) du 7.1.7.4.5.</w:t>
      </w:r>
    </w:p>
    <w:p w:rsidR="00E30C8E" w:rsidRDefault="00E30C8E" w:rsidP="00E30C8E">
      <w:pPr>
        <w:pStyle w:val="SingleTxtG"/>
      </w:pPr>
      <w:r>
        <w:t>3.</w:t>
      </w:r>
      <w:r>
        <w:tab/>
        <w:t>Le Groupe de travail a prié les Pays-Bas d’attirer l’attention du Sous-</w:t>
      </w:r>
      <w:r w:rsidR="00522CB3">
        <w:t xml:space="preserve">Comité </w:t>
      </w:r>
      <w:r>
        <w:t xml:space="preserve">sur cette question en vue de modifier le Règlement type le cas échéant. </w:t>
      </w:r>
    </w:p>
    <w:p w:rsidR="00E30C8E" w:rsidRDefault="00E30C8E" w:rsidP="00E30C8E">
      <w:pPr>
        <w:pStyle w:val="SingleTxtG"/>
      </w:pPr>
      <w:r>
        <w:t>4.</w:t>
      </w:r>
      <w:r>
        <w:tab/>
        <w:t>Afin de favoriser la sécurité et l’harmonisation entre les modes de transport, nous proposons d’aligner le 7.1.5.4.5 du Règlement type sur le 7.1.5.4.5 de l’ADR, tel qu’il a été adopté à la 103</w:t>
      </w:r>
      <w:r w:rsidRPr="00C34B84">
        <w:rPr>
          <w:vertAlign w:val="superscript"/>
        </w:rPr>
        <w:t>e</w:t>
      </w:r>
      <w:r>
        <w:t> session du Groupe de travail. Cela suppose l’ajout de prescriptions concernant l’isolation thermique aux alinéas c), d) et e) du 7.1.5.4.5. En outre, nous proposons que le 7.1.5.4.5 soit modifié pour y ajouter les précisions que le Groupe de travail a apportées au texte.</w:t>
      </w:r>
    </w:p>
    <w:p w:rsidR="00E30C8E" w:rsidRPr="00C55A53" w:rsidRDefault="00E30C8E" w:rsidP="00E30C8E">
      <w:pPr>
        <w:pStyle w:val="HChG"/>
      </w:pPr>
      <w:r>
        <w:rPr>
          <w:sz w:val="20"/>
        </w:rPr>
        <w:lastRenderedPageBreak/>
        <w:tab/>
      </w:r>
      <w:r>
        <w:rPr>
          <w:sz w:val="20"/>
        </w:rPr>
        <w:tab/>
      </w:r>
      <w:r>
        <w:t>Proposition</w:t>
      </w:r>
    </w:p>
    <w:p w:rsidR="00E30C8E" w:rsidRPr="00944880" w:rsidRDefault="00E30C8E" w:rsidP="00E30C8E">
      <w:pPr>
        <w:pStyle w:val="SingleTxtG"/>
      </w:pPr>
      <w:r w:rsidRPr="00944880">
        <w:t>5.</w:t>
      </w:r>
      <w:r w:rsidRPr="00944880">
        <w:tab/>
        <w:t>Modifier le 7.1.5.4.5 comme suit, les ajouts étant en caractères gras et les suppressions biffées :</w:t>
      </w:r>
    </w:p>
    <w:p w:rsidR="00E30C8E" w:rsidRPr="00944880" w:rsidRDefault="00E30C8E" w:rsidP="00E30C8E">
      <w:pPr>
        <w:pStyle w:val="SingleTxtG"/>
        <w:ind w:left="1701"/>
        <w:rPr>
          <w:lang w:eastAsia="fr-FR"/>
        </w:rPr>
      </w:pPr>
      <w:r w:rsidRPr="00944880">
        <w:rPr>
          <w:lang w:eastAsia="fr-FR"/>
        </w:rPr>
        <w:t>« 7.1.5.4.5</w:t>
      </w:r>
      <w:r w:rsidRPr="00944880">
        <w:rPr>
          <w:lang w:eastAsia="fr-FR"/>
        </w:rPr>
        <w:tab/>
        <w:t xml:space="preserve">Des méthodes </w:t>
      </w:r>
      <w:r w:rsidR="00812610" w:rsidRPr="00944880">
        <w:rPr>
          <w:lang w:eastAsia="fr-FR"/>
        </w:rPr>
        <w:t>appropriées</w:t>
      </w:r>
      <w:r w:rsidRPr="00944880">
        <w:rPr>
          <w:lang w:eastAsia="fr-FR"/>
        </w:rPr>
        <w:t xml:space="preserve"> pour </w:t>
      </w:r>
      <w:r w:rsidR="00812610" w:rsidRPr="00944880">
        <w:rPr>
          <w:lang w:eastAsia="fr-FR"/>
        </w:rPr>
        <w:t>empêcher</w:t>
      </w:r>
      <w:r w:rsidRPr="00944880">
        <w:rPr>
          <w:lang w:eastAsia="fr-FR"/>
        </w:rPr>
        <w:t xml:space="preserve"> le </w:t>
      </w:r>
      <w:r w:rsidR="00812610" w:rsidRPr="00944880">
        <w:rPr>
          <w:lang w:eastAsia="fr-FR"/>
        </w:rPr>
        <w:t>dépassement</w:t>
      </w:r>
      <w:r w:rsidRPr="00944880">
        <w:rPr>
          <w:lang w:eastAsia="fr-FR"/>
        </w:rPr>
        <w:t xml:space="preserve"> de la </w:t>
      </w:r>
      <w:r w:rsidR="00812610" w:rsidRPr="00944880">
        <w:rPr>
          <w:lang w:eastAsia="fr-FR"/>
        </w:rPr>
        <w:t>température</w:t>
      </w:r>
      <w:r w:rsidRPr="00944880">
        <w:rPr>
          <w:lang w:eastAsia="fr-FR"/>
        </w:rPr>
        <w:t xml:space="preserve"> de </w:t>
      </w:r>
      <w:r w:rsidR="00812610" w:rsidRPr="00944880">
        <w:rPr>
          <w:lang w:eastAsia="fr-FR"/>
        </w:rPr>
        <w:t>régulation</w:t>
      </w:r>
      <w:r w:rsidRPr="00944880">
        <w:rPr>
          <w:lang w:eastAsia="fr-FR"/>
        </w:rPr>
        <w:t xml:space="preserve"> sont par ordre croissant d’efficacité :</w:t>
      </w:r>
    </w:p>
    <w:p w:rsidR="00E30C8E" w:rsidRPr="00944880" w:rsidRDefault="00E30C8E" w:rsidP="00E30C8E">
      <w:pPr>
        <w:pStyle w:val="SingleTxtG"/>
        <w:ind w:left="2268" w:hanging="567"/>
        <w:rPr>
          <w:lang w:eastAsia="fr-FR"/>
        </w:rPr>
      </w:pPr>
      <w:r w:rsidRPr="00944880">
        <w:rPr>
          <w:lang w:eastAsia="fr-FR"/>
        </w:rPr>
        <w:t>a)</w:t>
      </w:r>
      <w:r w:rsidRPr="00944880">
        <w:rPr>
          <w:lang w:eastAsia="fr-FR"/>
        </w:rPr>
        <w:tab/>
        <w:t xml:space="preserve">Isolation thermique, à condition que la </w:t>
      </w:r>
      <w:r w:rsidR="00812610" w:rsidRPr="00944880">
        <w:rPr>
          <w:lang w:eastAsia="fr-FR"/>
        </w:rPr>
        <w:t>température</w:t>
      </w:r>
      <w:r w:rsidRPr="00944880">
        <w:rPr>
          <w:lang w:eastAsia="fr-FR"/>
        </w:rPr>
        <w:t xml:space="preserve"> initiale de la ou des </w:t>
      </w:r>
      <w:r w:rsidR="00812610" w:rsidRPr="00944880">
        <w:rPr>
          <w:lang w:eastAsia="fr-FR"/>
        </w:rPr>
        <w:t>matière</w:t>
      </w:r>
      <w:r w:rsidR="00DA51EA">
        <w:rPr>
          <w:lang w:eastAsia="fr-FR"/>
        </w:rPr>
        <w:t>(</w:t>
      </w:r>
      <w:r w:rsidR="00812610" w:rsidRPr="00944880">
        <w:rPr>
          <w:lang w:eastAsia="fr-FR"/>
        </w:rPr>
        <w:t>s</w:t>
      </w:r>
      <w:r w:rsidR="00DA51EA">
        <w:rPr>
          <w:lang w:eastAsia="fr-FR"/>
        </w:rPr>
        <w:t>)</w:t>
      </w:r>
      <w:r w:rsidRPr="00944880">
        <w:rPr>
          <w:lang w:eastAsia="fr-FR"/>
        </w:rPr>
        <w:t xml:space="preserve"> à transporter soit suffisamment basse par rapport </w:t>
      </w:r>
      <w:r w:rsidR="00812610">
        <w:rPr>
          <w:lang w:eastAsia="fr-FR"/>
        </w:rPr>
        <w:t>à</w:t>
      </w:r>
      <w:r w:rsidRPr="00944880">
        <w:rPr>
          <w:lang w:eastAsia="fr-FR"/>
        </w:rPr>
        <w:t xml:space="preserve"> la </w:t>
      </w:r>
      <w:r w:rsidR="00812610" w:rsidRPr="00944880">
        <w:rPr>
          <w:lang w:eastAsia="fr-FR"/>
        </w:rPr>
        <w:t>température</w:t>
      </w:r>
      <w:r w:rsidRPr="00944880">
        <w:rPr>
          <w:lang w:eastAsia="fr-FR"/>
        </w:rPr>
        <w:t xml:space="preserve"> de </w:t>
      </w:r>
      <w:r w:rsidR="00812610" w:rsidRPr="00944880">
        <w:rPr>
          <w:lang w:eastAsia="fr-FR"/>
        </w:rPr>
        <w:t>régulation</w:t>
      </w:r>
      <w:r w:rsidRPr="00944880">
        <w:rPr>
          <w:lang w:eastAsia="fr-FR"/>
        </w:rPr>
        <w:t> ;</w:t>
      </w:r>
    </w:p>
    <w:p w:rsidR="00E30C8E" w:rsidRPr="00944880" w:rsidRDefault="00E30C8E" w:rsidP="00E30C8E">
      <w:pPr>
        <w:pStyle w:val="SingleTxtG"/>
        <w:ind w:left="2268" w:hanging="567"/>
        <w:rPr>
          <w:lang w:eastAsia="fr-FR"/>
        </w:rPr>
      </w:pPr>
      <w:r w:rsidRPr="00944880">
        <w:rPr>
          <w:lang w:eastAsia="fr-FR"/>
        </w:rPr>
        <w:t>b)</w:t>
      </w:r>
      <w:r w:rsidRPr="00944880">
        <w:rPr>
          <w:lang w:eastAsia="fr-FR"/>
        </w:rPr>
        <w:tab/>
        <w:t xml:space="preserve">Isolation thermique avec </w:t>
      </w:r>
      <w:r w:rsidR="00812610" w:rsidRPr="00944880">
        <w:rPr>
          <w:lang w:eastAsia="fr-FR"/>
        </w:rPr>
        <w:t>système</w:t>
      </w:r>
      <w:r w:rsidRPr="00944880">
        <w:rPr>
          <w:lang w:eastAsia="fr-FR"/>
        </w:rPr>
        <w:t xml:space="preserve"> de refroidissement, à condition que :</w:t>
      </w:r>
    </w:p>
    <w:p w:rsidR="00E30C8E" w:rsidRPr="00944880" w:rsidRDefault="00E30C8E" w:rsidP="00B1081E">
      <w:pPr>
        <w:pStyle w:val="SingleTxtG"/>
        <w:ind w:left="2835" w:hanging="567"/>
        <w:rPr>
          <w:lang w:eastAsia="fr-FR"/>
        </w:rPr>
      </w:pPr>
      <w:r w:rsidRPr="00944880">
        <w:rPr>
          <w:lang w:eastAsia="fr-FR"/>
        </w:rPr>
        <w:t>i)</w:t>
      </w:r>
      <w:r w:rsidRPr="00944880">
        <w:rPr>
          <w:lang w:eastAsia="fr-FR"/>
        </w:rPr>
        <w:tab/>
        <w:t xml:space="preserve">Une </w:t>
      </w:r>
      <w:r w:rsidR="00812610" w:rsidRPr="00944880">
        <w:rPr>
          <w:lang w:eastAsia="fr-FR"/>
        </w:rPr>
        <w:t>quantit</w:t>
      </w:r>
      <w:r w:rsidR="00812610">
        <w:rPr>
          <w:lang w:eastAsia="fr-FR"/>
        </w:rPr>
        <w:t>é</w:t>
      </w:r>
      <w:r w:rsidRPr="00944880">
        <w:rPr>
          <w:lang w:eastAsia="fr-FR"/>
        </w:rPr>
        <w:t xml:space="preserve"> suffisante de </w:t>
      </w:r>
      <w:r w:rsidR="00812610" w:rsidRPr="00944880">
        <w:rPr>
          <w:lang w:eastAsia="fr-FR"/>
        </w:rPr>
        <w:t>réfrigérant</w:t>
      </w:r>
      <w:r w:rsidRPr="00944880">
        <w:rPr>
          <w:lang w:eastAsia="fr-FR"/>
        </w:rPr>
        <w:t xml:space="preserve"> </w:t>
      </w:r>
      <w:r w:rsidRPr="00944880">
        <w:rPr>
          <w:b/>
          <w:lang w:eastAsia="fr-FR"/>
        </w:rPr>
        <w:t xml:space="preserve">non inflammable </w:t>
      </w:r>
      <w:r w:rsidRPr="00944880">
        <w:rPr>
          <w:lang w:eastAsia="fr-FR"/>
        </w:rPr>
        <w:t xml:space="preserve">(par exemple azote liquide ou neige carbonique) soit </w:t>
      </w:r>
      <w:r w:rsidR="00812610" w:rsidRPr="00944880">
        <w:rPr>
          <w:lang w:eastAsia="fr-FR"/>
        </w:rPr>
        <w:t>transportée</w:t>
      </w:r>
      <w:r w:rsidRPr="00944880">
        <w:rPr>
          <w:lang w:eastAsia="fr-FR"/>
        </w:rPr>
        <w:t xml:space="preserve"> </w:t>
      </w:r>
      <w:r w:rsidRPr="00944880">
        <w:rPr>
          <w:b/>
          <w:lang w:eastAsia="fr-FR"/>
        </w:rPr>
        <w:t xml:space="preserve">ou un moyen de </w:t>
      </w:r>
      <w:r w:rsidR="00812610" w:rsidRPr="00944880">
        <w:rPr>
          <w:b/>
          <w:lang w:eastAsia="fr-FR"/>
        </w:rPr>
        <w:t>complétement</w:t>
      </w:r>
      <w:r w:rsidRPr="00944880">
        <w:rPr>
          <w:b/>
          <w:lang w:eastAsia="fr-FR"/>
        </w:rPr>
        <w:t xml:space="preserve"> soit assuré</w:t>
      </w:r>
      <w:r w:rsidRPr="00944880">
        <w:rPr>
          <w:lang w:eastAsia="fr-FR"/>
        </w:rPr>
        <w:t>, en tenant compte d’une marge raisonnable pour les retards ;</w:t>
      </w:r>
    </w:p>
    <w:p w:rsidR="00E30C8E" w:rsidRPr="00944880" w:rsidRDefault="00E30C8E" w:rsidP="00B1081E">
      <w:pPr>
        <w:pStyle w:val="SingleTxtG"/>
        <w:ind w:left="2835" w:hanging="567"/>
        <w:rPr>
          <w:lang w:eastAsia="fr-FR"/>
        </w:rPr>
      </w:pPr>
      <w:r w:rsidRPr="00944880">
        <w:rPr>
          <w:lang w:eastAsia="fr-FR"/>
        </w:rPr>
        <w:t>ii)</w:t>
      </w:r>
      <w:r w:rsidRPr="00944880">
        <w:rPr>
          <w:lang w:eastAsia="fr-FR"/>
        </w:rPr>
        <w:tab/>
        <w:t>Ni l’</w:t>
      </w:r>
      <w:r w:rsidR="00812610" w:rsidRPr="00944880">
        <w:rPr>
          <w:lang w:eastAsia="fr-FR"/>
        </w:rPr>
        <w:t>oxygène</w:t>
      </w:r>
      <w:r w:rsidRPr="00944880">
        <w:rPr>
          <w:lang w:eastAsia="fr-FR"/>
        </w:rPr>
        <w:t xml:space="preserve"> liquide ni l’air liquide ne soient </w:t>
      </w:r>
      <w:r w:rsidR="00812610" w:rsidRPr="00944880">
        <w:rPr>
          <w:lang w:eastAsia="fr-FR"/>
        </w:rPr>
        <w:t>utilisés</w:t>
      </w:r>
      <w:r w:rsidRPr="00944880">
        <w:rPr>
          <w:lang w:eastAsia="fr-FR"/>
        </w:rPr>
        <w:t xml:space="preserve"> comme </w:t>
      </w:r>
      <w:r w:rsidR="00812610" w:rsidRPr="00944880">
        <w:rPr>
          <w:lang w:eastAsia="fr-FR"/>
        </w:rPr>
        <w:t>réfrigérants</w:t>
      </w:r>
      <w:r w:rsidRPr="00944880">
        <w:rPr>
          <w:lang w:eastAsia="fr-FR"/>
        </w:rPr>
        <w:t> ;</w:t>
      </w:r>
    </w:p>
    <w:p w:rsidR="00E30C8E" w:rsidRPr="00944880" w:rsidRDefault="00E30C8E" w:rsidP="00B1081E">
      <w:pPr>
        <w:pStyle w:val="SingleTxtG"/>
        <w:ind w:left="2835" w:hanging="567"/>
        <w:rPr>
          <w:lang w:eastAsia="fr-FR"/>
        </w:rPr>
      </w:pPr>
      <w:r w:rsidRPr="00944880">
        <w:rPr>
          <w:lang w:eastAsia="fr-FR"/>
        </w:rPr>
        <w:t>iii)</w:t>
      </w:r>
      <w:r w:rsidRPr="00944880">
        <w:rPr>
          <w:lang w:eastAsia="fr-FR"/>
        </w:rPr>
        <w:tab/>
        <w:t xml:space="preserve">Le </w:t>
      </w:r>
      <w:r w:rsidR="00812610" w:rsidRPr="00944880">
        <w:rPr>
          <w:lang w:eastAsia="fr-FR"/>
        </w:rPr>
        <w:t>système</w:t>
      </w:r>
      <w:r w:rsidRPr="00944880">
        <w:rPr>
          <w:lang w:eastAsia="fr-FR"/>
        </w:rPr>
        <w:t xml:space="preserve"> de refroidissement ait un effet uniforme, même lorsque la plupart du </w:t>
      </w:r>
      <w:r w:rsidR="00812610" w:rsidRPr="00944880">
        <w:rPr>
          <w:lang w:eastAsia="fr-FR"/>
        </w:rPr>
        <w:t>réfrigérant</w:t>
      </w:r>
      <w:r w:rsidRPr="00944880">
        <w:rPr>
          <w:lang w:eastAsia="fr-FR"/>
        </w:rPr>
        <w:t xml:space="preserve"> est </w:t>
      </w:r>
      <w:r w:rsidR="00812610" w:rsidRPr="00944880">
        <w:rPr>
          <w:lang w:eastAsia="fr-FR"/>
        </w:rPr>
        <w:t>épuisée</w:t>
      </w:r>
      <w:r w:rsidRPr="00944880">
        <w:rPr>
          <w:lang w:eastAsia="fr-FR"/>
        </w:rPr>
        <w:t> ; et</w:t>
      </w:r>
    </w:p>
    <w:p w:rsidR="00E30C8E" w:rsidRPr="00944880" w:rsidRDefault="00E30C8E" w:rsidP="00B1081E">
      <w:pPr>
        <w:pStyle w:val="SingleTxtG"/>
        <w:ind w:left="2835" w:hanging="567"/>
        <w:rPr>
          <w:lang w:eastAsia="fr-FR"/>
        </w:rPr>
      </w:pPr>
      <w:r w:rsidRPr="00944880">
        <w:rPr>
          <w:lang w:eastAsia="fr-FR"/>
        </w:rPr>
        <w:t>iv)</w:t>
      </w:r>
      <w:r w:rsidRPr="00944880">
        <w:rPr>
          <w:lang w:eastAsia="fr-FR"/>
        </w:rPr>
        <w:tab/>
        <w:t xml:space="preserve">La </w:t>
      </w:r>
      <w:r w:rsidR="00812610" w:rsidRPr="00944880">
        <w:rPr>
          <w:lang w:eastAsia="fr-FR"/>
        </w:rPr>
        <w:t>nécessit</w:t>
      </w:r>
      <w:r w:rsidR="00812610">
        <w:rPr>
          <w:lang w:eastAsia="fr-FR"/>
        </w:rPr>
        <w:t>é</w:t>
      </w:r>
      <w:r w:rsidRPr="00944880">
        <w:rPr>
          <w:lang w:eastAsia="fr-FR"/>
        </w:rPr>
        <w:t xml:space="preserve"> de ventiler l’engin de transport avant d’entrer soit clairement </w:t>
      </w:r>
      <w:r w:rsidR="00812610" w:rsidRPr="00944880">
        <w:rPr>
          <w:lang w:eastAsia="fr-FR"/>
        </w:rPr>
        <w:t>indiquée</w:t>
      </w:r>
      <w:r w:rsidRPr="00944880">
        <w:rPr>
          <w:lang w:eastAsia="fr-FR"/>
        </w:rPr>
        <w:t xml:space="preserve"> par un avis inscrit sur la ou les porte</w:t>
      </w:r>
      <w:r w:rsidR="007609B9">
        <w:rPr>
          <w:lang w:eastAsia="fr-FR"/>
        </w:rPr>
        <w:t>(</w:t>
      </w:r>
      <w:r w:rsidRPr="00944880">
        <w:rPr>
          <w:lang w:eastAsia="fr-FR"/>
        </w:rPr>
        <w:t>s</w:t>
      </w:r>
      <w:r w:rsidR="007609B9">
        <w:rPr>
          <w:lang w:eastAsia="fr-FR"/>
        </w:rPr>
        <w:t>)</w:t>
      </w:r>
      <w:r w:rsidRPr="00944880">
        <w:rPr>
          <w:lang w:eastAsia="fr-FR"/>
        </w:rPr>
        <w:t xml:space="preserve"> de l’engin ;</w:t>
      </w:r>
    </w:p>
    <w:p w:rsidR="00E30C8E" w:rsidRPr="00944880" w:rsidRDefault="00E30C8E" w:rsidP="00E30C8E">
      <w:pPr>
        <w:pStyle w:val="SingleTxtG"/>
        <w:ind w:left="2268" w:hanging="567"/>
        <w:rPr>
          <w:lang w:eastAsia="fr-FR"/>
        </w:rPr>
      </w:pPr>
      <w:r w:rsidRPr="00944880">
        <w:rPr>
          <w:lang w:eastAsia="fr-FR"/>
        </w:rPr>
        <w:t>c)</w:t>
      </w:r>
      <w:r w:rsidRPr="00944880">
        <w:rPr>
          <w:lang w:eastAsia="fr-FR"/>
        </w:rPr>
        <w:tab/>
      </w:r>
      <w:r w:rsidRPr="00944880">
        <w:rPr>
          <w:b/>
          <w:lang w:eastAsia="fr-FR"/>
        </w:rPr>
        <w:t>Isolation thermique et</w:t>
      </w:r>
      <w:r w:rsidRPr="00944880">
        <w:rPr>
          <w:lang w:eastAsia="fr-FR"/>
        </w:rPr>
        <w:t xml:space="preserve"> </w:t>
      </w:r>
      <w:r w:rsidR="00812610" w:rsidRPr="00944880">
        <w:rPr>
          <w:lang w:eastAsia="fr-FR"/>
        </w:rPr>
        <w:t>réfrigération</w:t>
      </w:r>
      <w:r w:rsidRPr="00944880">
        <w:rPr>
          <w:lang w:eastAsia="fr-FR"/>
        </w:rPr>
        <w:t xml:space="preserve"> </w:t>
      </w:r>
      <w:r w:rsidR="00812610" w:rsidRPr="00944880">
        <w:rPr>
          <w:lang w:eastAsia="fr-FR"/>
        </w:rPr>
        <w:t>mécanique</w:t>
      </w:r>
      <w:r w:rsidRPr="00944880">
        <w:rPr>
          <w:lang w:eastAsia="fr-FR"/>
        </w:rPr>
        <w:t xml:space="preserve"> simple, à condition que, pour les </w:t>
      </w:r>
      <w:r w:rsidR="00812610" w:rsidRPr="00944880">
        <w:rPr>
          <w:lang w:eastAsia="fr-FR"/>
        </w:rPr>
        <w:t>matières</w:t>
      </w:r>
      <w:r w:rsidRPr="00944880">
        <w:rPr>
          <w:lang w:eastAsia="fr-FR"/>
        </w:rPr>
        <w:t xml:space="preserve"> à transporter ayant un point d’</w:t>
      </w:r>
      <w:r w:rsidR="00812610" w:rsidRPr="00944880">
        <w:rPr>
          <w:lang w:eastAsia="fr-FR"/>
        </w:rPr>
        <w:t>éclair</w:t>
      </w:r>
      <w:r w:rsidRPr="00944880">
        <w:rPr>
          <w:lang w:eastAsia="fr-FR"/>
        </w:rPr>
        <w:t xml:space="preserve"> </w:t>
      </w:r>
      <w:r w:rsidR="00812610" w:rsidRPr="00944880">
        <w:rPr>
          <w:lang w:eastAsia="fr-FR"/>
        </w:rPr>
        <w:t>inférieur</w:t>
      </w:r>
      <w:r w:rsidRPr="00944880">
        <w:rPr>
          <w:lang w:eastAsia="fr-FR"/>
        </w:rPr>
        <w:t xml:space="preserve"> à la </w:t>
      </w:r>
      <w:r w:rsidR="00812610" w:rsidRPr="00944880">
        <w:rPr>
          <w:lang w:eastAsia="fr-FR"/>
        </w:rPr>
        <w:t>température</w:t>
      </w:r>
      <w:r w:rsidRPr="00944880">
        <w:rPr>
          <w:lang w:eastAsia="fr-FR"/>
        </w:rPr>
        <w:t xml:space="preserve"> critique </w:t>
      </w:r>
      <w:r w:rsidR="00812610" w:rsidRPr="00944880">
        <w:rPr>
          <w:lang w:eastAsia="fr-FR"/>
        </w:rPr>
        <w:t>augmentée</w:t>
      </w:r>
      <w:r w:rsidRPr="00944880">
        <w:rPr>
          <w:lang w:eastAsia="fr-FR"/>
        </w:rPr>
        <w:t xml:space="preserve"> de 5</w:t>
      </w:r>
      <w:r w:rsidR="00CA4178">
        <w:rPr>
          <w:lang w:eastAsia="fr-FR"/>
        </w:rPr>
        <w:t> </w:t>
      </w:r>
      <w:r w:rsidRPr="00944880">
        <w:rPr>
          <w:lang w:eastAsia="fr-FR"/>
        </w:rPr>
        <w:t xml:space="preserve">°C, des raccords </w:t>
      </w:r>
      <w:r w:rsidR="00812610" w:rsidRPr="00944880">
        <w:rPr>
          <w:lang w:eastAsia="fr-FR"/>
        </w:rPr>
        <w:t>électriques</w:t>
      </w:r>
      <w:r w:rsidRPr="00944880">
        <w:rPr>
          <w:lang w:eastAsia="fr-FR"/>
        </w:rPr>
        <w:t xml:space="preserve"> à protection contre l’explosion soient </w:t>
      </w:r>
      <w:r w:rsidR="00812610" w:rsidRPr="00944880">
        <w:rPr>
          <w:lang w:eastAsia="fr-FR"/>
        </w:rPr>
        <w:t>utilisés</w:t>
      </w:r>
      <w:r w:rsidRPr="00944880">
        <w:rPr>
          <w:lang w:eastAsia="fr-FR"/>
        </w:rPr>
        <w:t xml:space="preserve"> dans le compartiment de </w:t>
      </w:r>
      <w:r w:rsidR="00812610" w:rsidRPr="00944880">
        <w:rPr>
          <w:lang w:eastAsia="fr-FR"/>
        </w:rPr>
        <w:t>réfrigération</w:t>
      </w:r>
      <w:r w:rsidRPr="00944880">
        <w:rPr>
          <w:lang w:eastAsia="fr-FR"/>
        </w:rPr>
        <w:t xml:space="preserve"> pour </w:t>
      </w:r>
      <w:r w:rsidR="00812610" w:rsidRPr="00944880">
        <w:rPr>
          <w:lang w:eastAsia="fr-FR"/>
        </w:rPr>
        <w:t>éviter</w:t>
      </w:r>
      <w:r w:rsidRPr="00944880">
        <w:rPr>
          <w:lang w:eastAsia="fr-FR"/>
        </w:rPr>
        <w:t xml:space="preserve"> le risque d’inflammation des vapeurs </w:t>
      </w:r>
      <w:r w:rsidRPr="00944880">
        <w:rPr>
          <w:b/>
          <w:lang w:eastAsia="fr-FR"/>
        </w:rPr>
        <w:t>provenant des matières</w:t>
      </w:r>
      <w:r w:rsidRPr="00944880">
        <w:rPr>
          <w:lang w:eastAsia="fr-FR"/>
        </w:rPr>
        <w:t> ;</w:t>
      </w:r>
    </w:p>
    <w:p w:rsidR="00E30C8E" w:rsidRPr="00944880" w:rsidRDefault="00E30C8E" w:rsidP="00E30C8E">
      <w:pPr>
        <w:pStyle w:val="SingleTxtG"/>
        <w:ind w:left="2268" w:hanging="567"/>
      </w:pPr>
      <w:r w:rsidRPr="00944880">
        <w:rPr>
          <w:lang w:eastAsia="fr-FR"/>
        </w:rPr>
        <w:t>d)</w:t>
      </w:r>
      <w:r w:rsidRPr="00944880">
        <w:rPr>
          <w:lang w:eastAsia="fr-FR"/>
        </w:rPr>
        <w:tab/>
      </w:r>
      <w:r w:rsidRPr="00944880">
        <w:rPr>
          <w:b/>
          <w:lang w:eastAsia="fr-FR"/>
        </w:rPr>
        <w:t xml:space="preserve">Isolation thermique et </w:t>
      </w:r>
      <w:r w:rsidR="00812610" w:rsidRPr="00944880">
        <w:rPr>
          <w:lang w:eastAsia="fr-FR"/>
        </w:rPr>
        <w:t>système</w:t>
      </w:r>
      <w:r w:rsidRPr="00944880">
        <w:rPr>
          <w:lang w:eastAsia="fr-FR"/>
        </w:rPr>
        <w:t xml:space="preserve"> de </w:t>
      </w:r>
      <w:r w:rsidR="00812610" w:rsidRPr="00944880">
        <w:rPr>
          <w:lang w:eastAsia="fr-FR"/>
        </w:rPr>
        <w:t>réfrigération</w:t>
      </w:r>
      <w:r w:rsidRPr="00944880">
        <w:rPr>
          <w:lang w:eastAsia="fr-FR"/>
        </w:rPr>
        <w:t xml:space="preserve"> </w:t>
      </w:r>
      <w:r w:rsidR="00812610" w:rsidRPr="00944880">
        <w:rPr>
          <w:lang w:eastAsia="fr-FR"/>
        </w:rPr>
        <w:t>mécanique</w:t>
      </w:r>
      <w:r w:rsidRPr="00944880">
        <w:rPr>
          <w:lang w:eastAsia="fr-FR"/>
        </w:rPr>
        <w:t xml:space="preserve"> combiné avec </w:t>
      </w:r>
      <w:r w:rsidR="00812610" w:rsidRPr="00944880">
        <w:rPr>
          <w:lang w:eastAsia="fr-FR"/>
        </w:rPr>
        <w:t>système</w:t>
      </w:r>
      <w:r w:rsidRPr="00944880">
        <w:rPr>
          <w:lang w:eastAsia="fr-FR"/>
        </w:rPr>
        <w:t xml:space="preserve"> de refroidissement, à condition que : </w:t>
      </w:r>
    </w:p>
    <w:p w:rsidR="00E30C8E" w:rsidRPr="00944880" w:rsidRDefault="00E30C8E" w:rsidP="00B1081E">
      <w:pPr>
        <w:pStyle w:val="SingleTxtG"/>
        <w:ind w:left="2835" w:hanging="567"/>
      </w:pPr>
      <w:r w:rsidRPr="00944880">
        <w:rPr>
          <w:lang w:eastAsia="fr-FR"/>
        </w:rPr>
        <w:t>i)</w:t>
      </w:r>
      <w:r w:rsidRPr="00944880">
        <w:rPr>
          <w:lang w:eastAsia="fr-FR"/>
        </w:rPr>
        <w:tab/>
        <w:t xml:space="preserve">Les deux </w:t>
      </w:r>
      <w:r w:rsidR="00812610" w:rsidRPr="00944880">
        <w:rPr>
          <w:lang w:eastAsia="fr-FR"/>
        </w:rPr>
        <w:t>systèmes</w:t>
      </w:r>
      <w:r w:rsidRPr="00944880">
        <w:rPr>
          <w:lang w:eastAsia="fr-FR"/>
        </w:rPr>
        <w:t xml:space="preserve"> soient </w:t>
      </w:r>
      <w:r w:rsidR="00812610" w:rsidRPr="00944880">
        <w:rPr>
          <w:lang w:eastAsia="fr-FR"/>
        </w:rPr>
        <w:t>indépendants</w:t>
      </w:r>
      <w:r w:rsidRPr="00944880">
        <w:rPr>
          <w:lang w:eastAsia="fr-FR"/>
        </w:rPr>
        <w:t xml:space="preserve"> l’un de l’autre ; et</w:t>
      </w:r>
    </w:p>
    <w:p w:rsidR="00E30C8E" w:rsidRPr="00944880" w:rsidRDefault="00E30C8E" w:rsidP="00B1081E">
      <w:pPr>
        <w:pStyle w:val="SingleTxtG"/>
        <w:ind w:left="2835" w:hanging="567"/>
        <w:rPr>
          <w:lang w:eastAsia="fr-FR"/>
        </w:rPr>
      </w:pPr>
      <w:r w:rsidRPr="00944880">
        <w:rPr>
          <w:lang w:eastAsia="fr-FR"/>
        </w:rPr>
        <w:t>ii)</w:t>
      </w:r>
      <w:r w:rsidRPr="00944880">
        <w:rPr>
          <w:lang w:eastAsia="fr-FR"/>
        </w:rPr>
        <w:tab/>
        <w:t xml:space="preserve">Les dispositions des </w:t>
      </w:r>
      <w:r w:rsidR="00812610" w:rsidRPr="00944880">
        <w:rPr>
          <w:lang w:eastAsia="fr-FR"/>
        </w:rPr>
        <w:t>alinéas</w:t>
      </w:r>
      <w:r w:rsidRPr="00944880">
        <w:rPr>
          <w:lang w:eastAsia="fr-FR"/>
        </w:rPr>
        <w:t xml:space="preserve"> b) et c) soient satisfaites ; </w:t>
      </w:r>
    </w:p>
    <w:p w:rsidR="00E30C8E" w:rsidRPr="00944880" w:rsidRDefault="00E30C8E" w:rsidP="00E30C8E">
      <w:pPr>
        <w:pStyle w:val="SingleTxtG"/>
        <w:ind w:left="2268" w:hanging="567"/>
        <w:rPr>
          <w:lang w:eastAsia="fr-FR"/>
        </w:rPr>
      </w:pPr>
      <w:r w:rsidRPr="00944880">
        <w:rPr>
          <w:lang w:eastAsia="fr-FR"/>
        </w:rPr>
        <w:t>e)</w:t>
      </w:r>
      <w:r w:rsidRPr="00944880">
        <w:rPr>
          <w:lang w:eastAsia="fr-FR"/>
        </w:rPr>
        <w:tab/>
      </w:r>
      <w:r w:rsidRPr="00944880">
        <w:rPr>
          <w:b/>
          <w:lang w:eastAsia="fr-FR"/>
        </w:rPr>
        <w:t xml:space="preserve">Isolation thermique et </w:t>
      </w:r>
      <w:r w:rsidR="00812610" w:rsidRPr="00944880">
        <w:rPr>
          <w:lang w:eastAsia="fr-FR"/>
        </w:rPr>
        <w:t>système</w:t>
      </w:r>
      <w:r w:rsidRPr="00944880">
        <w:rPr>
          <w:lang w:eastAsia="fr-FR"/>
        </w:rPr>
        <w:t xml:space="preserve"> de </w:t>
      </w:r>
      <w:r w:rsidR="00812610" w:rsidRPr="00944880">
        <w:rPr>
          <w:lang w:eastAsia="fr-FR"/>
        </w:rPr>
        <w:t>réfrigération</w:t>
      </w:r>
      <w:r w:rsidRPr="00944880">
        <w:rPr>
          <w:lang w:eastAsia="fr-FR"/>
        </w:rPr>
        <w:t xml:space="preserve"> </w:t>
      </w:r>
      <w:r w:rsidR="00812610" w:rsidRPr="00944880">
        <w:rPr>
          <w:lang w:eastAsia="fr-FR"/>
        </w:rPr>
        <w:t>mécanique</w:t>
      </w:r>
      <w:r w:rsidRPr="00944880">
        <w:rPr>
          <w:lang w:eastAsia="fr-FR"/>
        </w:rPr>
        <w:t xml:space="preserve"> double, à condition que : </w:t>
      </w:r>
    </w:p>
    <w:p w:rsidR="00E30C8E" w:rsidRPr="00944880" w:rsidRDefault="00E30C8E" w:rsidP="00B1081E">
      <w:pPr>
        <w:pStyle w:val="SingleTxtG"/>
        <w:ind w:left="2835" w:hanging="567"/>
        <w:rPr>
          <w:lang w:eastAsia="fr-FR"/>
        </w:rPr>
      </w:pPr>
      <w:r w:rsidRPr="00944880">
        <w:rPr>
          <w:lang w:eastAsia="fr-FR"/>
        </w:rPr>
        <w:t>i)</w:t>
      </w:r>
      <w:r w:rsidRPr="00944880">
        <w:rPr>
          <w:lang w:eastAsia="fr-FR"/>
        </w:rPr>
        <w:tab/>
        <w:t xml:space="preserve">En dehors du dispositif </w:t>
      </w:r>
      <w:r w:rsidR="00812610" w:rsidRPr="00944880">
        <w:rPr>
          <w:lang w:eastAsia="fr-FR"/>
        </w:rPr>
        <w:t>général</w:t>
      </w:r>
      <w:r w:rsidRPr="00944880">
        <w:rPr>
          <w:lang w:eastAsia="fr-FR"/>
        </w:rPr>
        <w:t xml:space="preserve"> d’alimentation, les deux </w:t>
      </w:r>
      <w:r w:rsidR="00812610" w:rsidRPr="00944880">
        <w:rPr>
          <w:lang w:eastAsia="fr-FR"/>
        </w:rPr>
        <w:t>systèmes</w:t>
      </w:r>
      <w:r w:rsidRPr="00944880">
        <w:rPr>
          <w:lang w:eastAsia="fr-FR"/>
        </w:rPr>
        <w:t xml:space="preserve"> soient </w:t>
      </w:r>
      <w:r w:rsidR="00812610" w:rsidRPr="00944880">
        <w:rPr>
          <w:lang w:eastAsia="fr-FR"/>
        </w:rPr>
        <w:t>indépendants</w:t>
      </w:r>
      <w:r w:rsidRPr="00944880">
        <w:rPr>
          <w:lang w:eastAsia="fr-FR"/>
        </w:rPr>
        <w:t xml:space="preserve"> l’un de l’autre ;</w:t>
      </w:r>
    </w:p>
    <w:p w:rsidR="00E30C8E" w:rsidRPr="00944880" w:rsidRDefault="00E30C8E" w:rsidP="00B1081E">
      <w:pPr>
        <w:pStyle w:val="SingleTxtG"/>
        <w:ind w:left="2835" w:hanging="567"/>
        <w:rPr>
          <w:lang w:eastAsia="fr-FR"/>
        </w:rPr>
      </w:pPr>
      <w:r w:rsidRPr="00944880">
        <w:rPr>
          <w:lang w:eastAsia="fr-FR"/>
        </w:rPr>
        <w:t>ii)</w:t>
      </w:r>
      <w:r w:rsidRPr="00944880">
        <w:rPr>
          <w:lang w:eastAsia="fr-FR"/>
        </w:rPr>
        <w:tab/>
        <w:t xml:space="preserve">Chaque </w:t>
      </w:r>
      <w:r w:rsidR="00812610" w:rsidRPr="00944880">
        <w:rPr>
          <w:lang w:eastAsia="fr-FR"/>
        </w:rPr>
        <w:t>système</w:t>
      </w:r>
      <w:r w:rsidRPr="00944880">
        <w:rPr>
          <w:lang w:eastAsia="fr-FR"/>
        </w:rPr>
        <w:t xml:space="preserve"> puisse à lui seul maintenir une </w:t>
      </w:r>
      <w:r w:rsidR="00812610" w:rsidRPr="00944880">
        <w:rPr>
          <w:lang w:eastAsia="fr-FR"/>
        </w:rPr>
        <w:t>régulation</w:t>
      </w:r>
      <w:r w:rsidRPr="00944880">
        <w:rPr>
          <w:lang w:eastAsia="fr-FR"/>
        </w:rPr>
        <w:t xml:space="preserve"> suffisante de la </w:t>
      </w:r>
      <w:r w:rsidR="00812610" w:rsidRPr="00944880">
        <w:rPr>
          <w:lang w:eastAsia="fr-FR"/>
        </w:rPr>
        <w:t>température</w:t>
      </w:r>
      <w:r w:rsidRPr="00944880">
        <w:rPr>
          <w:lang w:eastAsia="fr-FR"/>
        </w:rPr>
        <w:t> ;</w:t>
      </w:r>
      <w:r>
        <w:rPr>
          <w:lang w:eastAsia="fr-FR"/>
        </w:rPr>
        <w:t xml:space="preserve"> et</w:t>
      </w:r>
    </w:p>
    <w:p w:rsidR="00E30C8E" w:rsidRPr="00944880" w:rsidRDefault="00E30C8E" w:rsidP="00B1081E">
      <w:pPr>
        <w:pStyle w:val="SingleTxtG"/>
        <w:ind w:left="2835" w:hanging="567"/>
        <w:rPr>
          <w:lang w:eastAsia="fr-FR"/>
        </w:rPr>
      </w:pPr>
      <w:r w:rsidRPr="00944880">
        <w:rPr>
          <w:lang w:eastAsia="fr-FR"/>
        </w:rPr>
        <w:t>iii)</w:t>
      </w:r>
      <w:r w:rsidRPr="00944880">
        <w:rPr>
          <w:lang w:eastAsia="fr-FR"/>
        </w:rPr>
        <w:tab/>
        <w:t xml:space="preserve">Pour les </w:t>
      </w:r>
      <w:r w:rsidR="00812610" w:rsidRPr="00944880">
        <w:rPr>
          <w:lang w:eastAsia="fr-FR"/>
        </w:rPr>
        <w:t>matières</w:t>
      </w:r>
      <w:r w:rsidRPr="00944880">
        <w:rPr>
          <w:lang w:eastAsia="fr-FR"/>
        </w:rPr>
        <w:t xml:space="preserve"> à transporter ayant un point d’</w:t>
      </w:r>
      <w:r w:rsidR="00812610" w:rsidRPr="00944880">
        <w:rPr>
          <w:lang w:eastAsia="fr-FR"/>
        </w:rPr>
        <w:t>éclair</w:t>
      </w:r>
      <w:r w:rsidRPr="00944880">
        <w:rPr>
          <w:lang w:eastAsia="fr-FR"/>
        </w:rPr>
        <w:t xml:space="preserve"> </w:t>
      </w:r>
      <w:r w:rsidR="00812610" w:rsidRPr="00944880">
        <w:rPr>
          <w:lang w:eastAsia="fr-FR"/>
        </w:rPr>
        <w:t>inférieur</w:t>
      </w:r>
      <w:r w:rsidRPr="00944880">
        <w:rPr>
          <w:lang w:eastAsia="fr-FR"/>
        </w:rPr>
        <w:t xml:space="preserve"> à la </w:t>
      </w:r>
      <w:r w:rsidR="00812610" w:rsidRPr="00944880">
        <w:rPr>
          <w:lang w:eastAsia="fr-FR"/>
        </w:rPr>
        <w:t>tempér</w:t>
      </w:r>
      <w:r w:rsidR="00812610">
        <w:rPr>
          <w:lang w:eastAsia="fr-FR"/>
        </w:rPr>
        <w:t>ature</w:t>
      </w:r>
      <w:r>
        <w:rPr>
          <w:lang w:eastAsia="fr-FR"/>
        </w:rPr>
        <w:t xml:space="preserve"> critique </w:t>
      </w:r>
      <w:r w:rsidR="00812610">
        <w:rPr>
          <w:lang w:eastAsia="fr-FR"/>
        </w:rPr>
        <w:t>augmentée</w:t>
      </w:r>
      <w:r>
        <w:rPr>
          <w:lang w:eastAsia="fr-FR"/>
        </w:rPr>
        <w:t xml:space="preserve"> de 5 </w:t>
      </w:r>
      <w:r w:rsidRPr="00944880">
        <w:rPr>
          <w:lang w:eastAsia="fr-FR"/>
        </w:rPr>
        <w:t xml:space="preserve">°C des raccords </w:t>
      </w:r>
      <w:r w:rsidR="00812610" w:rsidRPr="00944880">
        <w:rPr>
          <w:lang w:eastAsia="fr-FR"/>
        </w:rPr>
        <w:t>électriques</w:t>
      </w:r>
      <w:r w:rsidRPr="00944880">
        <w:rPr>
          <w:lang w:eastAsia="fr-FR"/>
        </w:rPr>
        <w:t xml:space="preserve"> à protection contre l’explosion soient </w:t>
      </w:r>
      <w:r w:rsidR="00812610" w:rsidRPr="00944880">
        <w:rPr>
          <w:lang w:eastAsia="fr-FR"/>
        </w:rPr>
        <w:t>utilisés</w:t>
      </w:r>
      <w:r w:rsidRPr="00944880">
        <w:rPr>
          <w:lang w:eastAsia="fr-FR"/>
        </w:rPr>
        <w:t xml:space="preserve"> dans le compartiment de </w:t>
      </w:r>
      <w:r w:rsidR="00812610" w:rsidRPr="00944880">
        <w:rPr>
          <w:lang w:eastAsia="fr-FR"/>
        </w:rPr>
        <w:t>réfrigération</w:t>
      </w:r>
      <w:r w:rsidRPr="00944880">
        <w:rPr>
          <w:lang w:eastAsia="fr-FR"/>
        </w:rPr>
        <w:t xml:space="preserve"> pour </w:t>
      </w:r>
      <w:r w:rsidR="00812610" w:rsidRPr="00944880">
        <w:rPr>
          <w:lang w:eastAsia="fr-FR"/>
        </w:rPr>
        <w:t>éviter</w:t>
      </w:r>
      <w:r w:rsidRPr="00944880">
        <w:rPr>
          <w:lang w:eastAsia="fr-FR"/>
        </w:rPr>
        <w:t xml:space="preserve"> le risque d’inflammation des vapeurs provenant des matières. ».</w:t>
      </w:r>
    </w:p>
    <w:p w:rsidR="009F78C0" w:rsidRPr="00E30C8E" w:rsidRDefault="00E30C8E" w:rsidP="00E30C8E">
      <w:pPr>
        <w:pStyle w:val="SingleTxtG"/>
        <w:spacing w:before="240" w:after="0"/>
        <w:jc w:val="center"/>
        <w:rPr>
          <w:u w:val="single"/>
        </w:rPr>
      </w:pPr>
      <w:r>
        <w:rPr>
          <w:u w:val="single"/>
        </w:rPr>
        <w:tab/>
      </w:r>
      <w:r>
        <w:rPr>
          <w:u w:val="single"/>
        </w:rPr>
        <w:tab/>
      </w:r>
      <w:r>
        <w:rPr>
          <w:u w:val="single"/>
        </w:rPr>
        <w:tab/>
      </w:r>
    </w:p>
    <w:sectPr w:rsidR="009F78C0" w:rsidRPr="00E30C8E" w:rsidSect="009F78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E58" w:rsidRDefault="00246E58" w:rsidP="00F95C08">
      <w:pPr>
        <w:spacing w:line="240" w:lineRule="auto"/>
      </w:pPr>
    </w:p>
  </w:endnote>
  <w:endnote w:type="continuationSeparator" w:id="0">
    <w:p w:rsidR="00246E58" w:rsidRPr="00AC3823" w:rsidRDefault="00246E58" w:rsidP="00AC3823">
      <w:pPr>
        <w:pStyle w:val="Footer"/>
      </w:pPr>
    </w:p>
  </w:endnote>
  <w:endnote w:type="continuationNotice" w:id="1">
    <w:p w:rsidR="00246E58" w:rsidRDefault="00246E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C0" w:rsidRPr="009F78C0" w:rsidRDefault="009F78C0" w:rsidP="009F78C0">
    <w:pPr>
      <w:pStyle w:val="Footer"/>
      <w:tabs>
        <w:tab w:val="right" w:pos="9638"/>
      </w:tabs>
    </w:pPr>
    <w:r w:rsidRPr="009F78C0">
      <w:rPr>
        <w:b/>
        <w:sz w:val="18"/>
      </w:rPr>
      <w:fldChar w:fldCharType="begin"/>
    </w:r>
    <w:r w:rsidRPr="009F78C0">
      <w:rPr>
        <w:b/>
        <w:sz w:val="18"/>
      </w:rPr>
      <w:instrText xml:space="preserve"> PAGE  \* MERGEFORMAT </w:instrText>
    </w:r>
    <w:r w:rsidRPr="009F78C0">
      <w:rPr>
        <w:b/>
        <w:sz w:val="18"/>
      </w:rPr>
      <w:fldChar w:fldCharType="separate"/>
    </w:r>
    <w:r w:rsidR="00D66929">
      <w:rPr>
        <w:b/>
        <w:noProof/>
        <w:sz w:val="18"/>
      </w:rPr>
      <w:t>2</w:t>
    </w:r>
    <w:r w:rsidRPr="009F78C0">
      <w:rPr>
        <w:b/>
        <w:sz w:val="18"/>
      </w:rPr>
      <w:fldChar w:fldCharType="end"/>
    </w:r>
    <w:r>
      <w:rPr>
        <w:b/>
        <w:sz w:val="18"/>
      </w:rPr>
      <w:tab/>
    </w:r>
    <w:r>
      <w:t>GE.18-05232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C0" w:rsidRPr="009F78C0" w:rsidRDefault="009F78C0" w:rsidP="009F78C0">
    <w:pPr>
      <w:pStyle w:val="Footer"/>
      <w:tabs>
        <w:tab w:val="right" w:pos="9638"/>
      </w:tabs>
      <w:rPr>
        <w:b/>
        <w:sz w:val="18"/>
      </w:rPr>
    </w:pPr>
    <w:r>
      <w:t>GE.18-05232</w:t>
    </w:r>
    <w:r>
      <w:tab/>
    </w:r>
    <w:r w:rsidRPr="009F78C0">
      <w:rPr>
        <w:b/>
        <w:sz w:val="18"/>
      </w:rPr>
      <w:fldChar w:fldCharType="begin"/>
    </w:r>
    <w:r w:rsidRPr="009F78C0">
      <w:rPr>
        <w:b/>
        <w:sz w:val="18"/>
      </w:rPr>
      <w:instrText xml:space="preserve"> PAGE  \* MERGEFORMAT </w:instrText>
    </w:r>
    <w:r w:rsidRPr="009F78C0">
      <w:rPr>
        <w:b/>
        <w:sz w:val="18"/>
      </w:rPr>
      <w:fldChar w:fldCharType="separate"/>
    </w:r>
    <w:r>
      <w:rPr>
        <w:b/>
        <w:noProof/>
        <w:sz w:val="18"/>
      </w:rPr>
      <w:t>3</w:t>
    </w:r>
    <w:r w:rsidRPr="009F78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F78C0" w:rsidRDefault="009F78C0" w:rsidP="009F78C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18-05232  (F)</w:t>
    </w:r>
    <w:r w:rsidR="00720427">
      <w:rPr>
        <w:sz w:val="20"/>
      </w:rPr>
      <w:t xml:space="preserve">    010518    090518</w:t>
    </w:r>
    <w:r>
      <w:rPr>
        <w:sz w:val="20"/>
      </w:rPr>
      <w:br/>
    </w:r>
    <w:r w:rsidRPr="009F78C0">
      <w:rPr>
        <w:rFonts w:ascii="C39T30Lfz" w:hAnsi="C39T30Lfz"/>
        <w:sz w:val="56"/>
      </w:rPr>
      <w:t></w:t>
    </w:r>
    <w:r w:rsidRPr="009F78C0">
      <w:rPr>
        <w:rFonts w:ascii="C39T30Lfz" w:hAnsi="C39T30Lfz"/>
        <w:sz w:val="56"/>
      </w:rPr>
      <w:t></w:t>
    </w:r>
    <w:r w:rsidRPr="009F78C0">
      <w:rPr>
        <w:rFonts w:ascii="C39T30Lfz" w:hAnsi="C39T30Lfz"/>
        <w:sz w:val="56"/>
      </w:rPr>
      <w:t></w:t>
    </w:r>
    <w:r w:rsidRPr="009F78C0">
      <w:rPr>
        <w:rFonts w:ascii="C39T30Lfz" w:hAnsi="C39T30Lfz"/>
        <w:sz w:val="56"/>
      </w:rPr>
      <w:t></w:t>
    </w:r>
    <w:r w:rsidRPr="009F78C0">
      <w:rPr>
        <w:rFonts w:ascii="C39T30Lfz" w:hAnsi="C39T30Lfz"/>
        <w:sz w:val="56"/>
      </w:rPr>
      <w:t></w:t>
    </w:r>
    <w:r w:rsidRPr="009F78C0">
      <w:rPr>
        <w:rFonts w:ascii="C39T30Lfz" w:hAnsi="C39T30Lfz"/>
        <w:sz w:val="56"/>
      </w:rPr>
      <w:t></w:t>
    </w:r>
    <w:r w:rsidRPr="009F78C0">
      <w:rPr>
        <w:rFonts w:ascii="C39T30Lfz" w:hAnsi="C39T30Lfz"/>
        <w:sz w:val="56"/>
      </w:rPr>
      <w:t></w:t>
    </w:r>
    <w:r w:rsidRPr="009F78C0">
      <w:rPr>
        <w:rFonts w:ascii="C39T30Lfz" w:hAnsi="C39T30Lfz"/>
        <w:sz w:val="56"/>
      </w:rPr>
      <w:t></w:t>
    </w:r>
    <w:r w:rsidRPr="009F78C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E58" w:rsidRPr="00AC3823" w:rsidRDefault="00246E58" w:rsidP="00AC3823">
      <w:pPr>
        <w:pStyle w:val="Footer"/>
        <w:tabs>
          <w:tab w:val="right" w:pos="2155"/>
        </w:tabs>
        <w:spacing w:after="80" w:line="240" w:lineRule="atLeast"/>
        <w:ind w:left="680"/>
        <w:rPr>
          <w:u w:val="single"/>
        </w:rPr>
      </w:pPr>
      <w:r>
        <w:rPr>
          <w:u w:val="single"/>
        </w:rPr>
        <w:tab/>
      </w:r>
    </w:p>
  </w:footnote>
  <w:footnote w:type="continuationSeparator" w:id="0">
    <w:p w:rsidR="00246E58" w:rsidRPr="00AC3823" w:rsidRDefault="00246E58" w:rsidP="00AC3823">
      <w:pPr>
        <w:pStyle w:val="Footer"/>
        <w:tabs>
          <w:tab w:val="right" w:pos="2155"/>
        </w:tabs>
        <w:spacing w:after="80" w:line="240" w:lineRule="atLeast"/>
        <w:ind w:left="680"/>
        <w:rPr>
          <w:u w:val="single"/>
        </w:rPr>
      </w:pPr>
      <w:r>
        <w:rPr>
          <w:u w:val="single"/>
        </w:rPr>
        <w:tab/>
      </w:r>
    </w:p>
  </w:footnote>
  <w:footnote w:type="continuationNotice" w:id="1">
    <w:p w:rsidR="00246E58" w:rsidRPr="00AC3823" w:rsidRDefault="00246E58">
      <w:pPr>
        <w:spacing w:line="240" w:lineRule="auto"/>
        <w:rPr>
          <w:sz w:val="2"/>
          <w:szCs w:val="2"/>
        </w:rPr>
      </w:pPr>
    </w:p>
  </w:footnote>
  <w:footnote w:id="2">
    <w:p w:rsidR="00677D50" w:rsidRPr="00677D50" w:rsidRDefault="00677D50">
      <w:pPr>
        <w:pStyle w:val="FootnoteText"/>
      </w:pPr>
      <w:r>
        <w:rPr>
          <w:rStyle w:val="FootnoteReference"/>
        </w:rPr>
        <w:tab/>
      </w:r>
      <w:r w:rsidRPr="00677D50">
        <w:rPr>
          <w:rStyle w:val="FootnoteReference"/>
          <w:sz w:val="20"/>
          <w:vertAlign w:val="baseline"/>
        </w:rPr>
        <w:t>*</w:t>
      </w:r>
      <w:r>
        <w:rPr>
          <w:rStyle w:val="FootnoteReference"/>
          <w:sz w:val="20"/>
          <w:vertAlign w:val="baseline"/>
        </w:rPr>
        <w:tab/>
      </w:r>
      <w:r w:rsidRPr="00C94FB2">
        <w:t>Conformément au programme de travail du Sous-comit</w:t>
      </w:r>
      <w:r>
        <w:t>é pour la période biennale 2017-</w:t>
      </w:r>
      <w:r w:rsidRPr="00C94FB2">
        <w:t>2018, approuvé par le Comité à sa huitième session (voir ST/SG/AC.10/C.3/100, par</w:t>
      </w:r>
      <w:r>
        <w:t>. 98, et ST/SG/AC.10/44, par. </w:t>
      </w:r>
      <w:r w:rsidRPr="00C94FB2">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C0" w:rsidRPr="009F78C0" w:rsidRDefault="00D66929">
    <w:pPr>
      <w:pStyle w:val="Header"/>
    </w:pPr>
    <w:r>
      <w:fldChar w:fldCharType="begin"/>
    </w:r>
    <w:r>
      <w:instrText xml:space="preserve"> TITLE  \* MERGEFORMAT </w:instrText>
    </w:r>
    <w:r>
      <w:fldChar w:fldCharType="separate"/>
    </w:r>
    <w:r>
      <w:t>ST/SG/AC.10/C.3/2018/39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C0" w:rsidRPr="009F78C0" w:rsidRDefault="00D66929" w:rsidP="009F78C0">
    <w:pPr>
      <w:pStyle w:val="Header"/>
      <w:jc w:val="right"/>
    </w:pPr>
    <w:r>
      <w:fldChar w:fldCharType="begin"/>
    </w:r>
    <w:r>
      <w:instrText xml:space="preserve"> TITLE  \* MERGEFORMAT </w:instrText>
    </w:r>
    <w:r>
      <w:fldChar w:fldCharType="separate"/>
    </w:r>
    <w:r>
      <w:t>ST/SG/AC.10/C.3/2018/39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58"/>
    <w:rsid w:val="00017F94"/>
    <w:rsid w:val="00023842"/>
    <w:rsid w:val="000305D3"/>
    <w:rsid w:val="000334F9"/>
    <w:rsid w:val="00034555"/>
    <w:rsid w:val="0007796D"/>
    <w:rsid w:val="000B7790"/>
    <w:rsid w:val="00111F2F"/>
    <w:rsid w:val="00132EA9"/>
    <w:rsid w:val="0014365E"/>
    <w:rsid w:val="00176178"/>
    <w:rsid w:val="001F525A"/>
    <w:rsid w:val="00223272"/>
    <w:rsid w:val="00246E58"/>
    <w:rsid w:val="0024779E"/>
    <w:rsid w:val="00283190"/>
    <w:rsid w:val="002832AC"/>
    <w:rsid w:val="002D7C93"/>
    <w:rsid w:val="003947F1"/>
    <w:rsid w:val="003B6D87"/>
    <w:rsid w:val="00441C3B"/>
    <w:rsid w:val="00446FE5"/>
    <w:rsid w:val="00452396"/>
    <w:rsid w:val="004E468C"/>
    <w:rsid w:val="00522CB3"/>
    <w:rsid w:val="005505B7"/>
    <w:rsid w:val="00573BE5"/>
    <w:rsid w:val="00584DC4"/>
    <w:rsid w:val="00586ED3"/>
    <w:rsid w:val="00596AA9"/>
    <w:rsid w:val="00677D50"/>
    <w:rsid w:val="0068456F"/>
    <w:rsid w:val="0071601D"/>
    <w:rsid w:val="00720427"/>
    <w:rsid w:val="007609B9"/>
    <w:rsid w:val="007A62E6"/>
    <w:rsid w:val="0080684C"/>
    <w:rsid w:val="00812610"/>
    <w:rsid w:val="00871C75"/>
    <w:rsid w:val="008776DC"/>
    <w:rsid w:val="008B40CD"/>
    <w:rsid w:val="009705C8"/>
    <w:rsid w:val="009C1CF4"/>
    <w:rsid w:val="009F78C0"/>
    <w:rsid w:val="00A30353"/>
    <w:rsid w:val="00AC3823"/>
    <w:rsid w:val="00AE323C"/>
    <w:rsid w:val="00B00181"/>
    <w:rsid w:val="00B00B0D"/>
    <w:rsid w:val="00B07E17"/>
    <w:rsid w:val="00B1081E"/>
    <w:rsid w:val="00B765F7"/>
    <w:rsid w:val="00BA0CA9"/>
    <w:rsid w:val="00C02897"/>
    <w:rsid w:val="00CA4178"/>
    <w:rsid w:val="00D3439C"/>
    <w:rsid w:val="00D66929"/>
    <w:rsid w:val="00DA086C"/>
    <w:rsid w:val="00DA51EA"/>
    <w:rsid w:val="00DB1831"/>
    <w:rsid w:val="00DD3BFD"/>
    <w:rsid w:val="00DF6678"/>
    <w:rsid w:val="00E30C8E"/>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0DAF06-4B0E-4FE2-B55B-1D29825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E30C8E"/>
    <w:rPr>
      <w:rFonts w:ascii="Times New Roman" w:eastAsiaTheme="minorHAnsi" w:hAnsi="Times New Roman" w:cs="Times New Roman"/>
      <w:sz w:val="20"/>
      <w:szCs w:val="20"/>
      <w:lang w:eastAsia="en-US"/>
    </w:rPr>
  </w:style>
  <w:style w:type="character" w:customStyle="1" w:styleId="HChGChar">
    <w:name w:val="_ H _Ch_G Char"/>
    <w:link w:val="HChG"/>
    <w:rsid w:val="00E30C8E"/>
    <w:rPr>
      <w:rFonts w:ascii="Times New Roman" w:eastAsiaTheme="minorHAnsi" w:hAnsi="Times New Roman" w:cs="Times New Roman"/>
      <w:b/>
      <w:sz w:val="28"/>
      <w:szCs w:val="20"/>
      <w:lang w:eastAsia="en-US"/>
    </w:rPr>
  </w:style>
  <w:style w:type="character" w:customStyle="1" w:styleId="H1GChar">
    <w:name w:val="_ H_1_G Char"/>
    <w:link w:val="H1G"/>
    <w:locked/>
    <w:rsid w:val="00E30C8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ST/SG/AC.10/C.3/2018/39</vt:lpstr>
      <vt:lpstr>ST/SG/AC.10/C.3/2018/39</vt:lpstr>
    </vt:vector>
  </TitlesOfParts>
  <Company>DCM</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ST/SG/AC.10/C.3/2018/39</dc:title>
  <dc:subject/>
  <dc:creator>Nicolas MORIN</dc:creator>
  <cp:keywords/>
  <cp:lastModifiedBy>Laurence Berthet</cp:lastModifiedBy>
  <cp:revision>3</cp:revision>
  <cp:lastPrinted>2018-05-09T15:04:00Z</cp:lastPrinted>
  <dcterms:created xsi:type="dcterms:W3CDTF">2018-05-09T15:04:00Z</dcterms:created>
  <dcterms:modified xsi:type="dcterms:W3CDTF">2018-05-09T15:04:00Z</dcterms:modified>
</cp:coreProperties>
</file>