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7856B4">
            <w:pPr>
              <w:jc w:val="right"/>
            </w:pPr>
            <w:r>
              <w:rPr>
                <w:sz w:val="40"/>
              </w:rPr>
              <w:t>ST</w:t>
            </w:r>
            <w:r>
              <w:t>/SG/AC.10/C.3/2018/</w:t>
            </w:r>
            <w:r w:rsidR="00CD2255">
              <w:t>30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221DE" w:rsidP="006D12B1">
            <w:pPr>
              <w:spacing w:before="120"/>
              <w:jc w:val="center"/>
            </w:pPr>
            <w:r w:rsidRPr="00CB4C2D">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1B6CAF" w:rsidP="006D12B1">
            <w:pPr>
              <w:spacing w:line="240" w:lineRule="exact"/>
            </w:pPr>
            <w:r>
              <w:t>3 April</w:t>
            </w:r>
            <w:bookmarkStart w:id="0" w:name="_GoBack"/>
            <w:bookmarkEnd w:id="0"/>
            <w:r w:rsidR="000C583A">
              <w:t xml:space="preserve"> </w:t>
            </w:r>
            <w:r w:rsidR="00EC020C">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09150D">
            <w:pPr>
              <w:spacing w:after="120"/>
              <w:ind w:right="57"/>
              <w:rPr>
                <w:b/>
              </w:rPr>
            </w:pPr>
            <w:r>
              <w:rPr>
                <w:b/>
              </w:rPr>
              <w:t>Fifty-third session</w:t>
            </w:r>
          </w:p>
        </w:tc>
      </w:tr>
      <w:tr w:rsidR="009B371C" w:rsidRPr="00CE57DA" w:rsidTr="009B371C">
        <w:tc>
          <w:tcPr>
            <w:tcW w:w="9639" w:type="dxa"/>
            <w:shd w:val="clear" w:color="auto" w:fill="auto"/>
          </w:tcPr>
          <w:p w:rsidR="009B371C" w:rsidRPr="00876878" w:rsidRDefault="009B371C" w:rsidP="004E05DD">
            <w:pPr>
              <w:ind w:right="57"/>
            </w:pPr>
            <w:r>
              <w:t>Geneva, 25 June-4 July 2018</w:t>
            </w:r>
          </w:p>
          <w:p w:rsidR="009B371C" w:rsidRPr="00876878" w:rsidRDefault="009B371C" w:rsidP="004E05DD">
            <w:pPr>
              <w:ind w:right="57"/>
            </w:pPr>
            <w:r>
              <w:t xml:space="preserve">Item </w:t>
            </w:r>
            <w:r w:rsidR="00CD2255">
              <w:t>3</w:t>
            </w:r>
            <w:r>
              <w:t xml:space="preserve"> of the provisional agenda</w:t>
            </w:r>
          </w:p>
          <w:p w:rsidR="009B371C" w:rsidRPr="00530504" w:rsidRDefault="00530504" w:rsidP="00266652">
            <w:pPr>
              <w:spacing w:after="120"/>
              <w:ind w:right="199"/>
              <w:rPr>
                <w:b/>
              </w:rPr>
            </w:pPr>
            <w:r>
              <w:rPr>
                <w:b/>
              </w:rPr>
              <w:t>Listing, classification and packing</w:t>
            </w:r>
          </w:p>
        </w:tc>
      </w:tr>
    </w:tbl>
    <w:p w:rsidR="00F87E27" w:rsidRDefault="001F2D80" w:rsidP="00A37714">
      <w:pPr>
        <w:pStyle w:val="HChG"/>
      </w:pPr>
      <w:r>
        <w:tab/>
      </w:r>
      <w:r>
        <w:tab/>
      </w:r>
      <w:r w:rsidR="006845FE">
        <w:t>R</w:t>
      </w:r>
      <w:r w:rsidR="007856B4" w:rsidRPr="007856B4">
        <w:t>evised OECD Test Guideline 431 allowing sub-categorisation for skin corrosion</w:t>
      </w:r>
      <w:r>
        <w:t xml:space="preserve"> </w:t>
      </w:r>
    </w:p>
    <w:p w:rsidR="001F2D80" w:rsidRPr="006B4408" w:rsidRDefault="000C583A" w:rsidP="000C583A">
      <w:pPr>
        <w:pStyle w:val="H1G"/>
      </w:pPr>
      <w:r>
        <w:tab/>
      </w:r>
      <w:r>
        <w:tab/>
      </w:r>
      <w:r w:rsidR="001F2D80">
        <w:t xml:space="preserve">Transmitted by the </w:t>
      </w:r>
      <w:r w:rsidR="006845FE">
        <w:t>European Union</w:t>
      </w:r>
      <w:r w:rsidR="001F2D80">
        <w:rPr>
          <w:rStyle w:val="FootnoteReference"/>
        </w:rPr>
        <w:footnoteReference w:id="2"/>
      </w:r>
    </w:p>
    <w:p w:rsidR="001F2D80" w:rsidRPr="006B4408" w:rsidRDefault="001F2D80" w:rsidP="000C583A">
      <w:pPr>
        <w:pStyle w:val="HChG"/>
      </w:pPr>
      <w:r>
        <w:tab/>
      </w:r>
      <w:r>
        <w:tab/>
        <w:t>Introduction</w:t>
      </w:r>
    </w:p>
    <w:p w:rsidR="007856B4" w:rsidRPr="0067443E" w:rsidRDefault="007856B4" w:rsidP="00CD2255">
      <w:pPr>
        <w:pStyle w:val="SingleTxtG"/>
        <w:numPr>
          <w:ilvl w:val="0"/>
          <w:numId w:val="27"/>
        </w:numPr>
        <w:ind w:left="1134" w:firstLine="0"/>
      </w:pPr>
      <w:r w:rsidRPr="0067443E">
        <w:t>OECD Test Guideline (TG) 431 "In vitro Skin Corrosion: Human Skin Model Test" was updated to introduce sub-categorisation for skin corrosion and adopted by the OECD in 2013 and further revised in 2014, 2015 and 2016, as TG 431 "In vitro skin corrosion: reconstructed human epidermis (RHE) test method". The in vitro methods included in TG 431 can now discriminate between GHS sub-category 1A and sub-category 1B/C. Discrimination between skin corrosive sub-categories 1B and 1C was not possible to introduce, due to the limited set of well-known in vivo corrosive sub-category 1C chemicals against which to validate the in vitro method results.</w:t>
      </w:r>
    </w:p>
    <w:p w:rsidR="007856B4" w:rsidRPr="0067443E" w:rsidRDefault="007856B4" w:rsidP="00CD2255">
      <w:pPr>
        <w:pStyle w:val="SingleTxtG"/>
        <w:numPr>
          <w:ilvl w:val="0"/>
          <w:numId w:val="27"/>
        </w:numPr>
        <w:ind w:left="1134" w:firstLine="0"/>
      </w:pPr>
      <w:r w:rsidRPr="0067443E">
        <w:t>The main reason to introduce sub-categorisation in TG 431 was to avoid general classification in GHS category 1, which probably would inspire further in vivo testing to rule out a category 1A (corresponding to packing group I</w:t>
      </w:r>
      <w:r w:rsidR="006845FE">
        <w:t xml:space="preserve"> in transport of dangerous goods regulations</w:t>
      </w:r>
      <w:r w:rsidRPr="0067443E">
        <w:t>).</w:t>
      </w:r>
    </w:p>
    <w:p w:rsidR="007856B4" w:rsidRDefault="007856B4" w:rsidP="00CD2255">
      <w:pPr>
        <w:pStyle w:val="SingleTxtG"/>
        <w:numPr>
          <w:ilvl w:val="0"/>
          <w:numId w:val="27"/>
        </w:numPr>
        <w:ind w:left="1134" w:firstLine="0"/>
      </w:pPr>
      <w:r w:rsidRPr="0067443E">
        <w:t>The categorisation referred to is based on the classification criteria set out in the GHS, Rev. 7 (Table 3.2.1):</w:t>
      </w:r>
    </w:p>
    <w:p w:rsidR="00CD2255" w:rsidRDefault="00CD2255">
      <w:pPr>
        <w:suppressAutoHyphens w:val="0"/>
        <w:spacing w:line="240" w:lineRule="auto"/>
      </w:pPr>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963"/>
      </w:tblGrid>
      <w:tr w:rsidR="007856B4" w:rsidRPr="0067443E" w:rsidTr="00CD2255">
        <w:trPr>
          <w:jc w:val="center"/>
        </w:trPr>
        <w:tc>
          <w:tcPr>
            <w:tcW w:w="1818" w:type="dxa"/>
            <w:shd w:val="clear" w:color="auto" w:fill="auto"/>
          </w:tcPr>
          <w:p w:rsidR="007856B4" w:rsidRPr="0067443E" w:rsidRDefault="007856B4" w:rsidP="00E64BFB">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p>
        </w:tc>
        <w:tc>
          <w:tcPr>
            <w:tcW w:w="7963" w:type="dxa"/>
            <w:shd w:val="clear" w:color="auto" w:fill="auto"/>
          </w:tcPr>
          <w:p w:rsidR="007856B4" w:rsidRPr="0067443E" w:rsidRDefault="007856B4" w:rsidP="00E64BFB">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jc w:val="center"/>
              <w:rPr>
                <w:b/>
                <w:bCs/>
              </w:rPr>
            </w:pPr>
            <w:r w:rsidRPr="0067443E">
              <w:rPr>
                <w:b/>
                <w:bCs/>
              </w:rPr>
              <w:t>Criteria</w:t>
            </w:r>
          </w:p>
        </w:tc>
      </w:tr>
      <w:tr w:rsidR="007856B4" w:rsidRPr="0067443E" w:rsidTr="00CD2255">
        <w:trPr>
          <w:jc w:val="center"/>
        </w:trPr>
        <w:tc>
          <w:tcPr>
            <w:tcW w:w="1818"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
                <w:bCs/>
              </w:rPr>
            </w:pPr>
            <w:r w:rsidRPr="0067443E">
              <w:rPr>
                <w:b/>
                <w:bCs/>
              </w:rPr>
              <w:t>Category 1</w:t>
            </w:r>
          </w:p>
        </w:tc>
        <w:tc>
          <w:tcPr>
            <w:tcW w:w="7963"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t>Destruction of skin tissue, namely, visible necrosis through the epidermis and into the dermis, in at least one tested animal after exposure ≤ 4 h</w:t>
            </w:r>
          </w:p>
        </w:tc>
      </w:tr>
      <w:tr w:rsidR="007856B4" w:rsidRPr="0067443E" w:rsidTr="00CD2255">
        <w:trPr>
          <w:jc w:val="center"/>
        </w:trPr>
        <w:tc>
          <w:tcPr>
            <w:tcW w:w="1818"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
              </w:rPr>
              <w:t>Sub-category 1A</w:t>
            </w:r>
          </w:p>
        </w:tc>
        <w:tc>
          <w:tcPr>
            <w:tcW w:w="7963"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t>Corrosive responses in at least one animal following exposure ≤ 3 min during an observation period ≤ 1 h</w:t>
            </w:r>
          </w:p>
        </w:tc>
      </w:tr>
      <w:tr w:rsidR="007856B4" w:rsidRPr="0067443E" w:rsidTr="00CD2255">
        <w:trPr>
          <w:jc w:val="center"/>
        </w:trPr>
        <w:tc>
          <w:tcPr>
            <w:tcW w:w="1818"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
              </w:rPr>
              <w:t>Sub-category 1B</w:t>
            </w:r>
          </w:p>
        </w:tc>
        <w:tc>
          <w:tcPr>
            <w:tcW w:w="7963"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t xml:space="preserve">Corrosive responses in at least one animal following exposure &gt; 3 min and ≤ 1 h </w:t>
            </w:r>
            <w:r w:rsidRPr="0067443E">
              <w:rPr>
                <w:bCs/>
                <w:color w:val="000000"/>
              </w:rPr>
              <w:t xml:space="preserve">and observations </w:t>
            </w:r>
            <w:r w:rsidRPr="0067443E">
              <w:t>≤ 14 days</w:t>
            </w:r>
          </w:p>
        </w:tc>
      </w:tr>
      <w:tr w:rsidR="007856B4" w:rsidRPr="0067443E" w:rsidTr="00CD2255">
        <w:trPr>
          <w:jc w:val="center"/>
        </w:trPr>
        <w:tc>
          <w:tcPr>
            <w:tcW w:w="1818"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
              </w:rPr>
              <w:t>Sub-category 1C</w:t>
            </w:r>
          </w:p>
        </w:tc>
        <w:tc>
          <w:tcPr>
            <w:tcW w:w="7963" w:type="dxa"/>
            <w:shd w:val="clear" w:color="auto" w:fill="auto"/>
          </w:tcPr>
          <w:p w:rsidR="007856B4" w:rsidRPr="0067443E" w:rsidRDefault="007856B4" w:rsidP="00E64BF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120"/>
              <w:rPr>
                <w:bCs/>
              </w:rPr>
            </w:pPr>
            <w:r w:rsidRPr="0067443E">
              <w:rPr>
                <w:bCs/>
                <w:color w:val="000000"/>
              </w:rPr>
              <w:t xml:space="preserve">Corrosive responses </w:t>
            </w:r>
            <w:r w:rsidRPr="0067443E">
              <w:t xml:space="preserve">in at least one animal </w:t>
            </w:r>
            <w:r w:rsidRPr="0067443E">
              <w:rPr>
                <w:bCs/>
                <w:color w:val="000000"/>
              </w:rPr>
              <w:t xml:space="preserve">after exposures </w:t>
            </w:r>
            <w:r w:rsidRPr="0067443E">
              <w:t>&gt; 1 h and ≤ 4 h</w:t>
            </w:r>
            <w:r w:rsidRPr="0067443E">
              <w:rPr>
                <w:bCs/>
                <w:color w:val="000000"/>
              </w:rPr>
              <w:t xml:space="preserve"> and observations </w:t>
            </w:r>
            <w:r w:rsidRPr="0067443E">
              <w:rPr>
                <w:bCs/>
                <w:color w:val="000000"/>
              </w:rPr>
              <w:br/>
            </w:r>
            <w:r w:rsidRPr="0067443E">
              <w:t>≤ 14 days</w:t>
            </w:r>
          </w:p>
        </w:tc>
      </w:tr>
    </w:tbl>
    <w:p w:rsidR="007856B4" w:rsidRPr="0067443E" w:rsidRDefault="007856B4" w:rsidP="00CD2255">
      <w:pPr>
        <w:pStyle w:val="SingleTxtG"/>
        <w:numPr>
          <w:ilvl w:val="0"/>
          <w:numId w:val="27"/>
        </w:numPr>
        <w:spacing w:before="240" w:after="240"/>
        <w:ind w:left="1134" w:firstLine="0"/>
      </w:pPr>
      <w:r w:rsidRPr="0067443E">
        <w:t>The corresponding assignment of packing groups i</w:t>
      </w:r>
      <w:r w:rsidR="00CD2255">
        <w:t>n the UN Model Regulations Rev. </w:t>
      </w:r>
      <w:r w:rsidRPr="0067443E">
        <w:t>20, is described in Table 2.8.3.4 for Class 8, corrosive substances:</w:t>
      </w:r>
    </w:p>
    <w:tbl>
      <w:tblPr>
        <w:tblStyle w:val="TableGrid"/>
        <w:tblW w:w="9786" w:type="dxa"/>
        <w:tblLayout w:type="fixed"/>
        <w:tblLook w:val="04A0" w:firstRow="1" w:lastRow="0" w:firstColumn="1" w:lastColumn="0" w:noHBand="0" w:noVBand="1"/>
      </w:tblPr>
      <w:tblGrid>
        <w:gridCol w:w="1283"/>
        <w:gridCol w:w="1802"/>
        <w:gridCol w:w="1559"/>
        <w:gridCol w:w="5142"/>
      </w:tblGrid>
      <w:tr w:rsidR="007856B4" w:rsidRPr="0067443E" w:rsidTr="00A136C4">
        <w:trPr>
          <w:trHeight w:val="553"/>
        </w:trPr>
        <w:tc>
          <w:tcPr>
            <w:tcW w:w="1283" w:type="dxa"/>
            <w:vAlign w:val="center"/>
          </w:tcPr>
          <w:p w:rsidR="007856B4" w:rsidRPr="0067443E" w:rsidRDefault="007856B4" w:rsidP="00E64BFB">
            <w:pPr>
              <w:spacing w:after="120"/>
              <w:jc w:val="center"/>
              <w:rPr>
                <w:b/>
              </w:rPr>
            </w:pPr>
            <w:r w:rsidRPr="0067443E">
              <w:rPr>
                <w:b/>
              </w:rPr>
              <w:t>Packing Group</w:t>
            </w:r>
          </w:p>
        </w:tc>
        <w:tc>
          <w:tcPr>
            <w:tcW w:w="1802" w:type="dxa"/>
            <w:vAlign w:val="center"/>
          </w:tcPr>
          <w:p w:rsidR="007856B4" w:rsidRPr="0067443E" w:rsidRDefault="007856B4" w:rsidP="00E64BFB">
            <w:pPr>
              <w:spacing w:after="120"/>
              <w:jc w:val="center"/>
              <w:rPr>
                <w:b/>
              </w:rPr>
            </w:pPr>
            <w:r w:rsidRPr="0067443E">
              <w:rPr>
                <w:b/>
              </w:rPr>
              <w:t>Exposure Time</w:t>
            </w:r>
          </w:p>
        </w:tc>
        <w:tc>
          <w:tcPr>
            <w:tcW w:w="1559" w:type="dxa"/>
            <w:vAlign w:val="center"/>
          </w:tcPr>
          <w:p w:rsidR="007856B4" w:rsidRPr="0067443E" w:rsidRDefault="007856B4" w:rsidP="00E64BFB">
            <w:pPr>
              <w:spacing w:after="120"/>
              <w:jc w:val="center"/>
              <w:rPr>
                <w:b/>
              </w:rPr>
            </w:pPr>
            <w:r w:rsidRPr="0067443E">
              <w:rPr>
                <w:b/>
              </w:rPr>
              <w:t>Observation Period</w:t>
            </w:r>
          </w:p>
        </w:tc>
        <w:tc>
          <w:tcPr>
            <w:tcW w:w="5142" w:type="dxa"/>
            <w:vAlign w:val="center"/>
          </w:tcPr>
          <w:p w:rsidR="007856B4" w:rsidRPr="0067443E" w:rsidRDefault="007856B4" w:rsidP="00E64BFB">
            <w:pPr>
              <w:spacing w:after="120"/>
              <w:jc w:val="center"/>
              <w:rPr>
                <w:b/>
              </w:rPr>
            </w:pPr>
            <w:r w:rsidRPr="0067443E">
              <w:rPr>
                <w:b/>
              </w:rPr>
              <w:t>Effect</w:t>
            </w:r>
          </w:p>
        </w:tc>
      </w:tr>
      <w:tr w:rsidR="007856B4" w:rsidRPr="0067443E" w:rsidTr="00A136C4">
        <w:trPr>
          <w:trHeight w:val="277"/>
        </w:trPr>
        <w:tc>
          <w:tcPr>
            <w:tcW w:w="1283" w:type="dxa"/>
            <w:vAlign w:val="center"/>
          </w:tcPr>
          <w:p w:rsidR="007856B4" w:rsidRPr="0067443E" w:rsidRDefault="007856B4" w:rsidP="00E64BFB">
            <w:pPr>
              <w:spacing w:after="120"/>
              <w:jc w:val="center"/>
            </w:pPr>
            <w:r w:rsidRPr="0067443E">
              <w:t>I</w:t>
            </w:r>
          </w:p>
        </w:tc>
        <w:tc>
          <w:tcPr>
            <w:tcW w:w="1802" w:type="dxa"/>
            <w:vAlign w:val="center"/>
          </w:tcPr>
          <w:p w:rsidR="007856B4" w:rsidRPr="0067443E" w:rsidRDefault="007856B4" w:rsidP="00E64BFB">
            <w:pPr>
              <w:spacing w:after="120"/>
              <w:jc w:val="center"/>
            </w:pPr>
            <m:oMathPara>
              <m:oMath>
                <m:r>
                  <w:rPr>
                    <w:rFonts w:ascii="Cambria Math" w:hAnsi="Cambria Math"/>
                  </w:rPr>
                  <m:t>≤</m:t>
                </m:r>
                <m:r>
                  <m:rPr>
                    <m:sty m:val="p"/>
                  </m:rPr>
                  <w:rPr>
                    <w:rFonts w:ascii="Cambria Math" w:hAnsi="Cambria Math"/>
                  </w:rPr>
                  <m:t>3 min</m:t>
                </m:r>
              </m:oMath>
            </m:oMathPara>
          </w:p>
        </w:tc>
        <w:tc>
          <w:tcPr>
            <w:tcW w:w="1559" w:type="dxa"/>
            <w:vAlign w:val="center"/>
          </w:tcPr>
          <w:p w:rsidR="007856B4" w:rsidRPr="0067443E" w:rsidRDefault="007856B4" w:rsidP="00E64BFB">
            <w:pPr>
              <w:spacing w:after="120"/>
              <w:jc w:val="center"/>
            </w:pPr>
            <m:oMathPara>
              <m:oMath>
                <m:r>
                  <w:rPr>
                    <w:rFonts w:ascii="Cambria Math" w:hAnsi="Cambria Math"/>
                  </w:rPr>
                  <m:t>≤60</m:t>
                </m:r>
                <m:r>
                  <m:rPr>
                    <m:sty m:val="p"/>
                  </m:rPr>
                  <w:rPr>
                    <w:rFonts w:ascii="Cambria Math" w:hAnsi="Cambria Math"/>
                  </w:rPr>
                  <m:t xml:space="preserve"> min</m:t>
                </m:r>
              </m:oMath>
            </m:oMathPara>
          </w:p>
        </w:tc>
        <w:tc>
          <w:tcPr>
            <w:tcW w:w="5142" w:type="dxa"/>
            <w:vAlign w:val="center"/>
          </w:tcPr>
          <w:p w:rsidR="007856B4" w:rsidRPr="0067443E" w:rsidRDefault="007856B4" w:rsidP="00E64BFB">
            <w:pPr>
              <w:spacing w:after="120"/>
              <w:jc w:val="both"/>
            </w:pPr>
            <w:r w:rsidRPr="0067443E">
              <w:t>Irreversible damage of intact skin</w:t>
            </w:r>
          </w:p>
        </w:tc>
      </w:tr>
      <w:tr w:rsidR="007856B4" w:rsidRPr="0067443E" w:rsidTr="00A136C4">
        <w:trPr>
          <w:trHeight w:val="281"/>
        </w:trPr>
        <w:tc>
          <w:tcPr>
            <w:tcW w:w="1283" w:type="dxa"/>
            <w:vAlign w:val="center"/>
          </w:tcPr>
          <w:p w:rsidR="007856B4" w:rsidRPr="0067443E" w:rsidRDefault="007856B4" w:rsidP="00E64BFB">
            <w:pPr>
              <w:spacing w:after="120"/>
              <w:jc w:val="center"/>
            </w:pPr>
            <w:r w:rsidRPr="0067443E">
              <w:t>II</w:t>
            </w:r>
          </w:p>
        </w:tc>
        <w:tc>
          <w:tcPr>
            <w:tcW w:w="1802" w:type="dxa"/>
            <w:vAlign w:val="center"/>
          </w:tcPr>
          <w:p w:rsidR="007856B4" w:rsidRPr="0067443E" w:rsidRDefault="007856B4" w:rsidP="00E64BFB">
            <w:pPr>
              <w:spacing w:after="120"/>
              <w:jc w:val="center"/>
            </w:pPr>
            <m:oMathPara>
              <m:oMath>
                <m:r>
                  <w:rPr>
                    <w:rFonts w:ascii="Cambria Math" w:hAnsi="Cambria Math"/>
                  </w:rPr>
                  <m:t>&gt;</m:t>
                </m:r>
                <m:r>
                  <m:rPr>
                    <m:sty m:val="p"/>
                  </m:rPr>
                  <w:rPr>
                    <w:rFonts w:ascii="Cambria Math" w:hAnsi="Cambria Math"/>
                  </w:rPr>
                  <m:t>3 min≤1 h</m:t>
                </m:r>
              </m:oMath>
            </m:oMathPara>
          </w:p>
        </w:tc>
        <w:tc>
          <w:tcPr>
            <w:tcW w:w="1559" w:type="dxa"/>
            <w:vAlign w:val="center"/>
          </w:tcPr>
          <w:p w:rsidR="007856B4" w:rsidRPr="0067443E" w:rsidRDefault="007856B4" w:rsidP="00E64BFB">
            <w:pPr>
              <w:spacing w:after="120"/>
              <w:jc w:val="center"/>
            </w:pPr>
            <m:oMathPara>
              <m:oMath>
                <m:r>
                  <w:rPr>
                    <w:rFonts w:ascii="Cambria Math" w:hAnsi="Cambria Math"/>
                  </w:rPr>
                  <m:t>≤</m:t>
                </m:r>
                <m:r>
                  <m:rPr>
                    <m:sty m:val="p"/>
                  </m:rPr>
                  <w:rPr>
                    <w:rFonts w:ascii="Cambria Math" w:hAnsi="Cambria Math"/>
                  </w:rPr>
                  <m:t>14 d</m:t>
                </m:r>
              </m:oMath>
            </m:oMathPara>
          </w:p>
        </w:tc>
        <w:tc>
          <w:tcPr>
            <w:tcW w:w="5142" w:type="dxa"/>
            <w:vAlign w:val="center"/>
          </w:tcPr>
          <w:p w:rsidR="007856B4" w:rsidRPr="0067443E" w:rsidRDefault="007856B4" w:rsidP="00E64BFB">
            <w:pPr>
              <w:spacing w:after="120"/>
              <w:jc w:val="both"/>
            </w:pPr>
            <w:r w:rsidRPr="0067443E">
              <w:t>Irreversible damage of intact skin</w:t>
            </w:r>
          </w:p>
        </w:tc>
      </w:tr>
      <w:tr w:rsidR="007856B4" w:rsidRPr="0067443E" w:rsidTr="00A136C4">
        <w:trPr>
          <w:trHeight w:val="271"/>
        </w:trPr>
        <w:tc>
          <w:tcPr>
            <w:tcW w:w="1283" w:type="dxa"/>
            <w:vAlign w:val="center"/>
          </w:tcPr>
          <w:p w:rsidR="007856B4" w:rsidRPr="0067443E" w:rsidRDefault="007856B4" w:rsidP="00E64BFB">
            <w:pPr>
              <w:spacing w:after="120"/>
              <w:jc w:val="center"/>
            </w:pPr>
            <w:r w:rsidRPr="0067443E">
              <w:t>III</w:t>
            </w:r>
          </w:p>
        </w:tc>
        <w:tc>
          <w:tcPr>
            <w:tcW w:w="1802" w:type="dxa"/>
            <w:vAlign w:val="center"/>
          </w:tcPr>
          <w:p w:rsidR="007856B4" w:rsidRPr="0067443E" w:rsidRDefault="007856B4" w:rsidP="00E64BFB">
            <w:pPr>
              <w:spacing w:after="120"/>
              <w:jc w:val="center"/>
            </w:pPr>
            <m:oMathPara>
              <m:oMath>
                <m:r>
                  <w:rPr>
                    <w:rFonts w:ascii="Cambria Math" w:hAnsi="Cambria Math"/>
                  </w:rPr>
                  <m:t>&gt;</m:t>
                </m:r>
                <m:r>
                  <m:rPr>
                    <m:sty m:val="p"/>
                  </m:rPr>
                  <w:rPr>
                    <w:rFonts w:ascii="Cambria Math" w:hAnsi="Cambria Math"/>
                  </w:rPr>
                  <m:t>1 h≤4 h</m:t>
                </m:r>
              </m:oMath>
            </m:oMathPara>
          </w:p>
        </w:tc>
        <w:tc>
          <w:tcPr>
            <w:tcW w:w="1559" w:type="dxa"/>
            <w:vAlign w:val="center"/>
          </w:tcPr>
          <w:p w:rsidR="007856B4" w:rsidRPr="0067443E" w:rsidRDefault="007856B4" w:rsidP="00E64BFB">
            <w:pPr>
              <w:spacing w:after="120"/>
              <w:jc w:val="center"/>
            </w:pPr>
            <m:oMathPara>
              <m:oMath>
                <m:r>
                  <w:rPr>
                    <w:rFonts w:ascii="Cambria Math" w:hAnsi="Cambria Math"/>
                  </w:rPr>
                  <m:t>≤</m:t>
                </m:r>
                <m:r>
                  <m:rPr>
                    <m:sty m:val="p"/>
                  </m:rPr>
                  <w:rPr>
                    <w:rFonts w:ascii="Cambria Math" w:hAnsi="Cambria Math"/>
                  </w:rPr>
                  <m:t>14 d</m:t>
                </m:r>
              </m:oMath>
            </m:oMathPara>
          </w:p>
        </w:tc>
        <w:tc>
          <w:tcPr>
            <w:tcW w:w="5142" w:type="dxa"/>
            <w:vAlign w:val="center"/>
          </w:tcPr>
          <w:p w:rsidR="007856B4" w:rsidRPr="0067443E" w:rsidRDefault="007856B4" w:rsidP="00E64BFB">
            <w:pPr>
              <w:spacing w:after="120"/>
              <w:jc w:val="both"/>
            </w:pPr>
            <w:r w:rsidRPr="0067443E">
              <w:t>Irreversible damage of intact skin</w:t>
            </w:r>
          </w:p>
        </w:tc>
      </w:tr>
      <w:tr w:rsidR="007856B4" w:rsidRPr="0067443E" w:rsidTr="00A136C4">
        <w:tc>
          <w:tcPr>
            <w:tcW w:w="1283" w:type="dxa"/>
            <w:vAlign w:val="center"/>
          </w:tcPr>
          <w:p w:rsidR="007856B4" w:rsidRPr="0067443E" w:rsidRDefault="007856B4" w:rsidP="00E64BFB">
            <w:pPr>
              <w:spacing w:after="120"/>
              <w:jc w:val="center"/>
            </w:pPr>
            <w:r w:rsidRPr="0067443E">
              <w:t>III</w:t>
            </w:r>
          </w:p>
        </w:tc>
        <w:tc>
          <w:tcPr>
            <w:tcW w:w="1802" w:type="dxa"/>
            <w:vAlign w:val="center"/>
          </w:tcPr>
          <w:p w:rsidR="007856B4" w:rsidRPr="0067443E" w:rsidRDefault="007856B4" w:rsidP="00E64BFB">
            <w:pPr>
              <w:spacing w:after="120"/>
              <w:jc w:val="center"/>
            </w:pPr>
            <w:r w:rsidRPr="0067443E">
              <w:t>-</w:t>
            </w:r>
          </w:p>
        </w:tc>
        <w:tc>
          <w:tcPr>
            <w:tcW w:w="1559" w:type="dxa"/>
            <w:vAlign w:val="center"/>
          </w:tcPr>
          <w:p w:rsidR="007856B4" w:rsidRPr="0067443E" w:rsidRDefault="007856B4" w:rsidP="00E64BFB">
            <w:pPr>
              <w:spacing w:after="120"/>
              <w:jc w:val="center"/>
            </w:pPr>
            <w:r w:rsidRPr="0067443E">
              <w:t>-</w:t>
            </w:r>
          </w:p>
        </w:tc>
        <w:tc>
          <w:tcPr>
            <w:tcW w:w="5142" w:type="dxa"/>
            <w:vAlign w:val="center"/>
          </w:tcPr>
          <w:p w:rsidR="007856B4" w:rsidRPr="0067443E" w:rsidRDefault="007856B4" w:rsidP="00E64BFB">
            <w:pPr>
              <w:spacing w:after="120"/>
              <w:jc w:val="both"/>
            </w:pPr>
            <w:r w:rsidRPr="0067443E">
              <w:t>Corrosion rate on either steel or aluminium surfaces exceeding 6.25 mm a year at a test temperature of 55°C when tested on both materials</w:t>
            </w:r>
          </w:p>
        </w:tc>
      </w:tr>
    </w:tbl>
    <w:p w:rsidR="007856B4" w:rsidRPr="0067443E" w:rsidRDefault="007856B4" w:rsidP="00CD2255">
      <w:pPr>
        <w:pStyle w:val="SingleTxtG"/>
        <w:numPr>
          <w:ilvl w:val="0"/>
          <w:numId w:val="27"/>
        </w:numPr>
        <w:spacing w:before="240"/>
        <w:ind w:left="1134" w:firstLine="0"/>
      </w:pPr>
      <w:r w:rsidRPr="0067443E">
        <w:t xml:space="preserve">According to the GHS, corrosive substances should be classified in Category 1 where sub-categorisation is not required by the competent authority or where data is not sufficient. The sub-categorisation is not usually implemented by any competent authority because of use-and-supply concern, as skin contact should be avoided for all substances classified as corrosive (Category 1). The GHS sub-classification is rather originating from the necessity to assign different packing groups to guarantee safe transport. For skin corrosion the packing group I, II and III corresponds to GHS sub-category 1A, 1B and 1C. </w:t>
      </w:r>
    </w:p>
    <w:p w:rsidR="007856B4" w:rsidRPr="0067443E" w:rsidRDefault="007856B4" w:rsidP="00CD2255">
      <w:pPr>
        <w:pStyle w:val="SingleTxtG"/>
        <w:numPr>
          <w:ilvl w:val="0"/>
          <w:numId w:val="27"/>
        </w:numPr>
        <w:spacing w:before="240"/>
        <w:ind w:left="1134" w:firstLine="0"/>
      </w:pPr>
      <w:r w:rsidRPr="0067443E">
        <w:t>The OECD Guidance Document No. 203 "</w:t>
      </w:r>
      <w:r w:rsidRPr="0067443E">
        <w:rPr>
          <w:rFonts w:eastAsiaTheme="minorHAnsi"/>
          <w:bCs/>
          <w:i/>
        </w:rPr>
        <w:t>New Guidance Document on an Integrated Approach on Testing and Assessment (IATA) for skin corrosion and irritation</w:t>
      </w:r>
      <w:r w:rsidRPr="0067443E">
        <w:rPr>
          <w:rFonts w:eastAsiaTheme="minorHAnsi"/>
          <w:bCs/>
        </w:rPr>
        <w:t>"</w:t>
      </w:r>
      <w:r w:rsidRPr="0067443E">
        <w:rPr>
          <w:rFonts w:eastAsiaTheme="minorHAnsi"/>
          <w:b/>
          <w:bCs/>
        </w:rPr>
        <w:t xml:space="preserve"> </w:t>
      </w:r>
      <w:r w:rsidRPr="0067443E">
        <w:t>states at the end of page 28, the following:</w:t>
      </w:r>
    </w:p>
    <w:p w:rsidR="007856B4" w:rsidRPr="00CD2255" w:rsidRDefault="007856B4" w:rsidP="00CD2255">
      <w:pPr>
        <w:pStyle w:val="SingleTxtG"/>
        <w:ind w:left="1701"/>
        <w:rPr>
          <w:rFonts w:eastAsiaTheme="minorHAnsi"/>
          <w:i/>
          <w:iCs/>
        </w:rPr>
      </w:pPr>
      <w:r w:rsidRPr="00CD2255">
        <w:rPr>
          <w:i/>
          <w:iCs/>
        </w:rPr>
        <w:t>"</w:t>
      </w:r>
      <w:r w:rsidRPr="00CD2255">
        <w:rPr>
          <w:rFonts w:eastAsiaTheme="minorHAnsi"/>
          <w:i/>
          <w:iCs/>
        </w:rPr>
        <w:t xml:space="preserve">OECD TG 431 also allows for the sub-categorisation of corrosive chemicals into Cat. 1A or Cat. 1B-and-1C but does not permit the distinction of the latter into Cat. 1B and Cat. 1C. It is important to note however that the protocol and prediction model of the </w:t>
      </w:r>
      <w:proofErr w:type="spellStart"/>
      <w:r w:rsidRPr="00CD2255">
        <w:rPr>
          <w:rFonts w:eastAsiaTheme="minorHAnsi"/>
          <w:i/>
          <w:iCs/>
        </w:rPr>
        <w:t>EpiSkinTM</w:t>
      </w:r>
      <w:proofErr w:type="spellEnd"/>
      <w:r w:rsidRPr="00CD2255">
        <w:rPr>
          <w:rFonts w:eastAsiaTheme="minorHAnsi"/>
          <w:i/>
          <w:iCs/>
        </w:rPr>
        <w:t xml:space="preserve"> test method permits subcategorization of corrosive chemicals into the three Categories 1A, 1B and 1C, but its ability to discriminate between Categories 1B and 1C was never formally evaluated/validated due to the lack of high quality reference in vivo data against which to benchmark the in vitro results (</w:t>
      </w:r>
      <w:proofErr w:type="spellStart"/>
      <w:r w:rsidRPr="00CD2255">
        <w:rPr>
          <w:rFonts w:eastAsiaTheme="minorHAnsi"/>
          <w:i/>
          <w:iCs/>
        </w:rPr>
        <w:t>Fentem</w:t>
      </w:r>
      <w:proofErr w:type="spellEnd"/>
      <w:r w:rsidRPr="00CD2255">
        <w:rPr>
          <w:rFonts w:eastAsiaTheme="minorHAnsi"/>
          <w:i/>
          <w:iCs/>
        </w:rPr>
        <w:t xml:space="preserve"> et al. 1998, </w:t>
      </w:r>
      <w:proofErr w:type="spellStart"/>
      <w:r w:rsidRPr="00CD2255">
        <w:rPr>
          <w:rFonts w:eastAsiaTheme="minorHAnsi"/>
          <w:i/>
          <w:iCs/>
        </w:rPr>
        <w:t>Alépée</w:t>
      </w:r>
      <w:proofErr w:type="spellEnd"/>
      <w:r w:rsidRPr="00CD2255">
        <w:rPr>
          <w:rFonts w:eastAsiaTheme="minorHAnsi"/>
          <w:i/>
          <w:iCs/>
        </w:rPr>
        <w:t xml:space="preserve"> et al. 2014a). This method may in some cases nevertheless be considered for this purpose before any in vivo testing is performed if the result 1B or1C is considered in a weight of evidence approach (see Modules 5a, below). If this is not possible a cautious default classification as 1B if OECD TG431 results in 1B/1C could be decided."</w:t>
      </w:r>
      <w:r w:rsidRPr="00CD2255">
        <w:rPr>
          <w:i/>
          <w:iCs/>
        </w:rPr>
        <w:t xml:space="preserve"> </w:t>
      </w:r>
    </w:p>
    <w:p w:rsidR="007856B4" w:rsidRDefault="007856B4" w:rsidP="00CD2255">
      <w:pPr>
        <w:pStyle w:val="SingleTxtG"/>
        <w:numPr>
          <w:ilvl w:val="0"/>
          <w:numId w:val="27"/>
        </w:numPr>
        <w:ind w:left="1134" w:firstLine="0"/>
      </w:pPr>
      <w:r w:rsidRPr="0067443E">
        <w:t>For safe transport it makes a major difference if the substance is in pa</w:t>
      </w:r>
      <w:r w:rsidR="00CD2255">
        <w:t xml:space="preserve">cking group I compared II/III. </w:t>
      </w:r>
      <w:proofErr w:type="gramStart"/>
      <w:r w:rsidRPr="0067443E">
        <w:t>However</w:t>
      </w:r>
      <w:proofErr w:type="gramEnd"/>
      <w:r w:rsidRPr="0067443E">
        <w:t xml:space="preserve"> the difference if a substance is classified in packing group II or III </w:t>
      </w:r>
      <w:r w:rsidRPr="0067443E">
        <w:lastRenderedPageBreak/>
        <w:t xml:space="preserve">is usually of less concern. It is therefore suggested, based on the revision of TG 431, to make it possible to classify in packing group I based on TG431, and in case it is not possible to discriminate between packing group II and III based on TG 431, allow for classification in packing group II rather than perform further </w:t>
      </w:r>
      <w:r w:rsidRPr="0067443E">
        <w:rPr>
          <w:i/>
        </w:rPr>
        <w:t>in vivo</w:t>
      </w:r>
      <w:r w:rsidRPr="0067443E">
        <w:t xml:space="preserve"> testing. It could also be considered to apply the </w:t>
      </w:r>
      <w:proofErr w:type="spellStart"/>
      <w:r w:rsidRPr="0067443E">
        <w:t>EpiSkinT</w:t>
      </w:r>
      <w:r w:rsidRPr="006845FE">
        <w:rPr>
          <w:vertAlign w:val="superscript"/>
        </w:rPr>
        <w:t>M</w:t>
      </w:r>
      <w:proofErr w:type="spellEnd"/>
      <w:r w:rsidRPr="0067443E">
        <w:t xml:space="preserve"> results to distinguish between packing group II and III, as mentioned above.</w:t>
      </w:r>
    </w:p>
    <w:p w:rsidR="0067443E" w:rsidRDefault="00CD2255" w:rsidP="00CD2255">
      <w:pPr>
        <w:pStyle w:val="HChG"/>
      </w:pPr>
      <w:r>
        <w:tab/>
      </w:r>
      <w:r>
        <w:tab/>
      </w:r>
      <w:r w:rsidR="0067443E" w:rsidRPr="0067443E">
        <w:t>Proposal</w:t>
      </w:r>
    </w:p>
    <w:p w:rsidR="007856B4" w:rsidRPr="0067443E" w:rsidRDefault="00CD2255" w:rsidP="00CD2255">
      <w:pPr>
        <w:pStyle w:val="SingleTxtG"/>
      </w:pPr>
      <w:r>
        <w:t>8.</w:t>
      </w:r>
      <w:r>
        <w:tab/>
      </w:r>
      <w:r w:rsidR="007856B4" w:rsidRPr="0067443E">
        <w:t>Based on this discussion</w:t>
      </w:r>
      <w:r w:rsidR="00972635">
        <w:t>,</w:t>
      </w:r>
      <w:r w:rsidR="007856B4" w:rsidRPr="0067443E">
        <w:t xml:space="preserve"> the relevant text from the UN Model Regulations Rev. 20 could be revised as follows (str</w:t>
      </w:r>
      <w:r w:rsidR="00BF7338" w:rsidRPr="0067443E">
        <w:t>ic</w:t>
      </w:r>
      <w:r w:rsidR="007856B4" w:rsidRPr="0067443E">
        <w:t xml:space="preserve">ken out text is deleted, bold </w:t>
      </w:r>
      <w:proofErr w:type="spellStart"/>
      <w:r w:rsidR="006845FE">
        <w:t>italized</w:t>
      </w:r>
      <w:proofErr w:type="spellEnd"/>
      <w:r w:rsidR="007856B4" w:rsidRPr="0067443E">
        <w:t xml:space="preserve"> text is added</w:t>
      </w:r>
      <w:r w:rsidR="00BF7338" w:rsidRPr="0067443E">
        <w:t>)</w:t>
      </w:r>
      <w:r w:rsidR="007856B4" w:rsidRPr="0067443E">
        <w:t>:</w:t>
      </w:r>
    </w:p>
    <w:p w:rsidR="007856B4" w:rsidRPr="0067443E" w:rsidRDefault="006845FE" w:rsidP="00CD2255">
      <w:pPr>
        <w:pStyle w:val="SingleTxtG"/>
        <w:ind w:left="1701"/>
      </w:pPr>
      <w:r>
        <w:t>“</w:t>
      </w:r>
      <w:r w:rsidR="007856B4" w:rsidRPr="0067443E">
        <w:t>2.8.3.2</w:t>
      </w:r>
      <w:r w:rsidR="007856B4" w:rsidRPr="0067443E">
        <w:tab/>
      </w:r>
      <w:r w:rsidR="00E21570">
        <w:t xml:space="preserve"> </w:t>
      </w:r>
      <w:r w:rsidR="007856B4" w:rsidRPr="0067443E">
        <w:t>In assigning the packing group in accordance with 2.8.2.3, account shall be taken of human experience in instances of accidental exposure. In the absence of human experience the grouping shall be based on data obtained from experiments in accordance with OECD Test Guideline 404</w:t>
      </w:r>
      <w:r w:rsidR="007856B4" w:rsidRPr="0067443E">
        <w:rPr>
          <w:vertAlign w:val="superscript"/>
        </w:rPr>
        <w:t>1</w:t>
      </w:r>
      <w:r w:rsidR="007856B4" w:rsidRPr="0067443E">
        <w:t xml:space="preserve">, </w:t>
      </w:r>
      <w:r w:rsidR="007856B4" w:rsidRPr="0067443E">
        <w:rPr>
          <w:strike/>
        </w:rPr>
        <w:t xml:space="preserve">or </w:t>
      </w:r>
      <w:r w:rsidR="007856B4" w:rsidRPr="0067443E">
        <w:t>435</w:t>
      </w:r>
      <w:r w:rsidR="007856B4" w:rsidRPr="0067443E">
        <w:rPr>
          <w:vertAlign w:val="superscript"/>
        </w:rPr>
        <w:t>2</w:t>
      </w:r>
      <w:r w:rsidR="007856B4" w:rsidRPr="0067443E">
        <w:t xml:space="preserve"> </w:t>
      </w:r>
      <w:r w:rsidR="007856B4" w:rsidRPr="0067443E">
        <w:rPr>
          <w:b/>
          <w:i/>
        </w:rPr>
        <w:t>or 431</w:t>
      </w:r>
      <w:r w:rsidR="00972635" w:rsidRPr="00972635">
        <w:rPr>
          <w:b/>
          <w:i/>
          <w:vertAlign w:val="superscript"/>
        </w:rPr>
        <w:t>3</w:t>
      </w:r>
      <w:r w:rsidR="007856B4" w:rsidRPr="00972635">
        <w:rPr>
          <w:strike/>
          <w:vertAlign w:val="superscript"/>
        </w:rPr>
        <w:t>4</w:t>
      </w:r>
      <w:r w:rsidR="007856B4" w:rsidRPr="0067443E">
        <w:rPr>
          <w:b/>
          <w:i/>
        </w:rPr>
        <w:t>.</w:t>
      </w:r>
      <w:r w:rsidR="00BF7338" w:rsidRPr="0067443E">
        <w:rPr>
          <w:b/>
          <w:i/>
        </w:rPr>
        <w:t xml:space="preserve"> If it is not possible to discriminate between packing groups II and III in TG 431, packing group II can be applied.</w:t>
      </w:r>
      <w:r w:rsidR="007856B4" w:rsidRPr="0067443E">
        <w:t xml:space="preserve"> A substance or mixture which is determined not to be corrosive in accordance with OECD Test Guideline 430</w:t>
      </w:r>
      <w:r w:rsidR="007856B4" w:rsidRPr="0067443E">
        <w:rPr>
          <w:strike/>
          <w:vertAlign w:val="superscript"/>
        </w:rPr>
        <w:t xml:space="preserve">3 </w:t>
      </w:r>
      <w:r w:rsidR="007856B4" w:rsidRPr="0067443E">
        <w:rPr>
          <w:b/>
          <w:i/>
          <w:vertAlign w:val="superscript"/>
        </w:rPr>
        <w:t>4</w:t>
      </w:r>
      <w:r w:rsidR="007856B4" w:rsidRPr="0067443E">
        <w:t xml:space="preserve"> </w:t>
      </w:r>
      <w:r w:rsidR="007856B4" w:rsidRPr="0067443E">
        <w:rPr>
          <w:strike/>
        </w:rPr>
        <w:t xml:space="preserve">or </w:t>
      </w:r>
      <w:proofErr w:type="gramStart"/>
      <w:r w:rsidR="007856B4" w:rsidRPr="0067443E">
        <w:rPr>
          <w:strike/>
        </w:rPr>
        <w:t>431</w:t>
      </w:r>
      <w:r w:rsidR="007856B4" w:rsidRPr="0067443E">
        <w:rPr>
          <w:strike/>
          <w:vertAlign w:val="superscript"/>
        </w:rPr>
        <w:t xml:space="preserve">4 </w:t>
      </w:r>
      <w:r w:rsidR="007856B4" w:rsidRPr="0067443E">
        <w:t xml:space="preserve"> may</w:t>
      </w:r>
      <w:proofErr w:type="gramEnd"/>
      <w:r w:rsidR="007856B4" w:rsidRPr="0067443E">
        <w:t xml:space="preserve"> be considered not to be corrosive to skin for the purposes of these Regulations without further testing.</w:t>
      </w:r>
    </w:p>
    <w:p w:rsidR="007856B4" w:rsidRPr="00CD2255" w:rsidRDefault="00BF7338" w:rsidP="00CD2255">
      <w:pPr>
        <w:pStyle w:val="SingleTxtG"/>
        <w:ind w:left="1701"/>
        <w:rPr>
          <w:i/>
          <w:iCs/>
          <w:lang w:val="en-US"/>
        </w:rPr>
      </w:pPr>
      <w:r w:rsidRPr="00CD2255">
        <w:rPr>
          <w:i/>
          <w:iCs/>
          <w:vertAlign w:val="superscript"/>
        </w:rPr>
        <w:t xml:space="preserve">1 </w:t>
      </w:r>
      <w:r w:rsidR="007856B4" w:rsidRPr="00CD2255">
        <w:rPr>
          <w:i/>
          <w:iCs/>
          <w:lang w:val="en-US"/>
        </w:rPr>
        <w:t>OECD Guideline for the testing of chemicals No. 404 "Acute Dermal Irritation/Corrosion" 2015</w:t>
      </w:r>
    </w:p>
    <w:p w:rsidR="007856B4" w:rsidRPr="00CD2255" w:rsidRDefault="007856B4" w:rsidP="00CD2255">
      <w:pPr>
        <w:pStyle w:val="SingleTxtG"/>
        <w:ind w:left="1701"/>
        <w:rPr>
          <w:i/>
          <w:iCs/>
          <w:lang w:val="en-US"/>
        </w:rPr>
      </w:pPr>
      <w:r w:rsidRPr="00CD2255">
        <w:rPr>
          <w:i/>
          <w:iCs/>
          <w:vertAlign w:val="superscript"/>
          <w:lang w:val="en-US"/>
        </w:rPr>
        <w:t xml:space="preserve">2 </w:t>
      </w:r>
      <w:r w:rsidRPr="00CD2255">
        <w:rPr>
          <w:i/>
          <w:iCs/>
          <w:lang w:val="en-US"/>
        </w:rPr>
        <w:t>OECD Guideline for the testing of chemicals No. 435 "In Vitro Membrane Barrier Test Method for Skin Corrosion" 2015</w:t>
      </w:r>
    </w:p>
    <w:p w:rsidR="007856B4" w:rsidRPr="00CD2255" w:rsidRDefault="007856B4" w:rsidP="00CD2255">
      <w:pPr>
        <w:pStyle w:val="SingleTxtG"/>
        <w:ind w:left="1701"/>
        <w:rPr>
          <w:i/>
          <w:iCs/>
          <w:lang w:val="en-US"/>
        </w:rPr>
      </w:pPr>
      <w:r w:rsidRPr="00CD2255">
        <w:rPr>
          <w:i/>
          <w:iCs/>
          <w:vertAlign w:val="superscript"/>
          <w:lang w:val="en-US"/>
        </w:rPr>
        <w:t xml:space="preserve">3 </w:t>
      </w:r>
      <w:r w:rsidRPr="00CD2255">
        <w:rPr>
          <w:b/>
          <w:i/>
          <w:iCs/>
          <w:lang w:val="en-US"/>
        </w:rPr>
        <w:t xml:space="preserve">OECD Guideline for the testing of chemicals No. 431 "In Vitro Skin Corrosion: </w:t>
      </w:r>
      <w:r w:rsidRPr="00CD2255">
        <w:rPr>
          <w:rFonts w:eastAsiaTheme="minorHAnsi"/>
          <w:b/>
          <w:bCs/>
          <w:i/>
          <w:iCs/>
        </w:rPr>
        <w:t>reconstructed human epidermis (RHE) test method</w:t>
      </w:r>
      <w:r w:rsidRPr="00CD2255">
        <w:rPr>
          <w:b/>
          <w:i/>
          <w:iCs/>
          <w:lang w:val="en-US"/>
        </w:rPr>
        <w:t>" 2016</w:t>
      </w:r>
    </w:p>
    <w:p w:rsidR="007856B4" w:rsidRPr="00CD2255" w:rsidRDefault="007856B4" w:rsidP="00CD2255">
      <w:pPr>
        <w:pStyle w:val="SingleTxtG"/>
        <w:ind w:left="1701"/>
        <w:rPr>
          <w:i/>
          <w:iCs/>
          <w:lang w:val="en-US"/>
        </w:rPr>
      </w:pPr>
      <w:r w:rsidRPr="00CD2255">
        <w:rPr>
          <w:i/>
          <w:iCs/>
          <w:strike/>
          <w:vertAlign w:val="superscript"/>
          <w:lang w:val="en-US"/>
        </w:rPr>
        <w:t>3</w:t>
      </w:r>
      <w:r w:rsidRPr="00CD2255">
        <w:rPr>
          <w:i/>
          <w:iCs/>
          <w:vertAlign w:val="superscript"/>
          <w:lang w:val="en-US"/>
        </w:rPr>
        <w:t xml:space="preserve">4 </w:t>
      </w:r>
      <w:r w:rsidRPr="00CD2255">
        <w:rPr>
          <w:i/>
          <w:iCs/>
          <w:lang w:val="en-US"/>
        </w:rPr>
        <w:t>OECD Guideline for the testing of chemicals No. 430 "In Vitro Skin Corrosion: Transcutaneous Electrical Resistance Test (TER)" 2015</w:t>
      </w:r>
    </w:p>
    <w:p w:rsidR="007856B4" w:rsidRPr="00CD2255" w:rsidRDefault="007856B4" w:rsidP="00CD2255">
      <w:pPr>
        <w:pStyle w:val="SingleTxtG"/>
        <w:ind w:left="1701"/>
        <w:rPr>
          <w:i/>
          <w:iCs/>
          <w:strike/>
          <w:lang w:val="en-US"/>
        </w:rPr>
      </w:pPr>
      <w:r w:rsidRPr="00CD2255">
        <w:rPr>
          <w:i/>
          <w:iCs/>
          <w:strike/>
          <w:vertAlign w:val="superscript"/>
          <w:lang w:val="en-US"/>
        </w:rPr>
        <w:t xml:space="preserve">4 </w:t>
      </w:r>
      <w:r w:rsidRPr="00CD2255">
        <w:rPr>
          <w:i/>
          <w:iCs/>
          <w:strike/>
          <w:lang w:val="en-US"/>
        </w:rPr>
        <w:t>OECD Guideline for the testing of chemicals No. 431 "In Vitro Skin Corrosion: Human Skin Model Test" 2015</w:t>
      </w:r>
      <w:r w:rsidR="006845FE" w:rsidRPr="006845FE">
        <w:rPr>
          <w:i/>
          <w:iCs/>
          <w:lang w:val="en-US"/>
        </w:rPr>
        <w:t>”.</w:t>
      </w:r>
    </w:p>
    <w:p w:rsidR="000829F3" w:rsidRPr="00CD2255" w:rsidRDefault="00CD2255" w:rsidP="00CD2255">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p w:rsidR="001C0631" w:rsidRPr="007856B4" w:rsidRDefault="001C0631" w:rsidP="00F87E27">
      <w:pPr>
        <w:spacing w:before="240"/>
        <w:ind w:right="1134"/>
        <w:rPr>
          <w:u w:val="single"/>
          <w:lang w:val="en-US"/>
        </w:rPr>
      </w:pPr>
    </w:p>
    <w:sectPr w:rsidR="001C0631" w:rsidRPr="007856B4"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E6" w:rsidRDefault="00177AE6"/>
  </w:endnote>
  <w:endnote w:type="continuationSeparator" w:id="0">
    <w:p w:rsidR="00177AE6" w:rsidRDefault="00177AE6"/>
  </w:endnote>
  <w:endnote w:type="continuationNotice" w:id="1">
    <w:p w:rsidR="00177AE6" w:rsidRDefault="0017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1B6CAF">
      <w:rPr>
        <w:b/>
        <w:noProof/>
        <w:sz w:val="18"/>
      </w:rPr>
      <w:t>2</w:t>
    </w:r>
    <w:r w:rsidRPr="006D12B1">
      <w:rPr>
        <w:b/>
        <w:sz w:val="18"/>
      </w:rPr>
      <w:fldChar w:fldCharType="end"/>
    </w:r>
    <w:r>
      <w:rPr>
        <w:sz w:val="18"/>
      </w:rPr>
      <w:tab/>
    </w:r>
  </w:p>
  <w:p w:rsidR="00C81BD9" w:rsidRDefault="00C81B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1B6CAF">
      <w:rPr>
        <w:b/>
        <w:noProof/>
        <w:sz w:val="18"/>
      </w:rPr>
      <w:t>3</w:t>
    </w:r>
    <w:r w:rsidR="00566C4F" w:rsidRPr="006D12B1">
      <w:rPr>
        <w:b/>
        <w:sz w:val="18"/>
      </w:rPr>
      <w:fldChar w:fldCharType="end"/>
    </w:r>
  </w:p>
  <w:p w:rsidR="00C81BD9" w:rsidRDefault="00C81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E6" w:rsidRPr="000B175B" w:rsidRDefault="00177AE6" w:rsidP="000B175B">
      <w:pPr>
        <w:tabs>
          <w:tab w:val="right" w:pos="2155"/>
        </w:tabs>
        <w:spacing w:after="80"/>
        <w:ind w:left="680"/>
        <w:rPr>
          <w:u w:val="single"/>
        </w:rPr>
      </w:pPr>
      <w:r>
        <w:rPr>
          <w:u w:val="single"/>
        </w:rPr>
        <w:tab/>
      </w:r>
    </w:p>
  </w:footnote>
  <w:footnote w:type="continuationSeparator" w:id="0">
    <w:p w:rsidR="00177AE6" w:rsidRPr="00FC68B7" w:rsidRDefault="00177AE6" w:rsidP="00FC68B7">
      <w:pPr>
        <w:tabs>
          <w:tab w:val="left" w:pos="2155"/>
        </w:tabs>
        <w:spacing w:after="80"/>
        <w:ind w:left="680"/>
        <w:rPr>
          <w:u w:val="single"/>
        </w:rPr>
      </w:pPr>
      <w:r>
        <w:rPr>
          <w:u w:val="single"/>
        </w:rPr>
        <w:tab/>
      </w:r>
    </w:p>
  </w:footnote>
  <w:footnote w:type="continuationNotice" w:id="1">
    <w:p w:rsidR="00177AE6" w:rsidRDefault="00177AE6"/>
  </w:footnote>
  <w:footnote w:id="2">
    <w:p w:rsidR="001F2D80" w:rsidRPr="0022022E" w:rsidRDefault="001F2D80" w:rsidP="001F2D80">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0C583A">
    <w:pPr>
      <w:pStyle w:val="Header"/>
    </w:pPr>
    <w:r>
      <w:t>ST/SG/AC.10/C.3/2018/</w:t>
    </w:r>
    <w:r w:rsidR="00CD2255">
      <w:t>30</w:t>
    </w:r>
  </w:p>
  <w:p w:rsidR="00C81BD9" w:rsidRDefault="00C81B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CD2255" w:rsidP="006D12B1">
    <w:pPr>
      <w:pStyle w:val="Header"/>
      <w:jc w:val="right"/>
    </w:pPr>
    <w:r>
      <w:t>ST/SG/AC.10/C.3/2018/30</w:t>
    </w:r>
  </w:p>
  <w:p w:rsidR="00C81BD9" w:rsidRDefault="00C81B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5"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4E765756"/>
    <w:multiLevelType w:val="hybridMultilevel"/>
    <w:tmpl w:val="D7BAA494"/>
    <w:lvl w:ilvl="0" w:tplc="C988F15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5"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1"/>
  </w:num>
  <w:num w:numId="14">
    <w:abstractNumId w:val="23"/>
  </w:num>
  <w:num w:numId="15">
    <w:abstractNumId w:val="26"/>
  </w:num>
  <w:num w:numId="16">
    <w:abstractNumId w:val="13"/>
  </w:num>
  <w:num w:numId="17">
    <w:abstractNumId w:val="17"/>
  </w:num>
  <w:num w:numId="18">
    <w:abstractNumId w:val="15"/>
  </w:num>
  <w:num w:numId="19">
    <w:abstractNumId w:val="25"/>
  </w:num>
  <w:num w:numId="20">
    <w:abstractNumId w:val="20"/>
  </w:num>
  <w:num w:numId="21">
    <w:abstractNumId w:val="14"/>
  </w:num>
  <w:num w:numId="22">
    <w:abstractNumId w:val="10"/>
  </w:num>
  <w:num w:numId="23">
    <w:abstractNumId w:val="24"/>
  </w:num>
  <w:num w:numId="24">
    <w:abstractNumId w:val="18"/>
  </w:num>
  <w:num w:numId="25">
    <w:abstractNumId w:val="16"/>
  </w:num>
  <w:num w:numId="26">
    <w:abstractNumId w:val="22"/>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HEM4WORD"/>
  </w:docVars>
  <w:rsids>
    <w:rsidRoot w:val="006D12B1"/>
    <w:rsid w:val="00003D68"/>
    <w:rsid w:val="00023F08"/>
    <w:rsid w:val="00026223"/>
    <w:rsid w:val="00047D68"/>
    <w:rsid w:val="00047F82"/>
    <w:rsid w:val="000504CE"/>
    <w:rsid w:val="00050F6B"/>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C583A"/>
    <w:rsid w:val="000D38D6"/>
    <w:rsid w:val="000D58F6"/>
    <w:rsid w:val="000E0415"/>
    <w:rsid w:val="000F7AB3"/>
    <w:rsid w:val="0010561F"/>
    <w:rsid w:val="00115C6E"/>
    <w:rsid w:val="00117787"/>
    <w:rsid w:val="001206C9"/>
    <w:rsid w:val="00131D42"/>
    <w:rsid w:val="00154E28"/>
    <w:rsid w:val="001633FB"/>
    <w:rsid w:val="00167786"/>
    <w:rsid w:val="00177AE6"/>
    <w:rsid w:val="001A537C"/>
    <w:rsid w:val="001B42B4"/>
    <w:rsid w:val="001B4B04"/>
    <w:rsid w:val="001B6CAF"/>
    <w:rsid w:val="001C0631"/>
    <w:rsid w:val="001C6663"/>
    <w:rsid w:val="001C7526"/>
    <w:rsid w:val="001C7895"/>
    <w:rsid w:val="001D26DF"/>
    <w:rsid w:val="001D2FDC"/>
    <w:rsid w:val="001D31FD"/>
    <w:rsid w:val="001D79DB"/>
    <w:rsid w:val="001F2D80"/>
    <w:rsid w:val="001F3FA0"/>
    <w:rsid w:val="001F4C6A"/>
    <w:rsid w:val="002016FA"/>
    <w:rsid w:val="00210B9C"/>
    <w:rsid w:val="002114DD"/>
    <w:rsid w:val="00211E0B"/>
    <w:rsid w:val="00212DFA"/>
    <w:rsid w:val="00213AFD"/>
    <w:rsid w:val="0022022E"/>
    <w:rsid w:val="00221E51"/>
    <w:rsid w:val="002309A7"/>
    <w:rsid w:val="00237785"/>
    <w:rsid w:val="00241466"/>
    <w:rsid w:val="00241743"/>
    <w:rsid w:val="002656C7"/>
    <w:rsid w:val="00266652"/>
    <w:rsid w:val="002725CA"/>
    <w:rsid w:val="00274950"/>
    <w:rsid w:val="00280EB7"/>
    <w:rsid w:val="00286006"/>
    <w:rsid w:val="00286DC6"/>
    <w:rsid w:val="002B0FE5"/>
    <w:rsid w:val="002B1CDA"/>
    <w:rsid w:val="002C1AE8"/>
    <w:rsid w:val="002E376C"/>
    <w:rsid w:val="002E394C"/>
    <w:rsid w:val="002E3E7B"/>
    <w:rsid w:val="0030379C"/>
    <w:rsid w:val="00306458"/>
    <w:rsid w:val="00306980"/>
    <w:rsid w:val="003107FA"/>
    <w:rsid w:val="0032058E"/>
    <w:rsid w:val="003229D8"/>
    <w:rsid w:val="00325290"/>
    <w:rsid w:val="00337633"/>
    <w:rsid w:val="0034759C"/>
    <w:rsid w:val="0036127B"/>
    <w:rsid w:val="00373BF8"/>
    <w:rsid w:val="003770E6"/>
    <w:rsid w:val="0039277A"/>
    <w:rsid w:val="00397267"/>
    <w:rsid w:val="003972E0"/>
    <w:rsid w:val="003A0C75"/>
    <w:rsid w:val="003A203B"/>
    <w:rsid w:val="003A25EB"/>
    <w:rsid w:val="003A58B0"/>
    <w:rsid w:val="003B3726"/>
    <w:rsid w:val="003C24C1"/>
    <w:rsid w:val="003C2CC4"/>
    <w:rsid w:val="003C7B41"/>
    <w:rsid w:val="003D4B23"/>
    <w:rsid w:val="003E211B"/>
    <w:rsid w:val="003E5B28"/>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21DE"/>
    <w:rsid w:val="00525F7F"/>
    <w:rsid w:val="00527910"/>
    <w:rsid w:val="00530504"/>
    <w:rsid w:val="00530A3F"/>
    <w:rsid w:val="00534038"/>
    <w:rsid w:val="005420F2"/>
    <w:rsid w:val="00544CB6"/>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37B3"/>
    <w:rsid w:val="005C7602"/>
    <w:rsid w:val="005F7326"/>
    <w:rsid w:val="00600B82"/>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43E"/>
    <w:rsid w:val="00674956"/>
    <w:rsid w:val="00675DB9"/>
    <w:rsid w:val="00680ECD"/>
    <w:rsid w:val="006845FE"/>
    <w:rsid w:val="006949CA"/>
    <w:rsid w:val="006A344F"/>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72E52"/>
    <w:rsid w:val="0077335F"/>
    <w:rsid w:val="00774DC9"/>
    <w:rsid w:val="00780B56"/>
    <w:rsid w:val="007856B4"/>
    <w:rsid w:val="00790791"/>
    <w:rsid w:val="0079329B"/>
    <w:rsid w:val="00796AE1"/>
    <w:rsid w:val="007A022A"/>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650F3"/>
    <w:rsid w:val="00871FD5"/>
    <w:rsid w:val="00876878"/>
    <w:rsid w:val="00884FD0"/>
    <w:rsid w:val="008910B9"/>
    <w:rsid w:val="00895E97"/>
    <w:rsid w:val="008979B1"/>
    <w:rsid w:val="008A3016"/>
    <w:rsid w:val="008A3543"/>
    <w:rsid w:val="008A6B25"/>
    <w:rsid w:val="008A6C4F"/>
    <w:rsid w:val="008C7B5B"/>
    <w:rsid w:val="008D53CE"/>
    <w:rsid w:val="008E071B"/>
    <w:rsid w:val="008E0E01"/>
    <w:rsid w:val="008E0E46"/>
    <w:rsid w:val="008F79EE"/>
    <w:rsid w:val="00904B37"/>
    <w:rsid w:val="009050F2"/>
    <w:rsid w:val="00922550"/>
    <w:rsid w:val="009255A2"/>
    <w:rsid w:val="009434B3"/>
    <w:rsid w:val="00945A5D"/>
    <w:rsid w:val="00946A04"/>
    <w:rsid w:val="009508F7"/>
    <w:rsid w:val="0095534D"/>
    <w:rsid w:val="0095690E"/>
    <w:rsid w:val="00957117"/>
    <w:rsid w:val="00963CBA"/>
    <w:rsid w:val="00972635"/>
    <w:rsid w:val="00981905"/>
    <w:rsid w:val="009854F2"/>
    <w:rsid w:val="0099124E"/>
    <w:rsid w:val="00991261"/>
    <w:rsid w:val="009A7613"/>
    <w:rsid w:val="009B371C"/>
    <w:rsid w:val="009B4C36"/>
    <w:rsid w:val="009C3ED5"/>
    <w:rsid w:val="009C4C96"/>
    <w:rsid w:val="009D1AAE"/>
    <w:rsid w:val="009D21EA"/>
    <w:rsid w:val="009D2254"/>
    <w:rsid w:val="009E523D"/>
    <w:rsid w:val="009F0F06"/>
    <w:rsid w:val="009F4BF2"/>
    <w:rsid w:val="00A136C4"/>
    <w:rsid w:val="00A1427D"/>
    <w:rsid w:val="00A3012E"/>
    <w:rsid w:val="00A310BE"/>
    <w:rsid w:val="00A357CC"/>
    <w:rsid w:val="00A37714"/>
    <w:rsid w:val="00A405E5"/>
    <w:rsid w:val="00A44CAE"/>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B5051"/>
    <w:rsid w:val="00AC12E0"/>
    <w:rsid w:val="00AC4017"/>
    <w:rsid w:val="00AE06E2"/>
    <w:rsid w:val="00AF17E0"/>
    <w:rsid w:val="00AF523B"/>
    <w:rsid w:val="00B30179"/>
    <w:rsid w:val="00B3094C"/>
    <w:rsid w:val="00B3317B"/>
    <w:rsid w:val="00B4226A"/>
    <w:rsid w:val="00B431FF"/>
    <w:rsid w:val="00B62D3D"/>
    <w:rsid w:val="00B707EC"/>
    <w:rsid w:val="00B81E12"/>
    <w:rsid w:val="00B85A05"/>
    <w:rsid w:val="00B93068"/>
    <w:rsid w:val="00B94CD7"/>
    <w:rsid w:val="00BB0133"/>
    <w:rsid w:val="00BB027F"/>
    <w:rsid w:val="00BB1617"/>
    <w:rsid w:val="00BC603D"/>
    <w:rsid w:val="00BC74E9"/>
    <w:rsid w:val="00BD36F7"/>
    <w:rsid w:val="00BE618E"/>
    <w:rsid w:val="00BF169C"/>
    <w:rsid w:val="00BF7338"/>
    <w:rsid w:val="00BF7DE7"/>
    <w:rsid w:val="00C32725"/>
    <w:rsid w:val="00C44E98"/>
    <w:rsid w:val="00C463DD"/>
    <w:rsid w:val="00C62F76"/>
    <w:rsid w:val="00C667E3"/>
    <w:rsid w:val="00C73CE6"/>
    <w:rsid w:val="00C745C3"/>
    <w:rsid w:val="00C7487E"/>
    <w:rsid w:val="00C81BD9"/>
    <w:rsid w:val="00C97788"/>
    <w:rsid w:val="00CA2FB6"/>
    <w:rsid w:val="00CB4C2D"/>
    <w:rsid w:val="00CB64AE"/>
    <w:rsid w:val="00CC5473"/>
    <w:rsid w:val="00CC5FB1"/>
    <w:rsid w:val="00CD2255"/>
    <w:rsid w:val="00CD3225"/>
    <w:rsid w:val="00CD5FED"/>
    <w:rsid w:val="00CE46BA"/>
    <w:rsid w:val="00CE4A8F"/>
    <w:rsid w:val="00CE57DA"/>
    <w:rsid w:val="00CF03B5"/>
    <w:rsid w:val="00CF5E82"/>
    <w:rsid w:val="00CF6A88"/>
    <w:rsid w:val="00CF7E49"/>
    <w:rsid w:val="00D1626A"/>
    <w:rsid w:val="00D2031B"/>
    <w:rsid w:val="00D24605"/>
    <w:rsid w:val="00D25FE2"/>
    <w:rsid w:val="00D327F7"/>
    <w:rsid w:val="00D35BDD"/>
    <w:rsid w:val="00D36689"/>
    <w:rsid w:val="00D43252"/>
    <w:rsid w:val="00D46231"/>
    <w:rsid w:val="00D625F6"/>
    <w:rsid w:val="00D71E33"/>
    <w:rsid w:val="00D729F2"/>
    <w:rsid w:val="00D753D8"/>
    <w:rsid w:val="00D83B2B"/>
    <w:rsid w:val="00D96CC5"/>
    <w:rsid w:val="00D978C6"/>
    <w:rsid w:val="00DA67AD"/>
    <w:rsid w:val="00DB2840"/>
    <w:rsid w:val="00DB6B94"/>
    <w:rsid w:val="00DD62B9"/>
    <w:rsid w:val="00DD66D0"/>
    <w:rsid w:val="00DF18E3"/>
    <w:rsid w:val="00E130AB"/>
    <w:rsid w:val="00E1345B"/>
    <w:rsid w:val="00E1679E"/>
    <w:rsid w:val="00E207EC"/>
    <w:rsid w:val="00E21570"/>
    <w:rsid w:val="00E5644E"/>
    <w:rsid w:val="00E7260F"/>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87E27"/>
    <w:rsid w:val="00F9331F"/>
    <w:rsid w:val="00FB5508"/>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A9017"/>
  <w15:docId w15:val="{55CCAFCF-C72C-4D24-9B1F-674F7EB8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character" w:customStyle="1" w:styleId="FooterChar">
    <w:name w:val="Footer Char"/>
    <w:aliases w:val="3_G Char"/>
    <w:basedOn w:val="DefaultParagraphFont"/>
    <w:link w:val="Footer"/>
    <w:uiPriority w:val="99"/>
    <w:rsid w:val="007856B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69FEAC3E-3DF9-48C1-83E6-B1A66010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25</TotalTime>
  <Pages>3</Pages>
  <Words>1065</Words>
  <Characters>5416</Characters>
  <Application>Microsoft Office Word</Application>
  <DocSecurity>0</DocSecurity>
  <Lines>128</Lines>
  <Paragraphs>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2018-04-03T06:09:00Z</cp:lastPrinted>
  <dcterms:created xsi:type="dcterms:W3CDTF">2018-03-29T07:14:00Z</dcterms:created>
  <dcterms:modified xsi:type="dcterms:W3CDTF">2018-04-03T06:20:00Z</dcterms:modified>
</cp:coreProperties>
</file>