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446055">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446055" w:rsidP="00446055">
            <w:pPr>
              <w:jc w:val="right"/>
            </w:pPr>
            <w:r w:rsidRPr="00446055">
              <w:rPr>
                <w:sz w:val="40"/>
              </w:rPr>
              <w:t>ST</w:t>
            </w:r>
            <w:r>
              <w:t>/SG/AC.10/C.3/2018/26</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446055" w:rsidP="00F01738">
            <w:pPr>
              <w:spacing w:before="240"/>
            </w:pPr>
            <w:proofErr w:type="spellStart"/>
            <w:r>
              <w:t>Distr</w:t>
            </w:r>
            <w:proofErr w:type="spellEnd"/>
            <w:r>
              <w:t xml:space="preserve">. </w:t>
            </w:r>
            <w:proofErr w:type="gramStart"/>
            <w:r>
              <w:t>générale</w:t>
            </w:r>
            <w:proofErr w:type="gramEnd"/>
          </w:p>
          <w:p w:rsidR="00446055" w:rsidRDefault="00446055" w:rsidP="00446055">
            <w:pPr>
              <w:spacing w:line="240" w:lineRule="exact"/>
            </w:pPr>
            <w:r>
              <w:t>29 mars 2018</w:t>
            </w:r>
          </w:p>
          <w:p w:rsidR="00446055" w:rsidRDefault="00446055" w:rsidP="00446055">
            <w:pPr>
              <w:spacing w:line="240" w:lineRule="exact"/>
            </w:pPr>
            <w:r>
              <w:t>Français</w:t>
            </w:r>
          </w:p>
          <w:p w:rsidR="00446055" w:rsidRPr="00DB58B5" w:rsidRDefault="00446055" w:rsidP="00446055">
            <w:pPr>
              <w:spacing w:line="240" w:lineRule="exact"/>
            </w:pPr>
            <w:r>
              <w:t>Original : anglais</w:t>
            </w:r>
          </w:p>
        </w:tc>
      </w:tr>
    </w:tbl>
    <w:p w:rsidR="00271383" w:rsidRPr="00CA0680" w:rsidRDefault="00271383"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271383" w:rsidRPr="00CA0680" w:rsidRDefault="00271383" w:rsidP="000305D3">
      <w:pPr>
        <w:spacing w:before="120"/>
        <w:rPr>
          <w:b/>
        </w:rPr>
      </w:pPr>
      <w:r w:rsidRPr="00CA0680">
        <w:rPr>
          <w:b/>
        </w:rPr>
        <w:t>Sous</w:t>
      </w:r>
      <w:r>
        <w:rPr>
          <w:b/>
        </w:rPr>
        <w:t>-</w:t>
      </w:r>
      <w:r w:rsidRPr="00CA0680">
        <w:rPr>
          <w:b/>
        </w:rPr>
        <w:t>Comité d’experts du transport des marchandises dangereuses</w:t>
      </w:r>
    </w:p>
    <w:p w:rsidR="00271383" w:rsidRDefault="00E42717" w:rsidP="000305D3">
      <w:pPr>
        <w:spacing w:before="120"/>
        <w:rPr>
          <w:b/>
        </w:rPr>
      </w:pPr>
      <w:r>
        <w:rPr>
          <w:b/>
        </w:rPr>
        <w:t>Cinquante-troisième</w:t>
      </w:r>
      <w:r w:rsidR="00271383">
        <w:rPr>
          <w:b/>
        </w:rPr>
        <w:t xml:space="preserve"> </w:t>
      </w:r>
      <w:r w:rsidR="00271383" w:rsidRPr="00CA0680">
        <w:rPr>
          <w:b/>
        </w:rPr>
        <w:t>session</w:t>
      </w:r>
    </w:p>
    <w:p w:rsidR="00271383" w:rsidRDefault="00271383" w:rsidP="000305D3">
      <w:r>
        <w:t xml:space="preserve">Genève, </w:t>
      </w:r>
      <w:r w:rsidR="00E42717">
        <w:t>25 juin-4 juillet 2018</w:t>
      </w:r>
    </w:p>
    <w:p w:rsidR="00271383" w:rsidRDefault="00271383" w:rsidP="000305D3">
      <w:r>
        <w:t xml:space="preserve">Point </w:t>
      </w:r>
      <w:r w:rsidR="00E42717">
        <w:t>3</w:t>
      </w:r>
      <w:r>
        <w:t xml:space="preserve"> de l’ordre du jour provisoire</w:t>
      </w:r>
    </w:p>
    <w:p w:rsidR="00446055" w:rsidRPr="00E42717" w:rsidRDefault="00E42717" w:rsidP="00AC3823">
      <w:pPr>
        <w:rPr>
          <w:b/>
        </w:rPr>
      </w:pPr>
      <w:r w:rsidRPr="00E42717">
        <w:rPr>
          <w:b/>
        </w:rPr>
        <w:t>Inscription, classement et emballage</w:t>
      </w:r>
    </w:p>
    <w:p w:rsidR="00F1574D" w:rsidRPr="007B18F8" w:rsidRDefault="00F1574D" w:rsidP="00F1574D">
      <w:pPr>
        <w:pStyle w:val="HChG"/>
        <w:rPr>
          <w:lang w:val="fr-FR"/>
        </w:rPr>
      </w:pPr>
      <w:r w:rsidRPr="007B18F8">
        <w:rPr>
          <w:lang w:val="fr-FR"/>
        </w:rPr>
        <w:tab/>
      </w:r>
      <w:r w:rsidRPr="007B18F8">
        <w:rPr>
          <w:lang w:val="fr-FR"/>
        </w:rPr>
        <w:tab/>
      </w:r>
      <w:r w:rsidRPr="00E62B90">
        <w:rPr>
          <w:lang w:val="fr-FR"/>
        </w:rPr>
        <w:t xml:space="preserve">Révision de la définition des matières infectieuses </w:t>
      </w:r>
      <w:r>
        <w:rPr>
          <w:lang w:val="fr-FR"/>
        </w:rPr>
        <w:br/>
      </w:r>
      <w:r w:rsidRPr="00E62B90">
        <w:rPr>
          <w:lang w:val="fr-FR"/>
        </w:rPr>
        <w:t>et du tableau du paragraphe 2.6.3.2.2.1</w:t>
      </w:r>
    </w:p>
    <w:p w:rsidR="00F1574D" w:rsidRPr="007B18F8" w:rsidRDefault="00F1574D" w:rsidP="00F1574D">
      <w:pPr>
        <w:pStyle w:val="H1G"/>
        <w:rPr>
          <w:lang w:val="fr-FR"/>
        </w:rPr>
      </w:pPr>
      <w:r w:rsidRPr="007B18F8">
        <w:rPr>
          <w:lang w:val="fr-FR"/>
        </w:rPr>
        <w:tab/>
      </w:r>
      <w:r w:rsidRPr="007B18F8">
        <w:rPr>
          <w:lang w:val="fr-FR"/>
        </w:rPr>
        <w:tab/>
      </w:r>
      <w:r>
        <w:rPr>
          <w:lang w:val="fr-FR"/>
        </w:rPr>
        <w:t>Communication de l’</w:t>
      </w:r>
      <w:r w:rsidRPr="007B18F8">
        <w:rPr>
          <w:lang w:val="fr-FR"/>
        </w:rPr>
        <w:t xml:space="preserve">expert </w:t>
      </w:r>
      <w:r>
        <w:rPr>
          <w:lang w:val="fr-FR"/>
        </w:rPr>
        <w:t>du</w:t>
      </w:r>
      <w:r w:rsidRPr="007B18F8">
        <w:rPr>
          <w:lang w:val="fr-FR"/>
        </w:rPr>
        <w:t xml:space="preserve"> Canada</w:t>
      </w:r>
      <w:r w:rsidRPr="007B18F8">
        <w:rPr>
          <w:rStyle w:val="FootnoteReference"/>
          <w:szCs w:val="24"/>
          <w:lang w:val="fr-FR"/>
        </w:rPr>
        <w:footnoteReference w:id="2"/>
      </w:r>
    </w:p>
    <w:p w:rsidR="00F1574D" w:rsidRPr="007B18F8" w:rsidRDefault="00F1574D" w:rsidP="00F1574D">
      <w:pPr>
        <w:pStyle w:val="HChG"/>
        <w:rPr>
          <w:lang w:val="fr-FR"/>
        </w:rPr>
      </w:pPr>
      <w:r w:rsidRPr="007B18F8">
        <w:rPr>
          <w:sz w:val="24"/>
          <w:szCs w:val="24"/>
          <w:lang w:val="fr-FR"/>
        </w:rPr>
        <w:tab/>
      </w:r>
      <w:r w:rsidRPr="007B18F8">
        <w:rPr>
          <w:sz w:val="24"/>
          <w:szCs w:val="24"/>
          <w:lang w:val="fr-FR"/>
        </w:rPr>
        <w:tab/>
      </w:r>
      <w:r w:rsidRPr="007B18F8">
        <w:rPr>
          <w:lang w:val="fr-FR"/>
        </w:rPr>
        <w:t>Introduction</w:t>
      </w:r>
    </w:p>
    <w:p w:rsidR="00F1574D" w:rsidRPr="00E62B90" w:rsidRDefault="00F1574D" w:rsidP="00F1574D">
      <w:pPr>
        <w:pStyle w:val="SingleTxtG"/>
        <w:rPr>
          <w:lang w:val="fr-FR"/>
        </w:rPr>
      </w:pPr>
      <w:r w:rsidRPr="00E62B90">
        <w:rPr>
          <w:lang w:val="fr-FR"/>
        </w:rPr>
        <w:t>1.</w:t>
      </w:r>
      <w:r w:rsidRPr="00E62B90">
        <w:rPr>
          <w:lang w:val="fr-FR"/>
        </w:rPr>
        <w:tab/>
      </w:r>
      <w:r w:rsidRPr="00085220">
        <w:rPr>
          <w:lang w:val="fr-FR"/>
        </w:rPr>
        <w:t>Les Recommandations relatives au transport des marchandises dangereuses</w:t>
      </w:r>
      <w:r w:rsidRPr="009D132F">
        <w:rPr>
          <w:lang w:val="fr-FR"/>
        </w:rPr>
        <w:t xml:space="preserve"> (Règlement type) englobent les matières infectieuses dans la catégorie des marchandises dangereuses et, à ce titre, elles fournissent des recommandations pour leur transport en toute sécurité</w:t>
      </w:r>
      <w:r>
        <w:rPr>
          <w:lang w:val="fr-FR"/>
        </w:rPr>
        <w:t>.</w:t>
      </w:r>
    </w:p>
    <w:p w:rsidR="00F1574D" w:rsidRPr="009D132F" w:rsidRDefault="00F1574D" w:rsidP="00F1574D">
      <w:pPr>
        <w:pStyle w:val="SingleTxtG"/>
        <w:rPr>
          <w:lang w:val="fr-FR"/>
        </w:rPr>
      </w:pPr>
      <w:r w:rsidRPr="009D132F">
        <w:rPr>
          <w:lang w:val="fr-FR"/>
        </w:rPr>
        <w:t>2.</w:t>
      </w:r>
      <w:r w:rsidRPr="009D132F">
        <w:rPr>
          <w:lang w:val="fr-FR"/>
        </w:rPr>
        <w:tab/>
        <w:t xml:space="preserve">Pour aider les expéditeurs à classer correctement les matières infectieuses, le Règlement type comporte une liste de matières infectieuses dans le tableau des </w:t>
      </w:r>
      <w:r>
        <w:rPr>
          <w:lang w:val="fr-FR"/>
        </w:rPr>
        <w:t>« </w:t>
      </w:r>
      <w:r w:rsidRPr="009D132F">
        <w:rPr>
          <w:lang w:val="fr-FR"/>
        </w:rPr>
        <w:t>Exemples indicatifs de matières infectieuses incluses dans la catégorie A sous quelque forme que ce soit, sauf indication contraire (2.6.3.2.2.1 a</w:t>
      </w:r>
      <w:r>
        <w:rPr>
          <w:lang w:val="fr-FR"/>
        </w:rPr>
        <w:t>)</w:t>
      </w:r>
      <w:r w:rsidRPr="009D132F">
        <w:rPr>
          <w:lang w:val="fr-FR"/>
        </w:rPr>
        <w:t>)</w:t>
      </w:r>
      <w:r>
        <w:rPr>
          <w:lang w:val="fr-FR"/>
        </w:rPr>
        <w:t> »</w:t>
      </w:r>
      <w:r w:rsidRPr="009D132F">
        <w:rPr>
          <w:lang w:val="fr-FR"/>
        </w:rPr>
        <w:t xml:space="preserve"> (tableau des exemples indicatifs au paragraphe</w:t>
      </w:r>
      <w:r w:rsidR="00470CB4">
        <w:rPr>
          <w:lang w:val="fr-FR"/>
        </w:rPr>
        <w:t> </w:t>
      </w:r>
      <w:r w:rsidRPr="009D132F">
        <w:rPr>
          <w:lang w:val="fr-FR"/>
        </w:rPr>
        <w:t>2.6.3.2.2.1). Cette liste comprend certaines des matières infectieuses les plus dangereuses</w:t>
      </w:r>
      <w:r>
        <w:rPr>
          <w:lang w:val="fr-FR"/>
        </w:rPr>
        <w:t>.</w:t>
      </w:r>
    </w:p>
    <w:p w:rsidR="00F1574D" w:rsidRDefault="00F1574D" w:rsidP="00F1574D">
      <w:pPr>
        <w:pStyle w:val="SingleTxtG"/>
        <w:rPr>
          <w:lang w:val="fr-FR"/>
        </w:rPr>
      </w:pPr>
      <w:r w:rsidRPr="00C7664F">
        <w:rPr>
          <w:lang w:val="fr-FR"/>
        </w:rPr>
        <w:t>3.</w:t>
      </w:r>
      <w:r w:rsidRPr="00C7664F">
        <w:rPr>
          <w:lang w:val="fr-FR"/>
        </w:rPr>
        <w:tab/>
        <w:t>Les chercheurs et les professionnels de santé impliqués dans le transport de matières infectieuses s</w:t>
      </w:r>
      <w:r>
        <w:rPr>
          <w:lang w:val="fr-FR"/>
        </w:rPr>
        <w:t>’</w:t>
      </w:r>
      <w:r w:rsidRPr="00C7664F">
        <w:rPr>
          <w:lang w:val="fr-FR"/>
        </w:rPr>
        <w:t xml:space="preserve">appuient sur </w:t>
      </w:r>
      <w:r>
        <w:rPr>
          <w:lang w:val="fr-FR"/>
        </w:rPr>
        <w:t>les compétences</w:t>
      </w:r>
      <w:r w:rsidRPr="00C7664F">
        <w:rPr>
          <w:lang w:val="fr-FR"/>
        </w:rPr>
        <w:t xml:space="preserve"> du Sous-Comité pour classer les matières infectieuses. La communauté scientifique internationale s</w:t>
      </w:r>
      <w:r>
        <w:rPr>
          <w:lang w:val="fr-FR"/>
        </w:rPr>
        <w:t>’</w:t>
      </w:r>
      <w:r w:rsidRPr="00C7664F">
        <w:rPr>
          <w:lang w:val="fr-FR"/>
        </w:rPr>
        <w:t>appuie également sur le Comité international de taxonomie des virus (CITV). Ce comité, formé de virologistes et d</w:t>
      </w:r>
      <w:r>
        <w:rPr>
          <w:lang w:val="fr-FR"/>
        </w:rPr>
        <w:t>’</w:t>
      </w:r>
      <w:r w:rsidRPr="00C7664F">
        <w:rPr>
          <w:lang w:val="fr-FR"/>
        </w:rPr>
        <w:t>experts en tax</w:t>
      </w:r>
      <w:r>
        <w:rPr>
          <w:lang w:val="fr-FR"/>
        </w:rPr>
        <w:t>o</w:t>
      </w:r>
      <w:r w:rsidRPr="00C7664F">
        <w:rPr>
          <w:lang w:val="fr-FR"/>
        </w:rPr>
        <w:t>nomie, est chargé de nommer et de regrouper les virus en fonction de propriétés communes</w:t>
      </w:r>
      <w:r>
        <w:rPr>
          <w:lang w:val="fr-FR"/>
        </w:rPr>
        <w:t>.</w:t>
      </w:r>
    </w:p>
    <w:p w:rsidR="00F1574D" w:rsidRPr="007B18F8" w:rsidRDefault="00F1574D" w:rsidP="00F1574D">
      <w:pPr>
        <w:pStyle w:val="SingleTxtG"/>
        <w:rPr>
          <w:lang w:val="fr-FR"/>
        </w:rPr>
      </w:pPr>
      <w:r w:rsidRPr="007B18F8">
        <w:rPr>
          <w:lang w:val="fr-FR"/>
        </w:rPr>
        <w:t>4.</w:t>
      </w:r>
      <w:r w:rsidRPr="007B18F8">
        <w:rPr>
          <w:lang w:val="fr-FR"/>
        </w:rPr>
        <w:tab/>
      </w:r>
      <w:r w:rsidRPr="00C7664F">
        <w:rPr>
          <w:lang w:val="fr-FR"/>
        </w:rPr>
        <w:t>Afin de se conformer à la terminologie scientifique actuelle</w:t>
      </w:r>
      <w:r>
        <w:rPr>
          <w:lang w:val="fr-FR"/>
        </w:rPr>
        <w:t>,</w:t>
      </w:r>
      <w:r w:rsidRPr="00C7664F">
        <w:rPr>
          <w:lang w:val="fr-FR"/>
        </w:rPr>
        <w:t xml:space="preserve"> utilisée dans le monde entier, le Règlement type devrait adopter la nomenclature correcte des matières infectieuses. La section ci-après propose des modifications </w:t>
      </w:r>
      <w:r>
        <w:rPr>
          <w:lang w:val="fr-FR"/>
        </w:rPr>
        <w:t>de</w:t>
      </w:r>
      <w:r w:rsidRPr="00C7664F">
        <w:rPr>
          <w:lang w:val="fr-FR"/>
        </w:rPr>
        <w:t xml:space="preserve"> la </w:t>
      </w:r>
      <w:r w:rsidR="00085220">
        <w:rPr>
          <w:lang w:val="fr-FR"/>
        </w:rPr>
        <w:t xml:space="preserve">vingtième </w:t>
      </w:r>
      <w:r w:rsidRPr="00C7664F">
        <w:rPr>
          <w:lang w:val="fr-FR"/>
        </w:rPr>
        <w:t>édition révisée du Règlement type</w:t>
      </w:r>
      <w:r w:rsidRPr="007B18F8">
        <w:rPr>
          <w:lang w:val="fr-FR"/>
        </w:rPr>
        <w:t>.</w:t>
      </w:r>
    </w:p>
    <w:p w:rsidR="00F1574D" w:rsidRPr="007B18F8" w:rsidRDefault="00F1574D" w:rsidP="00924FC5">
      <w:pPr>
        <w:pStyle w:val="HChG"/>
        <w:rPr>
          <w:lang w:val="fr-FR"/>
        </w:rPr>
      </w:pPr>
      <w:r w:rsidRPr="007B18F8">
        <w:rPr>
          <w:lang w:val="fr-FR"/>
        </w:rPr>
        <w:lastRenderedPageBreak/>
        <w:tab/>
      </w:r>
      <w:r w:rsidRPr="007B18F8">
        <w:rPr>
          <w:lang w:val="fr-FR"/>
        </w:rPr>
        <w:tab/>
        <w:t>Propo</w:t>
      </w:r>
      <w:r>
        <w:rPr>
          <w:lang w:val="fr-FR"/>
        </w:rPr>
        <w:t>sition</w:t>
      </w:r>
    </w:p>
    <w:p w:rsidR="00F1574D" w:rsidRPr="007B18F8" w:rsidRDefault="00F1574D" w:rsidP="00924FC5">
      <w:pPr>
        <w:pStyle w:val="SingleTxtG"/>
        <w:rPr>
          <w:lang w:val="fr-FR"/>
        </w:rPr>
      </w:pPr>
      <w:r w:rsidRPr="007B18F8">
        <w:rPr>
          <w:lang w:val="fr-FR"/>
        </w:rPr>
        <w:t>5.</w:t>
      </w:r>
      <w:r w:rsidRPr="007B18F8">
        <w:rPr>
          <w:lang w:val="fr-FR"/>
        </w:rPr>
        <w:tab/>
      </w:r>
      <w:r>
        <w:rPr>
          <w:lang w:val="fr-FR"/>
        </w:rPr>
        <w:t>Modifier</w:t>
      </w:r>
      <w:r w:rsidRPr="007B18F8">
        <w:rPr>
          <w:lang w:val="fr-FR"/>
        </w:rPr>
        <w:t xml:space="preserve"> </w:t>
      </w:r>
      <w:r>
        <w:rPr>
          <w:lang w:val="fr-FR"/>
        </w:rPr>
        <w:t xml:space="preserve">l’alinéa </w:t>
      </w:r>
      <w:r w:rsidRPr="007B18F8">
        <w:rPr>
          <w:lang w:val="fr-FR"/>
        </w:rPr>
        <w:t xml:space="preserve">2.6.1 b) </w:t>
      </w:r>
      <w:r>
        <w:rPr>
          <w:lang w:val="fr-FR"/>
        </w:rPr>
        <w:t>et le</w:t>
      </w:r>
      <w:r w:rsidRPr="007B18F8">
        <w:rPr>
          <w:lang w:val="fr-FR"/>
        </w:rPr>
        <w:t xml:space="preserve"> paragraph</w:t>
      </w:r>
      <w:r>
        <w:rPr>
          <w:lang w:val="fr-FR"/>
        </w:rPr>
        <w:t>e</w:t>
      </w:r>
      <w:r w:rsidRPr="007B18F8">
        <w:rPr>
          <w:lang w:val="fr-FR"/>
        </w:rPr>
        <w:t xml:space="preserve"> 2.6.3.1, </w:t>
      </w:r>
      <w:r>
        <w:rPr>
          <w:lang w:val="fr-FR"/>
        </w:rPr>
        <w:t>qui se lisent comme suit</w:t>
      </w:r>
      <w:r w:rsidR="00924FC5">
        <w:rPr>
          <w:lang w:val="fr-FR"/>
        </w:rPr>
        <w:t> :</w:t>
      </w:r>
    </w:p>
    <w:p w:rsidR="00F1574D" w:rsidRPr="007B18F8" w:rsidRDefault="00F1574D" w:rsidP="00924FC5">
      <w:pPr>
        <w:pStyle w:val="SingleTxtG"/>
        <w:ind w:left="1701"/>
        <w:rPr>
          <w:lang w:val="fr-FR"/>
        </w:rPr>
      </w:pPr>
      <w:bookmarkStart w:id="1" w:name="_Hlk512353054"/>
      <w:r>
        <w:rPr>
          <w:lang w:val="fr-FR"/>
        </w:rPr>
        <w:t xml:space="preserve">« … </w:t>
      </w:r>
      <w:r w:rsidRPr="009D132F">
        <w:rPr>
          <w:lang w:val="fr-FR"/>
        </w:rPr>
        <w:t>matières dont on sait ou dont on a des raisons de penser qu</w:t>
      </w:r>
      <w:r>
        <w:rPr>
          <w:lang w:val="fr-FR"/>
        </w:rPr>
        <w:t>’</w:t>
      </w:r>
      <w:r w:rsidRPr="009D132F">
        <w:rPr>
          <w:lang w:val="fr-FR"/>
        </w:rPr>
        <w:t>elles contiennent des agents pathogènes. Les agents pathogènes sont définis comme des micro-organismes (y compris les bactéries, les virus, les rickettsies, les parasites et les champignons) et d</w:t>
      </w:r>
      <w:r>
        <w:rPr>
          <w:lang w:val="fr-FR"/>
        </w:rPr>
        <w:t>’</w:t>
      </w:r>
      <w:r w:rsidRPr="009D132F">
        <w:rPr>
          <w:lang w:val="fr-FR"/>
        </w:rPr>
        <w:t>autres agents tels que les prions, qui peuvent provoquer des maladies chez l</w:t>
      </w:r>
      <w:r>
        <w:rPr>
          <w:lang w:val="fr-FR"/>
        </w:rPr>
        <w:t>’</w:t>
      </w:r>
      <w:r w:rsidRPr="009D132F">
        <w:rPr>
          <w:lang w:val="fr-FR"/>
        </w:rPr>
        <w:t>homme ou chez l</w:t>
      </w:r>
      <w:r>
        <w:rPr>
          <w:lang w:val="fr-FR"/>
        </w:rPr>
        <w:t>’</w:t>
      </w:r>
      <w:r w:rsidRPr="009D132F">
        <w:rPr>
          <w:lang w:val="fr-FR"/>
        </w:rPr>
        <w:t>animal</w:t>
      </w:r>
      <w:r w:rsidRPr="007B18F8">
        <w:rPr>
          <w:lang w:val="fr-FR"/>
        </w:rPr>
        <w:t>.</w:t>
      </w:r>
      <w:r>
        <w:rPr>
          <w:lang w:val="fr-FR"/>
        </w:rPr>
        <w:t> »</w:t>
      </w:r>
    </w:p>
    <w:bookmarkEnd w:id="1"/>
    <w:p w:rsidR="00F1574D" w:rsidRPr="001C1EDE" w:rsidRDefault="00924FC5" w:rsidP="00924FC5">
      <w:pPr>
        <w:pStyle w:val="SingleTxtG"/>
        <w:ind w:left="1701"/>
        <w:rPr>
          <w:lang w:val="fr-FR"/>
        </w:rPr>
      </w:pPr>
      <w:r w:rsidRPr="00924FC5">
        <w:rPr>
          <w:i/>
          <w:lang w:val="fr-FR"/>
        </w:rPr>
        <w:t>Problème </w:t>
      </w:r>
      <w:r w:rsidR="00F1574D" w:rsidRPr="00833028">
        <w:rPr>
          <w:lang w:val="fr-FR"/>
        </w:rPr>
        <w:t>:</w:t>
      </w:r>
      <w:r w:rsidR="00F1574D" w:rsidRPr="001C1EDE">
        <w:rPr>
          <w:lang w:val="fr-FR"/>
        </w:rPr>
        <w:t xml:space="preserve"> Cet énoncé peut créer de la confusion parce qu</w:t>
      </w:r>
      <w:r w:rsidR="00F1574D">
        <w:rPr>
          <w:lang w:val="fr-FR"/>
        </w:rPr>
        <w:t>’</w:t>
      </w:r>
      <w:r w:rsidR="00F1574D" w:rsidRPr="001C1EDE">
        <w:rPr>
          <w:lang w:val="fr-FR"/>
        </w:rPr>
        <w:t>il implique que les rickettsies sont des organismes différents des bactéries, alors qu</w:t>
      </w:r>
      <w:r w:rsidR="00F1574D">
        <w:rPr>
          <w:lang w:val="fr-FR"/>
        </w:rPr>
        <w:t>’</w:t>
      </w:r>
      <w:r w:rsidR="00F1574D" w:rsidRPr="001C1EDE">
        <w:rPr>
          <w:lang w:val="fr-FR"/>
        </w:rPr>
        <w:t>en réalité les rickettsies sont des bactéries gram-négatives intracellulaires obligatoires</w:t>
      </w:r>
      <w:r w:rsidR="00F1574D">
        <w:rPr>
          <w:lang w:val="fr-FR"/>
        </w:rPr>
        <w:t>.</w:t>
      </w:r>
    </w:p>
    <w:p w:rsidR="00F1574D" w:rsidRDefault="00924FC5" w:rsidP="00924FC5">
      <w:pPr>
        <w:pStyle w:val="SingleTxtG"/>
        <w:ind w:left="1701"/>
        <w:rPr>
          <w:lang w:val="fr-FR"/>
        </w:rPr>
      </w:pPr>
      <w:r w:rsidRPr="00924FC5">
        <w:rPr>
          <w:i/>
          <w:lang w:val="fr-FR"/>
        </w:rPr>
        <w:t>Solution </w:t>
      </w:r>
      <w:r w:rsidR="00F1574D" w:rsidRPr="00833028">
        <w:rPr>
          <w:lang w:val="fr-FR"/>
        </w:rPr>
        <w:t>:</w:t>
      </w:r>
      <w:r w:rsidR="00F1574D" w:rsidRPr="001C1EDE">
        <w:rPr>
          <w:lang w:val="fr-FR"/>
        </w:rPr>
        <w:t xml:space="preserve"> Modifier la sous-section 2.6.1 b) et le paragraphe 2.6.3.1 comme suit, en supprimant le texte </w:t>
      </w:r>
      <w:r w:rsidR="00F1574D" w:rsidRPr="00833028">
        <w:rPr>
          <w:strike/>
          <w:lang w:val="fr-FR"/>
        </w:rPr>
        <w:t>biffé</w:t>
      </w:r>
      <w:r w:rsidR="00F1574D">
        <w:rPr>
          <w:lang w:val="fr-FR"/>
        </w:rPr>
        <w:t> </w:t>
      </w:r>
      <w:r w:rsidR="00F1574D" w:rsidRPr="007B18F8">
        <w:rPr>
          <w:lang w:val="fr-FR"/>
        </w:rPr>
        <w:t>:</w:t>
      </w:r>
    </w:p>
    <w:p w:rsidR="00F1574D" w:rsidRPr="001C1EDE" w:rsidRDefault="00F1574D" w:rsidP="00924FC5">
      <w:pPr>
        <w:pStyle w:val="SingleTxtG"/>
        <w:ind w:left="1701"/>
        <w:rPr>
          <w:lang w:val="fr-FR"/>
        </w:rPr>
      </w:pPr>
      <w:r>
        <w:rPr>
          <w:lang w:val="fr-FR"/>
        </w:rPr>
        <w:t xml:space="preserve">« … </w:t>
      </w:r>
      <w:r w:rsidRPr="009D132F">
        <w:rPr>
          <w:lang w:val="fr-FR"/>
        </w:rPr>
        <w:t>matières dont on sait ou dont on a des raisons de penser qu</w:t>
      </w:r>
      <w:r>
        <w:rPr>
          <w:lang w:val="fr-FR"/>
        </w:rPr>
        <w:t>’</w:t>
      </w:r>
      <w:r w:rsidRPr="009D132F">
        <w:rPr>
          <w:lang w:val="fr-FR"/>
        </w:rPr>
        <w:t xml:space="preserve">elles contiennent des agents pathogènes. Les agents pathogènes sont définis comme des micro-organismes (y compris les bactéries, les virus, </w:t>
      </w:r>
      <w:r w:rsidRPr="00833028">
        <w:rPr>
          <w:strike/>
          <w:lang w:val="fr-FR"/>
        </w:rPr>
        <w:t>les rickettsies,</w:t>
      </w:r>
      <w:r w:rsidRPr="001C1EDE">
        <w:rPr>
          <w:strike/>
          <w:lang w:val="fr-FR"/>
        </w:rPr>
        <w:t xml:space="preserve"> </w:t>
      </w:r>
      <w:r w:rsidRPr="009D132F">
        <w:rPr>
          <w:lang w:val="fr-FR"/>
        </w:rPr>
        <w:t>les parasites et les champignons) et d</w:t>
      </w:r>
      <w:r>
        <w:rPr>
          <w:lang w:val="fr-FR"/>
        </w:rPr>
        <w:t>’</w:t>
      </w:r>
      <w:r w:rsidRPr="009D132F">
        <w:rPr>
          <w:lang w:val="fr-FR"/>
        </w:rPr>
        <w:t>autres agents tels que les prions, qui peuvent provoquer des maladies chez l</w:t>
      </w:r>
      <w:r>
        <w:rPr>
          <w:lang w:val="fr-FR"/>
        </w:rPr>
        <w:t>’</w:t>
      </w:r>
      <w:r w:rsidRPr="009D132F">
        <w:rPr>
          <w:lang w:val="fr-FR"/>
        </w:rPr>
        <w:t>homme ou chez l</w:t>
      </w:r>
      <w:r>
        <w:rPr>
          <w:lang w:val="fr-FR"/>
        </w:rPr>
        <w:t>’</w:t>
      </w:r>
      <w:r w:rsidRPr="009D132F">
        <w:rPr>
          <w:lang w:val="fr-FR"/>
        </w:rPr>
        <w:t>animal</w:t>
      </w:r>
      <w:r w:rsidRPr="007B18F8">
        <w:rPr>
          <w:lang w:val="fr-FR"/>
        </w:rPr>
        <w:t>.</w:t>
      </w:r>
      <w:r>
        <w:rPr>
          <w:lang w:val="fr-FR"/>
        </w:rPr>
        <w:t> »</w:t>
      </w:r>
    </w:p>
    <w:p w:rsidR="00F1574D" w:rsidRPr="007B18F8" w:rsidRDefault="00F1574D" w:rsidP="00A527C0">
      <w:pPr>
        <w:pStyle w:val="SingleTxtG"/>
        <w:keepNext/>
        <w:rPr>
          <w:lang w:val="fr-FR"/>
        </w:rPr>
      </w:pPr>
      <w:r w:rsidRPr="007B18F8">
        <w:rPr>
          <w:lang w:val="fr-FR"/>
        </w:rPr>
        <w:t>6.</w:t>
      </w:r>
      <w:r w:rsidRPr="007B18F8">
        <w:rPr>
          <w:lang w:val="fr-FR"/>
        </w:rPr>
        <w:tab/>
      </w:r>
      <w:r>
        <w:rPr>
          <w:lang w:val="fr-FR"/>
        </w:rPr>
        <w:t>Modifier le NOTA 3 du</w:t>
      </w:r>
      <w:r w:rsidRPr="007B18F8">
        <w:rPr>
          <w:lang w:val="fr-FR"/>
        </w:rPr>
        <w:t xml:space="preserve"> paragraph</w:t>
      </w:r>
      <w:r>
        <w:rPr>
          <w:lang w:val="fr-FR"/>
        </w:rPr>
        <w:t>e</w:t>
      </w:r>
      <w:r w:rsidRPr="007B18F8">
        <w:rPr>
          <w:lang w:val="fr-FR"/>
        </w:rPr>
        <w:t xml:space="preserve"> 2.6.3.2, </w:t>
      </w:r>
      <w:r w:rsidRPr="001C1EDE">
        <w:rPr>
          <w:lang w:val="fr-FR"/>
        </w:rPr>
        <w:t>qui se lit comme suit</w:t>
      </w:r>
      <w:r w:rsidR="005F1CAF">
        <w:rPr>
          <w:lang w:val="fr-FR"/>
        </w:rPr>
        <w:t> :</w:t>
      </w:r>
    </w:p>
    <w:p w:rsidR="00F1574D" w:rsidRPr="007B18F8" w:rsidRDefault="00F1574D" w:rsidP="005F1CAF">
      <w:pPr>
        <w:pStyle w:val="SingleTxtG"/>
        <w:ind w:left="1701"/>
        <w:rPr>
          <w:lang w:val="fr-FR"/>
        </w:rPr>
      </w:pPr>
      <w:bookmarkStart w:id="2" w:name="_Hlk512353215"/>
      <w:r>
        <w:rPr>
          <w:lang w:val="fr-FR"/>
        </w:rPr>
        <w:t>« </w:t>
      </w:r>
      <w:r w:rsidRPr="001C1EDE">
        <w:rPr>
          <w:lang w:val="fr-FR"/>
        </w:rPr>
        <w:t>Dans le tableau ci-après, les micro-organismes mentionnés en italiques sont des bactéries, des mycoplasmes, des rickettsies ou des champignons</w:t>
      </w:r>
      <w:r w:rsidRPr="007B18F8">
        <w:rPr>
          <w:lang w:val="fr-FR"/>
        </w:rPr>
        <w:t>.</w:t>
      </w:r>
      <w:r>
        <w:rPr>
          <w:lang w:val="fr-FR"/>
        </w:rPr>
        <w:t> »</w:t>
      </w:r>
    </w:p>
    <w:bookmarkEnd w:id="2"/>
    <w:p w:rsidR="00F1574D" w:rsidRPr="007B18F8" w:rsidRDefault="00A527C0" w:rsidP="005F1CAF">
      <w:pPr>
        <w:pStyle w:val="SingleTxtG"/>
        <w:ind w:left="1701"/>
        <w:rPr>
          <w:lang w:val="fr-FR"/>
        </w:rPr>
      </w:pPr>
      <w:r w:rsidRPr="00924FC5">
        <w:rPr>
          <w:i/>
          <w:lang w:val="fr-FR"/>
        </w:rPr>
        <w:t>Problème </w:t>
      </w:r>
      <w:r w:rsidRPr="00833028">
        <w:rPr>
          <w:lang w:val="fr-FR"/>
        </w:rPr>
        <w:t>:</w:t>
      </w:r>
      <w:r w:rsidRPr="001C1EDE">
        <w:rPr>
          <w:lang w:val="fr-FR"/>
        </w:rPr>
        <w:t xml:space="preserve"> </w:t>
      </w:r>
      <w:r w:rsidR="00F1574D" w:rsidRPr="001C1EDE">
        <w:rPr>
          <w:lang w:val="fr-FR"/>
        </w:rPr>
        <w:t>Cet énoncé peut créer de la confusion parce qu</w:t>
      </w:r>
      <w:r w:rsidR="00F1574D">
        <w:rPr>
          <w:lang w:val="fr-FR"/>
        </w:rPr>
        <w:t>’</w:t>
      </w:r>
      <w:r w:rsidR="00F1574D" w:rsidRPr="001C1EDE">
        <w:rPr>
          <w:lang w:val="fr-FR"/>
        </w:rPr>
        <w:t>il implique que les mycoplasmes et les rickettsies sont des organismes différents des bactéries, alors qu</w:t>
      </w:r>
      <w:r w:rsidR="00F1574D">
        <w:rPr>
          <w:lang w:val="fr-FR"/>
        </w:rPr>
        <w:t>’</w:t>
      </w:r>
      <w:r w:rsidR="00F1574D" w:rsidRPr="001C1EDE">
        <w:rPr>
          <w:lang w:val="fr-FR"/>
        </w:rPr>
        <w:t>en réalité les mycoplasmes et les rickettsies sont des bactéries gram-négatives intracellulaires obligatoires.</w:t>
      </w:r>
    </w:p>
    <w:p w:rsidR="00F1574D" w:rsidRPr="007B18F8" w:rsidRDefault="00A527C0" w:rsidP="005F1CAF">
      <w:pPr>
        <w:pStyle w:val="SingleTxtG"/>
        <w:ind w:left="1701"/>
        <w:rPr>
          <w:lang w:val="fr-FR"/>
        </w:rPr>
      </w:pPr>
      <w:r w:rsidRPr="00924FC5">
        <w:rPr>
          <w:i/>
          <w:lang w:val="fr-FR"/>
        </w:rPr>
        <w:t>Solution </w:t>
      </w:r>
      <w:r w:rsidRPr="00833028">
        <w:rPr>
          <w:lang w:val="fr-FR"/>
        </w:rPr>
        <w:t>:</w:t>
      </w:r>
      <w:r w:rsidRPr="001C1EDE">
        <w:rPr>
          <w:lang w:val="fr-FR"/>
        </w:rPr>
        <w:t xml:space="preserve"> </w:t>
      </w:r>
      <w:r w:rsidR="00F1574D" w:rsidRPr="0096773F">
        <w:rPr>
          <w:lang w:val="fr-FR"/>
        </w:rPr>
        <w:t xml:space="preserve">Modifier le NOTA 3 du paragraphe 2.6.3.2.2.2 comme suit, en supprimant le texte </w:t>
      </w:r>
      <w:r w:rsidR="00F1574D" w:rsidRPr="00A527C0">
        <w:rPr>
          <w:strike/>
          <w:lang w:val="fr-FR"/>
        </w:rPr>
        <w:t>biffé</w:t>
      </w:r>
      <w:r>
        <w:rPr>
          <w:lang w:val="fr-FR"/>
        </w:rPr>
        <w:t> </w:t>
      </w:r>
      <w:r w:rsidR="00F1574D" w:rsidRPr="007B18F8">
        <w:rPr>
          <w:lang w:val="fr-FR"/>
        </w:rPr>
        <w:t>:</w:t>
      </w:r>
    </w:p>
    <w:p w:rsidR="00F1574D" w:rsidRPr="007B18F8" w:rsidRDefault="00F1574D" w:rsidP="005F1CAF">
      <w:pPr>
        <w:pStyle w:val="SingleTxtG"/>
        <w:ind w:left="1701"/>
        <w:rPr>
          <w:lang w:val="fr-FR"/>
        </w:rPr>
      </w:pPr>
      <w:r>
        <w:rPr>
          <w:lang w:val="fr-FR"/>
        </w:rPr>
        <w:t>« </w:t>
      </w:r>
      <w:r w:rsidRPr="001C1EDE">
        <w:rPr>
          <w:lang w:val="fr-FR"/>
        </w:rPr>
        <w:t>Dans le tableau ci-après, les micro-organismes mentionnés en italiques sont des bactéries</w:t>
      </w:r>
      <w:r w:rsidRPr="001C1EDE">
        <w:rPr>
          <w:strike/>
          <w:lang w:val="fr-FR"/>
        </w:rPr>
        <w:t>, des mycoplasmes, des rickettsies</w:t>
      </w:r>
      <w:r w:rsidRPr="00440025">
        <w:rPr>
          <w:lang w:val="fr-FR"/>
        </w:rPr>
        <w:t xml:space="preserve"> </w:t>
      </w:r>
      <w:r w:rsidRPr="001C1EDE">
        <w:rPr>
          <w:lang w:val="fr-FR"/>
        </w:rPr>
        <w:t>ou des champignons</w:t>
      </w:r>
      <w:r w:rsidRPr="007B18F8">
        <w:rPr>
          <w:lang w:val="fr-FR"/>
        </w:rPr>
        <w:t>.</w:t>
      </w:r>
      <w:r>
        <w:rPr>
          <w:lang w:val="fr-FR"/>
        </w:rPr>
        <w:t> »</w:t>
      </w:r>
    </w:p>
    <w:p w:rsidR="00F1574D" w:rsidRPr="007B18F8" w:rsidRDefault="00F1574D" w:rsidP="00A079FA">
      <w:pPr>
        <w:pStyle w:val="H1G"/>
        <w:rPr>
          <w:lang w:val="fr-FR"/>
        </w:rPr>
      </w:pPr>
      <w:r w:rsidRPr="007B18F8">
        <w:rPr>
          <w:lang w:val="fr-FR"/>
        </w:rPr>
        <w:tab/>
      </w:r>
      <w:r w:rsidRPr="007B18F8">
        <w:rPr>
          <w:lang w:val="fr-FR"/>
        </w:rPr>
        <w:tab/>
      </w:r>
      <w:r w:rsidRPr="0096773F">
        <w:rPr>
          <w:lang w:val="fr-FR"/>
        </w:rPr>
        <w:t>Propositions visant à modifier le tableau des exemples indicatifs au</w:t>
      </w:r>
      <w:r>
        <w:rPr>
          <w:lang w:val="fr-FR"/>
        </w:rPr>
        <w:t> </w:t>
      </w:r>
      <w:r w:rsidRPr="0096773F">
        <w:rPr>
          <w:lang w:val="fr-FR"/>
        </w:rPr>
        <w:t>paragraphe 2.6.3.2.2.1</w:t>
      </w:r>
    </w:p>
    <w:p w:rsidR="00A079FA" w:rsidRPr="007B18F8" w:rsidRDefault="00F1574D" w:rsidP="00A079FA">
      <w:pPr>
        <w:pStyle w:val="SingleTxtG"/>
        <w:rPr>
          <w:lang w:val="fr-FR"/>
        </w:rPr>
      </w:pPr>
      <w:r w:rsidRPr="007B18F8">
        <w:rPr>
          <w:bCs/>
          <w:lang w:val="fr-FR"/>
        </w:rPr>
        <w:t>7.</w:t>
      </w:r>
      <w:r w:rsidRPr="007B18F8">
        <w:rPr>
          <w:b/>
          <w:lang w:val="fr-FR"/>
        </w:rPr>
        <w:tab/>
      </w:r>
      <w:r>
        <w:rPr>
          <w:lang w:val="fr-FR"/>
        </w:rPr>
        <w:t>À la rubrique</w:t>
      </w:r>
      <w:r w:rsidRPr="007B18F8">
        <w:rPr>
          <w:lang w:val="fr-FR"/>
        </w:rPr>
        <w:t xml:space="preserve"> </w:t>
      </w:r>
      <w:r>
        <w:rPr>
          <w:lang w:val="fr-FR"/>
        </w:rPr>
        <w:t>« N</w:t>
      </w:r>
      <w:r w:rsidRPr="0096773F">
        <w:rPr>
          <w:vertAlign w:val="superscript"/>
          <w:lang w:val="fr-FR"/>
        </w:rPr>
        <w:t>o</w:t>
      </w:r>
      <w:r w:rsidR="00A079FA">
        <w:rPr>
          <w:lang w:val="fr-FR"/>
        </w:rPr>
        <w:t> </w:t>
      </w:r>
      <w:r>
        <w:rPr>
          <w:lang w:val="fr-FR"/>
        </w:rPr>
        <w:t>ONU</w:t>
      </w:r>
      <w:r w:rsidRPr="007B18F8">
        <w:rPr>
          <w:lang w:val="fr-FR"/>
        </w:rPr>
        <w:t xml:space="preserve"> 2814 </w:t>
      </w:r>
      <w:r w:rsidRPr="0096773F">
        <w:rPr>
          <w:lang w:val="fr-FR"/>
        </w:rPr>
        <w:t>Matière infectieuse pour l</w:t>
      </w:r>
      <w:r>
        <w:rPr>
          <w:lang w:val="fr-FR"/>
        </w:rPr>
        <w:t>’</w:t>
      </w:r>
      <w:r w:rsidRPr="0096773F">
        <w:rPr>
          <w:lang w:val="fr-FR"/>
        </w:rPr>
        <w:t>homme</w:t>
      </w:r>
      <w:r>
        <w:rPr>
          <w:lang w:val="fr-FR"/>
        </w:rPr>
        <w:t xml:space="preserve"> », </w:t>
      </w:r>
      <w:r>
        <w:rPr>
          <w:b/>
          <w:lang w:val="fr-FR"/>
        </w:rPr>
        <w:t>ajouter</w:t>
      </w:r>
      <w:r w:rsidRPr="007B18F8">
        <w:rPr>
          <w:lang w:val="fr-FR"/>
        </w:rPr>
        <w:t xml:space="preserve"> </w:t>
      </w:r>
      <w:r>
        <w:rPr>
          <w:lang w:val="fr-FR"/>
        </w:rPr>
        <w:t>« </w:t>
      </w:r>
      <w:proofErr w:type="spellStart"/>
      <w:r w:rsidR="00F45ECB">
        <w:rPr>
          <w:lang w:val="fr-FR"/>
        </w:rPr>
        <w:t>e</w:t>
      </w:r>
      <w:r w:rsidRPr="007B18F8">
        <w:rPr>
          <w:lang w:val="fr-FR"/>
        </w:rPr>
        <w:t>bolavirus</w:t>
      </w:r>
      <w:proofErr w:type="spellEnd"/>
      <w:r>
        <w:rPr>
          <w:lang w:val="fr-FR"/>
        </w:rPr>
        <w:t> »</w:t>
      </w:r>
      <w:r w:rsidR="00A079FA">
        <w:rPr>
          <w:lang w:val="fr-FR"/>
        </w:rPr>
        <w:t>.</w:t>
      </w:r>
    </w:p>
    <w:p w:rsidR="00F1574D" w:rsidRPr="007B18F8" w:rsidRDefault="00F1574D" w:rsidP="00A079FA">
      <w:pPr>
        <w:pStyle w:val="H4G"/>
        <w:rPr>
          <w:lang w:val="fr-FR"/>
        </w:rPr>
      </w:pPr>
      <w:r w:rsidRPr="007B18F8">
        <w:rPr>
          <w:lang w:val="fr-FR"/>
        </w:rPr>
        <w:tab/>
      </w:r>
      <w:r w:rsidR="00A079FA">
        <w:rPr>
          <w:lang w:val="fr-FR"/>
        </w:rPr>
        <w:tab/>
      </w:r>
      <w:r w:rsidRPr="007B18F8">
        <w:rPr>
          <w:lang w:val="fr-FR"/>
        </w:rPr>
        <w:tab/>
        <w:t>Justification</w:t>
      </w:r>
    </w:p>
    <w:p w:rsidR="00F1574D" w:rsidRPr="007B18F8" w:rsidRDefault="00F1574D" w:rsidP="00A079FA">
      <w:pPr>
        <w:pStyle w:val="SingleTxtG"/>
        <w:ind w:left="1701"/>
        <w:rPr>
          <w:lang w:val="fr-FR"/>
        </w:rPr>
      </w:pPr>
      <w:r w:rsidRPr="00DD3CCC">
        <w:rPr>
          <w:lang w:val="fr-FR"/>
        </w:rPr>
        <w:t>L</w:t>
      </w:r>
      <w:r>
        <w:rPr>
          <w:lang w:val="fr-FR"/>
        </w:rPr>
        <w:t>e</w:t>
      </w:r>
      <w:r w:rsidRPr="00DD3CCC">
        <w:rPr>
          <w:lang w:val="fr-FR"/>
        </w:rPr>
        <w:t xml:space="preserve"> </w:t>
      </w:r>
      <w:r>
        <w:rPr>
          <w:lang w:val="fr-FR"/>
        </w:rPr>
        <w:t>genre</w:t>
      </w:r>
      <w:r w:rsidRPr="00DD3CCC">
        <w:rPr>
          <w:lang w:val="fr-FR"/>
        </w:rPr>
        <w:t xml:space="preserve"> des </w:t>
      </w:r>
      <w:proofErr w:type="spellStart"/>
      <w:r w:rsidRPr="00DD3CCC">
        <w:rPr>
          <w:lang w:val="fr-FR"/>
        </w:rPr>
        <w:t>ebolavirus</w:t>
      </w:r>
      <w:proofErr w:type="spellEnd"/>
      <w:r w:rsidRPr="00DD3CCC">
        <w:rPr>
          <w:lang w:val="fr-FR"/>
        </w:rPr>
        <w:t xml:space="preserve"> comp</w:t>
      </w:r>
      <w:r>
        <w:rPr>
          <w:lang w:val="fr-FR"/>
        </w:rPr>
        <w:t>rend</w:t>
      </w:r>
      <w:r w:rsidRPr="00DD3CCC">
        <w:rPr>
          <w:lang w:val="fr-FR"/>
        </w:rPr>
        <w:t xml:space="preserve"> </w:t>
      </w:r>
      <w:r>
        <w:rPr>
          <w:lang w:val="fr-FR"/>
        </w:rPr>
        <w:t>cinq</w:t>
      </w:r>
      <w:r w:rsidRPr="00DD3CCC">
        <w:rPr>
          <w:lang w:val="fr-FR"/>
        </w:rPr>
        <w:t xml:space="preserve"> membres : </w:t>
      </w:r>
      <w:r>
        <w:rPr>
          <w:lang w:val="fr-FR"/>
        </w:rPr>
        <w:t xml:space="preserve">le virus de </w:t>
      </w:r>
      <w:proofErr w:type="spellStart"/>
      <w:r w:rsidRPr="00C20A22">
        <w:rPr>
          <w:lang w:val="fr-FR"/>
        </w:rPr>
        <w:t>Bundibugyo</w:t>
      </w:r>
      <w:proofErr w:type="spellEnd"/>
      <w:r w:rsidRPr="00C20A22">
        <w:rPr>
          <w:lang w:val="fr-FR"/>
        </w:rPr>
        <w:t>,</w:t>
      </w:r>
      <w:r w:rsidRPr="00BE27C9">
        <w:t xml:space="preserve"> </w:t>
      </w:r>
      <w:r w:rsidRPr="00C20A22">
        <w:rPr>
          <w:lang w:val="fr-FR"/>
        </w:rPr>
        <w:t xml:space="preserve">le virus de </w:t>
      </w:r>
      <w:proofErr w:type="spellStart"/>
      <w:r w:rsidRPr="00C20A22">
        <w:rPr>
          <w:lang w:val="fr-FR"/>
        </w:rPr>
        <w:t>Reston</w:t>
      </w:r>
      <w:proofErr w:type="spellEnd"/>
      <w:r w:rsidRPr="00C20A22">
        <w:rPr>
          <w:lang w:val="fr-FR"/>
        </w:rPr>
        <w:t>, le virus d</w:t>
      </w:r>
      <w:r>
        <w:rPr>
          <w:lang w:val="fr-FR"/>
        </w:rPr>
        <w:t xml:space="preserve">u </w:t>
      </w:r>
      <w:r w:rsidRPr="00C20A22">
        <w:rPr>
          <w:lang w:val="fr-FR"/>
        </w:rPr>
        <w:t>S</w:t>
      </w:r>
      <w:r>
        <w:rPr>
          <w:lang w:val="fr-FR"/>
        </w:rPr>
        <w:t>o</w:t>
      </w:r>
      <w:r w:rsidRPr="00C20A22">
        <w:rPr>
          <w:lang w:val="fr-FR"/>
        </w:rPr>
        <w:t xml:space="preserve">udan, le virus de </w:t>
      </w:r>
      <w:r>
        <w:rPr>
          <w:lang w:val="fr-FR"/>
        </w:rPr>
        <w:t xml:space="preserve">la </w:t>
      </w:r>
      <w:r w:rsidRPr="00C20A22">
        <w:rPr>
          <w:lang w:val="fr-FR"/>
        </w:rPr>
        <w:t>For</w:t>
      </w:r>
      <w:r>
        <w:rPr>
          <w:lang w:val="fr-FR"/>
        </w:rPr>
        <w:t>ê</w:t>
      </w:r>
      <w:r w:rsidRPr="00C20A22">
        <w:rPr>
          <w:lang w:val="fr-FR"/>
        </w:rPr>
        <w:t xml:space="preserve">t </w:t>
      </w:r>
      <w:r>
        <w:rPr>
          <w:lang w:val="fr-FR"/>
        </w:rPr>
        <w:t xml:space="preserve">de </w:t>
      </w:r>
      <w:proofErr w:type="spellStart"/>
      <w:r w:rsidRPr="00C20A22">
        <w:rPr>
          <w:lang w:val="fr-FR"/>
        </w:rPr>
        <w:t>Taï</w:t>
      </w:r>
      <w:proofErr w:type="spellEnd"/>
      <w:r w:rsidRPr="00C20A22">
        <w:rPr>
          <w:lang w:val="fr-FR"/>
        </w:rPr>
        <w:t xml:space="preserve"> et </w:t>
      </w:r>
      <w:r>
        <w:rPr>
          <w:lang w:val="fr-FR"/>
        </w:rPr>
        <w:t>le virus d’E</w:t>
      </w:r>
      <w:r w:rsidRPr="00C20A22">
        <w:rPr>
          <w:lang w:val="fr-FR"/>
        </w:rPr>
        <w:t>bola</w:t>
      </w:r>
      <w:r>
        <w:rPr>
          <w:lang w:val="fr-FR"/>
        </w:rPr>
        <w:t>.</w:t>
      </w:r>
      <w:r w:rsidRPr="00DD3CCC">
        <w:rPr>
          <w:lang w:val="fr-FR"/>
        </w:rPr>
        <w:t xml:space="preserve"> Malgré leur répartition géographique et leur taux de létalité différents, le nom de </w:t>
      </w:r>
      <w:r>
        <w:rPr>
          <w:lang w:val="fr-FR"/>
        </w:rPr>
        <w:t>« </w:t>
      </w:r>
      <w:r w:rsidRPr="00DD3CCC">
        <w:rPr>
          <w:lang w:val="fr-FR"/>
        </w:rPr>
        <w:t xml:space="preserve">virus </w:t>
      </w:r>
      <w:r>
        <w:rPr>
          <w:lang w:val="fr-FR"/>
        </w:rPr>
        <w:t>d’</w:t>
      </w:r>
      <w:r w:rsidRPr="00DD3CCC">
        <w:rPr>
          <w:lang w:val="fr-FR"/>
        </w:rPr>
        <w:t>Ebola</w:t>
      </w:r>
      <w:r>
        <w:rPr>
          <w:lang w:val="fr-FR"/>
        </w:rPr>
        <w:t> »</w:t>
      </w:r>
      <w:r w:rsidRPr="00DD3CCC">
        <w:rPr>
          <w:lang w:val="fr-FR"/>
        </w:rPr>
        <w:t xml:space="preserve"> est encore utilisé à tort pour d</w:t>
      </w:r>
      <w:r>
        <w:rPr>
          <w:lang w:val="fr-FR"/>
        </w:rPr>
        <w:t>’</w:t>
      </w:r>
      <w:r w:rsidRPr="00DD3CCC">
        <w:rPr>
          <w:lang w:val="fr-FR"/>
        </w:rPr>
        <w:t xml:space="preserve">autres </w:t>
      </w:r>
      <w:proofErr w:type="spellStart"/>
      <w:proofErr w:type="gramStart"/>
      <w:r w:rsidRPr="00DD3CCC">
        <w:rPr>
          <w:lang w:val="fr-FR"/>
        </w:rPr>
        <w:t>ebolavirus</w:t>
      </w:r>
      <w:proofErr w:type="spellEnd"/>
      <w:r w:rsidR="00D37690" w:rsidRPr="00D37690">
        <w:rPr>
          <w:sz w:val="18"/>
          <w:szCs w:val="18"/>
          <w:vertAlign w:val="superscript"/>
          <w:lang w:val="fr-FR"/>
        </w:rPr>
        <w:t>(</w:t>
      </w:r>
      <w:proofErr w:type="gramEnd"/>
      <w:r w:rsidRPr="00F45ECB">
        <w:rPr>
          <w:sz w:val="18"/>
          <w:szCs w:val="18"/>
          <w:vertAlign w:val="superscript"/>
          <w:lang w:val="fr-FR"/>
        </w:rPr>
        <w:t>1</w:t>
      </w:r>
      <w:r w:rsidR="00D37690">
        <w:rPr>
          <w:sz w:val="18"/>
          <w:szCs w:val="18"/>
          <w:vertAlign w:val="superscript"/>
          <w:lang w:val="fr-FR"/>
        </w:rPr>
        <w:t>)</w:t>
      </w:r>
      <w:r w:rsidRPr="00DD3CCC">
        <w:rPr>
          <w:lang w:val="fr-FR"/>
        </w:rPr>
        <w:t>. Par exemple, le</w:t>
      </w:r>
      <w:r>
        <w:rPr>
          <w:lang w:val="fr-FR"/>
        </w:rPr>
        <w:t>s</w:t>
      </w:r>
      <w:r w:rsidRPr="00DD3CCC">
        <w:rPr>
          <w:lang w:val="fr-FR"/>
        </w:rPr>
        <w:t xml:space="preserve"> virus </w:t>
      </w:r>
      <w:r>
        <w:rPr>
          <w:lang w:val="fr-FR"/>
        </w:rPr>
        <w:t xml:space="preserve">de </w:t>
      </w:r>
      <w:proofErr w:type="spellStart"/>
      <w:r w:rsidRPr="00C20A22">
        <w:rPr>
          <w:lang w:val="fr-FR"/>
        </w:rPr>
        <w:t>Bundibugyo</w:t>
      </w:r>
      <w:proofErr w:type="spellEnd"/>
      <w:r w:rsidRPr="00DD3CCC">
        <w:rPr>
          <w:lang w:val="fr-FR"/>
        </w:rPr>
        <w:t xml:space="preserve"> et</w:t>
      </w:r>
      <w:r>
        <w:rPr>
          <w:lang w:val="fr-FR"/>
        </w:rPr>
        <w:t xml:space="preserve"> du</w:t>
      </w:r>
      <w:r w:rsidRPr="00DD3CCC">
        <w:rPr>
          <w:lang w:val="fr-FR"/>
        </w:rPr>
        <w:t xml:space="preserve"> </w:t>
      </w:r>
      <w:r w:rsidRPr="00C20A22">
        <w:rPr>
          <w:lang w:val="fr-FR"/>
        </w:rPr>
        <w:t>S</w:t>
      </w:r>
      <w:r>
        <w:rPr>
          <w:lang w:val="fr-FR"/>
        </w:rPr>
        <w:t>o</w:t>
      </w:r>
      <w:r w:rsidRPr="00C20A22">
        <w:rPr>
          <w:lang w:val="fr-FR"/>
        </w:rPr>
        <w:t>udan</w:t>
      </w:r>
      <w:r w:rsidRPr="00DD3CCC">
        <w:rPr>
          <w:lang w:val="fr-FR"/>
        </w:rPr>
        <w:t xml:space="preserve"> ont été associés à des flambées épidémiques en Ouganda, alors que le virus </w:t>
      </w:r>
      <w:r>
        <w:rPr>
          <w:lang w:val="fr-FR"/>
        </w:rPr>
        <w:t>d’</w:t>
      </w:r>
      <w:r w:rsidRPr="00DD3CCC">
        <w:rPr>
          <w:lang w:val="fr-FR"/>
        </w:rPr>
        <w:t xml:space="preserve">Ebola </w:t>
      </w:r>
      <w:r>
        <w:rPr>
          <w:lang w:val="fr-FR"/>
        </w:rPr>
        <w:t xml:space="preserve">proprement dit </w:t>
      </w:r>
      <w:r w:rsidRPr="00DD3CCC">
        <w:rPr>
          <w:lang w:val="fr-FR"/>
        </w:rPr>
        <w:t>n</w:t>
      </w:r>
      <w:r>
        <w:rPr>
          <w:lang w:val="fr-FR"/>
        </w:rPr>
        <w:t>’</w:t>
      </w:r>
      <w:r w:rsidRPr="00DD3CCC">
        <w:rPr>
          <w:lang w:val="fr-FR"/>
        </w:rPr>
        <w:t xml:space="preserve">a jamais été détecté dans cette zone géographique. En outre, la létalité des épidémies </w:t>
      </w:r>
      <w:r>
        <w:rPr>
          <w:lang w:val="fr-FR"/>
        </w:rPr>
        <w:t>à virus de</w:t>
      </w:r>
      <w:r w:rsidRPr="00DD3CCC">
        <w:rPr>
          <w:lang w:val="fr-FR"/>
        </w:rPr>
        <w:t xml:space="preserve"> </w:t>
      </w:r>
      <w:proofErr w:type="spellStart"/>
      <w:r w:rsidRPr="00C20A22">
        <w:rPr>
          <w:lang w:val="fr-FR"/>
        </w:rPr>
        <w:t>Bundibugyo</w:t>
      </w:r>
      <w:proofErr w:type="spellEnd"/>
      <w:r w:rsidRPr="00DD3CCC">
        <w:rPr>
          <w:lang w:val="fr-FR"/>
        </w:rPr>
        <w:t xml:space="preserve"> </w:t>
      </w:r>
      <w:r>
        <w:rPr>
          <w:lang w:val="fr-FR"/>
        </w:rPr>
        <w:t>ou</w:t>
      </w:r>
      <w:r w:rsidRPr="00DD3CCC">
        <w:rPr>
          <w:lang w:val="fr-FR"/>
        </w:rPr>
        <w:t xml:space="preserve"> </w:t>
      </w:r>
      <w:r w:rsidRPr="00440025">
        <w:rPr>
          <w:lang w:val="fr-FR"/>
        </w:rPr>
        <w:t xml:space="preserve">à virus </w:t>
      </w:r>
      <w:r w:rsidRPr="00DD3CCC">
        <w:rPr>
          <w:lang w:val="fr-FR"/>
        </w:rPr>
        <w:t>d</w:t>
      </w:r>
      <w:r>
        <w:rPr>
          <w:lang w:val="fr-FR"/>
        </w:rPr>
        <w:t>u</w:t>
      </w:r>
      <w:r w:rsidRPr="00DD3CCC">
        <w:rPr>
          <w:lang w:val="fr-FR"/>
        </w:rPr>
        <w:t xml:space="preserve"> </w:t>
      </w:r>
      <w:r w:rsidRPr="00C20A22">
        <w:rPr>
          <w:lang w:val="fr-FR"/>
        </w:rPr>
        <w:t>S</w:t>
      </w:r>
      <w:r>
        <w:rPr>
          <w:lang w:val="fr-FR"/>
        </w:rPr>
        <w:t>o</w:t>
      </w:r>
      <w:r w:rsidRPr="00C20A22">
        <w:rPr>
          <w:lang w:val="fr-FR"/>
        </w:rPr>
        <w:t>udan</w:t>
      </w:r>
      <w:r w:rsidRPr="00DD3CCC">
        <w:rPr>
          <w:lang w:val="fr-FR"/>
        </w:rPr>
        <w:t xml:space="preserve"> se situe généralement autour de 50</w:t>
      </w:r>
      <w:r>
        <w:rPr>
          <w:lang w:val="fr-FR"/>
        </w:rPr>
        <w:t> </w:t>
      </w:r>
      <w:r w:rsidRPr="00DD3CCC">
        <w:rPr>
          <w:lang w:val="fr-FR"/>
        </w:rPr>
        <w:t xml:space="preserve">% ou moins, alors que les épidémies </w:t>
      </w:r>
      <w:r>
        <w:rPr>
          <w:lang w:val="fr-FR"/>
        </w:rPr>
        <w:t>à</w:t>
      </w:r>
      <w:r w:rsidRPr="00DD3CCC">
        <w:rPr>
          <w:lang w:val="fr-FR"/>
        </w:rPr>
        <w:t xml:space="preserve"> virus </w:t>
      </w:r>
      <w:r>
        <w:rPr>
          <w:lang w:val="fr-FR"/>
        </w:rPr>
        <w:t>d’</w:t>
      </w:r>
      <w:r w:rsidRPr="00DD3CCC">
        <w:rPr>
          <w:lang w:val="fr-FR"/>
        </w:rPr>
        <w:t>Ebola atteignent souvent 80</w:t>
      </w:r>
      <w:r>
        <w:rPr>
          <w:lang w:val="fr-FR"/>
        </w:rPr>
        <w:t> </w:t>
      </w:r>
      <w:r w:rsidRPr="00DD3CCC">
        <w:rPr>
          <w:lang w:val="fr-FR"/>
        </w:rPr>
        <w:t xml:space="preserve">% ou </w:t>
      </w:r>
      <w:proofErr w:type="gramStart"/>
      <w:r w:rsidRPr="00DD3CCC">
        <w:rPr>
          <w:lang w:val="fr-FR"/>
        </w:rPr>
        <w:t>plus</w:t>
      </w:r>
      <w:r w:rsidR="00815E59" w:rsidRPr="00815E59">
        <w:rPr>
          <w:sz w:val="18"/>
          <w:szCs w:val="18"/>
          <w:vertAlign w:val="superscript"/>
          <w:lang w:val="fr-FR"/>
        </w:rPr>
        <w:t>(</w:t>
      </w:r>
      <w:proofErr w:type="gramEnd"/>
      <w:r w:rsidRPr="00F45ECB">
        <w:rPr>
          <w:sz w:val="18"/>
          <w:szCs w:val="18"/>
          <w:vertAlign w:val="superscript"/>
          <w:lang w:val="fr-FR"/>
        </w:rPr>
        <w:t>2</w:t>
      </w:r>
      <w:r w:rsidR="00815E59">
        <w:rPr>
          <w:sz w:val="18"/>
          <w:szCs w:val="18"/>
          <w:vertAlign w:val="superscript"/>
          <w:lang w:val="fr-FR"/>
        </w:rPr>
        <w:t>)</w:t>
      </w:r>
      <w:r w:rsidRPr="00DD3CCC">
        <w:rPr>
          <w:lang w:val="fr-FR"/>
        </w:rPr>
        <w:t xml:space="preserve">. Pour englober les autres membres </w:t>
      </w:r>
      <w:r>
        <w:rPr>
          <w:lang w:val="fr-FR"/>
        </w:rPr>
        <w:t xml:space="preserve">du genre </w:t>
      </w:r>
      <w:r w:rsidRPr="00DD3CCC">
        <w:rPr>
          <w:lang w:val="fr-FR"/>
        </w:rPr>
        <w:t xml:space="preserve">des </w:t>
      </w:r>
      <w:proofErr w:type="spellStart"/>
      <w:r w:rsidRPr="00DD3CCC">
        <w:rPr>
          <w:lang w:val="fr-FR"/>
        </w:rPr>
        <w:t>ebolavirus</w:t>
      </w:r>
      <w:proofErr w:type="spellEnd"/>
      <w:r w:rsidRPr="00DD3CCC">
        <w:rPr>
          <w:lang w:val="fr-FR"/>
        </w:rPr>
        <w:t xml:space="preserve">, ainsi que pour reconnaître leur importance en tant que menace pour la santé publique, les </w:t>
      </w:r>
      <w:proofErr w:type="spellStart"/>
      <w:r w:rsidRPr="00DD3CCC">
        <w:rPr>
          <w:lang w:val="fr-FR"/>
        </w:rPr>
        <w:t>ebolavirus</w:t>
      </w:r>
      <w:proofErr w:type="spellEnd"/>
      <w:r w:rsidRPr="00DD3CCC">
        <w:rPr>
          <w:lang w:val="fr-FR"/>
        </w:rPr>
        <w:t xml:space="preserve"> devraient être compris dans le tableau d</w:t>
      </w:r>
      <w:r>
        <w:rPr>
          <w:lang w:val="fr-FR"/>
        </w:rPr>
        <w:t>’</w:t>
      </w:r>
      <w:r w:rsidRPr="00DD3CCC">
        <w:rPr>
          <w:lang w:val="fr-FR"/>
        </w:rPr>
        <w:t>exemples indicatifs</w:t>
      </w:r>
      <w:r w:rsidRPr="007B18F8">
        <w:rPr>
          <w:lang w:val="fr-FR"/>
        </w:rPr>
        <w:t>.</w:t>
      </w:r>
    </w:p>
    <w:p w:rsidR="00F1574D" w:rsidRPr="007B18F8" w:rsidRDefault="00F1574D" w:rsidP="00626661">
      <w:pPr>
        <w:pStyle w:val="SingleTxtG"/>
        <w:keepNext/>
        <w:rPr>
          <w:lang w:val="fr-FR"/>
        </w:rPr>
      </w:pPr>
      <w:r w:rsidRPr="007B18F8">
        <w:rPr>
          <w:bCs/>
          <w:lang w:val="fr-FR"/>
        </w:rPr>
        <w:t>8.</w:t>
      </w:r>
      <w:r w:rsidRPr="007B18F8">
        <w:rPr>
          <w:b/>
          <w:lang w:val="fr-FR"/>
        </w:rPr>
        <w:tab/>
      </w:r>
      <w:r w:rsidRPr="00E902F5">
        <w:rPr>
          <w:lang w:val="fr-FR"/>
        </w:rPr>
        <w:t xml:space="preserve">À </w:t>
      </w:r>
      <w:r w:rsidRPr="009C2DF9">
        <w:rPr>
          <w:lang w:val="fr-FR"/>
        </w:rPr>
        <w:t xml:space="preserve">la </w:t>
      </w:r>
      <w:r>
        <w:rPr>
          <w:lang w:val="fr-FR"/>
        </w:rPr>
        <w:t>rubrique</w:t>
      </w:r>
      <w:r w:rsidRPr="009C2DF9">
        <w:rPr>
          <w:lang w:val="fr-FR"/>
        </w:rPr>
        <w:t xml:space="preserve"> </w:t>
      </w:r>
      <w:r>
        <w:rPr>
          <w:lang w:val="fr-FR"/>
        </w:rPr>
        <w:t>« </w:t>
      </w:r>
      <w:r w:rsidRPr="009C2DF9">
        <w:rPr>
          <w:lang w:val="fr-FR"/>
        </w:rPr>
        <w:t>N</w:t>
      </w:r>
      <w:r w:rsidRPr="008D0E5A">
        <w:rPr>
          <w:vertAlign w:val="superscript"/>
          <w:lang w:val="fr-FR"/>
        </w:rPr>
        <w:t>o</w:t>
      </w:r>
      <w:r w:rsidR="00F45ECB">
        <w:rPr>
          <w:lang w:val="fr-FR"/>
        </w:rPr>
        <w:t> </w:t>
      </w:r>
      <w:r w:rsidRPr="009C2DF9">
        <w:rPr>
          <w:lang w:val="fr-FR"/>
        </w:rPr>
        <w:t>ONU 2814 Matière infectieuse pour l</w:t>
      </w:r>
      <w:r>
        <w:rPr>
          <w:lang w:val="fr-FR"/>
        </w:rPr>
        <w:t>’</w:t>
      </w:r>
      <w:r w:rsidRPr="009C2DF9">
        <w:rPr>
          <w:lang w:val="fr-FR"/>
        </w:rPr>
        <w:t>homme »</w:t>
      </w:r>
      <w:r>
        <w:rPr>
          <w:lang w:val="fr-FR"/>
        </w:rPr>
        <w:t xml:space="preserve">, </w:t>
      </w:r>
      <w:r>
        <w:rPr>
          <w:b/>
          <w:lang w:val="fr-FR"/>
        </w:rPr>
        <w:t>supprimer</w:t>
      </w:r>
      <w:r w:rsidRPr="007B18F8">
        <w:rPr>
          <w:lang w:val="fr-FR"/>
        </w:rPr>
        <w:t xml:space="preserve"> </w:t>
      </w:r>
      <w:bookmarkStart w:id="3" w:name="_Hlk512354788"/>
      <w:r>
        <w:rPr>
          <w:lang w:val="fr-FR"/>
        </w:rPr>
        <w:t>« </w:t>
      </w:r>
      <w:r w:rsidRPr="00CC1D2D">
        <w:rPr>
          <w:lang w:val="fr-FR"/>
        </w:rPr>
        <w:t>Virus de l</w:t>
      </w:r>
      <w:r>
        <w:rPr>
          <w:lang w:val="fr-FR"/>
        </w:rPr>
        <w:t>’</w:t>
      </w:r>
      <w:r w:rsidRPr="00CC1D2D">
        <w:rPr>
          <w:lang w:val="fr-FR"/>
        </w:rPr>
        <w:t>immunodéficience humaine (cultures seulement)</w:t>
      </w:r>
      <w:r>
        <w:rPr>
          <w:lang w:val="fr-FR"/>
        </w:rPr>
        <w:t> »</w:t>
      </w:r>
      <w:r w:rsidRPr="007B18F8">
        <w:rPr>
          <w:lang w:val="fr-FR"/>
        </w:rPr>
        <w:t xml:space="preserve"> </w:t>
      </w:r>
      <w:bookmarkEnd w:id="3"/>
      <w:r>
        <w:rPr>
          <w:lang w:val="fr-FR"/>
        </w:rPr>
        <w:t>et</w:t>
      </w:r>
      <w:r w:rsidRPr="007B18F8">
        <w:rPr>
          <w:lang w:val="fr-FR"/>
        </w:rPr>
        <w:t xml:space="preserve"> </w:t>
      </w:r>
      <w:r>
        <w:rPr>
          <w:b/>
          <w:lang w:val="fr-FR"/>
        </w:rPr>
        <w:t>ajouter</w:t>
      </w:r>
      <w:r w:rsidRPr="007B18F8">
        <w:rPr>
          <w:lang w:val="fr-FR"/>
        </w:rPr>
        <w:t xml:space="preserve"> </w:t>
      </w:r>
      <w:r>
        <w:rPr>
          <w:lang w:val="fr-FR"/>
        </w:rPr>
        <w:t>« </w:t>
      </w:r>
      <w:r w:rsidRPr="00CC1D2D">
        <w:rPr>
          <w:lang w:val="fr-FR"/>
        </w:rPr>
        <w:t xml:space="preserve">Virus de </w:t>
      </w:r>
      <w:r w:rsidRPr="00CC1D2D">
        <w:rPr>
          <w:lang w:val="fr-FR"/>
        </w:rPr>
        <w:lastRenderedPageBreak/>
        <w:t>l</w:t>
      </w:r>
      <w:r>
        <w:rPr>
          <w:lang w:val="fr-FR"/>
        </w:rPr>
        <w:t>’</w:t>
      </w:r>
      <w:r w:rsidRPr="00CC1D2D">
        <w:rPr>
          <w:lang w:val="fr-FR"/>
        </w:rPr>
        <w:t>immunodéficience humaine</w:t>
      </w:r>
      <w:r>
        <w:rPr>
          <w:lang w:val="fr-FR"/>
        </w:rPr>
        <w:t> 1</w:t>
      </w:r>
      <w:r w:rsidRPr="00CC1D2D">
        <w:rPr>
          <w:lang w:val="fr-FR"/>
        </w:rPr>
        <w:t xml:space="preserve"> (cultures seulement)</w:t>
      </w:r>
      <w:r>
        <w:rPr>
          <w:lang w:val="fr-FR"/>
        </w:rPr>
        <w:t> »</w:t>
      </w:r>
      <w:r w:rsidRPr="007B18F8">
        <w:rPr>
          <w:lang w:val="fr-FR"/>
        </w:rPr>
        <w:t xml:space="preserve"> </w:t>
      </w:r>
      <w:r>
        <w:rPr>
          <w:lang w:val="fr-FR"/>
        </w:rPr>
        <w:t>et</w:t>
      </w:r>
      <w:r w:rsidRPr="007B18F8">
        <w:rPr>
          <w:lang w:val="fr-FR"/>
        </w:rPr>
        <w:t xml:space="preserve"> </w:t>
      </w:r>
      <w:r>
        <w:rPr>
          <w:lang w:val="fr-FR"/>
        </w:rPr>
        <w:t>« </w:t>
      </w:r>
      <w:r w:rsidRPr="00CC1D2D">
        <w:rPr>
          <w:lang w:val="fr-FR"/>
        </w:rPr>
        <w:t>Virus de l</w:t>
      </w:r>
      <w:r>
        <w:rPr>
          <w:lang w:val="fr-FR"/>
        </w:rPr>
        <w:t>’</w:t>
      </w:r>
      <w:r w:rsidRPr="00CC1D2D">
        <w:rPr>
          <w:lang w:val="fr-FR"/>
        </w:rPr>
        <w:t>immunodéficience humaine</w:t>
      </w:r>
      <w:r>
        <w:rPr>
          <w:lang w:val="fr-FR"/>
        </w:rPr>
        <w:t> 2</w:t>
      </w:r>
      <w:r w:rsidRPr="00CC1D2D">
        <w:rPr>
          <w:lang w:val="fr-FR"/>
        </w:rPr>
        <w:t xml:space="preserve"> (cultures seulement)</w:t>
      </w:r>
      <w:r>
        <w:rPr>
          <w:lang w:val="fr-FR"/>
        </w:rPr>
        <w:t> »</w:t>
      </w:r>
      <w:r w:rsidR="004419DB">
        <w:rPr>
          <w:lang w:val="fr-FR"/>
        </w:rPr>
        <w:t>.</w:t>
      </w:r>
    </w:p>
    <w:p w:rsidR="00F1574D" w:rsidRPr="007B18F8" w:rsidRDefault="00F1574D" w:rsidP="00626661">
      <w:pPr>
        <w:pStyle w:val="H4G"/>
        <w:rPr>
          <w:lang w:val="fr-FR"/>
        </w:rPr>
      </w:pPr>
      <w:r w:rsidRPr="007B18F8">
        <w:rPr>
          <w:lang w:val="fr-FR"/>
        </w:rPr>
        <w:tab/>
      </w:r>
      <w:r w:rsidRPr="007B18F8">
        <w:rPr>
          <w:lang w:val="fr-FR"/>
        </w:rPr>
        <w:tab/>
      </w:r>
      <w:r w:rsidR="00626661">
        <w:rPr>
          <w:lang w:val="fr-FR"/>
        </w:rPr>
        <w:tab/>
      </w:r>
      <w:r w:rsidRPr="007B18F8">
        <w:rPr>
          <w:lang w:val="fr-FR"/>
        </w:rPr>
        <w:t>Justification</w:t>
      </w:r>
    </w:p>
    <w:p w:rsidR="00F1574D" w:rsidRPr="007B18F8" w:rsidRDefault="00F1574D" w:rsidP="00626661">
      <w:pPr>
        <w:pStyle w:val="SingleTxtG"/>
        <w:ind w:left="1701"/>
        <w:rPr>
          <w:lang w:val="fr-FR"/>
        </w:rPr>
      </w:pPr>
      <w:r w:rsidRPr="006C6278">
        <w:rPr>
          <w:lang w:val="fr-FR"/>
        </w:rPr>
        <w:t>Il existe deux types du virus de l</w:t>
      </w:r>
      <w:r>
        <w:rPr>
          <w:lang w:val="fr-FR"/>
        </w:rPr>
        <w:t>’</w:t>
      </w:r>
      <w:r w:rsidRPr="006C6278">
        <w:rPr>
          <w:lang w:val="fr-FR"/>
        </w:rPr>
        <w:t>immunodéficience humaine : le virus de l</w:t>
      </w:r>
      <w:r>
        <w:rPr>
          <w:lang w:val="fr-FR"/>
        </w:rPr>
        <w:t>’</w:t>
      </w:r>
      <w:r w:rsidRPr="006C6278">
        <w:rPr>
          <w:lang w:val="fr-FR"/>
        </w:rPr>
        <w:t>immunodéficience humaine 1 (VIH-1) et le virus de l</w:t>
      </w:r>
      <w:r>
        <w:rPr>
          <w:lang w:val="fr-FR"/>
        </w:rPr>
        <w:t>’</w:t>
      </w:r>
      <w:r w:rsidRPr="006C6278">
        <w:rPr>
          <w:lang w:val="fr-FR"/>
        </w:rPr>
        <w:t>immunodéficience humaine 2 (VIH-2). Bien que les deux virus soient responsables de l</w:t>
      </w:r>
      <w:r>
        <w:rPr>
          <w:lang w:val="fr-FR"/>
        </w:rPr>
        <w:t>’</w:t>
      </w:r>
      <w:r w:rsidRPr="006C6278">
        <w:rPr>
          <w:lang w:val="fr-FR"/>
        </w:rPr>
        <w:t xml:space="preserve">infection à VIH, il existe des différences entre eux. Par exemple, le VIH-1, qui prédomine </w:t>
      </w:r>
      <w:r>
        <w:rPr>
          <w:lang w:val="fr-FR"/>
        </w:rPr>
        <w:t xml:space="preserve">à l’échelle </w:t>
      </w:r>
      <w:r w:rsidRPr="006C6278">
        <w:rPr>
          <w:lang w:val="fr-FR"/>
        </w:rPr>
        <w:t>mond</w:t>
      </w:r>
      <w:r>
        <w:rPr>
          <w:lang w:val="fr-FR"/>
        </w:rPr>
        <w:t>ial</w:t>
      </w:r>
      <w:r w:rsidRPr="006C6278">
        <w:rPr>
          <w:lang w:val="fr-FR"/>
        </w:rPr>
        <w:t>e, a un taux d</w:t>
      </w:r>
      <w:r>
        <w:rPr>
          <w:lang w:val="fr-FR"/>
        </w:rPr>
        <w:t>’</w:t>
      </w:r>
      <w:r w:rsidRPr="006C6278">
        <w:rPr>
          <w:lang w:val="fr-FR"/>
        </w:rPr>
        <w:t>infectiosité élevé et est plus pathogène que le VIH-2.</w:t>
      </w:r>
      <w:r w:rsidRPr="00440025">
        <w:rPr>
          <w:lang w:val="fr-FR"/>
        </w:rPr>
        <w:t xml:space="preserve"> </w:t>
      </w:r>
      <w:r>
        <w:rPr>
          <w:lang w:val="fr-FR"/>
        </w:rPr>
        <w:t>Ce</w:t>
      </w:r>
      <w:r w:rsidR="00D37690">
        <w:rPr>
          <w:lang w:val="fr-FR"/>
        </w:rPr>
        <w:t> </w:t>
      </w:r>
      <w:r>
        <w:rPr>
          <w:lang w:val="fr-FR"/>
        </w:rPr>
        <w:t xml:space="preserve">dernier, qui est </w:t>
      </w:r>
      <w:r w:rsidRPr="006C6278">
        <w:rPr>
          <w:lang w:val="fr-FR"/>
        </w:rPr>
        <w:t>endémique en Afrique de l</w:t>
      </w:r>
      <w:r>
        <w:rPr>
          <w:lang w:val="fr-FR"/>
        </w:rPr>
        <w:t>’</w:t>
      </w:r>
      <w:r w:rsidRPr="006C6278">
        <w:rPr>
          <w:lang w:val="fr-FR"/>
        </w:rPr>
        <w:t xml:space="preserve">Ouest, a une efficacité de transmission plus faible et est moins </w:t>
      </w:r>
      <w:proofErr w:type="gramStart"/>
      <w:r w:rsidRPr="006C6278">
        <w:rPr>
          <w:lang w:val="fr-FR"/>
        </w:rPr>
        <w:t>pathogène</w:t>
      </w:r>
      <w:r w:rsidRPr="004419DB">
        <w:rPr>
          <w:sz w:val="18"/>
          <w:szCs w:val="18"/>
          <w:vertAlign w:val="superscript"/>
          <w:lang w:val="fr-FR"/>
        </w:rPr>
        <w:t>(</w:t>
      </w:r>
      <w:proofErr w:type="gramEnd"/>
      <w:r w:rsidRPr="004419DB">
        <w:rPr>
          <w:sz w:val="18"/>
          <w:szCs w:val="18"/>
          <w:vertAlign w:val="superscript"/>
          <w:lang w:val="fr-FR"/>
        </w:rPr>
        <w:t>3, 4, 5, 6)</w:t>
      </w:r>
      <w:r w:rsidRPr="006C6278">
        <w:rPr>
          <w:vertAlign w:val="superscript"/>
          <w:lang w:val="fr-FR"/>
        </w:rPr>
        <w:t>.</w:t>
      </w:r>
      <w:r w:rsidRPr="006C6278">
        <w:rPr>
          <w:lang w:val="fr-FR"/>
        </w:rPr>
        <w:t xml:space="preserve"> Par conséquent, le diagnostic et le traitement </w:t>
      </w:r>
      <w:r>
        <w:rPr>
          <w:lang w:val="fr-FR"/>
        </w:rPr>
        <w:t xml:space="preserve">de chacun sont </w:t>
      </w:r>
      <w:proofErr w:type="gramStart"/>
      <w:r>
        <w:rPr>
          <w:lang w:val="fr-FR"/>
        </w:rPr>
        <w:t>différents</w:t>
      </w:r>
      <w:r w:rsidRPr="004419DB">
        <w:rPr>
          <w:sz w:val="18"/>
          <w:szCs w:val="18"/>
          <w:vertAlign w:val="superscript"/>
          <w:lang w:val="fr-FR"/>
        </w:rPr>
        <w:t>(</w:t>
      </w:r>
      <w:proofErr w:type="gramEnd"/>
      <w:r w:rsidRPr="004419DB">
        <w:rPr>
          <w:sz w:val="18"/>
          <w:szCs w:val="18"/>
          <w:vertAlign w:val="superscript"/>
          <w:lang w:val="fr-FR"/>
        </w:rPr>
        <w:t>6)</w:t>
      </w:r>
      <w:r w:rsidRPr="006C6278">
        <w:rPr>
          <w:lang w:val="fr-FR"/>
        </w:rPr>
        <w:t xml:space="preserve">. </w:t>
      </w:r>
      <w:r>
        <w:rPr>
          <w:lang w:val="fr-FR"/>
        </w:rPr>
        <w:t xml:space="preserve">Dans un souci de </w:t>
      </w:r>
      <w:r w:rsidRPr="006C6278">
        <w:rPr>
          <w:lang w:val="fr-FR"/>
        </w:rPr>
        <w:t xml:space="preserve">précision et </w:t>
      </w:r>
      <w:r>
        <w:rPr>
          <w:lang w:val="fr-FR"/>
        </w:rPr>
        <w:t>de rigueur</w:t>
      </w:r>
      <w:r w:rsidRPr="006C6278">
        <w:rPr>
          <w:lang w:val="fr-FR"/>
        </w:rPr>
        <w:t xml:space="preserve"> scientifique, il est proposé d</w:t>
      </w:r>
      <w:r>
        <w:rPr>
          <w:lang w:val="fr-FR"/>
        </w:rPr>
        <w:t>’</w:t>
      </w:r>
      <w:r w:rsidRPr="006C6278">
        <w:rPr>
          <w:lang w:val="fr-FR"/>
        </w:rPr>
        <w:t>ajouter les deux noms dans le tableau des exemples indicatifs</w:t>
      </w:r>
      <w:r w:rsidRPr="007B18F8">
        <w:rPr>
          <w:lang w:val="fr-FR"/>
        </w:rPr>
        <w:t>.</w:t>
      </w:r>
    </w:p>
    <w:p w:rsidR="00F1574D" w:rsidRPr="007B18F8" w:rsidRDefault="00F1574D" w:rsidP="00F1574D">
      <w:pPr>
        <w:pStyle w:val="SingleTxtG"/>
        <w:rPr>
          <w:lang w:val="fr-FR"/>
        </w:rPr>
      </w:pPr>
      <w:r w:rsidRPr="007B18F8">
        <w:rPr>
          <w:lang w:val="fr-FR"/>
        </w:rPr>
        <w:t>9.</w:t>
      </w:r>
      <w:r w:rsidRPr="007B18F8">
        <w:rPr>
          <w:lang w:val="fr-FR"/>
        </w:rPr>
        <w:tab/>
      </w:r>
      <w:r w:rsidRPr="00E902F5">
        <w:rPr>
          <w:lang w:val="fr-FR"/>
        </w:rPr>
        <w:t xml:space="preserve">À </w:t>
      </w:r>
      <w:r w:rsidRPr="009C2DF9">
        <w:rPr>
          <w:lang w:val="fr-FR"/>
        </w:rPr>
        <w:t xml:space="preserve">la </w:t>
      </w:r>
      <w:r w:rsidRPr="00440025">
        <w:rPr>
          <w:lang w:val="fr-FR"/>
        </w:rPr>
        <w:t xml:space="preserve">rubrique </w:t>
      </w:r>
      <w:r>
        <w:rPr>
          <w:lang w:val="fr-FR"/>
        </w:rPr>
        <w:t>« </w:t>
      </w:r>
      <w:r w:rsidRPr="009C2DF9">
        <w:rPr>
          <w:lang w:val="fr-FR"/>
        </w:rPr>
        <w:t>N</w:t>
      </w:r>
      <w:r w:rsidRPr="008D0E5A">
        <w:rPr>
          <w:vertAlign w:val="superscript"/>
          <w:lang w:val="fr-FR"/>
        </w:rPr>
        <w:t>o</w:t>
      </w:r>
      <w:r w:rsidRPr="009C2DF9">
        <w:rPr>
          <w:lang w:val="fr-FR"/>
        </w:rPr>
        <w:t xml:space="preserve"> ONU 2814 Matière infectieuse pour l</w:t>
      </w:r>
      <w:r>
        <w:rPr>
          <w:lang w:val="fr-FR"/>
        </w:rPr>
        <w:t>’</w:t>
      </w:r>
      <w:r w:rsidRPr="009C2DF9">
        <w:rPr>
          <w:lang w:val="fr-FR"/>
        </w:rPr>
        <w:t>homme</w:t>
      </w:r>
      <w:r>
        <w:rPr>
          <w:lang w:val="fr-FR"/>
        </w:rPr>
        <w:t> </w:t>
      </w:r>
      <w:r w:rsidRPr="009C2DF9">
        <w:rPr>
          <w:lang w:val="fr-FR"/>
        </w:rPr>
        <w:t>»</w:t>
      </w:r>
      <w:r>
        <w:rPr>
          <w:lang w:val="fr-FR"/>
        </w:rPr>
        <w:t xml:space="preserve">, </w:t>
      </w:r>
      <w:r>
        <w:rPr>
          <w:b/>
          <w:bCs/>
          <w:lang w:val="fr-FR"/>
        </w:rPr>
        <w:t>m</w:t>
      </w:r>
      <w:r w:rsidRPr="007B18F8">
        <w:rPr>
          <w:b/>
          <w:bCs/>
          <w:lang w:val="fr-FR"/>
        </w:rPr>
        <w:t>odif</w:t>
      </w:r>
      <w:r>
        <w:rPr>
          <w:b/>
          <w:bCs/>
          <w:lang w:val="fr-FR"/>
        </w:rPr>
        <w:t>ier</w:t>
      </w:r>
      <w:r w:rsidRPr="007B18F8">
        <w:rPr>
          <w:lang w:val="fr-FR"/>
        </w:rPr>
        <w:t xml:space="preserve"> </w:t>
      </w:r>
      <w:bookmarkStart w:id="4" w:name="_Hlk512355236"/>
      <w:r>
        <w:rPr>
          <w:lang w:val="fr-FR"/>
        </w:rPr>
        <w:t>« V</w:t>
      </w:r>
      <w:r w:rsidRPr="007B18F8">
        <w:rPr>
          <w:lang w:val="fr-FR"/>
        </w:rPr>
        <w:t xml:space="preserve">irus </w:t>
      </w:r>
      <w:r>
        <w:rPr>
          <w:lang w:val="fr-FR"/>
        </w:rPr>
        <w:t xml:space="preserve">de </w:t>
      </w:r>
      <w:r w:rsidRPr="007B18F8">
        <w:rPr>
          <w:lang w:val="fr-FR"/>
        </w:rPr>
        <w:t>Junin</w:t>
      </w:r>
      <w:r>
        <w:rPr>
          <w:lang w:val="fr-FR"/>
        </w:rPr>
        <w:t> »</w:t>
      </w:r>
      <w:r w:rsidRPr="007B18F8">
        <w:rPr>
          <w:lang w:val="fr-FR"/>
        </w:rPr>
        <w:t xml:space="preserve"> </w:t>
      </w:r>
      <w:bookmarkEnd w:id="4"/>
      <w:r>
        <w:rPr>
          <w:lang w:val="fr-FR"/>
        </w:rPr>
        <w:t>en « V</w:t>
      </w:r>
      <w:r w:rsidRPr="007B18F8">
        <w:rPr>
          <w:lang w:val="fr-FR"/>
        </w:rPr>
        <w:t xml:space="preserve">irus </w:t>
      </w:r>
      <w:r>
        <w:rPr>
          <w:lang w:val="fr-FR"/>
        </w:rPr>
        <w:t xml:space="preserve">de </w:t>
      </w:r>
      <w:r w:rsidRPr="007B18F8">
        <w:rPr>
          <w:lang w:val="fr-FR"/>
        </w:rPr>
        <w:t>Jun</w:t>
      </w:r>
      <w:r>
        <w:rPr>
          <w:lang w:val="fr-FR"/>
        </w:rPr>
        <w:t>í</w:t>
      </w:r>
      <w:r w:rsidRPr="007B18F8">
        <w:rPr>
          <w:lang w:val="fr-FR"/>
        </w:rPr>
        <w:t>n</w:t>
      </w:r>
      <w:r>
        <w:rPr>
          <w:lang w:val="fr-FR"/>
        </w:rPr>
        <w:t> »</w:t>
      </w:r>
      <w:r w:rsidRPr="007B18F8">
        <w:rPr>
          <w:lang w:val="fr-FR"/>
        </w:rPr>
        <w:t xml:space="preserve">, </w:t>
      </w:r>
      <w:r>
        <w:rPr>
          <w:lang w:val="fr-FR"/>
        </w:rPr>
        <w:t>et</w:t>
      </w:r>
      <w:r w:rsidRPr="00BE27C9">
        <w:t xml:space="preserve"> </w:t>
      </w:r>
      <w:bookmarkStart w:id="5" w:name="_Hlk512355360"/>
      <w:r>
        <w:rPr>
          <w:lang w:val="fr-FR"/>
        </w:rPr>
        <w:t xml:space="preserve">« Virus de </w:t>
      </w:r>
      <w:proofErr w:type="spellStart"/>
      <w:r w:rsidRPr="007B18F8">
        <w:rPr>
          <w:lang w:val="fr-FR"/>
        </w:rPr>
        <w:t>Sabia</w:t>
      </w:r>
      <w:proofErr w:type="spellEnd"/>
      <w:r>
        <w:rPr>
          <w:lang w:val="fr-FR"/>
        </w:rPr>
        <w:t> »</w:t>
      </w:r>
      <w:r w:rsidRPr="007B18F8">
        <w:rPr>
          <w:lang w:val="fr-FR"/>
        </w:rPr>
        <w:t xml:space="preserve"> </w:t>
      </w:r>
      <w:bookmarkEnd w:id="5"/>
      <w:r>
        <w:rPr>
          <w:lang w:val="fr-FR"/>
        </w:rPr>
        <w:t>en</w:t>
      </w:r>
      <w:r w:rsidRPr="007B18F8">
        <w:rPr>
          <w:lang w:val="fr-FR"/>
        </w:rPr>
        <w:t xml:space="preserve"> </w:t>
      </w:r>
      <w:r>
        <w:rPr>
          <w:lang w:val="fr-FR"/>
        </w:rPr>
        <w:t>« V</w:t>
      </w:r>
      <w:r w:rsidRPr="007B18F8">
        <w:rPr>
          <w:lang w:val="fr-FR"/>
        </w:rPr>
        <w:t>irus</w:t>
      </w:r>
      <w:r w:rsidRPr="008D0E5A">
        <w:rPr>
          <w:lang w:val="fr-FR"/>
        </w:rPr>
        <w:t xml:space="preserve"> </w:t>
      </w:r>
      <w:r>
        <w:rPr>
          <w:lang w:val="fr-FR"/>
        </w:rPr>
        <w:t xml:space="preserve">de </w:t>
      </w:r>
      <w:bookmarkStart w:id="6" w:name="_Hlk512368247"/>
      <w:proofErr w:type="spellStart"/>
      <w:r w:rsidRPr="007B18F8">
        <w:rPr>
          <w:lang w:val="fr-FR"/>
        </w:rPr>
        <w:t>Sabiá</w:t>
      </w:r>
      <w:proofErr w:type="spellEnd"/>
      <w:r>
        <w:rPr>
          <w:lang w:val="fr-FR"/>
        </w:rPr>
        <w:t> </w:t>
      </w:r>
      <w:bookmarkEnd w:id="6"/>
      <w:r>
        <w:rPr>
          <w:lang w:val="fr-FR"/>
        </w:rPr>
        <w:t>»</w:t>
      </w:r>
      <w:r w:rsidR="004419DB">
        <w:rPr>
          <w:lang w:val="fr-FR"/>
        </w:rPr>
        <w:t>.</w:t>
      </w:r>
    </w:p>
    <w:p w:rsidR="00F1574D" w:rsidRPr="007B18F8" w:rsidRDefault="00F1574D" w:rsidP="00F1574D">
      <w:pPr>
        <w:pStyle w:val="H23G"/>
        <w:ind w:left="1701" w:hanging="1701"/>
        <w:rPr>
          <w:b w:val="0"/>
          <w:bCs/>
          <w:i/>
          <w:iCs/>
          <w:lang w:val="fr-FR"/>
        </w:rPr>
      </w:pPr>
      <w:r w:rsidRPr="007B18F8">
        <w:rPr>
          <w:b w:val="0"/>
          <w:bCs/>
          <w:i/>
          <w:iCs/>
          <w:lang w:val="fr-FR"/>
        </w:rPr>
        <w:tab/>
      </w:r>
      <w:r w:rsidRPr="007B18F8">
        <w:rPr>
          <w:b w:val="0"/>
          <w:bCs/>
          <w:i/>
          <w:iCs/>
          <w:lang w:val="fr-FR"/>
        </w:rPr>
        <w:tab/>
        <w:t>Justification</w:t>
      </w:r>
    </w:p>
    <w:p w:rsidR="00F1574D" w:rsidRPr="007B18F8" w:rsidRDefault="00F1574D" w:rsidP="00626661">
      <w:pPr>
        <w:pStyle w:val="SingleTxtG"/>
        <w:ind w:left="1701"/>
        <w:rPr>
          <w:lang w:val="fr-FR"/>
        </w:rPr>
      </w:pPr>
      <w:r w:rsidRPr="008F6C4A">
        <w:rPr>
          <w:lang w:val="fr-FR"/>
        </w:rPr>
        <w:t xml:space="preserve">Le virus de Junin et le virus de </w:t>
      </w:r>
      <w:proofErr w:type="spellStart"/>
      <w:r w:rsidRPr="008F6C4A">
        <w:rPr>
          <w:lang w:val="fr-FR"/>
        </w:rPr>
        <w:t>Sabia</w:t>
      </w:r>
      <w:proofErr w:type="spellEnd"/>
      <w:r w:rsidRPr="008F6C4A">
        <w:rPr>
          <w:lang w:val="fr-FR"/>
        </w:rPr>
        <w:t xml:space="preserve"> sont endémiques </w:t>
      </w:r>
      <w:r>
        <w:rPr>
          <w:lang w:val="fr-FR"/>
        </w:rPr>
        <w:t xml:space="preserve">de </w:t>
      </w:r>
      <w:r w:rsidRPr="008F6C4A">
        <w:rPr>
          <w:lang w:val="fr-FR"/>
        </w:rPr>
        <w:t>pays hispanophones et lusophones. Ces pays utilisent l</w:t>
      </w:r>
      <w:r>
        <w:rPr>
          <w:lang w:val="fr-FR"/>
        </w:rPr>
        <w:t>’</w:t>
      </w:r>
      <w:r w:rsidRPr="008F6C4A">
        <w:rPr>
          <w:lang w:val="fr-FR"/>
        </w:rPr>
        <w:t xml:space="preserve">alphabet latin, y compris les signes diacritiques (notamment les accents). Cependant, les noms du virus de Junin et du virus de </w:t>
      </w:r>
      <w:proofErr w:type="spellStart"/>
      <w:r w:rsidRPr="008F6C4A">
        <w:rPr>
          <w:lang w:val="fr-FR"/>
        </w:rPr>
        <w:t>Sabia</w:t>
      </w:r>
      <w:proofErr w:type="spellEnd"/>
      <w:r w:rsidRPr="008F6C4A">
        <w:rPr>
          <w:lang w:val="fr-FR"/>
        </w:rPr>
        <w:t xml:space="preserve"> s</w:t>
      </w:r>
      <w:r>
        <w:rPr>
          <w:lang w:val="fr-FR"/>
        </w:rPr>
        <w:t>’</w:t>
      </w:r>
      <w:r w:rsidRPr="008F6C4A">
        <w:rPr>
          <w:lang w:val="fr-FR"/>
        </w:rPr>
        <w:t>écrivaient traditionnellement sans accent. Cela a changé en 2014, lorsque la CITV a approuvé l</w:t>
      </w:r>
      <w:r>
        <w:rPr>
          <w:lang w:val="fr-FR"/>
        </w:rPr>
        <w:t>’</w:t>
      </w:r>
      <w:r w:rsidRPr="008F6C4A">
        <w:rPr>
          <w:lang w:val="fr-FR"/>
        </w:rPr>
        <w:t>utilisation d</w:t>
      </w:r>
      <w:r>
        <w:rPr>
          <w:lang w:val="fr-FR"/>
        </w:rPr>
        <w:t>’</w:t>
      </w:r>
      <w:r w:rsidRPr="008F6C4A">
        <w:rPr>
          <w:lang w:val="fr-FR"/>
        </w:rPr>
        <w:t xml:space="preserve">accents, </w:t>
      </w:r>
      <w:r>
        <w:rPr>
          <w:lang w:val="fr-FR"/>
        </w:rPr>
        <w:t xml:space="preserve">et a </w:t>
      </w:r>
      <w:r w:rsidRPr="008F6C4A">
        <w:rPr>
          <w:lang w:val="fr-FR"/>
        </w:rPr>
        <w:t>adopt</w:t>
      </w:r>
      <w:r>
        <w:rPr>
          <w:lang w:val="fr-FR"/>
        </w:rPr>
        <w:t>é</w:t>
      </w:r>
      <w:r w:rsidRPr="008F6C4A">
        <w:rPr>
          <w:lang w:val="fr-FR"/>
        </w:rPr>
        <w:t xml:space="preserve"> les noms </w:t>
      </w:r>
      <w:r>
        <w:rPr>
          <w:lang w:val="fr-FR"/>
        </w:rPr>
        <w:t>« </w:t>
      </w:r>
      <w:r w:rsidRPr="008F6C4A">
        <w:rPr>
          <w:lang w:val="fr-FR"/>
        </w:rPr>
        <w:t>virus de Junín</w:t>
      </w:r>
      <w:r>
        <w:rPr>
          <w:lang w:val="fr-FR"/>
        </w:rPr>
        <w:t> »</w:t>
      </w:r>
      <w:r w:rsidRPr="008F6C4A">
        <w:rPr>
          <w:lang w:val="fr-FR"/>
        </w:rPr>
        <w:t xml:space="preserve"> et </w:t>
      </w:r>
      <w:r>
        <w:rPr>
          <w:lang w:val="fr-FR"/>
        </w:rPr>
        <w:t>« </w:t>
      </w:r>
      <w:r w:rsidRPr="008F6C4A">
        <w:rPr>
          <w:lang w:val="fr-FR"/>
        </w:rPr>
        <w:t xml:space="preserve">virus de </w:t>
      </w:r>
      <w:proofErr w:type="spellStart"/>
      <w:r w:rsidRPr="008F6C4A">
        <w:rPr>
          <w:lang w:val="fr-FR"/>
        </w:rPr>
        <w:t>Sabiá</w:t>
      </w:r>
      <w:proofErr w:type="spellEnd"/>
      <w:proofErr w:type="gramStart"/>
      <w:r>
        <w:rPr>
          <w:lang w:val="fr-FR"/>
        </w:rPr>
        <w:t> »</w:t>
      </w:r>
      <w:r w:rsidRPr="00C15592">
        <w:rPr>
          <w:sz w:val="18"/>
          <w:szCs w:val="18"/>
          <w:vertAlign w:val="superscript"/>
          <w:lang w:val="fr-FR"/>
        </w:rPr>
        <w:t>(</w:t>
      </w:r>
      <w:proofErr w:type="gramEnd"/>
      <w:r w:rsidRPr="00C15592">
        <w:rPr>
          <w:sz w:val="18"/>
          <w:szCs w:val="18"/>
          <w:vertAlign w:val="superscript"/>
          <w:lang w:val="fr-FR"/>
        </w:rPr>
        <w:t>7)</w:t>
      </w:r>
      <w:r w:rsidRPr="008F6C4A">
        <w:rPr>
          <w:lang w:val="fr-FR"/>
        </w:rPr>
        <w:t>. Au moment de la rédaction du présent document, l</w:t>
      </w:r>
      <w:r>
        <w:rPr>
          <w:lang w:val="fr-FR"/>
        </w:rPr>
        <w:t>’</w:t>
      </w:r>
      <w:r w:rsidRPr="008F6C4A">
        <w:rPr>
          <w:lang w:val="fr-FR"/>
        </w:rPr>
        <w:t>ajout d</w:t>
      </w:r>
      <w:r>
        <w:rPr>
          <w:lang w:val="fr-FR"/>
        </w:rPr>
        <w:t>’</w:t>
      </w:r>
      <w:r w:rsidRPr="008F6C4A">
        <w:rPr>
          <w:lang w:val="fr-FR"/>
        </w:rPr>
        <w:t>accents n</w:t>
      </w:r>
      <w:r>
        <w:rPr>
          <w:lang w:val="fr-FR"/>
        </w:rPr>
        <w:t>’</w:t>
      </w:r>
      <w:r w:rsidRPr="008F6C4A">
        <w:rPr>
          <w:lang w:val="fr-FR"/>
        </w:rPr>
        <w:t xml:space="preserve">affectait pas les possibilités de recherche. Par exemple, les recherches dans la base de données spécialisée PubMed pour les deux orthographes du virus de Junin ont donné 733 résultats, tandis que les recherches pour les deux orthographes du virus de </w:t>
      </w:r>
      <w:proofErr w:type="spellStart"/>
      <w:r w:rsidRPr="008F6C4A">
        <w:rPr>
          <w:lang w:val="fr-FR"/>
        </w:rPr>
        <w:t>Sabia</w:t>
      </w:r>
      <w:proofErr w:type="spellEnd"/>
      <w:r w:rsidRPr="008F6C4A">
        <w:rPr>
          <w:lang w:val="fr-FR"/>
        </w:rPr>
        <w:t xml:space="preserve"> ont donné 812 résultats. Ainsi, </w:t>
      </w:r>
      <w:r>
        <w:rPr>
          <w:lang w:val="fr-FR"/>
        </w:rPr>
        <w:t xml:space="preserve">par souci de rigueur </w:t>
      </w:r>
      <w:r w:rsidRPr="008F6C4A">
        <w:rPr>
          <w:lang w:val="fr-FR"/>
        </w:rPr>
        <w:t>scientifique, il est proposé d</w:t>
      </w:r>
      <w:r>
        <w:rPr>
          <w:lang w:val="fr-FR"/>
        </w:rPr>
        <w:t>’</w:t>
      </w:r>
      <w:r w:rsidRPr="008F6C4A">
        <w:rPr>
          <w:lang w:val="fr-FR"/>
        </w:rPr>
        <w:t>adopter les graph</w:t>
      </w:r>
      <w:r>
        <w:rPr>
          <w:lang w:val="fr-FR"/>
        </w:rPr>
        <w:t>i</w:t>
      </w:r>
      <w:r w:rsidRPr="008F6C4A">
        <w:rPr>
          <w:lang w:val="fr-FR"/>
        </w:rPr>
        <w:t xml:space="preserve">es </w:t>
      </w:r>
      <w:r>
        <w:rPr>
          <w:lang w:val="fr-FR"/>
        </w:rPr>
        <w:t>« </w:t>
      </w:r>
      <w:r w:rsidRPr="008F6C4A">
        <w:rPr>
          <w:lang w:val="fr-FR"/>
        </w:rPr>
        <w:t>virus de Junín</w:t>
      </w:r>
      <w:r>
        <w:rPr>
          <w:lang w:val="fr-FR"/>
        </w:rPr>
        <w:t> »</w:t>
      </w:r>
      <w:r w:rsidRPr="008F6C4A">
        <w:rPr>
          <w:lang w:val="fr-FR"/>
        </w:rPr>
        <w:t xml:space="preserve"> et </w:t>
      </w:r>
      <w:r>
        <w:rPr>
          <w:lang w:val="fr-FR"/>
        </w:rPr>
        <w:t>« </w:t>
      </w:r>
      <w:r w:rsidRPr="008F6C4A">
        <w:rPr>
          <w:lang w:val="fr-FR"/>
        </w:rPr>
        <w:t xml:space="preserve">virus de </w:t>
      </w:r>
      <w:proofErr w:type="spellStart"/>
      <w:r w:rsidRPr="007B18F8">
        <w:rPr>
          <w:lang w:val="fr-FR"/>
        </w:rPr>
        <w:t>Sabiá</w:t>
      </w:r>
      <w:proofErr w:type="spellEnd"/>
      <w:r>
        <w:rPr>
          <w:lang w:val="fr-FR"/>
        </w:rPr>
        <w:t> ».</w:t>
      </w:r>
    </w:p>
    <w:p w:rsidR="00F1574D" w:rsidRPr="007B18F8" w:rsidRDefault="00F1574D" w:rsidP="00F1574D">
      <w:pPr>
        <w:spacing w:after="120"/>
        <w:ind w:left="1140" w:right="1140"/>
        <w:jc w:val="both"/>
        <w:rPr>
          <w:lang w:val="fr-FR"/>
        </w:rPr>
      </w:pPr>
      <w:r w:rsidRPr="007B18F8">
        <w:rPr>
          <w:lang w:val="fr-FR"/>
        </w:rPr>
        <w:t>10.</w:t>
      </w:r>
      <w:r w:rsidRPr="007B18F8">
        <w:rPr>
          <w:lang w:val="fr-FR"/>
        </w:rPr>
        <w:tab/>
      </w:r>
      <w:r w:rsidRPr="00E902F5">
        <w:rPr>
          <w:lang w:val="fr-FR"/>
        </w:rPr>
        <w:t xml:space="preserve">À </w:t>
      </w:r>
      <w:r w:rsidRPr="009C2DF9">
        <w:rPr>
          <w:lang w:val="fr-FR"/>
        </w:rPr>
        <w:t xml:space="preserve">la </w:t>
      </w:r>
      <w:r w:rsidRPr="00440025">
        <w:rPr>
          <w:lang w:val="fr-FR"/>
        </w:rPr>
        <w:t xml:space="preserve">rubrique </w:t>
      </w:r>
      <w:r>
        <w:rPr>
          <w:lang w:val="fr-FR"/>
        </w:rPr>
        <w:t>« </w:t>
      </w:r>
      <w:r w:rsidRPr="009C2DF9">
        <w:rPr>
          <w:lang w:val="fr-FR"/>
        </w:rPr>
        <w:t>N</w:t>
      </w:r>
      <w:r w:rsidRPr="008D0E5A">
        <w:rPr>
          <w:vertAlign w:val="superscript"/>
          <w:lang w:val="fr-FR"/>
        </w:rPr>
        <w:t>o</w:t>
      </w:r>
      <w:r w:rsidR="00C15592">
        <w:rPr>
          <w:lang w:val="fr-FR"/>
        </w:rPr>
        <w:t> </w:t>
      </w:r>
      <w:r w:rsidRPr="009C2DF9">
        <w:rPr>
          <w:lang w:val="fr-FR"/>
        </w:rPr>
        <w:t>ONU 2814 Matière infectieuse pour l</w:t>
      </w:r>
      <w:r>
        <w:rPr>
          <w:lang w:val="fr-FR"/>
        </w:rPr>
        <w:t>’</w:t>
      </w:r>
      <w:r w:rsidRPr="009C2DF9">
        <w:rPr>
          <w:lang w:val="fr-FR"/>
        </w:rPr>
        <w:t>homme</w:t>
      </w:r>
      <w:r>
        <w:rPr>
          <w:lang w:val="fr-FR"/>
        </w:rPr>
        <w:t> </w:t>
      </w:r>
      <w:r w:rsidRPr="009C2DF9">
        <w:rPr>
          <w:lang w:val="fr-FR"/>
        </w:rPr>
        <w:t>»</w:t>
      </w:r>
      <w:r>
        <w:rPr>
          <w:lang w:val="fr-FR"/>
        </w:rPr>
        <w:t xml:space="preserve">, </w:t>
      </w:r>
      <w:r w:rsidRPr="00E902F5">
        <w:rPr>
          <w:b/>
          <w:bCs/>
          <w:lang w:val="fr-FR"/>
        </w:rPr>
        <w:t>s</w:t>
      </w:r>
      <w:r>
        <w:rPr>
          <w:b/>
          <w:bCs/>
          <w:lang w:val="fr-FR"/>
        </w:rPr>
        <w:t>upprimer</w:t>
      </w:r>
      <w:r w:rsidRPr="007B18F8">
        <w:rPr>
          <w:lang w:val="fr-FR"/>
        </w:rPr>
        <w:t xml:space="preserve"> </w:t>
      </w:r>
      <w:r>
        <w:rPr>
          <w:lang w:val="fr-FR"/>
        </w:rPr>
        <w:t>la rubrique « </w:t>
      </w:r>
      <w:r w:rsidRPr="00E7583C">
        <w:rPr>
          <w:lang w:val="fr-FR"/>
        </w:rPr>
        <w:t>Virus de l</w:t>
      </w:r>
      <w:r>
        <w:rPr>
          <w:lang w:val="fr-FR"/>
        </w:rPr>
        <w:t>’</w:t>
      </w:r>
      <w:r w:rsidRPr="00E7583C">
        <w:rPr>
          <w:lang w:val="fr-FR"/>
        </w:rPr>
        <w:t xml:space="preserve">encéphalite </w:t>
      </w:r>
      <w:proofErr w:type="spellStart"/>
      <w:r w:rsidRPr="00E7583C">
        <w:rPr>
          <w:lang w:val="fr-FR"/>
        </w:rPr>
        <w:t>vernoestivale</w:t>
      </w:r>
      <w:proofErr w:type="spellEnd"/>
      <w:r w:rsidRPr="00E7583C">
        <w:rPr>
          <w:lang w:val="fr-FR"/>
        </w:rPr>
        <w:t xml:space="preserve"> russe (cultures seulement)</w:t>
      </w:r>
      <w:r>
        <w:rPr>
          <w:lang w:val="fr-FR"/>
        </w:rPr>
        <w:t> »</w:t>
      </w:r>
      <w:r w:rsidR="00C15592">
        <w:rPr>
          <w:lang w:val="fr-FR"/>
        </w:rPr>
        <w:t>.</w:t>
      </w:r>
    </w:p>
    <w:p w:rsidR="00F1574D" w:rsidRPr="007B18F8" w:rsidRDefault="00F1574D" w:rsidP="00F1574D">
      <w:pPr>
        <w:pStyle w:val="H23G"/>
        <w:ind w:left="1701" w:hanging="1701"/>
        <w:rPr>
          <w:b w:val="0"/>
          <w:bCs/>
          <w:i/>
          <w:iCs/>
          <w:lang w:val="fr-FR"/>
        </w:rPr>
      </w:pPr>
      <w:r w:rsidRPr="007B18F8">
        <w:rPr>
          <w:b w:val="0"/>
          <w:bCs/>
          <w:i/>
          <w:iCs/>
          <w:lang w:val="fr-FR"/>
        </w:rPr>
        <w:tab/>
      </w:r>
      <w:r w:rsidRPr="007B18F8">
        <w:rPr>
          <w:b w:val="0"/>
          <w:bCs/>
          <w:i/>
          <w:iCs/>
          <w:lang w:val="fr-FR"/>
        </w:rPr>
        <w:tab/>
        <w:t>Justification</w:t>
      </w:r>
    </w:p>
    <w:p w:rsidR="00F1574D" w:rsidRPr="007B18F8" w:rsidRDefault="00F1574D" w:rsidP="00C15592">
      <w:pPr>
        <w:pStyle w:val="SingleTxtG"/>
        <w:ind w:left="1701"/>
        <w:rPr>
          <w:lang w:val="fr-FR"/>
        </w:rPr>
      </w:pPr>
      <w:r w:rsidRPr="00C57582">
        <w:rPr>
          <w:lang w:val="fr-FR"/>
        </w:rPr>
        <w:t>Le virus de l</w:t>
      </w:r>
      <w:r>
        <w:rPr>
          <w:lang w:val="fr-FR"/>
        </w:rPr>
        <w:t>’</w:t>
      </w:r>
      <w:r w:rsidRPr="00C57582">
        <w:rPr>
          <w:lang w:val="fr-FR"/>
        </w:rPr>
        <w:t>encéphalite à tiques et le virus de l</w:t>
      </w:r>
      <w:r>
        <w:rPr>
          <w:lang w:val="fr-FR"/>
        </w:rPr>
        <w:t>’</w:t>
      </w:r>
      <w:r w:rsidRPr="00C57582">
        <w:rPr>
          <w:lang w:val="fr-FR"/>
        </w:rPr>
        <w:t xml:space="preserve">encéphalite </w:t>
      </w:r>
      <w:proofErr w:type="spellStart"/>
      <w:r w:rsidRPr="00C57582">
        <w:rPr>
          <w:lang w:val="fr-FR"/>
        </w:rPr>
        <w:t>vernoestivale</w:t>
      </w:r>
      <w:proofErr w:type="spellEnd"/>
      <w:r w:rsidRPr="00C57582">
        <w:rPr>
          <w:lang w:val="fr-FR"/>
        </w:rPr>
        <w:t xml:space="preserve"> russe sont tous deux mentionnés dans le tableau des exemples indicatifs, ce qui suggère qu</w:t>
      </w:r>
      <w:r>
        <w:rPr>
          <w:lang w:val="fr-FR"/>
        </w:rPr>
        <w:t>’</w:t>
      </w:r>
      <w:r w:rsidRPr="00C57582">
        <w:rPr>
          <w:lang w:val="fr-FR"/>
        </w:rPr>
        <w:t>il s</w:t>
      </w:r>
      <w:r>
        <w:rPr>
          <w:lang w:val="fr-FR"/>
        </w:rPr>
        <w:t>’</w:t>
      </w:r>
      <w:r w:rsidRPr="00C57582">
        <w:rPr>
          <w:lang w:val="fr-FR"/>
        </w:rPr>
        <w:t xml:space="preserve">agit de deux virus différents. Cependant, dans la communauté scientifique, le nom de </w:t>
      </w:r>
      <w:r>
        <w:rPr>
          <w:lang w:val="fr-FR"/>
        </w:rPr>
        <w:t>« </w:t>
      </w:r>
      <w:r w:rsidRPr="00C57582">
        <w:rPr>
          <w:lang w:val="fr-FR"/>
        </w:rPr>
        <w:t>virus de l</w:t>
      </w:r>
      <w:r>
        <w:rPr>
          <w:lang w:val="fr-FR"/>
        </w:rPr>
        <w:t>’</w:t>
      </w:r>
      <w:r w:rsidRPr="00C57582">
        <w:rPr>
          <w:lang w:val="fr-FR"/>
        </w:rPr>
        <w:t>encéphalite à tiques</w:t>
      </w:r>
      <w:r>
        <w:rPr>
          <w:lang w:val="fr-FR"/>
        </w:rPr>
        <w:t> »</w:t>
      </w:r>
      <w:r w:rsidRPr="00C57582">
        <w:rPr>
          <w:lang w:val="fr-FR"/>
        </w:rPr>
        <w:t xml:space="preserve"> est largement utilisé à la place de </w:t>
      </w:r>
      <w:r>
        <w:rPr>
          <w:lang w:val="fr-FR"/>
        </w:rPr>
        <w:t>« </w:t>
      </w:r>
      <w:r w:rsidRPr="00C57582">
        <w:rPr>
          <w:lang w:val="fr-FR"/>
        </w:rPr>
        <w:t>virus de l</w:t>
      </w:r>
      <w:r>
        <w:rPr>
          <w:lang w:val="fr-FR"/>
        </w:rPr>
        <w:t>’</w:t>
      </w:r>
      <w:r w:rsidRPr="00C57582">
        <w:rPr>
          <w:lang w:val="fr-FR"/>
        </w:rPr>
        <w:t xml:space="preserve">encéphalite à tiques </w:t>
      </w:r>
      <w:proofErr w:type="spellStart"/>
      <w:r w:rsidRPr="00C57582">
        <w:rPr>
          <w:lang w:val="fr-FR"/>
        </w:rPr>
        <w:t>vernoestivale</w:t>
      </w:r>
      <w:proofErr w:type="spellEnd"/>
      <w:r w:rsidRPr="00C57582">
        <w:rPr>
          <w:lang w:val="fr-FR"/>
        </w:rPr>
        <w:t xml:space="preserve"> russe</w:t>
      </w:r>
      <w:r>
        <w:rPr>
          <w:lang w:val="fr-FR"/>
        </w:rPr>
        <w:t> »</w:t>
      </w:r>
      <w:r w:rsidRPr="00C57582">
        <w:rPr>
          <w:lang w:val="fr-FR"/>
        </w:rPr>
        <w:t>. La mention des deux noms dans le tableau des exemples indicatifs est redondante et donc inutile</w:t>
      </w:r>
      <w:r w:rsidRPr="007B18F8">
        <w:rPr>
          <w:lang w:val="fr-FR"/>
        </w:rPr>
        <w:t>.</w:t>
      </w:r>
    </w:p>
    <w:p w:rsidR="00F1574D" w:rsidRPr="007B18F8" w:rsidRDefault="00F1574D" w:rsidP="00F1574D">
      <w:pPr>
        <w:pStyle w:val="SingleTxtG"/>
        <w:rPr>
          <w:i/>
          <w:lang w:val="fr-FR"/>
        </w:rPr>
      </w:pPr>
      <w:r w:rsidRPr="007B18F8">
        <w:rPr>
          <w:lang w:val="fr-FR"/>
        </w:rPr>
        <w:t>11.</w:t>
      </w:r>
      <w:r w:rsidRPr="007B18F8">
        <w:rPr>
          <w:lang w:val="fr-FR"/>
        </w:rPr>
        <w:tab/>
      </w:r>
      <w:r w:rsidRPr="00E902F5">
        <w:rPr>
          <w:lang w:val="fr-FR"/>
        </w:rPr>
        <w:t xml:space="preserve">À </w:t>
      </w:r>
      <w:r w:rsidRPr="009C2DF9">
        <w:rPr>
          <w:lang w:val="fr-FR"/>
        </w:rPr>
        <w:t xml:space="preserve">la </w:t>
      </w:r>
      <w:r w:rsidRPr="00440025">
        <w:rPr>
          <w:lang w:val="fr-FR"/>
        </w:rPr>
        <w:t xml:space="preserve">rubrique </w:t>
      </w:r>
      <w:r>
        <w:rPr>
          <w:lang w:val="fr-FR"/>
        </w:rPr>
        <w:t>« </w:t>
      </w:r>
      <w:r w:rsidRPr="009C2DF9">
        <w:rPr>
          <w:lang w:val="fr-FR"/>
        </w:rPr>
        <w:t>N</w:t>
      </w:r>
      <w:r w:rsidRPr="008D0E5A">
        <w:rPr>
          <w:vertAlign w:val="superscript"/>
          <w:lang w:val="fr-FR"/>
        </w:rPr>
        <w:t>o</w:t>
      </w:r>
      <w:r w:rsidRPr="009C2DF9">
        <w:rPr>
          <w:lang w:val="fr-FR"/>
        </w:rPr>
        <w:t xml:space="preserve"> ONU 2814 Matière infectieuse pour l</w:t>
      </w:r>
      <w:r>
        <w:rPr>
          <w:lang w:val="fr-FR"/>
        </w:rPr>
        <w:t>’</w:t>
      </w:r>
      <w:r w:rsidRPr="009C2DF9">
        <w:rPr>
          <w:lang w:val="fr-FR"/>
        </w:rPr>
        <w:t>homme</w:t>
      </w:r>
      <w:r>
        <w:rPr>
          <w:lang w:val="fr-FR"/>
        </w:rPr>
        <w:t> </w:t>
      </w:r>
      <w:r w:rsidRPr="009C2DF9">
        <w:rPr>
          <w:lang w:val="fr-FR"/>
        </w:rPr>
        <w:t>»</w:t>
      </w:r>
      <w:r>
        <w:rPr>
          <w:lang w:val="fr-FR"/>
        </w:rPr>
        <w:t xml:space="preserve">, </w:t>
      </w:r>
      <w:r w:rsidRPr="00E902F5">
        <w:rPr>
          <w:b/>
          <w:lang w:val="fr-FR"/>
        </w:rPr>
        <w:t>a</w:t>
      </w:r>
      <w:r>
        <w:rPr>
          <w:b/>
          <w:bCs/>
          <w:lang w:val="fr-FR"/>
        </w:rPr>
        <w:t>jouter</w:t>
      </w:r>
      <w:r w:rsidRPr="007B18F8">
        <w:rPr>
          <w:lang w:val="fr-FR"/>
        </w:rPr>
        <w:t xml:space="preserve"> </w:t>
      </w:r>
      <w:r>
        <w:rPr>
          <w:lang w:val="fr-FR"/>
        </w:rPr>
        <w:t>« </w:t>
      </w:r>
      <w:bookmarkStart w:id="7" w:name="_Hlk512357370"/>
      <w:r>
        <w:rPr>
          <w:lang w:val="fr-FR"/>
        </w:rPr>
        <w:t>(</w:t>
      </w:r>
      <w:r w:rsidRPr="007B18F8">
        <w:rPr>
          <w:lang w:val="fr-FR"/>
        </w:rPr>
        <w:t>virus</w:t>
      </w:r>
      <w:r w:rsidRPr="004314EB">
        <w:rPr>
          <w:lang w:val="fr-FR"/>
        </w:rPr>
        <w:t xml:space="preserve"> </w:t>
      </w:r>
      <w:r>
        <w:rPr>
          <w:lang w:val="fr-FR"/>
        </w:rPr>
        <w:t>de la petite vérole)</w:t>
      </w:r>
      <w:bookmarkEnd w:id="7"/>
      <w:r>
        <w:rPr>
          <w:lang w:val="fr-FR"/>
        </w:rPr>
        <w:t> »</w:t>
      </w:r>
      <w:r w:rsidRPr="007B18F8">
        <w:rPr>
          <w:lang w:val="fr-FR"/>
        </w:rPr>
        <w:t xml:space="preserve"> </w:t>
      </w:r>
      <w:r>
        <w:rPr>
          <w:lang w:val="fr-FR"/>
        </w:rPr>
        <w:t>entre</w:t>
      </w:r>
      <w:r w:rsidRPr="007B18F8">
        <w:rPr>
          <w:lang w:val="fr-FR"/>
        </w:rPr>
        <w:t xml:space="preserve"> parenth</w:t>
      </w:r>
      <w:r>
        <w:rPr>
          <w:lang w:val="fr-FR"/>
        </w:rPr>
        <w:t>è</w:t>
      </w:r>
      <w:r w:rsidRPr="007B18F8">
        <w:rPr>
          <w:lang w:val="fr-FR"/>
        </w:rPr>
        <w:t xml:space="preserve">ses </w:t>
      </w:r>
      <w:r>
        <w:rPr>
          <w:lang w:val="fr-FR"/>
        </w:rPr>
        <w:t>après</w:t>
      </w:r>
      <w:r w:rsidRPr="007B18F8">
        <w:rPr>
          <w:lang w:val="fr-FR"/>
        </w:rPr>
        <w:t xml:space="preserve"> </w:t>
      </w:r>
      <w:bookmarkStart w:id="8" w:name="_Hlk512357351"/>
      <w:r>
        <w:rPr>
          <w:lang w:val="fr-FR"/>
        </w:rPr>
        <w:t>« V</w:t>
      </w:r>
      <w:r w:rsidRPr="007B18F8">
        <w:rPr>
          <w:lang w:val="fr-FR"/>
        </w:rPr>
        <w:t xml:space="preserve">irus </w:t>
      </w:r>
      <w:r>
        <w:rPr>
          <w:lang w:val="fr-FR"/>
        </w:rPr>
        <w:t>de la v</w:t>
      </w:r>
      <w:r w:rsidRPr="007B18F8">
        <w:rPr>
          <w:lang w:val="fr-FR"/>
        </w:rPr>
        <w:t>ariol</w:t>
      </w:r>
      <w:r>
        <w:rPr>
          <w:lang w:val="fr-FR"/>
        </w:rPr>
        <w:t>e »</w:t>
      </w:r>
      <w:bookmarkEnd w:id="8"/>
      <w:r w:rsidRPr="007B18F8">
        <w:rPr>
          <w:lang w:val="fr-FR"/>
        </w:rPr>
        <w:t xml:space="preserve">, </w:t>
      </w:r>
      <w:r>
        <w:rPr>
          <w:lang w:val="fr-FR"/>
        </w:rPr>
        <w:t>comme suit</w:t>
      </w:r>
      <w:r w:rsidR="004269E7">
        <w:rPr>
          <w:lang w:val="fr-FR"/>
        </w:rPr>
        <w:t> </w:t>
      </w:r>
      <w:r w:rsidRPr="007B18F8">
        <w:rPr>
          <w:lang w:val="fr-FR"/>
        </w:rPr>
        <w:t xml:space="preserve">: </w:t>
      </w:r>
      <w:r>
        <w:rPr>
          <w:lang w:val="fr-FR"/>
        </w:rPr>
        <w:t>« V</w:t>
      </w:r>
      <w:r w:rsidRPr="007B18F8">
        <w:rPr>
          <w:lang w:val="fr-FR"/>
        </w:rPr>
        <w:t xml:space="preserve">irus </w:t>
      </w:r>
      <w:r>
        <w:rPr>
          <w:lang w:val="fr-FR"/>
        </w:rPr>
        <w:t>de la v</w:t>
      </w:r>
      <w:r w:rsidRPr="007B18F8">
        <w:rPr>
          <w:lang w:val="fr-FR"/>
        </w:rPr>
        <w:t>ariol</w:t>
      </w:r>
      <w:r>
        <w:rPr>
          <w:lang w:val="fr-FR"/>
        </w:rPr>
        <w:t>e (</w:t>
      </w:r>
      <w:r w:rsidRPr="007B18F8">
        <w:rPr>
          <w:lang w:val="fr-FR"/>
        </w:rPr>
        <w:t>virus</w:t>
      </w:r>
      <w:r w:rsidRPr="004314EB">
        <w:rPr>
          <w:lang w:val="fr-FR"/>
        </w:rPr>
        <w:t xml:space="preserve"> </w:t>
      </w:r>
      <w:r w:rsidR="004269E7">
        <w:rPr>
          <w:lang w:val="fr-FR"/>
        </w:rPr>
        <w:t>de la petite vérole) ».</w:t>
      </w:r>
    </w:p>
    <w:p w:rsidR="00F1574D" w:rsidRPr="007B18F8" w:rsidRDefault="00F1574D" w:rsidP="00F1574D">
      <w:pPr>
        <w:pStyle w:val="H23G"/>
        <w:ind w:left="1701" w:hanging="1701"/>
        <w:rPr>
          <w:b w:val="0"/>
          <w:bCs/>
          <w:i/>
          <w:iCs/>
          <w:lang w:val="fr-FR"/>
        </w:rPr>
      </w:pPr>
      <w:r w:rsidRPr="007B18F8">
        <w:rPr>
          <w:b w:val="0"/>
          <w:bCs/>
          <w:i/>
          <w:iCs/>
          <w:lang w:val="fr-FR"/>
        </w:rPr>
        <w:tab/>
      </w:r>
      <w:r w:rsidRPr="007B18F8">
        <w:rPr>
          <w:b w:val="0"/>
          <w:bCs/>
          <w:i/>
          <w:iCs/>
          <w:lang w:val="fr-FR"/>
        </w:rPr>
        <w:tab/>
        <w:t>Justification</w:t>
      </w:r>
    </w:p>
    <w:p w:rsidR="00F1574D" w:rsidRPr="007B18F8" w:rsidRDefault="00F1574D" w:rsidP="00C15592">
      <w:pPr>
        <w:pStyle w:val="SingleTxtG"/>
        <w:ind w:left="1701"/>
        <w:rPr>
          <w:i/>
          <w:lang w:val="fr-FR"/>
        </w:rPr>
      </w:pPr>
      <w:r w:rsidRPr="00B172FD">
        <w:rPr>
          <w:lang w:val="fr-FR"/>
        </w:rPr>
        <w:t>Le virus de la variole (</w:t>
      </w:r>
      <w:r>
        <w:rPr>
          <w:lang w:val="fr-FR"/>
        </w:rPr>
        <w:t xml:space="preserve">en </w:t>
      </w:r>
      <w:r w:rsidRPr="00B172FD">
        <w:rPr>
          <w:lang w:val="fr-FR"/>
        </w:rPr>
        <w:t xml:space="preserve">anglais </w:t>
      </w:r>
      <w:proofErr w:type="spellStart"/>
      <w:r w:rsidRPr="00B172FD">
        <w:rPr>
          <w:i/>
          <w:lang w:val="fr-FR"/>
        </w:rPr>
        <w:t>variola</w:t>
      </w:r>
      <w:proofErr w:type="spellEnd"/>
      <w:r w:rsidRPr="00B172FD">
        <w:rPr>
          <w:lang w:val="fr-FR"/>
        </w:rPr>
        <w:t xml:space="preserve">), également connu sous le nom de </w:t>
      </w:r>
      <w:r>
        <w:rPr>
          <w:lang w:val="fr-FR"/>
        </w:rPr>
        <w:t>« </w:t>
      </w:r>
      <w:r w:rsidRPr="00B172FD">
        <w:rPr>
          <w:lang w:val="fr-FR"/>
        </w:rPr>
        <w:t>virus de la petite vérole</w:t>
      </w:r>
      <w:r>
        <w:rPr>
          <w:lang w:val="fr-FR"/>
        </w:rPr>
        <w:t> »</w:t>
      </w:r>
      <w:r w:rsidRPr="00B172FD">
        <w:rPr>
          <w:lang w:val="fr-FR"/>
        </w:rPr>
        <w:t xml:space="preserve"> (en anglais </w:t>
      </w:r>
      <w:proofErr w:type="spellStart"/>
      <w:r w:rsidRPr="00B172FD">
        <w:rPr>
          <w:i/>
          <w:lang w:val="fr-FR"/>
        </w:rPr>
        <w:t>smallpox</w:t>
      </w:r>
      <w:proofErr w:type="spellEnd"/>
      <w:r w:rsidRPr="00B172FD">
        <w:rPr>
          <w:lang w:val="fr-FR"/>
        </w:rPr>
        <w:t>), est responsable de la variole. En raison de l</w:t>
      </w:r>
      <w:r>
        <w:rPr>
          <w:lang w:val="fr-FR"/>
        </w:rPr>
        <w:t>’</w:t>
      </w:r>
      <w:r w:rsidRPr="00B172FD">
        <w:rPr>
          <w:lang w:val="fr-FR"/>
        </w:rPr>
        <w:t>usage répandu de l</w:t>
      </w:r>
      <w:r>
        <w:rPr>
          <w:lang w:val="fr-FR"/>
        </w:rPr>
        <w:t>’</w:t>
      </w:r>
      <w:r w:rsidRPr="00B172FD">
        <w:rPr>
          <w:lang w:val="fr-FR"/>
        </w:rPr>
        <w:t xml:space="preserve">expression </w:t>
      </w:r>
      <w:r>
        <w:rPr>
          <w:lang w:val="fr-FR"/>
        </w:rPr>
        <w:t>« </w:t>
      </w:r>
      <w:r w:rsidRPr="00B172FD">
        <w:rPr>
          <w:lang w:val="fr-FR"/>
        </w:rPr>
        <w:t>petite vérole</w:t>
      </w:r>
      <w:r>
        <w:rPr>
          <w:lang w:val="fr-FR"/>
        </w:rPr>
        <w:t> »</w:t>
      </w:r>
      <w:r w:rsidRPr="00B172FD">
        <w:rPr>
          <w:lang w:val="fr-FR"/>
        </w:rPr>
        <w:t xml:space="preserve"> et pour faciliter la classification du virus de la variole aux fins d</w:t>
      </w:r>
      <w:r>
        <w:rPr>
          <w:lang w:val="fr-FR"/>
        </w:rPr>
        <w:t>u</w:t>
      </w:r>
      <w:r w:rsidRPr="00B172FD">
        <w:rPr>
          <w:lang w:val="fr-FR"/>
        </w:rPr>
        <w:t xml:space="preserve"> transport, il est recommandé d</w:t>
      </w:r>
      <w:r>
        <w:rPr>
          <w:lang w:val="fr-FR"/>
        </w:rPr>
        <w:t>’</w:t>
      </w:r>
      <w:r w:rsidRPr="00B172FD">
        <w:rPr>
          <w:lang w:val="fr-FR"/>
        </w:rPr>
        <w:t>introduire l</w:t>
      </w:r>
      <w:r>
        <w:rPr>
          <w:lang w:val="fr-FR"/>
        </w:rPr>
        <w:t>’</w:t>
      </w:r>
      <w:r w:rsidRPr="00B172FD">
        <w:rPr>
          <w:lang w:val="fr-FR"/>
        </w:rPr>
        <w:t xml:space="preserve">expression </w:t>
      </w:r>
      <w:r>
        <w:rPr>
          <w:lang w:val="fr-FR"/>
        </w:rPr>
        <w:t>« </w:t>
      </w:r>
      <w:r w:rsidRPr="00B172FD">
        <w:rPr>
          <w:lang w:val="fr-FR"/>
        </w:rPr>
        <w:t>virus de la petite vérole</w:t>
      </w:r>
      <w:r>
        <w:rPr>
          <w:lang w:val="fr-FR"/>
        </w:rPr>
        <w:t> »</w:t>
      </w:r>
      <w:r w:rsidRPr="00B172FD">
        <w:rPr>
          <w:lang w:val="fr-FR"/>
        </w:rPr>
        <w:t xml:space="preserve"> dans le tableau des exemples indicatifs. Au moment de la rédaction du présent document, l</w:t>
      </w:r>
      <w:r>
        <w:rPr>
          <w:lang w:val="fr-FR"/>
        </w:rPr>
        <w:t>’</w:t>
      </w:r>
      <w:r w:rsidRPr="00B172FD">
        <w:rPr>
          <w:lang w:val="fr-FR"/>
        </w:rPr>
        <w:t xml:space="preserve">ajout de </w:t>
      </w:r>
      <w:r>
        <w:rPr>
          <w:lang w:val="fr-FR"/>
        </w:rPr>
        <w:t>« </w:t>
      </w:r>
      <w:proofErr w:type="spellStart"/>
      <w:r w:rsidRPr="005F0D61">
        <w:rPr>
          <w:i/>
          <w:lang w:val="fr-FR"/>
        </w:rPr>
        <w:t>smallpox</w:t>
      </w:r>
      <w:proofErr w:type="spellEnd"/>
      <w:r w:rsidRPr="005F0D61">
        <w:rPr>
          <w:i/>
          <w:lang w:val="fr-FR"/>
        </w:rPr>
        <w:t xml:space="preserve"> virus </w:t>
      </w:r>
      <w:r>
        <w:rPr>
          <w:lang w:val="fr-FR"/>
        </w:rPr>
        <w:t>»</w:t>
      </w:r>
      <w:r w:rsidRPr="00B172FD">
        <w:rPr>
          <w:lang w:val="fr-FR"/>
        </w:rPr>
        <w:t xml:space="preserve"> à la liste a amélioré la facilité de recherche. Par exemple, une recherche sur </w:t>
      </w:r>
      <w:r>
        <w:rPr>
          <w:lang w:val="fr-FR"/>
        </w:rPr>
        <w:t>« </w:t>
      </w:r>
      <w:proofErr w:type="spellStart"/>
      <w:r w:rsidRPr="005F0D61">
        <w:rPr>
          <w:i/>
          <w:lang w:val="fr-FR"/>
        </w:rPr>
        <w:t>variola</w:t>
      </w:r>
      <w:proofErr w:type="spellEnd"/>
      <w:r w:rsidRPr="005F0D61">
        <w:rPr>
          <w:i/>
          <w:lang w:val="fr-FR"/>
        </w:rPr>
        <w:t xml:space="preserve"> virus</w:t>
      </w:r>
      <w:r>
        <w:rPr>
          <w:lang w:val="fr-FR"/>
        </w:rPr>
        <w:t> »</w:t>
      </w:r>
      <w:r w:rsidRPr="00B172FD">
        <w:rPr>
          <w:lang w:val="fr-FR"/>
        </w:rPr>
        <w:t xml:space="preserve"> dans</w:t>
      </w:r>
      <w:r w:rsidR="004269E7">
        <w:rPr>
          <w:lang w:val="fr-FR"/>
        </w:rPr>
        <w:t> </w:t>
      </w:r>
      <w:r w:rsidRPr="00B172FD">
        <w:rPr>
          <w:lang w:val="fr-FR"/>
        </w:rPr>
        <w:t>PubMed a donné 2</w:t>
      </w:r>
      <w:r>
        <w:rPr>
          <w:lang w:val="fr-FR"/>
        </w:rPr>
        <w:t> </w:t>
      </w:r>
      <w:r w:rsidRPr="00B172FD">
        <w:rPr>
          <w:lang w:val="fr-FR"/>
        </w:rPr>
        <w:t xml:space="preserve">437 résultats, tandis que </w:t>
      </w:r>
      <w:r>
        <w:rPr>
          <w:lang w:val="fr-FR"/>
        </w:rPr>
        <w:t>« </w:t>
      </w:r>
      <w:proofErr w:type="spellStart"/>
      <w:r w:rsidRPr="005F0D61">
        <w:rPr>
          <w:i/>
          <w:lang w:val="fr-FR"/>
        </w:rPr>
        <w:t>smallpox</w:t>
      </w:r>
      <w:proofErr w:type="spellEnd"/>
      <w:r w:rsidRPr="005F0D61">
        <w:rPr>
          <w:i/>
          <w:lang w:val="fr-FR"/>
        </w:rPr>
        <w:t xml:space="preserve"> virus</w:t>
      </w:r>
      <w:r>
        <w:rPr>
          <w:lang w:val="fr-FR"/>
        </w:rPr>
        <w:t> »</w:t>
      </w:r>
      <w:r w:rsidRPr="00B172FD">
        <w:rPr>
          <w:lang w:val="fr-FR"/>
        </w:rPr>
        <w:t xml:space="preserve"> a donné 4</w:t>
      </w:r>
      <w:r w:rsidR="004269E7">
        <w:rPr>
          <w:lang w:val="fr-FR"/>
        </w:rPr>
        <w:t> </w:t>
      </w:r>
      <w:r w:rsidRPr="00B172FD">
        <w:rPr>
          <w:lang w:val="fr-FR"/>
        </w:rPr>
        <w:t>076</w:t>
      </w:r>
      <w:r w:rsidR="004269E7">
        <w:rPr>
          <w:lang w:val="fr-FR"/>
        </w:rPr>
        <w:t> </w:t>
      </w:r>
      <w:r w:rsidRPr="00B172FD">
        <w:rPr>
          <w:lang w:val="fr-FR"/>
        </w:rPr>
        <w:t>résultats</w:t>
      </w:r>
      <w:r>
        <w:rPr>
          <w:lang w:val="fr-FR"/>
        </w:rPr>
        <w:t>.</w:t>
      </w:r>
    </w:p>
    <w:p w:rsidR="00F1574D" w:rsidRPr="007B18F8" w:rsidRDefault="00F1574D" w:rsidP="004269E7">
      <w:pPr>
        <w:pStyle w:val="SingleTxtG"/>
        <w:rPr>
          <w:lang w:val="fr-FR"/>
        </w:rPr>
      </w:pPr>
      <w:r w:rsidRPr="007B18F8">
        <w:rPr>
          <w:lang w:val="fr-FR"/>
        </w:rPr>
        <w:t>12.</w:t>
      </w:r>
      <w:r w:rsidRPr="007B18F8">
        <w:rPr>
          <w:lang w:val="fr-FR"/>
        </w:rPr>
        <w:tab/>
      </w:r>
      <w:bookmarkStart w:id="9" w:name="_Hlk512365669"/>
      <w:r w:rsidRPr="00E902F5">
        <w:rPr>
          <w:lang w:val="fr-FR"/>
        </w:rPr>
        <w:t xml:space="preserve">À </w:t>
      </w:r>
      <w:r w:rsidRPr="009C2DF9">
        <w:rPr>
          <w:lang w:val="fr-FR"/>
        </w:rPr>
        <w:t xml:space="preserve">la </w:t>
      </w:r>
      <w:r w:rsidRPr="00440025">
        <w:rPr>
          <w:lang w:val="fr-FR"/>
        </w:rPr>
        <w:t xml:space="preserve">rubrique </w:t>
      </w:r>
      <w:r>
        <w:rPr>
          <w:lang w:val="fr-FR"/>
        </w:rPr>
        <w:t>« </w:t>
      </w:r>
      <w:r w:rsidRPr="009C2DF9">
        <w:rPr>
          <w:lang w:val="fr-FR"/>
        </w:rPr>
        <w:t>N</w:t>
      </w:r>
      <w:r w:rsidRPr="008D0E5A">
        <w:rPr>
          <w:vertAlign w:val="superscript"/>
          <w:lang w:val="fr-FR"/>
        </w:rPr>
        <w:t>o</w:t>
      </w:r>
      <w:r w:rsidR="00BE70AC">
        <w:rPr>
          <w:lang w:val="fr-FR"/>
        </w:rPr>
        <w:t> </w:t>
      </w:r>
      <w:r w:rsidRPr="009C2DF9">
        <w:rPr>
          <w:lang w:val="fr-FR"/>
        </w:rPr>
        <w:t>ONU 2814 Matière infectieuse pour l</w:t>
      </w:r>
      <w:r>
        <w:rPr>
          <w:lang w:val="fr-FR"/>
        </w:rPr>
        <w:t>’</w:t>
      </w:r>
      <w:r w:rsidRPr="009C2DF9">
        <w:rPr>
          <w:lang w:val="fr-FR"/>
        </w:rPr>
        <w:t>homme</w:t>
      </w:r>
      <w:r>
        <w:rPr>
          <w:lang w:val="fr-FR"/>
        </w:rPr>
        <w:t> </w:t>
      </w:r>
      <w:r w:rsidRPr="009C2DF9">
        <w:rPr>
          <w:lang w:val="fr-FR"/>
        </w:rPr>
        <w:t>»</w:t>
      </w:r>
      <w:r>
        <w:rPr>
          <w:lang w:val="fr-FR"/>
        </w:rPr>
        <w:t xml:space="preserve">, </w:t>
      </w:r>
      <w:r>
        <w:rPr>
          <w:b/>
          <w:bCs/>
          <w:lang w:val="fr-FR"/>
        </w:rPr>
        <w:t>r</w:t>
      </w:r>
      <w:r w:rsidRPr="007B18F8">
        <w:rPr>
          <w:b/>
          <w:bCs/>
          <w:lang w:val="fr-FR"/>
        </w:rPr>
        <w:t>e</w:t>
      </w:r>
      <w:r>
        <w:rPr>
          <w:b/>
          <w:bCs/>
          <w:lang w:val="fr-FR"/>
        </w:rPr>
        <w:t>m</w:t>
      </w:r>
      <w:r w:rsidRPr="007B18F8">
        <w:rPr>
          <w:b/>
          <w:bCs/>
          <w:lang w:val="fr-FR"/>
        </w:rPr>
        <w:t>place</w:t>
      </w:r>
      <w:r>
        <w:rPr>
          <w:b/>
          <w:bCs/>
          <w:lang w:val="fr-FR"/>
        </w:rPr>
        <w:t>r</w:t>
      </w:r>
      <w:r w:rsidRPr="007B18F8">
        <w:rPr>
          <w:lang w:val="fr-FR"/>
        </w:rPr>
        <w:t xml:space="preserve"> </w:t>
      </w:r>
      <w:r>
        <w:rPr>
          <w:lang w:val="fr-FR"/>
        </w:rPr>
        <w:t>« </w:t>
      </w:r>
      <w:bookmarkEnd w:id="9"/>
      <w:r w:rsidRPr="007B18F8">
        <w:rPr>
          <w:lang w:val="fr-FR"/>
        </w:rPr>
        <w:t xml:space="preserve">Foot and </w:t>
      </w:r>
      <w:proofErr w:type="spellStart"/>
      <w:r w:rsidRPr="007B18F8">
        <w:rPr>
          <w:lang w:val="fr-FR"/>
        </w:rPr>
        <w:t>mouth</w:t>
      </w:r>
      <w:proofErr w:type="spellEnd"/>
      <w:r w:rsidRPr="007B18F8">
        <w:rPr>
          <w:lang w:val="fr-FR"/>
        </w:rPr>
        <w:t xml:space="preserve"> </w:t>
      </w:r>
      <w:proofErr w:type="spellStart"/>
      <w:r w:rsidRPr="007B18F8">
        <w:rPr>
          <w:lang w:val="fr-FR"/>
        </w:rPr>
        <w:t>disease</w:t>
      </w:r>
      <w:proofErr w:type="spellEnd"/>
      <w:r w:rsidRPr="007B18F8">
        <w:rPr>
          <w:lang w:val="fr-FR"/>
        </w:rPr>
        <w:t xml:space="preserve"> virus</w:t>
      </w:r>
      <w:r>
        <w:rPr>
          <w:lang w:val="fr-FR"/>
        </w:rPr>
        <w:t> »</w:t>
      </w:r>
      <w:r w:rsidRPr="007B18F8">
        <w:rPr>
          <w:lang w:val="fr-FR"/>
        </w:rPr>
        <w:t xml:space="preserve"> </w:t>
      </w:r>
      <w:r w:rsidRPr="005C37D4">
        <w:rPr>
          <w:bCs/>
          <w:lang w:val="fr-FR"/>
        </w:rPr>
        <w:t>par</w:t>
      </w:r>
      <w:r w:rsidRPr="007B18F8">
        <w:rPr>
          <w:lang w:val="fr-FR"/>
        </w:rPr>
        <w:t xml:space="preserve"> </w:t>
      </w:r>
      <w:r>
        <w:rPr>
          <w:lang w:val="fr-FR"/>
        </w:rPr>
        <w:t>« </w:t>
      </w:r>
      <w:r w:rsidRPr="007B18F8">
        <w:rPr>
          <w:lang w:val="fr-FR"/>
        </w:rPr>
        <w:t>Foot-and-</w:t>
      </w:r>
      <w:proofErr w:type="spellStart"/>
      <w:r w:rsidRPr="007B18F8">
        <w:rPr>
          <w:lang w:val="fr-FR"/>
        </w:rPr>
        <w:t>mouth</w:t>
      </w:r>
      <w:proofErr w:type="spellEnd"/>
      <w:r w:rsidRPr="007B18F8">
        <w:rPr>
          <w:lang w:val="fr-FR"/>
        </w:rPr>
        <w:t xml:space="preserve"> </w:t>
      </w:r>
      <w:proofErr w:type="spellStart"/>
      <w:r w:rsidRPr="007B18F8">
        <w:rPr>
          <w:lang w:val="fr-FR"/>
        </w:rPr>
        <w:t>disease</w:t>
      </w:r>
      <w:proofErr w:type="spellEnd"/>
      <w:r w:rsidRPr="007B18F8">
        <w:rPr>
          <w:lang w:val="fr-FR"/>
        </w:rPr>
        <w:t xml:space="preserve"> virus</w:t>
      </w:r>
      <w:r>
        <w:rPr>
          <w:lang w:val="fr-FR"/>
        </w:rPr>
        <w:t> »</w:t>
      </w:r>
      <w:r w:rsidR="004269E7">
        <w:rPr>
          <w:lang w:val="fr-FR"/>
        </w:rPr>
        <w:t>.</w:t>
      </w:r>
    </w:p>
    <w:p w:rsidR="00F1574D" w:rsidRPr="007B18F8" w:rsidRDefault="00F1574D" w:rsidP="004269E7">
      <w:pPr>
        <w:pStyle w:val="SingleTxtG"/>
        <w:rPr>
          <w:lang w:val="fr-FR"/>
        </w:rPr>
      </w:pPr>
      <w:r>
        <w:rPr>
          <w:lang w:val="fr-FR"/>
        </w:rPr>
        <w:t>(Modification sans objet en français</w:t>
      </w:r>
      <w:r w:rsidR="00BE70AC">
        <w:rPr>
          <w:lang w:val="fr-FR"/>
        </w:rPr>
        <w:t>.</w:t>
      </w:r>
      <w:r>
        <w:rPr>
          <w:lang w:val="fr-FR"/>
        </w:rPr>
        <w:t>)</w:t>
      </w:r>
    </w:p>
    <w:p w:rsidR="00F1574D" w:rsidRPr="007B18F8" w:rsidRDefault="00F1574D" w:rsidP="00F1574D">
      <w:pPr>
        <w:pStyle w:val="SingleTxtG"/>
        <w:rPr>
          <w:lang w:val="fr-FR"/>
        </w:rPr>
      </w:pPr>
      <w:r w:rsidRPr="007B18F8">
        <w:rPr>
          <w:lang w:val="fr-FR"/>
        </w:rPr>
        <w:lastRenderedPageBreak/>
        <w:t>13.</w:t>
      </w:r>
      <w:r w:rsidRPr="007B18F8">
        <w:rPr>
          <w:lang w:val="fr-FR"/>
        </w:rPr>
        <w:tab/>
      </w:r>
      <w:bookmarkStart w:id="10" w:name="_Hlk512367711"/>
      <w:r w:rsidRPr="00E902F5">
        <w:rPr>
          <w:lang w:val="fr-FR"/>
        </w:rPr>
        <w:t xml:space="preserve">À </w:t>
      </w:r>
      <w:r w:rsidRPr="009C2DF9">
        <w:rPr>
          <w:lang w:val="fr-FR"/>
        </w:rPr>
        <w:t xml:space="preserve">la </w:t>
      </w:r>
      <w:r w:rsidRPr="00440025">
        <w:rPr>
          <w:lang w:val="fr-FR"/>
        </w:rPr>
        <w:t xml:space="preserve">rubrique </w:t>
      </w:r>
      <w:r>
        <w:rPr>
          <w:lang w:val="fr-FR"/>
        </w:rPr>
        <w:t>« </w:t>
      </w:r>
      <w:r w:rsidRPr="009C2DF9">
        <w:rPr>
          <w:lang w:val="fr-FR"/>
        </w:rPr>
        <w:t>N</w:t>
      </w:r>
      <w:r w:rsidRPr="008D0E5A">
        <w:rPr>
          <w:vertAlign w:val="superscript"/>
          <w:lang w:val="fr-FR"/>
        </w:rPr>
        <w:t>o</w:t>
      </w:r>
      <w:r w:rsidR="00BE70AC">
        <w:rPr>
          <w:lang w:val="fr-FR"/>
        </w:rPr>
        <w:t> </w:t>
      </w:r>
      <w:r w:rsidRPr="009C2DF9">
        <w:rPr>
          <w:lang w:val="fr-FR"/>
        </w:rPr>
        <w:t>ONU 2814 Matière infectieuse pour l</w:t>
      </w:r>
      <w:r>
        <w:rPr>
          <w:lang w:val="fr-FR"/>
        </w:rPr>
        <w:t>’</w:t>
      </w:r>
      <w:r w:rsidRPr="009C2DF9">
        <w:rPr>
          <w:lang w:val="fr-FR"/>
        </w:rPr>
        <w:t>homme</w:t>
      </w:r>
      <w:r>
        <w:rPr>
          <w:lang w:val="fr-FR"/>
        </w:rPr>
        <w:t> </w:t>
      </w:r>
      <w:r w:rsidRPr="009C2DF9">
        <w:rPr>
          <w:lang w:val="fr-FR"/>
        </w:rPr>
        <w:t>»</w:t>
      </w:r>
      <w:r>
        <w:rPr>
          <w:lang w:val="fr-FR"/>
        </w:rPr>
        <w:t xml:space="preserve">, </w:t>
      </w:r>
      <w:r>
        <w:rPr>
          <w:b/>
          <w:bCs/>
          <w:lang w:val="fr-FR"/>
        </w:rPr>
        <w:t>r</w:t>
      </w:r>
      <w:r w:rsidRPr="007B18F8">
        <w:rPr>
          <w:b/>
          <w:bCs/>
          <w:lang w:val="fr-FR"/>
        </w:rPr>
        <w:t>e</w:t>
      </w:r>
      <w:r>
        <w:rPr>
          <w:b/>
          <w:bCs/>
          <w:lang w:val="fr-FR"/>
        </w:rPr>
        <w:t>m</w:t>
      </w:r>
      <w:r w:rsidRPr="007B18F8">
        <w:rPr>
          <w:b/>
          <w:bCs/>
          <w:lang w:val="fr-FR"/>
        </w:rPr>
        <w:t>place</w:t>
      </w:r>
      <w:r>
        <w:rPr>
          <w:b/>
          <w:bCs/>
          <w:lang w:val="fr-FR"/>
        </w:rPr>
        <w:t>r</w:t>
      </w:r>
      <w:r w:rsidRPr="007B18F8">
        <w:rPr>
          <w:lang w:val="fr-FR"/>
        </w:rPr>
        <w:t xml:space="preserve"> </w:t>
      </w:r>
      <w:bookmarkEnd w:id="10"/>
      <w:r>
        <w:rPr>
          <w:lang w:val="fr-FR"/>
        </w:rPr>
        <w:t>« </w:t>
      </w:r>
      <w:proofErr w:type="spellStart"/>
      <w:r w:rsidRPr="007B18F8">
        <w:rPr>
          <w:lang w:val="fr-FR"/>
        </w:rPr>
        <w:t>Sheep-pox</w:t>
      </w:r>
      <w:proofErr w:type="spellEnd"/>
      <w:r w:rsidRPr="007B18F8">
        <w:rPr>
          <w:lang w:val="fr-FR"/>
        </w:rPr>
        <w:t xml:space="preserve"> virus</w:t>
      </w:r>
      <w:r>
        <w:rPr>
          <w:lang w:val="fr-FR"/>
        </w:rPr>
        <w:t> »</w:t>
      </w:r>
      <w:r w:rsidRPr="007B18F8">
        <w:rPr>
          <w:lang w:val="fr-FR"/>
        </w:rPr>
        <w:t xml:space="preserve"> </w:t>
      </w:r>
      <w:r w:rsidRPr="00142672">
        <w:rPr>
          <w:bCs/>
          <w:lang w:val="fr-FR"/>
        </w:rPr>
        <w:t>par</w:t>
      </w:r>
      <w:r w:rsidRPr="007B18F8">
        <w:rPr>
          <w:lang w:val="fr-FR"/>
        </w:rPr>
        <w:t xml:space="preserve"> </w:t>
      </w:r>
      <w:r>
        <w:rPr>
          <w:lang w:val="fr-FR"/>
        </w:rPr>
        <w:t>« </w:t>
      </w:r>
      <w:proofErr w:type="spellStart"/>
      <w:r w:rsidRPr="007B18F8">
        <w:rPr>
          <w:lang w:val="fr-FR"/>
        </w:rPr>
        <w:t>Sheeppox</w:t>
      </w:r>
      <w:proofErr w:type="spellEnd"/>
      <w:r w:rsidRPr="007B18F8">
        <w:rPr>
          <w:lang w:val="fr-FR"/>
        </w:rPr>
        <w:t xml:space="preserve"> virus</w:t>
      </w:r>
      <w:r>
        <w:rPr>
          <w:lang w:val="fr-FR"/>
        </w:rPr>
        <w:t> »</w:t>
      </w:r>
      <w:r w:rsidRPr="007B18F8">
        <w:rPr>
          <w:lang w:val="fr-FR"/>
        </w:rPr>
        <w:t xml:space="preserve"> </w:t>
      </w:r>
    </w:p>
    <w:p w:rsidR="00F1574D" w:rsidRPr="007B18F8" w:rsidRDefault="00F1574D" w:rsidP="00BE70AC">
      <w:pPr>
        <w:pStyle w:val="SingleTxtG"/>
        <w:rPr>
          <w:lang w:val="fr-FR"/>
        </w:rPr>
      </w:pPr>
      <w:r>
        <w:rPr>
          <w:lang w:val="fr-FR"/>
        </w:rPr>
        <w:t>(Modification sans objet en français</w:t>
      </w:r>
      <w:r w:rsidR="00BE70AC">
        <w:rPr>
          <w:lang w:val="fr-FR"/>
        </w:rPr>
        <w:t>.</w:t>
      </w:r>
      <w:r>
        <w:rPr>
          <w:lang w:val="fr-FR"/>
        </w:rPr>
        <w:t>)</w:t>
      </w:r>
    </w:p>
    <w:p w:rsidR="00A07AEB" w:rsidRPr="00C67542" w:rsidRDefault="00A07AEB" w:rsidP="00A07AEB">
      <w:pPr>
        <w:pStyle w:val="H1G"/>
        <w:rPr>
          <w:lang w:val="en-US"/>
        </w:rPr>
      </w:pPr>
      <w:r w:rsidRPr="00A07AEB">
        <w:tab/>
      </w:r>
      <w:r w:rsidRPr="00A07AEB">
        <w:tab/>
      </w:r>
      <w:r w:rsidRPr="00C67542">
        <w:rPr>
          <w:lang w:val="en-US"/>
        </w:rPr>
        <w:t>References</w:t>
      </w:r>
    </w:p>
    <w:p w:rsidR="00A07AEB" w:rsidRPr="00C67542" w:rsidRDefault="00A07AEB" w:rsidP="00A07AEB">
      <w:pPr>
        <w:pStyle w:val="SingleTxtG"/>
        <w:numPr>
          <w:ilvl w:val="0"/>
          <w:numId w:val="17"/>
        </w:numPr>
        <w:kinsoku/>
        <w:overflowPunct/>
        <w:autoSpaceDE/>
        <w:autoSpaceDN/>
        <w:adjustRightInd/>
        <w:snapToGrid/>
        <w:ind w:left="1701" w:hanging="567"/>
        <w:rPr>
          <w:lang w:eastAsia="de-DE"/>
        </w:rPr>
      </w:pPr>
      <w:r w:rsidRPr="00A07AEB">
        <w:rPr>
          <w:lang w:val="en-US" w:eastAsia="de-DE"/>
        </w:rPr>
        <w:t xml:space="preserve">Kuhn, J.H., Becker, S., </w:t>
      </w:r>
      <w:proofErr w:type="spellStart"/>
      <w:r w:rsidRPr="00A07AEB">
        <w:rPr>
          <w:lang w:val="en-US" w:eastAsia="de-DE"/>
        </w:rPr>
        <w:t>Ebihara</w:t>
      </w:r>
      <w:proofErr w:type="spellEnd"/>
      <w:r w:rsidRPr="00A07AEB">
        <w:rPr>
          <w:lang w:val="en-US" w:eastAsia="de-DE"/>
        </w:rPr>
        <w:t xml:space="preserve">, H., </w:t>
      </w:r>
      <w:proofErr w:type="spellStart"/>
      <w:r w:rsidRPr="00A07AEB">
        <w:rPr>
          <w:lang w:val="en-US" w:eastAsia="de-DE"/>
        </w:rPr>
        <w:t>Geisbert</w:t>
      </w:r>
      <w:proofErr w:type="spellEnd"/>
      <w:r w:rsidRPr="00A07AEB">
        <w:rPr>
          <w:lang w:val="en-US" w:eastAsia="de-DE"/>
        </w:rPr>
        <w:t xml:space="preserve">, T.W., Johnson, K.M, </w:t>
      </w:r>
      <w:proofErr w:type="spellStart"/>
      <w:r w:rsidRPr="00A07AEB">
        <w:rPr>
          <w:lang w:val="en-US" w:eastAsia="de-DE"/>
        </w:rPr>
        <w:t>Kawaoka</w:t>
      </w:r>
      <w:proofErr w:type="spellEnd"/>
      <w:r w:rsidRPr="00A07AEB">
        <w:rPr>
          <w:lang w:val="en-US" w:eastAsia="de-DE"/>
        </w:rPr>
        <w:t xml:space="preserve">, Y., Lipkin, W.I., </w:t>
      </w:r>
      <w:proofErr w:type="spellStart"/>
      <w:r w:rsidRPr="00A07AEB">
        <w:rPr>
          <w:lang w:val="en-US" w:eastAsia="de-DE"/>
        </w:rPr>
        <w:t>Negredo</w:t>
      </w:r>
      <w:proofErr w:type="spellEnd"/>
      <w:r w:rsidRPr="00A07AEB">
        <w:rPr>
          <w:lang w:val="en-US" w:eastAsia="de-DE"/>
        </w:rPr>
        <w:t xml:space="preserve">, A.I., </w:t>
      </w:r>
      <w:proofErr w:type="spellStart"/>
      <w:r w:rsidRPr="00A07AEB">
        <w:rPr>
          <w:lang w:val="en-US" w:eastAsia="de-DE"/>
        </w:rPr>
        <w:t>Netesov</w:t>
      </w:r>
      <w:proofErr w:type="spellEnd"/>
      <w:r w:rsidRPr="00A07AEB">
        <w:rPr>
          <w:lang w:val="en-US" w:eastAsia="de-DE"/>
        </w:rPr>
        <w:t xml:space="preserve">, S.V., Nichol, S.T., Palacios, G., Peters, C.J., Tenorio, A., </w:t>
      </w:r>
      <w:proofErr w:type="spellStart"/>
      <w:r w:rsidRPr="00A07AEB">
        <w:rPr>
          <w:lang w:val="en-US" w:eastAsia="de-DE"/>
        </w:rPr>
        <w:t>Volchkov</w:t>
      </w:r>
      <w:proofErr w:type="spellEnd"/>
      <w:r w:rsidRPr="00A07AEB">
        <w:rPr>
          <w:lang w:val="en-US" w:eastAsia="de-DE"/>
        </w:rPr>
        <w:t xml:space="preserve">, V.E, &amp; </w:t>
      </w:r>
      <w:proofErr w:type="spellStart"/>
      <w:r w:rsidRPr="00A07AEB">
        <w:rPr>
          <w:lang w:val="en-US" w:eastAsia="de-DE"/>
        </w:rPr>
        <w:t>Jahrling</w:t>
      </w:r>
      <w:proofErr w:type="spellEnd"/>
      <w:r w:rsidRPr="00A07AEB">
        <w:rPr>
          <w:lang w:val="en-US" w:eastAsia="de-DE"/>
        </w:rPr>
        <w:t xml:space="preserve">, P.B. (2010). Proposal for a revised taxonomy of the family </w:t>
      </w:r>
      <w:r w:rsidRPr="00A07AEB">
        <w:rPr>
          <w:i/>
          <w:lang w:val="en-US" w:eastAsia="de-DE"/>
        </w:rPr>
        <w:t>Filoviridae</w:t>
      </w:r>
      <w:r w:rsidRPr="00A07AEB">
        <w:rPr>
          <w:lang w:val="en-US" w:eastAsia="de-DE"/>
        </w:rPr>
        <w:t xml:space="preserve">: classification, names of taxa and viruses, and virus abbreviations. </w:t>
      </w:r>
      <w:r w:rsidRPr="00C67542">
        <w:rPr>
          <w:i/>
          <w:lang w:eastAsia="de-DE"/>
        </w:rPr>
        <w:t xml:space="preserve">Archives of </w:t>
      </w:r>
      <w:proofErr w:type="spellStart"/>
      <w:r w:rsidRPr="00C67542">
        <w:rPr>
          <w:i/>
          <w:lang w:eastAsia="de-DE"/>
        </w:rPr>
        <w:t>Virology</w:t>
      </w:r>
      <w:proofErr w:type="spellEnd"/>
      <w:r w:rsidRPr="00C67542">
        <w:rPr>
          <w:lang w:eastAsia="de-DE"/>
        </w:rPr>
        <w:t xml:space="preserve">, </w:t>
      </w:r>
      <w:r w:rsidRPr="00C67542">
        <w:rPr>
          <w:i/>
          <w:lang w:eastAsia="de-DE"/>
        </w:rPr>
        <w:t>155</w:t>
      </w:r>
      <w:r>
        <w:rPr>
          <w:lang w:eastAsia="de-DE"/>
        </w:rPr>
        <w:t>(12), 2083-2103</w:t>
      </w:r>
    </w:p>
    <w:p w:rsidR="00A07AEB" w:rsidRPr="00A07AEB" w:rsidRDefault="00A07AEB" w:rsidP="00A07AEB">
      <w:pPr>
        <w:pStyle w:val="SingleTxtG"/>
        <w:numPr>
          <w:ilvl w:val="0"/>
          <w:numId w:val="17"/>
        </w:numPr>
        <w:kinsoku/>
        <w:overflowPunct/>
        <w:autoSpaceDE/>
        <w:autoSpaceDN/>
        <w:adjustRightInd/>
        <w:snapToGrid/>
        <w:ind w:left="1701" w:hanging="567"/>
        <w:rPr>
          <w:lang w:val="en-US" w:eastAsia="de-DE"/>
        </w:rPr>
      </w:pPr>
      <w:r w:rsidRPr="00A07AEB">
        <w:rPr>
          <w:lang w:val="en-US" w:eastAsia="de-DE"/>
        </w:rPr>
        <w:t xml:space="preserve">Ebola virus disease, Fact Sheet. </w:t>
      </w:r>
      <w:r w:rsidRPr="00A07AEB">
        <w:rPr>
          <w:i/>
          <w:lang w:val="en-US" w:eastAsia="de-DE"/>
        </w:rPr>
        <w:t>World Health Organization</w:t>
      </w:r>
      <w:r w:rsidRPr="00A07AEB">
        <w:rPr>
          <w:lang w:val="en-US" w:eastAsia="de-DE"/>
        </w:rPr>
        <w:t xml:space="preserve">. Retrieved on September 6, 2017 from </w:t>
      </w:r>
      <w:hyperlink r:id="rId8" w:history="1">
        <w:r w:rsidRPr="00A07AEB">
          <w:rPr>
            <w:rStyle w:val="Hyperlink"/>
            <w:bCs/>
            <w:lang w:val="en-US" w:eastAsia="de-DE"/>
          </w:rPr>
          <w:t>http://www.who.int/mediacentre/factsheets/fs103/en/</w:t>
        </w:r>
      </w:hyperlink>
      <w:r w:rsidRPr="00A07AEB">
        <w:rPr>
          <w:lang w:val="en-US" w:eastAsia="de-DE"/>
        </w:rPr>
        <w:t xml:space="preserve"> </w:t>
      </w:r>
    </w:p>
    <w:p w:rsidR="00A07AEB" w:rsidRPr="00C67542" w:rsidRDefault="00A07AEB" w:rsidP="00A07AEB">
      <w:pPr>
        <w:pStyle w:val="SingleTxtG"/>
        <w:numPr>
          <w:ilvl w:val="0"/>
          <w:numId w:val="17"/>
        </w:numPr>
        <w:kinsoku/>
        <w:overflowPunct/>
        <w:autoSpaceDE/>
        <w:autoSpaceDN/>
        <w:adjustRightInd/>
        <w:snapToGrid/>
        <w:ind w:left="1701" w:hanging="567"/>
        <w:rPr>
          <w:lang w:eastAsia="de-DE"/>
        </w:rPr>
      </w:pPr>
      <w:r w:rsidRPr="00A07AEB">
        <w:rPr>
          <w:lang w:val="en-US" w:eastAsia="de-DE"/>
        </w:rPr>
        <w:t xml:space="preserve">Popper, S.J., </w:t>
      </w:r>
      <w:proofErr w:type="spellStart"/>
      <w:r w:rsidRPr="00A07AEB">
        <w:rPr>
          <w:lang w:val="en-US" w:eastAsia="de-DE"/>
        </w:rPr>
        <w:t>Sarr</w:t>
      </w:r>
      <w:proofErr w:type="spellEnd"/>
      <w:r w:rsidRPr="00A07AEB">
        <w:rPr>
          <w:lang w:val="en-US" w:eastAsia="de-DE"/>
        </w:rPr>
        <w:t xml:space="preserve">, A.D., Travers, K.U, </w:t>
      </w:r>
      <w:proofErr w:type="spellStart"/>
      <w:r w:rsidRPr="00A07AEB">
        <w:rPr>
          <w:lang w:val="en-US" w:eastAsia="de-DE"/>
        </w:rPr>
        <w:t>Guèye-Ndiaye</w:t>
      </w:r>
      <w:proofErr w:type="spellEnd"/>
      <w:r w:rsidRPr="00A07AEB">
        <w:rPr>
          <w:lang w:val="en-US" w:eastAsia="de-DE"/>
        </w:rPr>
        <w:t xml:space="preserve">, A, </w:t>
      </w:r>
      <w:proofErr w:type="spellStart"/>
      <w:r w:rsidRPr="00A07AEB">
        <w:rPr>
          <w:lang w:val="en-US" w:eastAsia="de-DE"/>
        </w:rPr>
        <w:t>Mboup</w:t>
      </w:r>
      <w:proofErr w:type="spellEnd"/>
      <w:r w:rsidRPr="00A07AEB">
        <w:rPr>
          <w:lang w:val="en-US" w:eastAsia="de-DE"/>
        </w:rPr>
        <w:t xml:space="preserve">, S., Essex, M.E., &amp; </w:t>
      </w:r>
      <w:proofErr w:type="spellStart"/>
      <w:r w:rsidRPr="00A07AEB">
        <w:rPr>
          <w:lang w:val="en-US" w:eastAsia="de-DE"/>
        </w:rPr>
        <w:t>Kanki</w:t>
      </w:r>
      <w:proofErr w:type="spellEnd"/>
      <w:r w:rsidRPr="00A07AEB">
        <w:rPr>
          <w:lang w:val="en-US" w:eastAsia="de-DE"/>
        </w:rPr>
        <w:t xml:space="preserve">, P.J. (1999). Lower human immunodeficiency virus (HIV) type 2 load reflects the difference in pathogenicity of HIV-1 and HIV-2. </w:t>
      </w:r>
      <w:r w:rsidRPr="00C67542">
        <w:rPr>
          <w:i/>
          <w:lang w:eastAsia="de-DE"/>
        </w:rPr>
        <w:t xml:space="preserve">The Journal of </w:t>
      </w:r>
      <w:proofErr w:type="spellStart"/>
      <w:r w:rsidRPr="00C67542">
        <w:rPr>
          <w:i/>
          <w:lang w:eastAsia="de-DE"/>
        </w:rPr>
        <w:t>Infectious</w:t>
      </w:r>
      <w:proofErr w:type="spellEnd"/>
      <w:r w:rsidRPr="00C67542">
        <w:rPr>
          <w:i/>
          <w:lang w:eastAsia="de-DE"/>
        </w:rPr>
        <w:t xml:space="preserve"> </w:t>
      </w:r>
      <w:proofErr w:type="spellStart"/>
      <w:r w:rsidRPr="00C67542">
        <w:rPr>
          <w:i/>
          <w:lang w:eastAsia="de-DE"/>
        </w:rPr>
        <w:t>Disease</w:t>
      </w:r>
      <w:proofErr w:type="spellEnd"/>
      <w:r w:rsidRPr="00C67542">
        <w:rPr>
          <w:lang w:eastAsia="de-DE"/>
        </w:rPr>
        <w:t xml:space="preserve">, </w:t>
      </w:r>
      <w:r w:rsidRPr="00C67542">
        <w:rPr>
          <w:i/>
          <w:lang w:eastAsia="de-DE"/>
        </w:rPr>
        <w:t>180</w:t>
      </w:r>
      <w:r w:rsidRPr="00C67542">
        <w:rPr>
          <w:lang w:eastAsia="de-DE"/>
        </w:rPr>
        <w:t>, 116-21</w:t>
      </w:r>
    </w:p>
    <w:p w:rsidR="00A07AEB" w:rsidRDefault="00A07AEB" w:rsidP="00A07AEB">
      <w:pPr>
        <w:pStyle w:val="SingleTxtG"/>
        <w:numPr>
          <w:ilvl w:val="0"/>
          <w:numId w:val="17"/>
        </w:numPr>
        <w:kinsoku/>
        <w:overflowPunct/>
        <w:autoSpaceDE/>
        <w:autoSpaceDN/>
        <w:adjustRightInd/>
        <w:snapToGrid/>
        <w:ind w:left="1701" w:hanging="567"/>
        <w:rPr>
          <w:lang w:eastAsia="de-DE"/>
        </w:rPr>
      </w:pPr>
      <w:r w:rsidRPr="00A07AEB">
        <w:rPr>
          <w:lang w:val="en-US" w:eastAsia="de-DE"/>
        </w:rPr>
        <w:t xml:space="preserve">Popper, S.J., </w:t>
      </w:r>
      <w:proofErr w:type="spellStart"/>
      <w:r w:rsidRPr="00A07AEB">
        <w:rPr>
          <w:lang w:val="en-US" w:eastAsia="de-DE"/>
        </w:rPr>
        <w:t>Sarr</w:t>
      </w:r>
      <w:proofErr w:type="spellEnd"/>
      <w:r w:rsidRPr="00A07AEB">
        <w:rPr>
          <w:lang w:val="en-US" w:eastAsia="de-DE"/>
        </w:rPr>
        <w:t xml:space="preserve">, A.D., Travers, K. &amp; </w:t>
      </w:r>
      <w:proofErr w:type="spellStart"/>
      <w:r w:rsidRPr="00A07AEB">
        <w:rPr>
          <w:lang w:val="en-US" w:eastAsia="de-DE"/>
        </w:rPr>
        <w:t>Kanki</w:t>
      </w:r>
      <w:proofErr w:type="spellEnd"/>
      <w:r w:rsidRPr="00A07AEB">
        <w:rPr>
          <w:lang w:val="en-US" w:eastAsia="de-DE"/>
        </w:rPr>
        <w:t xml:space="preserve">, P.J. (1999). Lower human immunodeficiency virus (HIV) type 2 viral load reflects the difference in pathogenicity of HIV-1 and HIV-2. </w:t>
      </w:r>
      <w:r w:rsidRPr="00A66F90">
        <w:rPr>
          <w:i/>
          <w:lang w:eastAsia="de-DE"/>
        </w:rPr>
        <w:t xml:space="preserve">The Journal of </w:t>
      </w:r>
      <w:proofErr w:type="spellStart"/>
      <w:r w:rsidRPr="00A66F90">
        <w:rPr>
          <w:i/>
          <w:lang w:eastAsia="de-DE"/>
        </w:rPr>
        <w:t>Infectious</w:t>
      </w:r>
      <w:proofErr w:type="spellEnd"/>
      <w:r w:rsidRPr="00A66F90">
        <w:rPr>
          <w:i/>
          <w:lang w:eastAsia="de-DE"/>
        </w:rPr>
        <w:t xml:space="preserve"> </w:t>
      </w:r>
      <w:proofErr w:type="spellStart"/>
      <w:r w:rsidRPr="00A66F90">
        <w:rPr>
          <w:i/>
          <w:lang w:eastAsia="de-DE"/>
        </w:rPr>
        <w:t>Disease</w:t>
      </w:r>
      <w:proofErr w:type="spellEnd"/>
      <w:r w:rsidRPr="00A66F90">
        <w:rPr>
          <w:lang w:eastAsia="de-DE"/>
        </w:rPr>
        <w:t xml:space="preserve">, </w:t>
      </w:r>
      <w:r w:rsidRPr="00A66F90">
        <w:rPr>
          <w:i/>
          <w:lang w:eastAsia="de-DE"/>
        </w:rPr>
        <w:t>180</w:t>
      </w:r>
      <w:r w:rsidRPr="00A66F90">
        <w:rPr>
          <w:lang w:eastAsia="de-DE"/>
        </w:rPr>
        <w:t>, 1</w:t>
      </w:r>
      <w:r>
        <w:rPr>
          <w:lang w:eastAsia="de-DE"/>
        </w:rPr>
        <w:t>1</w:t>
      </w:r>
      <w:r w:rsidRPr="00A66F90">
        <w:rPr>
          <w:lang w:eastAsia="de-DE"/>
        </w:rPr>
        <w:t>16-21</w:t>
      </w:r>
    </w:p>
    <w:p w:rsidR="00A07AEB" w:rsidRPr="00A07AEB" w:rsidRDefault="00A07AEB" w:rsidP="00A07AEB">
      <w:pPr>
        <w:pStyle w:val="SingleTxtG"/>
        <w:numPr>
          <w:ilvl w:val="0"/>
          <w:numId w:val="17"/>
        </w:numPr>
        <w:kinsoku/>
        <w:overflowPunct/>
        <w:autoSpaceDE/>
        <w:autoSpaceDN/>
        <w:adjustRightInd/>
        <w:snapToGrid/>
        <w:ind w:left="1701" w:hanging="567"/>
        <w:rPr>
          <w:lang w:val="en-US" w:eastAsia="de-DE"/>
        </w:rPr>
      </w:pPr>
      <w:proofErr w:type="spellStart"/>
      <w:r>
        <w:rPr>
          <w:lang w:eastAsia="de-DE"/>
        </w:rPr>
        <w:t>Ingole</w:t>
      </w:r>
      <w:proofErr w:type="spellEnd"/>
      <w:r>
        <w:rPr>
          <w:lang w:eastAsia="de-DE"/>
        </w:rPr>
        <w:t xml:space="preserve">, N.A., </w:t>
      </w:r>
      <w:proofErr w:type="spellStart"/>
      <w:r>
        <w:rPr>
          <w:lang w:eastAsia="de-DE"/>
        </w:rPr>
        <w:t>Sarkate</w:t>
      </w:r>
      <w:proofErr w:type="spellEnd"/>
      <w:r>
        <w:rPr>
          <w:lang w:eastAsia="de-DE"/>
        </w:rPr>
        <w:t xml:space="preserve">, P.P., </w:t>
      </w:r>
      <w:proofErr w:type="spellStart"/>
      <w:r>
        <w:rPr>
          <w:lang w:eastAsia="de-DE"/>
        </w:rPr>
        <w:t>Paranjpe</w:t>
      </w:r>
      <w:proofErr w:type="spellEnd"/>
      <w:r>
        <w:rPr>
          <w:lang w:eastAsia="de-DE"/>
        </w:rPr>
        <w:t xml:space="preserve">, S.M., </w:t>
      </w:r>
      <w:proofErr w:type="spellStart"/>
      <w:r>
        <w:rPr>
          <w:lang w:eastAsia="de-DE"/>
        </w:rPr>
        <w:t>Shinde</w:t>
      </w:r>
      <w:proofErr w:type="spellEnd"/>
      <w:r>
        <w:rPr>
          <w:lang w:eastAsia="de-DE"/>
        </w:rPr>
        <w:t xml:space="preserve">, S.D., </w:t>
      </w:r>
      <w:proofErr w:type="spellStart"/>
      <w:r>
        <w:rPr>
          <w:lang w:eastAsia="de-DE"/>
        </w:rPr>
        <w:t>Sujata</w:t>
      </w:r>
      <w:proofErr w:type="spellEnd"/>
      <w:r>
        <w:rPr>
          <w:lang w:eastAsia="de-DE"/>
        </w:rPr>
        <w:t xml:space="preserve">, S.L, &amp; Mehta, P.R. (2013). </w:t>
      </w:r>
      <w:r w:rsidRPr="00A07AEB">
        <w:rPr>
          <w:lang w:val="en-US" w:eastAsia="de-DE"/>
        </w:rPr>
        <w:t xml:space="preserve">HIV-2 Infection: Where are we today? </w:t>
      </w:r>
      <w:r w:rsidRPr="00A07AEB">
        <w:rPr>
          <w:i/>
          <w:lang w:val="en-US" w:eastAsia="de-DE"/>
        </w:rPr>
        <w:t>Journal of Global Infectious Diseases, 5</w:t>
      </w:r>
      <w:r w:rsidRPr="00A07AEB">
        <w:rPr>
          <w:lang w:val="en-US" w:eastAsia="de-DE"/>
        </w:rPr>
        <w:t>(3), 110-113</w:t>
      </w:r>
    </w:p>
    <w:p w:rsidR="00A07AEB" w:rsidRDefault="00A07AEB" w:rsidP="00A07AEB">
      <w:pPr>
        <w:pStyle w:val="SingleTxtG"/>
        <w:numPr>
          <w:ilvl w:val="0"/>
          <w:numId w:val="17"/>
        </w:numPr>
        <w:kinsoku/>
        <w:overflowPunct/>
        <w:autoSpaceDE/>
        <w:autoSpaceDN/>
        <w:adjustRightInd/>
        <w:snapToGrid/>
        <w:ind w:left="1701" w:hanging="567"/>
        <w:rPr>
          <w:lang w:eastAsia="de-DE"/>
        </w:rPr>
      </w:pPr>
      <w:r w:rsidRPr="00A07AEB">
        <w:rPr>
          <w:lang w:val="en-US" w:eastAsia="de-DE"/>
        </w:rPr>
        <w:t>Campbell-</w:t>
      </w:r>
      <w:proofErr w:type="spellStart"/>
      <w:r w:rsidRPr="00A07AEB">
        <w:rPr>
          <w:lang w:val="en-US" w:eastAsia="de-DE"/>
        </w:rPr>
        <w:t>Yesufu</w:t>
      </w:r>
      <w:proofErr w:type="spellEnd"/>
      <w:r w:rsidRPr="00A07AEB">
        <w:rPr>
          <w:lang w:val="en-US" w:eastAsia="de-DE"/>
        </w:rPr>
        <w:t xml:space="preserve">, O.T, &amp; Gandhi, R.T (2011). Update on Human </w:t>
      </w:r>
      <w:proofErr w:type="spellStart"/>
      <w:r w:rsidRPr="00A07AEB">
        <w:rPr>
          <w:lang w:val="en-US" w:eastAsia="de-DE"/>
        </w:rPr>
        <w:t>Immunodefiency</w:t>
      </w:r>
      <w:proofErr w:type="spellEnd"/>
      <w:r w:rsidRPr="00A07AEB">
        <w:rPr>
          <w:lang w:val="en-US" w:eastAsia="de-DE"/>
        </w:rPr>
        <w:t xml:space="preserve"> Virus (HIV-2) Infection. </w:t>
      </w:r>
      <w:proofErr w:type="spellStart"/>
      <w:r w:rsidRPr="00C67542">
        <w:rPr>
          <w:i/>
          <w:lang w:eastAsia="de-DE"/>
        </w:rPr>
        <w:t>Clinical</w:t>
      </w:r>
      <w:proofErr w:type="spellEnd"/>
      <w:r w:rsidRPr="00C67542">
        <w:rPr>
          <w:i/>
          <w:lang w:eastAsia="de-DE"/>
        </w:rPr>
        <w:t xml:space="preserve"> </w:t>
      </w:r>
      <w:proofErr w:type="spellStart"/>
      <w:r w:rsidRPr="00C67542">
        <w:rPr>
          <w:i/>
          <w:lang w:eastAsia="de-DE"/>
        </w:rPr>
        <w:t>Infectious</w:t>
      </w:r>
      <w:proofErr w:type="spellEnd"/>
      <w:r w:rsidRPr="00C67542">
        <w:rPr>
          <w:i/>
          <w:lang w:eastAsia="de-DE"/>
        </w:rPr>
        <w:t xml:space="preserve"> </w:t>
      </w:r>
      <w:proofErr w:type="spellStart"/>
      <w:r w:rsidRPr="00C67542">
        <w:rPr>
          <w:i/>
          <w:lang w:eastAsia="de-DE"/>
        </w:rPr>
        <w:t>Diseases</w:t>
      </w:r>
      <w:proofErr w:type="spellEnd"/>
      <w:r w:rsidRPr="00C67542">
        <w:rPr>
          <w:i/>
          <w:lang w:eastAsia="de-DE"/>
        </w:rPr>
        <w:t>, 52</w:t>
      </w:r>
      <w:r>
        <w:rPr>
          <w:lang w:eastAsia="de-DE"/>
        </w:rPr>
        <w:t>(6), 780-78</w:t>
      </w:r>
    </w:p>
    <w:p w:rsidR="00A07AEB" w:rsidRDefault="00A07AEB" w:rsidP="00A07AEB">
      <w:pPr>
        <w:pStyle w:val="SingleTxtG"/>
        <w:numPr>
          <w:ilvl w:val="0"/>
          <w:numId w:val="17"/>
        </w:numPr>
        <w:kinsoku/>
        <w:overflowPunct/>
        <w:autoSpaceDE/>
        <w:autoSpaceDN/>
        <w:adjustRightInd/>
        <w:snapToGrid/>
        <w:ind w:left="1701" w:hanging="567"/>
        <w:rPr>
          <w:lang w:eastAsia="de-DE"/>
        </w:rPr>
      </w:pPr>
      <w:proofErr w:type="spellStart"/>
      <w:r w:rsidRPr="00C67542">
        <w:rPr>
          <w:lang w:eastAsia="de-DE"/>
        </w:rPr>
        <w:t>Buchmeier</w:t>
      </w:r>
      <w:proofErr w:type="spellEnd"/>
      <w:r w:rsidRPr="00C67542">
        <w:rPr>
          <w:lang w:eastAsia="de-DE"/>
        </w:rPr>
        <w:t xml:space="preserve">, M.J., </w:t>
      </w:r>
      <w:proofErr w:type="spellStart"/>
      <w:r w:rsidRPr="00C67542">
        <w:rPr>
          <w:lang w:eastAsia="de-DE"/>
        </w:rPr>
        <w:t>Charrel</w:t>
      </w:r>
      <w:proofErr w:type="spellEnd"/>
      <w:r w:rsidRPr="00C67542">
        <w:rPr>
          <w:lang w:eastAsia="de-DE"/>
        </w:rPr>
        <w:t xml:space="preserve">, R., Clegg, C.S., de la Torre, J.C., </w:t>
      </w:r>
      <w:proofErr w:type="spellStart"/>
      <w:r w:rsidRPr="00C67542">
        <w:rPr>
          <w:lang w:eastAsia="de-DE"/>
        </w:rPr>
        <w:t>Emonet</w:t>
      </w:r>
      <w:proofErr w:type="spellEnd"/>
      <w:r w:rsidRPr="00C67542">
        <w:rPr>
          <w:lang w:eastAsia="de-DE"/>
        </w:rPr>
        <w:t xml:space="preserve">, S., Gonzalez, J.P., Kuhn, J.H., </w:t>
      </w:r>
      <w:proofErr w:type="spellStart"/>
      <w:r w:rsidRPr="00C67542">
        <w:rPr>
          <w:lang w:eastAsia="de-DE"/>
        </w:rPr>
        <w:t>Lukashevich</w:t>
      </w:r>
      <w:proofErr w:type="spellEnd"/>
      <w:r w:rsidRPr="00C67542">
        <w:rPr>
          <w:lang w:eastAsia="de-DE"/>
        </w:rPr>
        <w:t xml:space="preserve">, I.S., Peters, C.J., </w:t>
      </w:r>
      <w:proofErr w:type="spellStart"/>
      <w:r w:rsidRPr="00C67542">
        <w:rPr>
          <w:lang w:eastAsia="de-DE"/>
        </w:rPr>
        <w:t>Radoshitzky</w:t>
      </w:r>
      <w:proofErr w:type="spellEnd"/>
      <w:r w:rsidRPr="00C67542">
        <w:rPr>
          <w:lang w:eastAsia="de-DE"/>
        </w:rPr>
        <w:t xml:space="preserve">, S.R., </w:t>
      </w:r>
      <w:proofErr w:type="spellStart"/>
      <w:r w:rsidRPr="00C67542">
        <w:rPr>
          <w:lang w:eastAsia="de-DE"/>
        </w:rPr>
        <w:t>Romanowski</w:t>
      </w:r>
      <w:proofErr w:type="spellEnd"/>
      <w:r w:rsidRPr="00C67542">
        <w:rPr>
          <w:lang w:eastAsia="de-DE"/>
        </w:rPr>
        <w:t xml:space="preserve">, V., &amp; </w:t>
      </w:r>
      <w:proofErr w:type="spellStart"/>
      <w:r w:rsidRPr="00C67542">
        <w:rPr>
          <w:lang w:eastAsia="de-DE"/>
        </w:rPr>
        <w:t>Salvato</w:t>
      </w:r>
      <w:proofErr w:type="spellEnd"/>
      <w:r w:rsidRPr="00C67542">
        <w:rPr>
          <w:lang w:eastAsia="de-DE"/>
        </w:rPr>
        <w:t xml:space="preserve">, M.S. (2014). International </w:t>
      </w:r>
      <w:proofErr w:type="spellStart"/>
      <w:r w:rsidRPr="00C67542">
        <w:rPr>
          <w:lang w:eastAsia="de-DE"/>
        </w:rPr>
        <w:t>Committee</w:t>
      </w:r>
      <w:proofErr w:type="spellEnd"/>
      <w:r w:rsidRPr="00C67542">
        <w:rPr>
          <w:lang w:eastAsia="de-DE"/>
        </w:rPr>
        <w:t xml:space="preserve"> on the </w:t>
      </w:r>
      <w:proofErr w:type="spellStart"/>
      <w:r w:rsidRPr="00C67542">
        <w:rPr>
          <w:lang w:eastAsia="de-DE"/>
        </w:rPr>
        <w:t>Taxonomoy</w:t>
      </w:r>
      <w:proofErr w:type="spellEnd"/>
      <w:r w:rsidRPr="00C67542">
        <w:rPr>
          <w:lang w:eastAsia="de-DE"/>
        </w:rPr>
        <w:t xml:space="preserve"> of </w:t>
      </w:r>
      <w:proofErr w:type="spellStart"/>
      <w:r w:rsidRPr="00C67542">
        <w:rPr>
          <w:lang w:eastAsia="de-DE"/>
        </w:rPr>
        <w:t>Viruses</w:t>
      </w:r>
      <w:proofErr w:type="spellEnd"/>
      <w:r w:rsidRPr="00C67542">
        <w:rPr>
          <w:lang w:eastAsia="de-DE"/>
        </w:rPr>
        <w:t xml:space="preserve">, ICTV-EC or </w:t>
      </w:r>
      <w:proofErr w:type="spellStart"/>
      <w:r w:rsidRPr="00C67542">
        <w:rPr>
          <w:lang w:eastAsia="de-DE"/>
        </w:rPr>
        <w:t>Study</w:t>
      </w:r>
      <w:proofErr w:type="spellEnd"/>
      <w:r w:rsidRPr="00C67542">
        <w:rPr>
          <w:lang w:eastAsia="de-DE"/>
        </w:rPr>
        <w:t xml:space="preserve"> Group </w:t>
      </w:r>
      <w:proofErr w:type="spellStart"/>
      <w:r w:rsidRPr="00C67542">
        <w:rPr>
          <w:lang w:eastAsia="de-DE"/>
        </w:rPr>
        <w:t>comments</w:t>
      </w:r>
      <w:proofErr w:type="spellEnd"/>
      <w:r w:rsidRPr="00C67542">
        <w:rPr>
          <w:lang w:eastAsia="de-DE"/>
        </w:rPr>
        <w:t xml:space="preserve"> and </w:t>
      </w:r>
      <w:proofErr w:type="spellStart"/>
      <w:r w:rsidRPr="00C67542">
        <w:rPr>
          <w:lang w:eastAsia="de-DE"/>
        </w:rPr>
        <w:t>response</w:t>
      </w:r>
      <w:proofErr w:type="spellEnd"/>
      <w:r w:rsidRPr="00C67542">
        <w:rPr>
          <w:lang w:eastAsia="de-DE"/>
        </w:rPr>
        <w:t xml:space="preserve"> of the proposer.</w:t>
      </w:r>
    </w:p>
    <w:p w:rsidR="00A07AEB" w:rsidRDefault="00A07AEB" w:rsidP="00A07AEB">
      <w:pPr>
        <w:pStyle w:val="SingleTxtG"/>
        <w:numPr>
          <w:ilvl w:val="0"/>
          <w:numId w:val="17"/>
        </w:numPr>
        <w:kinsoku/>
        <w:overflowPunct/>
        <w:autoSpaceDE/>
        <w:autoSpaceDN/>
        <w:adjustRightInd/>
        <w:snapToGrid/>
        <w:ind w:left="1701" w:hanging="567"/>
        <w:rPr>
          <w:lang w:eastAsia="de-DE"/>
        </w:rPr>
      </w:pPr>
      <w:r>
        <w:rPr>
          <w:lang w:eastAsia="de-DE"/>
        </w:rPr>
        <w:t>V</w:t>
      </w:r>
      <w:r w:rsidRPr="00C67542">
        <w:rPr>
          <w:lang w:eastAsia="de-DE"/>
        </w:rPr>
        <w:t xml:space="preserve">an </w:t>
      </w:r>
      <w:proofErr w:type="spellStart"/>
      <w:r w:rsidRPr="00C67542">
        <w:rPr>
          <w:lang w:eastAsia="de-DE"/>
        </w:rPr>
        <w:t>Regenmortel</w:t>
      </w:r>
      <w:proofErr w:type="spellEnd"/>
      <w:r w:rsidRPr="00C67542">
        <w:rPr>
          <w:lang w:eastAsia="de-DE"/>
        </w:rPr>
        <w:t xml:space="preserve">, M.H.V., Burke, D.S., </w:t>
      </w:r>
      <w:proofErr w:type="spellStart"/>
      <w:r w:rsidRPr="00C67542">
        <w:rPr>
          <w:lang w:eastAsia="de-DE"/>
        </w:rPr>
        <w:t>Calishe</w:t>
      </w:r>
      <w:proofErr w:type="spellEnd"/>
      <w:r w:rsidRPr="00C67542">
        <w:rPr>
          <w:lang w:eastAsia="de-DE"/>
        </w:rPr>
        <w:t xml:space="preserve">, C.H., Dietzgen, R.G., Fauquet, C.M., </w:t>
      </w:r>
      <w:proofErr w:type="spellStart"/>
      <w:r w:rsidRPr="00C67542">
        <w:rPr>
          <w:lang w:eastAsia="de-DE"/>
        </w:rPr>
        <w:t>Ghabrial</w:t>
      </w:r>
      <w:proofErr w:type="spellEnd"/>
      <w:r w:rsidRPr="00C67542">
        <w:rPr>
          <w:lang w:eastAsia="de-DE"/>
        </w:rPr>
        <w:t xml:space="preserve">, S.A., </w:t>
      </w:r>
      <w:proofErr w:type="spellStart"/>
      <w:r w:rsidRPr="00C67542">
        <w:rPr>
          <w:lang w:eastAsia="de-DE"/>
        </w:rPr>
        <w:t>Jahrling</w:t>
      </w:r>
      <w:proofErr w:type="spellEnd"/>
      <w:r w:rsidRPr="00C67542">
        <w:rPr>
          <w:lang w:eastAsia="de-DE"/>
        </w:rPr>
        <w:t xml:space="preserve">, P.B., Johnson, K.M., Holbrook, M.R., </w:t>
      </w:r>
      <w:proofErr w:type="spellStart"/>
      <w:r w:rsidRPr="00C67542">
        <w:rPr>
          <w:lang w:eastAsia="de-DE"/>
        </w:rPr>
        <w:t>Horzinek</w:t>
      </w:r>
      <w:proofErr w:type="spellEnd"/>
      <w:r w:rsidRPr="00C67542">
        <w:rPr>
          <w:lang w:eastAsia="de-DE"/>
        </w:rPr>
        <w:t xml:space="preserve">, M.C., </w:t>
      </w:r>
      <w:proofErr w:type="spellStart"/>
      <w:r w:rsidRPr="00C67542">
        <w:rPr>
          <w:lang w:eastAsia="de-DE"/>
        </w:rPr>
        <w:t>Keil</w:t>
      </w:r>
      <w:proofErr w:type="spellEnd"/>
      <w:r w:rsidRPr="00C67542">
        <w:rPr>
          <w:lang w:eastAsia="de-DE"/>
        </w:rPr>
        <w:t xml:space="preserve">, G.M., Kuhn, J.H., </w:t>
      </w:r>
      <w:proofErr w:type="spellStart"/>
      <w:r w:rsidRPr="00C67542">
        <w:rPr>
          <w:lang w:eastAsia="de-DE"/>
        </w:rPr>
        <w:t>Mahy</w:t>
      </w:r>
      <w:proofErr w:type="spellEnd"/>
      <w:r w:rsidRPr="00C67542">
        <w:rPr>
          <w:lang w:eastAsia="de-DE"/>
        </w:rPr>
        <w:t xml:space="preserve">, B.W.J., </w:t>
      </w:r>
      <w:proofErr w:type="spellStart"/>
      <w:r w:rsidRPr="00C67542">
        <w:rPr>
          <w:lang w:eastAsia="de-DE"/>
        </w:rPr>
        <w:t>Martelli</w:t>
      </w:r>
      <w:proofErr w:type="spellEnd"/>
      <w:r w:rsidRPr="00C67542">
        <w:rPr>
          <w:lang w:eastAsia="de-DE"/>
        </w:rPr>
        <w:t xml:space="preserve">, G.P., </w:t>
      </w:r>
      <w:proofErr w:type="spellStart"/>
      <w:r w:rsidRPr="00C67542">
        <w:rPr>
          <w:lang w:eastAsia="de-DE"/>
        </w:rPr>
        <w:t>Pringle</w:t>
      </w:r>
      <w:proofErr w:type="spellEnd"/>
      <w:r w:rsidRPr="00C67542">
        <w:rPr>
          <w:lang w:eastAsia="de-DE"/>
        </w:rPr>
        <w:t xml:space="preserve">, C., </w:t>
      </w:r>
      <w:proofErr w:type="spellStart"/>
      <w:r w:rsidRPr="00C67542">
        <w:rPr>
          <w:lang w:eastAsia="de-DE"/>
        </w:rPr>
        <w:t>Rybicki</w:t>
      </w:r>
      <w:proofErr w:type="spellEnd"/>
      <w:r w:rsidRPr="00C67542">
        <w:rPr>
          <w:lang w:eastAsia="de-DE"/>
        </w:rPr>
        <w:t xml:space="preserve">, E.P., </w:t>
      </w:r>
      <w:proofErr w:type="spellStart"/>
      <w:r w:rsidRPr="00C67542">
        <w:rPr>
          <w:lang w:eastAsia="de-DE"/>
        </w:rPr>
        <w:t>Skern</w:t>
      </w:r>
      <w:proofErr w:type="spellEnd"/>
      <w:r w:rsidRPr="00C67542">
        <w:rPr>
          <w:lang w:eastAsia="de-DE"/>
        </w:rPr>
        <w:t xml:space="preserve">, T., </w:t>
      </w:r>
      <w:proofErr w:type="spellStart"/>
      <w:r w:rsidRPr="00C67542">
        <w:rPr>
          <w:lang w:eastAsia="de-DE"/>
        </w:rPr>
        <w:t>Tesh</w:t>
      </w:r>
      <w:proofErr w:type="spellEnd"/>
      <w:r w:rsidRPr="00C67542">
        <w:rPr>
          <w:lang w:eastAsia="de-DE"/>
        </w:rPr>
        <w:t xml:space="preserve">, R.B., Wahl- Jensen, V., Walker, P.J., &amp; Weaver, S.C. (2010). </w:t>
      </w:r>
      <w:r w:rsidRPr="00A07AEB">
        <w:rPr>
          <w:lang w:val="en-US" w:eastAsia="de-DE"/>
        </w:rPr>
        <w:t xml:space="preserve">A proposal to change existing virus species names to non-Latinized binomials. </w:t>
      </w:r>
      <w:r w:rsidRPr="00C67542">
        <w:rPr>
          <w:i/>
          <w:lang w:eastAsia="de-DE"/>
        </w:rPr>
        <w:t xml:space="preserve">Archives of </w:t>
      </w:r>
      <w:proofErr w:type="spellStart"/>
      <w:r w:rsidRPr="00C67542">
        <w:rPr>
          <w:i/>
          <w:lang w:eastAsia="de-DE"/>
        </w:rPr>
        <w:t>Virology</w:t>
      </w:r>
      <w:proofErr w:type="spellEnd"/>
      <w:r w:rsidRPr="00C67542">
        <w:rPr>
          <w:lang w:eastAsia="de-DE"/>
        </w:rPr>
        <w:t xml:space="preserve">, </w:t>
      </w:r>
      <w:r w:rsidRPr="00C67542">
        <w:rPr>
          <w:i/>
          <w:lang w:eastAsia="de-DE"/>
        </w:rPr>
        <w:t>155</w:t>
      </w:r>
      <w:r w:rsidRPr="00C67542">
        <w:rPr>
          <w:lang w:eastAsia="de-DE"/>
        </w:rPr>
        <w:t>, 1909-1919.</w:t>
      </w:r>
    </w:p>
    <w:p w:rsidR="00EB2F62" w:rsidRPr="00EB2F62" w:rsidRDefault="00EB2F62" w:rsidP="00EB2F62">
      <w:pPr>
        <w:pStyle w:val="SingleTxtG"/>
        <w:spacing w:before="240" w:after="0"/>
        <w:jc w:val="center"/>
        <w:rPr>
          <w:u w:val="single"/>
        </w:rPr>
      </w:pPr>
      <w:r>
        <w:rPr>
          <w:u w:val="single"/>
        </w:rPr>
        <w:tab/>
      </w:r>
      <w:r>
        <w:rPr>
          <w:u w:val="single"/>
        </w:rPr>
        <w:tab/>
      </w:r>
      <w:r>
        <w:rPr>
          <w:u w:val="single"/>
        </w:rPr>
        <w:tab/>
      </w:r>
    </w:p>
    <w:sectPr w:rsidR="00EB2F62" w:rsidRPr="00EB2F62" w:rsidSect="0044605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03C" w:rsidRDefault="0037603C" w:rsidP="00F95C08">
      <w:pPr>
        <w:spacing w:line="240" w:lineRule="auto"/>
      </w:pPr>
    </w:p>
  </w:endnote>
  <w:endnote w:type="continuationSeparator" w:id="0">
    <w:p w:rsidR="0037603C" w:rsidRPr="00AC3823" w:rsidRDefault="0037603C" w:rsidP="00AC3823">
      <w:pPr>
        <w:pStyle w:val="Footer"/>
      </w:pPr>
    </w:p>
  </w:endnote>
  <w:endnote w:type="continuationNotice" w:id="1">
    <w:p w:rsidR="0037603C" w:rsidRDefault="003760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055" w:rsidRPr="00446055" w:rsidRDefault="00446055" w:rsidP="00446055">
    <w:pPr>
      <w:pStyle w:val="Footer"/>
      <w:tabs>
        <w:tab w:val="right" w:pos="9638"/>
      </w:tabs>
    </w:pPr>
    <w:r w:rsidRPr="00446055">
      <w:rPr>
        <w:b/>
        <w:sz w:val="18"/>
      </w:rPr>
      <w:fldChar w:fldCharType="begin"/>
    </w:r>
    <w:r w:rsidRPr="00446055">
      <w:rPr>
        <w:b/>
        <w:sz w:val="18"/>
      </w:rPr>
      <w:instrText xml:space="preserve"> PAGE  \* MERGEFORMAT </w:instrText>
    </w:r>
    <w:r w:rsidRPr="00446055">
      <w:rPr>
        <w:b/>
        <w:sz w:val="18"/>
      </w:rPr>
      <w:fldChar w:fldCharType="separate"/>
    </w:r>
    <w:r w:rsidR="00A45764">
      <w:rPr>
        <w:b/>
        <w:noProof/>
        <w:sz w:val="18"/>
      </w:rPr>
      <w:t>4</w:t>
    </w:r>
    <w:r w:rsidRPr="00446055">
      <w:rPr>
        <w:b/>
        <w:sz w:val="18"/>
      </w:rPr>
      <w:fldChar w:fldCharType="end"/>
    </w:r>
    <w:r>
      <w:rPr>
        <w:b/>
        <w:sz w:val="18"/>
      </w:rPr>
      <w:tab/>
    </w:r>
    <w:r>
      <w:t>GE.18-05005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055" w:rsidRPr="00446055" w:rsidRDefault="00446055" w:rsidP="00446055">
    <w:pPr>
      <w:pStyle w:val="Footer"/>
      <w:tabs>
        <w:tab w:val="right" w:pos="9638"/>
      </w:tabs>
      <w:rPr>
        <w:b/>
        <w:sz w:val="18"/>
      </w:rPr>
    </w:pPr>
    <w:r>
      <w:t>GE.18-05005</w:t>
    </w:r>
    <w:r>
      <w:tab/>
    </w:r>
    <w:r w:rsidRPr="00446055">
      <w:rPr>
        <w:b/>
        <w:sz w:val="18"/>
      </w:rPr>
      <w:fldChar w:fldCharType="begin"/>
    </w:r>
    <w:r w:rsidRPr="00446055">
      <w:rPr>
        <w:b/>
        <w:sz w:val="18"/>
      </w:rPr>
      <w:instrText xml:space="preserve"> PAGE  \* MERGEFORMAT </w:instrText>
    </w:r>
    <w:r w:rsidRPr="00446055">
      <w:rPr>
        <w:b/>
        <w:sz w:val="18"/>
      </w:rPr>
      <w:fldChar w:fldCharType="separate"/>
    </w:r>
    <w:r w:rsidR="00A45764">
      <w:rPr>
        <w:b/>
        <w:noProof/>
        <w:sz w:val="18"/>
      </w:rPr>
      <w:t>3</w:t>
    </w:r>
    <w:r w:rsidRPr="004460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446055" w:rsidRDefault="00446055" w:rsidP="00446055">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05005  (</w:t>
    </w:r>
    <w:proofErr w:type="gramEnd"/>
    <w:r>
      <w:rPr>
        <w:sz w:val="20"/>
      </w:rPr>
      <w:t>F)</w:t>
    </w:r>
    <w:r w:rsidR="009654CD">
      <w:rPr>
        <w:sz w:val="20"/>
      </w:rPr>
      <w:t xml:space="preserve">    250418    080518</w:t>
    </w:r>
    <w:r>
      <w:rPr>
        <w:sz w:val="20"/>
      </w:rPr>
      <w:br/>
    </w:r>
    <w:r w:rsidRPr="00446055">
      <w:rPr>
        <w:rFonts w:ascii="C39T30Lfz" w:hAnsi="C39T30Lfz"/>
        <w:sz w:val="56"/>
      </w:rPr>
      <w:t></w:t>
    </w:r>
    <w:r w:rsidRPr="00446055">
      <w:rPr>
        <w:rFonts w:ascii="C39T30Lfz" w:hAnsi="C39T30Lfz"/>
        <w:sz w:val="56"/>
      </w:rPr>
      <w:t></w:t>
    </w:r>
    <w:r w:rsidRPr="00446055">
      <w:rPr>
        <w:rFonts w:ascii="C39T30Lfz" w:hAnsi="C39T30Lfz"/>
        <w:sz w:val="56"/>
      </w:rPr>
      <w:t></w:t>
    </w:r>
    <w:r w:rsidRPr="00446055">
      <w:rPr>
        <w:rFonts w:ascii="C39T30Lfz" w:hAnsi="C39T30Lfz"/>
        <w:sz w:val="56"/>
      </w:rPr>
      <w:t></w:t>
    </w:r>
    <w:r w:rsidRPr="00446055">
      <w:rPr>
        <w:rFonts w:ascii="C39T30Lfz" w:hAnsi="C39T30Lfz"/>
        <w:sz w:val="56"/>
      </w:rPr>
      <w:t></w:t>
    </w:r>
    <w:r w:rsidRPr="00446055">
      <w:rPr>
        <w:rFonts w:ascii="C39T30Lfz" w:hAnsi="C39T30Lfz"/>
        <w:sz w:val="56"/>
      </w:rPr>
      <w:t></w:t>
    </w:r>
    <w:r w:rsidRPr="00446055">
      <w:rPr>
        <w:rFonts w:ascii="C39T30Lfz" w:hAnsi="C39T30Lfz"/>
        <w:sz w:val="56"/>
      </w:rPr>
      <w:t></w:t>
    </w:r>
    <w:r w:rsidRPr="00446055">
      <w:rPr>
        <w:rFonts w:ascii="C39T30Lfz" w:hAnsi="C39T30Lfz"/>
        <w:sz w:val="56"/>
      </w:rPr>
      <w:t></w:t>
    </w:r>
    <w:r w:rsidRPr="0044605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03C" w:rsidRPr="00AC3823" w:rsidRDefault="0037603C" w:rsidP="00AC3823">
      <w:pPr>
        <w:pStyle w:val="Footer"/>
        <w:tabs>
          <w:tab w:val="right" w:pos="2155"/>
        </w:tabs>
        <w:spacing w:after="80" w:line="240" w:lineRule="atLeast"/>
        <w:ind w:left="680"/>
        <w:rPr>
          <w:u w:val="single"/>
        </w:rPr>
      </w:pPr>
      <w:r>
        <w:rPr>
          <w:u w:val="single"/>
        </w:rPr>
        <w:tab/>
      </w:r>
    </w:p>
  </w:footnote>
  <w:footnote w:type="continuationSeparator" w:id="0">
    <w:p w:rsidR="0037603C" w:rsidRPr="00AC3823" w:rsidRDefault="0037603C" w:rsidP="00AC3823">
      <w:pPr>
        <w:pStyle w:val="Footer"/>
        <w:tabs>
          <w:tab w:val="right" w:pos="2155"/>
        </w:tabs>
        <w:spacing w:after="80" w:line="240" w:lineRule="atLeast"/>
        <w:ind w:left="680"/>
        <w:rPr>
          <w:u w:val="single"/>
        </w:rPr>
      </w:pPr>
      <w:r>
        <w:rPr>
          <w:u w:val="single"/>
        </w:rPr>
        <w:tab/>
      </w:r>
    </w:p>
  </w:footnote>
  <w:footnote w:type="continuationNotice" w:id="1">
    <w:p w:rsidR="0037603C" w:rsidRPr="00AC3823" w:rsidRDefault="0037603C">
      <w:pPr>
        <w:spacing w:line="240" w:lineRule="auto"/>
        <w:rPr>
          <w:sz w:val="2"/>
          <w:szCs w:val="2"/>
        </w:rPr>
      </w:pPr>
    </w:p>
  </w:footnote>
  <w:footnote w:id="2">
    <w:p w:rsidR="00F1574D" w:rsidRPr="00085220" w:rsidRDefault="00085220" w:rsidP="00085220">
      <w:pPr>
        <w:pStyle w:val="FootnoteText"/>
      </w:pPr>
      <w:r>
        <w:rPr>
          <w:lang w:val="fr-FR"/>
        </w:rPr>
        <w:tab/>
      </w:r>
      <w:r w:rsidR="00F1574D" w:rsidRPr="00BE27C9">
        <w:rPr>
          <w:rStyle w:val="FootnoteReference"/>
        </w:rPr>
        <w:footnoteRef/>
      </w:r>
      <w:r>
        <w:rPr>
          <w:lang w:val="fr-FR"/>
        </w:rPr>
        <w:tab/>
      </w:r>
      <w:r w:rsidR="00F1574D" w:rsidRPr="00E62B90">
        <w:rPr>
          <w:lang w:val="fr-FR"/>
        </w:rPr>
        <w:t>Conformément au programme de travail du Sous-Comité pour la période 2017-2018, 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055" w:rsidRPr="00446055" w:rsidRDefault="00A45764">
    <w:pPr>
      <w:pStyle w:val="Header"/>
    </w:pPr>
    <w:r>
      <w:fldChar w:fldCharType="begin"/>
    </w:r>
    <w:r>
      <w:instrText xml:space="preserve"> TITLE  \* MERGEFORMAT </w:instrText>
    </w:r>
    <w:r>
      <w:fldChar w:fldCharType="separate"/>
    </w:r>
    <w:r>
      <w:t>ST/SG/AC.10/C.3/2018/26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055" w:rsidRPr="00446055" w:rsidRDefault="00A45764" w:rsidP="00446055">
    <w:pPr>
      <w:pStyle w:val="Header"/>
      <w:jc w:val="right"/>
    </w:pPr>
    <w:r>
      <w:fldChar w:fldCharType="begin"/>
    </w:r>
    <w:r>
      <w:instrText xml:space="preserve"> TITLE  \* MERGEFORMAT </w:instrText>
    </w:r>
    <w:r>
      <w:fldChar w:fldCharType="separate"/>
    </w:r>
    <w:r>
      <w:t>ST/SG/AC.10/C.3/2018/26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A7F56"/>
    <w:multiLevelType w:val="hybridMultilevel"/>
    <w:tmpl w:val="77AA4E18"/>
    <w:lvl w:ilvl="0" w:tplc="02A6D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3C"/>
    <w:rsid w:val="00017F94"/>
    <w:rsid w:val="00023842"/>
    <w:rsid w:val="000305D3"/>
    <w:rsid w:val="000334F9"/>
    <w:rsid w:val="00061ABB"/>
    <w:rsid w:val="0007796D"/>
    <w:rsid w:val="00085220"/>
    <w:rsid w:val="000B7790"/>
    <w:rsid w:val="00111F2F"/>
    <w:rsid w:val="00132EA9"/>
    <w:rsid w:val="0014365E"/>
    <w:rsid w:val="00176178"/>
    <w:rsid w:val="001F525A"/>
    <w:rsid w:val="00223272"/>
    <w:rsid w:val="0024779E"/>
    <w:rsid w:val="00271383"/>
    <w:rsid w:val="00283190"/>
    <w:rsid w:val="002832AC"/>
    <w:rsid w:val="002D7C93"/>
    <w:rsid w:val="0037603C"/>
    <w:rsid w:val="004269E7"/>
    <w:rsid w:val="004419DB"/>
    <w:rsid w:val="00441C3B"/>
    <w:rsid w:val="00446055"/>
    <w:rsid w:val="00446FE5"/>
    <w:rsid w:val="00452396"/>
    <w:rsid w:val="00470CB4"/>
    <w:rsid w:val="004E468C"/>
    <w:rsid w:val="005505B7"/>
    <w:rsid w:val="00561B59"/>
    <w:rsid w:val="00573BE5"/>
    <w:rsid w:val="00584DC4"/>
    <w:rsid w:val="00586ED3"/>
    <w:rsid w:val="00596AA9"/>
    <w:rsid w:val="005F1CAF"/>
    <w:rsid w:val="005F67B3"/>
    <w:rsid w:val="00626661"/>
    <w:rsid w:val="0068456F"/>
    <w:rsid w:val="0071601D"/>
    <w:rsid w:val="007918AE"/>
    <w:rsid w:val="007A62E6"/>
    <w:rsid w:val="0080684C"/>
    <w:rsid w:val="00815E59"/>
    <w:rsid w:val="00833028"/>
    <w:rsid w:val="00837FCF"/>
    <w:rsid w:val="008526BD"/>
    <w:rsid w:val="00871C75"/>
    <w:rsid w:val="008776DC"/>
    <w:rsid w:val="008B40CD"/>
    <w:rsid w:val="00924FC5"/>
    <w:rsid w:val="0095120B"/>
    <w:rsid w:val="009654CD"/>
    <w:rsid w:val="009705C8"/>
    <w:rsid w:val="009C1CF4"/>
    <w:rsid w:val="00A079FA"/>
    <w:rsid w:val="00A07AEB"/>
    <w:rsid w:val="00A30353"/>
    <w:rsid w:val="00A45764"/>
    <w:rsid w:val="00A527C0"/>
    <w:rsid w:val="00AC3823"/>
    <w:rsid w:val="00AE323C"/>
    <w:rsid w:val="00B00181"/>
    <w:rsid w:val="00B00B0D"/>
    <w:rsid w:val="00B765F7"/>
    <w:rsid w:val="00BA0CA9"/>
    <w:rsid w:val="00BE70AC"/>
    <w:rsid w:val="00BF5CD6"/>
    <w:rsid w:val="00C02897"/>
    <w:rsid w:val="00C15592"/>
    <w:rsid w:val="00D3439C"/>
    <w:rsid w:val="00D37690"/>
    <w:rsid w:val="00DB1831"/>
    <w:rsid w:val="00DD3BFD"/>
    <w:rsid w:val="00DF6678"/>
    <w:rsid w:val="00E42717"/>
    <w:rsid w:val="00EB2F62"/>
    <w:rsid w:val="00EF2E22"/>
    <w:rsid w:val="00F01738"/>
    <w:rsid w:val="00F1574D"/>
    <w:rsid w:val="00F45ECB"/>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D9CBB87-FD76-4169-8355-84ABE162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085220"/>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F1574D"/>
    <w:rPr>
      <w:rFonts w:ascii="Times New Roman" w:eastAsiaTheme="minorHAnsi" w:hAnsi="Times New Roman" w:cs="Times New Roman"/>
      <w:sz w:val="20"/>
      <w:szCs w:val="20"/>
      <w:lang w:eastAsia="en-US"/>
    </w:rPr>
  </w:style>
  <w:style w:type="character" w:customStyle="1" w:styleId="HChGChar">
    <w:name w:val="_ H _Ch_G Char"/>
    <w:link w:val="HChG"/>
    <w:rsid w:val="00F1574D"/>
    <w:rPr>
      <w:rFonts w:ascii="Times New Roman" w:eastAsiaTheme="minorHAnsi" w:hAnsi="Times New Roman" w:cs="Times New Roman"/>
      <w:b/>
      <w:sz w:val="28"/>
      <w:szCs w:val="20"/>
      <w:lang w:eastAsia="en-US"/>
    </w:rPr>
  </w:style>
  <w:style w:type="character" w:customStyle="1" w:styleId="H1GChar">
    <w:name w:val="_ H_1_G Char"/>
    <w:link w:val="H1G"/>
    <w:locked/>
    <w:rsid w:val="00F1574D"/>
    <w:rPr>
      <w:rFonts w:ascii="Times New Roman" w:eastAsiaTheme="minorHAnsi" w:hAnsi="Times New Roman" w:cs="Times New Roman"/>
      <w:b/>
      <w:sz w:val="24"/>
      <w:szCs w:val="20"/>
      <w:lang w:eastAsia="en-US"/>
    </w:rPr>
  </w:style>
  <w:style w:type="paragraph" w:styleId="ListParagraph">
    <w:name w:val="List Paragraph"/>
    <w:basedOn w:val="Normal"/>
    <w:uiPriority w:val="34"/>
    <w:qFormat/>
    <w:rsid w:val="00F1574D"/>
    <w:pPr>
      <w:suppressAutoHyphens w:val="0"/>
      <w:spacing w:after="200" w:line="276" w:lineRule="auto"/>
      <w:ind w:left="720"/>
      <w:contextualSpacing/>
    </w:pPr>
    <w:rPr>
      <w:rFonts w:ascii="Arial" w:eastAsia="SimSun" w:hAnsi="Arial" w:cs="Arial Unicode MS"/>
      <w:szCs w:val="3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103/e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9662</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ST/SG/AC.10/C.3/2018/26</vt:lpstr>
      <vt:lpstr>ST/SG/AC.10/C.3/2018/26</vt:lpstr>
    </vt:vector>
  </TitlesOfParts>
  <Company>DCM</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ST/SG/AC.10/C.3/2018/26</dc:title>
  <dc:subject/>
  <dc:creator>Nath VITTOZ</dc:creator>
  <cp:keywords/>
  <cp:lastModifiedBy>Laurence Berthet</cp:lastModifiedBy>
  <cp:revision>3</cp:revision>
  <cp:lastPrinted>2018-05-08T18:45:00Z</cp:lastPrinted>
  <dcterms:created xsi:type="dcterms:W3CDTF">2018-05-08T18:45:00Z</dcterms:created>
  <dcterms:modified xsi:type="dcterms:W3CDTF">2018-05-08T18:45:00Z</dcterms:modified>
</cp:coreProperties>
</file>