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B87E0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87E05" w:rsidP="00B87E05">
            <w:pPr>
              <w:jc w:val="right"/>
            </w:pPr>
            <w:r w:rsidRPr="00B87E05">
              <w:rPr>
                <w:sz w:val="40"/>
              </w:rPr>
              <w:t>ST</w:t>
            </w:r>
            <w:r>
              <w:t>/SG/AC.10/C.3/2018/23</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87E05" w:rsidP="00F01738">
            <w:pPr>
              <w:spacing w:before="240"/>
            </w:pPr>
            <w:proofErr w:type="spellStart"/>
            <w:r>
              <w:t>Distr</w:t>
            </w:r>
            <w:proofErr w:type="spellEnd"/>
            <w:r>
              <w:t>. générale</w:t>
            </w:r>
          </w:p>
          <w:p w:rsidR="00B87E05" w:rsidRDefault="00B87E05" w:rsidP="00B87E05">
            <w:pPr>
              <w:spacing w:line="240" w:lineRule="exact"/>
            </w:pPr>
            <w:r>
              <w:t>28 mars 2018</w:t>
            </w:r>
          </w:p>
          <w:p w:rsidR="00B87E05" w:rsidRDefault="00B87E05" w:rsidP="00B87E05">
            <w:pPr>
              <w:spacing w:line="240" w:lineRule="exact"/>
            </w:pPr>
            <w:r>
              <w:t>Français</w:t>
            </w:r>
          </w:p>
          <w:p w:rsidR="00B87E05" w:rsidRPr="00DB58B5" w:rsidRDefault="00B87E05" w:rsidP="00B87E05">
            <w:pPr>
              <w:spacing w:line="240" w:lineRule="exact"/>
            </w:pPr>
            <w:r>
              <w:t>Original : anglais</w:t>
            </w:r>
          </w:p>
        </w:tc>
      </w:tr>
    </w:tbl>
    <w:p w:rsidR="00B87E05" w:rsidRPr="00CA0680" w:rsidRDefault="00B87E05" w:rsidP="00B87E05">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B87E05" w:rsidRPr="00CA0680" w:rsidRDefault="00B87E05" w:rsidP="00B87E05">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B87E05" w:rsidRDefault="00B87E05" w:rsidP="00B87E05">
      <w:pPr>
        <w:spacing w:before="120"/>
        <w:rPr>
          <w:b/>
        </w:rPr>
      </w:pPr>
      <w:r w:rsidRPr="00671137">
        <w:rPr>
          <w:b/>
          <w:lang w:val="fr-FR"/>
        </w:rPr>
        <w:t>Cinquante-troisième</w:t>
      </w:r>
      <w:r>
        <w:rPr>
          <w:b/>
        </w:rPr>
        <w:t xml:space="preserve"> </w:t>
      </w:r>
      <w:r w:rsidRPr="00CA0680">
        <w:rPr>
          <w:b/>
        </w:rPr>
        <w:t>session</w:t>
      </w:r>
    </w:p>
    <w:p w:rsidR="00B87E05" w:rsidRPr="00671137" w:rsidRDefault="00B87E05" w:rsidP="00B87E05">
      <w:r>
        <w:t xml:space="preserve">Genève, </w:t>
      </w:r>
      <w:r>
        <w:rPr>
          <w:lang w:val="fr-FR"/>
        </w:rPr>
        <w:t>25 juin-4 juillet 2018</w:t>
      </w:r>
    </w:p>
    <w:p w:rsidR="00B87E05" w:rsidRDefault="00B87E05" w:rsidP="00B87E05">
      <w:pPr>
        <w:rPr>
          <w:lang w:val="fr-FR"/>
        </w:rPr>
      </w:pPr>
      <w:r>
        <w:rPr>
          <w:lang w:val="fr-FR"/>
        </w:rPr>
        <w:t xml:space="preserve">Point 5 b) de l’ordre du jour provisoire </w:t>
      </w:r>
    </w:p>
    <w:p w:rsidR="00B87E05" w:rsidRDefault="00B87E05" w:rsidP="00B87E05">
      <w:pPr>
        <w:rPr>
          <w:b/>
          <w:bCs/>
          <w:lang w:val="fr-FR"/>
        </w:rPr>
      </w:pPr>
      <w:r>
        <w:rPr>
          <w:b/>
          <w:bCs/>
          <w:lang w:val="fr-FR"/>
        </w:rPr>
        <w:t>Transport de gaz : questions diverses</w:t>
      </w:r>
    </w:p>
    <w:p w:rsidR="00B87E05" w:rsidRPr="00671137" w:rsidRDefault="00B87E05" w:rsidP="00581CA2">
      <w:pPr>
        <w:pStyle w:val="HChG"/>
      </w:pPr>
      <w:r>
        <w:rPr>
          <w:lang w:val="fr-FR"/>
        </w:rPr>
        <w:tab/>
      </w:r>
      <w:r>
        <w:rPr>
          <w:lang w:val="fr-FR"/>
        </w:rPr>
        <w:tab/>
        <w:t xml:space="preserve">Ajout de nouvelles normes ISO relatives à la classe 2 </w:t>
      </w:r>
      <w:r>
        <w:rPr>
          <w:lang w:val="fr-FR"/>
        </w:rPr>
        <w:br/>
        <w:t>et mises à jour</w:t>
      </w:r>
    </w:p>
    <w:p w:rsidR="00B87E05" w:rsidRPr="00671137" w:rsidRDefault="00B87E05" w:rsidP="00581CA2">
      <w:pPr>
        <w:pStyle w:val="H1G"/>
      </w:pPr>
      <w:r>
        <w:rPr>
          <w:lang w:val="fr-FR"/>
        </w:rPr>
        <w:tab/>
      </w:r>
      <w:r>
        <w:rPr>
          <w:lang w:val="fr-FR"/>
        </w:rPr>
        <w:tab/>
      </w:r>
      <w:r w:rsidRPr="00E278DC">
        <w:rPr>
          <w:lang w:val="fr-FR"/>
        </w:rPr>
        <w:t>Communication de l’Organisation internationale de normalisation</w:t>
      </w:r>
      <w:r>
        <w:rPr>
          <w:lang w:val="fr-FR"/>
        </w:rPr>
        <w:t xml:space="preserve"> (ISO)</w:t>
      </w:r>
      <w:r w:rsidRPr="00787691">
        <w:rPr>
          <w:rStyle w:val="FootnoteReference"/>
          <w:b w:val="0"/>
        </w:rPr>
        <w:footnoteReference w:id="2"/>
      </w:r>
    </w:p>
    <w:p w:rsidR="00B87E05" w:rsidRPr="00671137" w:rsidRDefault="00B87E05" w:rsidP="00581CA2">
      <w:pPr>
        <w:pStyle w:val="HChG"/>
      </w:pPr>
      <w:r>
        <w:rPr>
          <w:lang w:val="fr-FR"/>
        </w:rPr>
        <w:tab/>
      </w:r>
      <w:r>
        <w:rPr>
          <w:lang w:val="fr-FR"/>
        </w:rPr>
        <w:tab/>
      </w:r>
      <w:r w:rsidRPr="00581CA2">
        <w:t>Introduction</w:t>
      </w:r>
    </w:p>
    <w:p w:rsidR="00B87E05" w:rsidRPr="00671137" w:rsidRDefault="00B87E05" w:rsidP="00B87E05">
      <w:pPr>
        <w:pStyle w:val="SingleTxtG"/>
      </w:pPr>
      <w:r>
        <w:rPr>
          <w:lang w:val="fr-FR"/>
        </w:rPr>
        <w:t>1.</w:t>
      </w:r>
      <w:r>
        <w:rPr>
          <w:lang w:val="fr-FR"/>
        </w:rPr>
        <w:tab/>
        <w:t>Les propositions soumises dans le présent document concernent cinq normes, parmi lesquelles trois nouvelles normes à ajouter, une révision et une modification.</w:t>
      </w:r>
    </w:p>
    <w:p w:rsidR="00B87E05" w:rsidRPr="00671137" w:rsidRDefault="00B87E05" w:rsidP="00B87E05">
      <w:pPr>
        <w:pStyle w:val="SingleTxtG"/>
      </w:pPr>
      <w:r>
        <w:rPr>
          <w:lang w:val="fr-FR"/>
        </w:rPr>
        <w:t>Les titres de ces normes sont :</w:t>
      </w:r>
    </w:p>
    <w:p w:rsidR="00B87E05" w:rsidRPr="00671137" w:rsidRDefault="00B87E05" w:rsidP="00B87E05">
      <w:pPr>
        <w:pStyle w:val="Bullet1G"/>
        <w:numPr>
          <w:ilvl w:val="0"/>
          <w:numId w:val="17"/>
        </w:numPr>
        <w:kinsoku/>
        <w:overflowPunct/>
        <w:autoSpaceDE/>
        <w:autoSpaceDN/>
        <w:adjustRightInd/>
        <w:snapToGrid/>
        <w:rPr>
          <w:color w:val="000000"/>
        </w:rPr>
      </w:pPr>
      <w:r>
        <w:rPr>
          <w:lang w:val="fr-FR"/>
        </w:rPr>
        <w:t>ISO 10156:2017 Bouteilles à gaz − Gaz et mélanges de gaz − Détermination du potentiel d’inflammabilité et d’oxydation pour le choix des raccords de sortie de robinets ;</w:t>
      </w:r>
    </w:p>
    <w:p w:rsidR="00B87E05" w:rsidRPr="00671137" w:rsidRDefault="00B87E05" w:rsidP="00B87E05">
      <w:pPr>
        <w:pStyle w:val="Bullet1G"/>
        <w:numPr>
          <w:ilvl w:val="0"/>
          <w:numId w:val="17"/>
        </w:numPr>
        <w:kinsoku/>
        <w:overflowPunct/>
        <w:autoSpaceDE/>
        <w:autoSpaceDN/>
        <w:adjustRightInd/>
        <w:snapToGrid/>
        <w:rPr>
          <w:color w:val="000000"/>
        </w:rPr>
      </w:pPr>
      <w:r>
        <w:rPr>
          <w:lang w:val="fr-FR"/>
        </w:rPr>
        <w:t>ISO 11119-4:2016 Bouteilles à gaz − Bouteilles à gaz rechargeables en matériau composite et tubes − Conception, construction et essais − Partie 4 : Bouteilles à gaz composites entièrement bobinées renforcées par des fibres et tubes d’une contenance allant jusqu’à 150</w:t>
      </w:r>
      <w:r w:rsidR="00581CA2">
        <w:rPr>
          <w:lang w:val="fr-FR"/>
        </w:rPr>
        <w:t> </w:t>
      </w:r>
      <w:r>
        <w:rPr>
          <w:lang w:val="fr-FR"/>
        </w:rPr>
        <w:t>l avec liners métalliques transmettant la charge ;</w:t>
      </w:r>
    </w:p>
    <w:p w:rsidR="00B87E05" w:rsidRPr="00671137" w:rsidRDefault="00B87E05" w:rsidP="00B87E05">
      <w:pPr>
        <w:pStyle w:val="Bullet1G"/>
        <w:numPr>
          <w:ilvl w:val="0"/>
          <w:numId w:val="17"/>
        </w:numPr>
        <w:kinsoku/>
        <w:overflowPunct/>
        <w:autoSpaceDE/>
        <w:autoSpaceDN/>
        <w:adjustRightInd/>
        <w:snapToGrid/>
        <w:rPr>
          <w:color w:val="000000"/>
        </w:rPr>
      </w:pPr>
      <w:r>
        <w:rPr>
          <w:lang w:val="fr-FR"/>
        </w:rPr>
        <w:t>ISO 14246:2014 + Amd.1:2017 Bouteilles à gaz − Robinets de bouteilles à gaz − Essais de fabrication et contrôles ;</w:t>
      </w:r>
    </w:p>
    <w:p w:rsidR="00B87E05" w:rsidRPr="00671137" w:rsidRDefault="00B87E05" w:rsidP="00B87E05">
      <w:pPr>
        <w:pStyle w:val="Bullet1G"/>
        <w:numPr>
          <w:ilvl w:val="0"/>
          <w:numId w:val="17"/>
        </w:numPr>
        <w:kinsoku/>
        <w:overflowPunct/>
        <w:autoSpaceDE/>
        <w:autoSpaceDN/>
        <w:adjustRightInd/>
        <w:snapToGrid/>
      </w:pPr>
      <w:r>
        <w:rPr>
          <w:lang w:val="fr-FR"/>
        </w:rPr>
        <w:t>ISO 17879:2017 Bouteilles à gaz − Robinets de bouteilles équipés de clapets auto-</w:t>
      </w:r>
      <w:proofErr w:type="spellStart"/>
      <w:r>
        <w:rPr>
          <w:lang w:val="fr-FR"/>
        </w:rPr>
        <w:t>obturants</w:t>
      </w:r>
      <w:proofErr w:type="spellEnd"/>
      <w:r>
        <w:rPr>
          <w:lang w:val="fr-FR"/>
        </w:rPr>
        <w:t xml:space="preserve"> − Spécifications et essais de type ;</w:t>
      </w:r>
    </w:p>
    <w:p w:rsidR="00B87E05" w:rsidRPr="00671137" w:rsidRDefault="00B87E05" w:rsidP="00B87E05">
      <w:pPr>
        <w:pStyle w:val="Bullet1G"/>
        <w:numPr>
          <w:ilvl w:val="0"/>
          <w:numId w:val="17"/>
        </w:numPr>
        <w:kinsoku/>
        <w:overflowPunct/>
        <w:autoSpaceDE/>
        <w:autoSpaceDN/>
        <w:adjustRightInd/>
        <w:snapToGrid/>
      </w:pPr>
      <w:r>
        <w:rPr>
          <w:lang w:val="fr-FR"/>
        </w:rPr>
        <w:t>ISO 20475:2018 Bouteilles à gaz − Cadres de bouteilles − Contrôles et essais périodiques.</w:t>
      </w:r>
    </w:p>
    <w:p w:rsidR="00B87E05" w:rsidRPr="00671137" w:rsidRDefault="00B87E05" w:rsidP="00B87E05">
      <w:pPr>
        <w:pStyle w:val="SingleTxtG"/>
      </w:pPr>
      <w:r>
        <w:rPr>
          <w:lang w:val="fr-FR"/>
        </w:rPr>
        <w:lastRenderedPageBreak/>
        <w:t>2.</w:t>
      </w:r>
      <w:r>
        <w:rPr>
          <w:lang w:val="fr-FR"/>
        </w:rPr>
        <w:tab/>
        <w:t xml:space="preserve">Les dispositions habituelles ont été prises avec le secrétariat pour que des copies PDF de ces documents soient communiquées aux experts. </w:t>
      </w:r>
    </w:p>
    <w:p w:rsidR="00B87E05" w:rsidRPr="00E10E43" w:rsidRDefault="00B87E05" w:rsidP="00B87E05">
      <w:pPr>
        <w:pStyle w:val="Default"/>
        <w:spacing w:after="120"/>
        <w:ind w:left="1134" w:right="1134"/>
        <w:jc w:val="both"/>
        <w:rPr>
          <w:color w:val="auto"/>
          <w:sz w:val="16"/>
          <w:szCs w:val="20"/>
          <w:lang w:val="fr-CH"/>
        </w:rPr>
      </w:pPr>
      <w:r w:rsidRPr="00E10E43">
        <w:rPr>
          <w:sz w:val="20"/>
          <w:lang w:val="fr-FR"/>
        </w:rPr>
        <w:t>3.</w:t>
      </w:r>
      <w:r w:rsidRPr="00E10E43">
        <w:rPr>
          <w:sz w:val="20"/>
          <w:lang w:val="fr-FR"/>
        </w:rPr>
        <w:tab/>
        <w:t>Il est également proposé de supprimer une ancienne norme relative aux contrôles périodiques des bouteilles d</w:t>
      </w:r>
      <w:r>
        <w:rPr>
          <w:sz w:val="20"/>
          <w:lang w:val="fr-FR"/>
        </w:rPr>
        <w:t>’</w:t>
      </w:r>
      <w:r w:rsidRPr="00E10E43">
        <w:rPr>
          <w:sz w:val="20"/>
          <w:lang w:val="fr-FR"/>
        </w:rPr>
        <w:t>acétylène.</w:t>
      </w:r>
    </w:p>
    <w:p w:rsidR="00B87E05" w:rsidRPr="00671137" w:rsidRDefault="00B87E05" w:rsidP="00B87E05">
      <w:pPr>
        <w:pStyle w:val="HChG"/>
      </w:pPr>
      <w:r>
        <w:rPr>
          <w:lang w:val="fr-FR"/>
        </w:rPr>
        <w:tab/>
      </w:r>
      <w:r>
        <w:rPr>
          <w:lang w:val="fr-FR"/>
        </w:rPr>
        <w:tab/>
      </w:r>
      <w:r>
        <w:rPr>
          <w:bCs/>
          <w:lang w:val="fr-FR"/>
        </w:rPr>
        <w:t>Proposition 1</w:t>
      </w:r>
    </w:p>
    <w:p w:rsidR="00B87E05" w:rsidRPr="00671137" w:rsidRDefault="00B87E05" w:rsidP="00B87E05">
      <w:pPr>
        <w:pStyle w:val="SingleTxtG"/>
        <w:rPr>
          <w:i/>
        </w:rPr>
      </w:pPr>
      <w:r>
        <w:rPr>
          <w:lang w:val="fr-FR"/>
        </w:rPr>
        <w:t>4.</w:t>
      </w:r>
      <w:r>
        <w:rPr>
          <w:lang w:val="fr-FR"/>
        </w:rPr>
        <w:tab/>
        <w:t xml:space="preserve">Remplacer « ISO 10156:2010 » par « ISO 10156:2017 » aux endroits suivants : dans le 2.2.2.1 a) ii), dans la </w:t>
      </w:r>
      <w:r>
        <w:rPr>
          <w:b/>
          <w:bCs/>
          <w:i/>
          <w:iCs/>
          <w:lang w:val="fr-FR"/>
        </w:rPr>
        <w:t>NOTA</w:t>
      </w:r>
      <w:r>
        <w:rPr>
          <w:lang w:val="fr-FR"/>
        </w:rPr>
        <w:t xml:space="preserve"> figurant après le 2.2.2.1 b) iii), dans le 2.2.3 a) et dans le 2.2.3 d).</w:t>
      </w:r>
    </w:p>
    <w:p w:rsidR="00B87E05" w:rsidRPr="00671137" w:rsidRDefault="00B87E05" w:rsidP="00B87E05">
      <w:pPr>
        <w:pStyle w:val="H1G"/>
      </w:pPr>
      <w:r>
        <w:rPr>
          <w:lang w:val="fr-FR"/>
        </w:rPr>
        <w:tab/>
      </w:r>
      <w:r>
        <w:rPr>
          <w:lang w:val="fr-FR"/>
        </w:rPr>
        <w:tab/>
      </w:r>
      <w:r w:rsidRPr="00787691">
        <w:t>Justification</w:t>
      </w:r>
    </w:p>
    <w:p w:rsidR="00B87E05" w:rsidRPr="00671137" w:rsidRDefault="00B87E05" w:rsidP="00B87E05">
      <w:pPr>
        <w:pStyle w:val="SingleTxtG"/>
      </w:pPr>
      <w:r>
        <w:rPr>
          <w:lang w:val="fr-FR"/>
        </w:rPr>
        <w:t>5.</w:t>
      </w:r>
      <w:r>
        <w:rPr>
          <w:lang w:val="fr-FR"/>
        </w:rPr>
        <w:tab/>
        <w:t>La norme ISO 10156:1996 a été citée en référence pour les épreuves et les calculs de l’inflammabilité au moins jusqu’à la douzième édition révisée du Règlement type. La norme ISO 10156-2:2005, qui a ajouté des méthode d’épreuve et de calcul du pouvoir comburant, a été intégrée à la quinzième édition révisée du Règlement type. Ces deux normes ont ensuite été fusionnées pour former la norme ISO 10156:2010. Cette norme est mise à jour par la norme ISO 10156:2017, qui intègre une méthode de calcul permettant de déterminer la limite inférieure d’inflammabilité d’un mélange de gaz.</w:t>
      </w:r>
    </w:p>
    <w:p w:rsidR="00B87E05" w:rsidRPr="00671137" w:rsidRDefault="00B87E05" w:rsidP="00B87E05">
      <w:pPr>
        <w:pStyle w:val="HChG"/>
      </w:pPr>
      <w:r>
        <w:rPr>
          <w:lang w:val="fr-FR"/>
        </w:rPr>
        <w:tab/>
      </w:r>
      <w:r>
        <w:rPr>
          <w:lang w:val="fr-FR"/>
        </w:rPr>
        <w:tab/>
      </w:r>
      <w:r w:rsidRPr="00787691">
        <w:t>Proposition</w:t>
      </w:r>
      <w:r>
        <w:rPr>
          <w:lang w:val="fr-FR"/>
        </w:rPr>
        <w:t xml:space="preserve"> 2</w:t>
      </w:r>
    </w:p>
    <w:p w:rsidR="00B87E05" w:rsidRPr="00671137" w:rsidRDefault="00B87E05" w:rsidP="00B87E05">
      <w:pPr>
        <w:ind w:left="1134" w:right="1134"/>
        <w:jc w:val="both"/>
      </w:pPr>
      <w:r>
        <w:rPr>
          <w:lang w:val="fr-FR"/>
        </w:rPr>
        <w:t>6.</w:t>
      </w:r>
      <w:r>
        <w:rPr>
          <w:lang w:val="fr-FR"/>
        </w:rPr>
        <w:tab/>
        <w:t>Dans le 6.2.2.1.1, ajouter la nouvelle ligne suivante à la fin du tableau (après la norme ISO 11119-3:2013) :</w:t>
      </w:r>
    </w:p>
    <w:p w:rsidR="00B87E05" w:rsidRPr="00671137" w:rsidRDefault="00B87E05" w:rsidP="00B87E05">
      <w:pPr>
        <w:ind w:left="1134" w:right="1134"/>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4498"/>
        <w:gridCol w:w="1275"/>
      </w:tblGrid>
      <w:tr w:rsidR="00B87E05" w:rsidRPr="00AA6F5C" w:rsidTr="00555303">
        <w:tc>
          <w:tcPr>
            <w:tcW w:w="1706" w:type="dxa"/>
            <w:shd w:val="clear" w:color="auto" w:fill="auto"/>
          </w:tcPr>
          <w:p w:rsidR="00B87E05" w:rsidRPr="00AA6F5C" w:rsidRDefault="00B87E05" w:rsidP="00555303">
            <w:pPr>
              <w:spacing w:before="60" w:after="60"/>
              <w:ind w:left="57" w:right="57"/>
            </w:pPr>
            <w:r>
              <w:rPr>
                <w:lang w:val="fr-FR"/>
              </w:rPr>
              <w:t xml:space="preserve">ISO 11119-4:2016 </w:t>
            </w:r>
          </w:p>
        </w:tc>
        <w:tc>
          <w:tcPr>
            <w:tcW w:w="4498" w:type="dxa"/>
            <w:shd w:val="clear" w:color="auto" w:fill="auto"/>
          </w:tcPr>
          <w:p w:rsidR="00B87E05" w:rsidRPr="00671137" w:rsidRDefault="00B87E05" w:rsidP="00555303">
            <w:pPr>
              <w:spacing w:before="60" w:after="60"/>
              <w:ind w:left="57" w:right="57"/>
            </w:pPr>
            <w:r>
              <w:rPr>
                <w:lang w:val="fr-FR"/>
              </w:rPr>
              <w:t>Bouteilles à gaz − Bouteilles à gaz rechargeables en matériau composite et tubes − Conception, construction et essais − Partie 4 : Bouteilles à gaz composites entièrement bobinées renforcées par des fibres et tubes d’une contenance allant jusqu’à 150 l avec liners métalliques transmettant la charge</w:t>
            </w:r>
          </w:p>
        </w:tc>
        <w:tc>
          <w:tcPr>
            <w:tcW w:w="1275" w:type="dxa"/>
            <w:shd w:val="clear" w:color="auto" w:fill="auto"/>
          </w:tcPr>
          <w:p w:rsidR="00B87E05" w:rsidRPr="00AA6F5C" w:rsidRDefault="00B87E05" w:rsidP="00555303">
            <w:pPr>
              <w:spacing w:before="60" w:after="60"/>
              <w:ind w:left="57" w:right="57"/>
            </w:pPr>
            <w:r>
              <w:rPr>
                <w:lang w:val="fr-FR"/>
              </w:rPr>
              <w:t>Jusqu’à nouvel ordre</w:t>
            </w:r>
          </w:p>
        </w:tc>
      </w:tr>
    </w:tbl>
    <w:p w:rsidR="00B87E05" w:rsidRPr="007B2B1F" w:rsidRDefault="00B87E05" w:rsidP="00B87E05">
      <w:pPr>
        <w:pStyle w:val="H1G"/>
      </w:pPr>
      <w:r>
        <w:rPr>
          <w:lang w:val="fr-FR"/>
        </w:rPr>
        <w:tab/>
      </w:r>
      <w:r>
        <w:rPr>
          <w:lang w:val="fr-FR"/>
        </w:rPr>
        <w:tab/>
      </w:r>
      <w:r>
        <w:rPr>
          <w:bCs/>
          <w:lang w:val="fr-FR"/>
        </w:rPr>
        <w:t>Justification</w:t>
      </w:r>
    </w:p>
    <w:p w:rsidR="00B87E05" w:rsidRPr="00671137" w:rsidRDefault="00B87E05" w:rsidP="00B87E05">
      <w:pPr>
        <w:ind w:left="1134" w:right="1134"/>
        <w:jc w:val="both"/>
      </w:pPr>
      <w:r>
        <w:rPr>
          <w:lang w:val="fr-FR"/>
        </w:rPr>
        <w:t>7.</w:t>
      </w:r>
      <w:r>
        <w:rPr>
          <w:lang w:val="fr-FR"/>
        </w:rPr>
        <w:tab/>
        <w:t>Les trois premières parties de la série de normes ISO 11119 portent sur divers modèles de bouteilles composites avec liners sans soudure. Cette quatrième partie contient les prescriptions relatives à la conception, la construction et les essais des bouteilles composites avec liners métalliques soudés. Cette proposition d’ajout a déjà été formulée dans le document ST/SG/AC.10/C.3/2017/17 soumis à la cinquante et unième session du Sous-Comité, puis elle a été retirée afin de discuter plus avant de certains problèmes techniques, qui sont désormais tous résolus.</w:t>
      </w:r>
    </w:p>
    <w:p w:rsidR="00B87E05" w:rsidRPr="00671137" w:rsidRDefault="00B87E05" w:rsidP="00B87E05">
      <w:pPr>
        <w:pStyle w:val="HChG"/>
      </w:pPr>
      <w:r>
        <w:rPr>
          <w:lang w:val="fr-FR"/>
        </w:rPr>
        <w:tab/>
      </w:r>
      <w:r>
        <w:rPr>
          <w:lang w:val="fr-FR"/>
        </w:rPr>
        <w:tab/>
      </w:r>
      <w:r>
        <w:rPr>
          <w:bCs/>
          <w:lang w:val="fr-FR"/>
        </w:rPr>
        <w:t>Proposition 3</w:t>
      </w:r>
    </w:p>
    <w:p w:rsidR="00B87E05" w:rsidRPr="00671137" w:rsidRDefault="00B87E05" w:rsidP="00B87E05">
      <w:pPr>
        <w:pStyle w:val="SingleTxtG"/>
      </w:pPr>
      <w:r>
        <w:rPr>
          <w:lang w:val="fr-FR"/>
        </w:rPr>
        <w:t>8.</w:t>
      </w:r>
      <w:r>
        <w:rPr>
          <w:lang w:val="fr-FR"/>
        </w:rPr>
        <w:tab/>
        <w:t>Dans le 6.2.2.3, à la ligne commençant par ISO 14246:2014, remplacer « Jusqu’à nouvel ordre » par « Jusqu’au 31 décembre 2024 ». En dessous de celle-ci,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B87E05" w:rsidRPr="00AA6F5C" w:rsidTr="00555303">
        <w:tc>
          <w:tcPr>
            <w:tcW w:w="1706" w:type="dxa"/>
            <w:shd w:val="clear" w:color="auto" w:fill="auto"/>
            <w:tcMar>
              <w:left w:w="0" w:type="dxa"/>
              <w:right w:w="0" w:type="dxa"/>
            </w:tcMar>
          </w:tcPr>
          <w:p w:rsidR="00B87E05" w:rsidRPr="00AA6F5C" w:rsidRDefault="00B87E05" w:rsidP="00555303">
            <w:pPr>
              <w:spacing w:before="60" w:after="60"/>
              <w:ind w:left="57" w:right="57"/>
            </w:pPr>
            <w:r>
              <w:rPr>
                <w:lang w:val="fr-FR"/>
              </w:rPr>
              <w:t xml:space="preserve">ISO 14246:2014 + </w:t>
            </w:r>
            <w:proofErr w:type="spellStart"/>
            <w:r>
              <w:rPr>
                <w:lang w:val="fr-FR"/>
              </w:rPr>
              <w:t>Amd</w:t>
            </w:r>
            <w:proofErr w:type="spellEnd"/>
            <w:r>
              <w:rPr>
                <w:lang w:val="fr-FR"/>
              </w:rPr>
              <w:t xml:space="preserve"> 1:2017 </w:t>
            </w:r>
          </w:p>
        </w:tc>
        <w:tc>
          <w:tcPr>
            <w:tcW w:w="4498" w:type="dxa"/>
            <w:shd w:val="clear" w:color="auto" w:fill="auto"/>
            <w:tcMar>
              <w:left w:w="0" w:type="dxa"/>
              <w:right w:w="0" w:type="dxa"/>
            </w:tcMar>
          </w:tcPr>
          <w:p w:rsidR="00B87E05" w:rsidRPr="00671137" w:rsidRDefault="00B87E05" w:rsidP="00555303">
            <w:pPr>
              <w:spacing w:before="60" w:after="60"/>
              <w:ind w:left="57" w:right="57"/>
            </w:pPr>
            <w:r>
              <w:rPr>
                <w:lang w:val="fr-FR"/>
              </w:rPr>
              <w:t>Bouteilles à gaz − Robinets de bouteilles à gaz − Essais de fabrication et contrôles</w:t>
            </w:r>
          </w:p>
        </w:tc>
        <w:tc>
          <w:tcPr>
            <w:tcW w:w="1275" w:type="dxa"/>
            <w:shd w:val="clear" w:color="auto" w:fill="auto"/>
            <w:tcMar>
              <w:left w:w="0" w:type="dxa"/>
              <w:right w:w="0" w:type="dxa"/>
            </w:tcMar>
          </w:tcPr>
          <w:p w:rsidR="00B87E05" w:rsidRPr="00AA6F5C" w:rsidRDefault="00B87E05" w:rsidP="00555303">
            <w:pPr>
              <w:spacing w:before="60" w:after="60"/>
              <w:ind w:left="57" w:right="57"/>
            </w:pPr>
            <w:r>
              <w:rPr>
                <w:lang w:val="fr-FR"/>
              </w:rPr>
              <w:t>Jusqu’à nouvel ordre</w:t>
            </w:r>
          </w:p>
        </w:tc>
      </w:tr>
    </w:tbl>
    <w:p w:rsidR="00B87E05" w:rsidRPr="007B2B1F" w:rsidRDefault="00B87E05" w:rsidP="00B87E05">
      <w:pPr>
        <w:pStyle w:val="H1G"/>
        <w:spacing w:before="240" w:after="120"/>
      </w:pPr>
      <w:r>
        <w:rPr>
          <w:lang w:val="fr-FR"/>
        </w:rPr>
        <w:lastRenderedPageBreak/>
        <w:tab/>
      </w:r>
      <w:r>
        <w:rPr>
          <w:lang w:val="fr-FR"/>
        </w:rPr>
        <w:tab/>
      </w:r>
      <w:r>
        <w:rPr>
          <w:bCs/>
          <w:lang w:val="fr-FR"/>
        </w:rPr>
        <w:t>Justification</w:t>
      </w:r>
    </w:p>
    <w:p w:rsidR="00B87E05" w:rsidRPr="00671137" w:rsidRDefault="00B87E05" w:rsidP="00B87E05">
      <w:pPr>
        <w:pStyle w:val="SingleTxtG"/>
      </w:pPr>
      <w:r>
        <w:rPr>
          <w:lang w:val="fr-FR"/>
        </w:rPr>
        <w:t>9.</w:t>
      </w:r>
      <w:r>
        <w:rPr>
          <w:lang w:val="fr-FR"/>
        </w:rPr>
        <w:tab/>
        <w:t>Il s’agit d’un léger amendement visant à préciser les pressions à utiliser dans le cadre de l’épreuve de pression et l’épreuve d’étanchéité des robinets de bouteilles d’acétylène.</w:t>
      </w:r>
    </w:p>
    <w:p w:rsidR="00B87E05" w:rsidRPr="00671137" w:rsidRDefault="00B87E05" w:rsidP="00B87E05">
      <w:pPr>
        <w:pStyle w:val="HChG"/>
      </w:pPr>
      <w:r>
        <w:rPr>
          <w:lang w:val="fr-FR"/>
        </w:rPr>
        <w:tab/>
      </w:r>
      <w:r>
        <w:rPr>
          <w:lang w:val="fr-FR"/>
        </w:rPr>
        <w:tab/>
      </w:r>
      <w:r>
        <w:rPr>
          <w:bCs/>
          <w:lang w:val="fr-FR"/>
        </w:rPr>
        <w:t>Proposition 4</w:t>
      </w:r>
    </w:p>
    <w:p w:rsidR="00B87E05" w:rsidRPr="00671137" w:rsidRDefault="00B87E05" w:rsidP="00B87E05">
      <w:pPr>
        <w:pStyle w:val="SingleTxtG"/>
      </w:pPr>
      <w:r>
        <w:rPr>
          <w:lang w:val="fr-FR"/>
        </w:rPr>
        <w:t>10.</w:t>
      </w:r>
      <w:r>
        <w:rPr>
          <w:lang w:val="fr-FR"/>
        </w:rPr>
        <w:tab/>
        <w:t>Dans le 4.1.6.1.8, après le paragraphe commençant par « Dans le cas de récipients à pression munis de robinets... » et se terminant par « l’annexe A de la norme ISO 10297:2014 doivent être respectées », ajouter un nouveau paragraphe libellé comme suit :</w:t>
      </w:r>
    </w:p>
    <w:p w:rsidR="00B87E05" w:rsidRPr="00671137" w:rsidRDefault="00B87E05" w:rsidP="00B87E05">
      <w:pPr>
        <w:spacing w:after="120"/>
        <w:ind w:left="1701" w:right="1134"/>
        <w:jc w:val="both"/>
      </w:pPr>
      <w:r>
        <w:rPr>
          <w:lang w:val="fr-FR"/>
        </w:rPr>
        <w:t>« Dans le cas de récipients à pression équipés de robinets à fermeture automatique munis d’une protection intégrée, les prescriptions de l’annexe A de la norme ISO 17879:2017 doivent être respectées. ».</w:t>
      </w:r>
    </w:p>
    <w:p w:rsidR="00B87E05" w:rsidRPr="00671137" w:rsidRDefault="00B87E05" w:rsidP="00B87E05">
      <w:pPr>
        <w:spacing w:after="120"/>
        <w:ind w:left="1134" w:right="1134"/>
        <w:jc w:val="both"/>
      </w:pPr>
      <w:r>
        <w:rPr>
          <w:lang w:val="fr-FR"/>
        </w:rPr>
        <w:t>11.</w:t>
      </w:r>
      <w:r>
        <w:rPr>
          <w:lang w:val="fr-FR"/>
        </w:rPr>
        <w:tab/>
        <w:t>Dans le tableau du 6.2.2.3, ajouter la nouvelle ligne suivante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4388"/>
        <w:gridCol w:w="1275"/>
      </w:tblGrid>
      <w:tr w:rsidR="00B87E05" w:rsidRPr="00AA6F5C" w:rsidTr="00555303">
        <w:tc>
          <w:tcPr>
            <w:tcW w:w="1816" w:type="dxa"/>
            <w:shd w:val="clear" w:color="auto" w:fill="auto"/>
            <w:tcMar>
              <w:left w:w="0" w:type="dxa"/>
              <w:right w:w="0" w:type="dxa"/>
            </w:tcMar>
          </w:tcPr>
          <w:p w:rsidR="00B87E05" w:rsidRPr="00AA6F5C" w:rsidRDefault="00B87E05" w:rsidP="00555303">
            <w:pPr>
              <w:spacing w:before="60" w:after="60"/>
              <w:ind w:left="57" w:right="57"/>
            </w:pPr>
            <w:r>
              <w:rPr>
                <w:lang w:val="fr-FR"/>
              </w:rPr>
              <w:t>ISO 17879:2017</w:t>
            </w:r>
          </w:p>
        </w:tc>
        <w:tc>
          <w:tcPr>
            <w:tcW w:w="4388" w:type="dxa"/>
            <w:shd w:val="clear" w:color="auto" w:fill="auto"/>
            <w:tcMar>
              <w:left w:w="0" w:type="dxa"/>
              <w:right w:w="0" w:type="dxa"/>
            </w:tcMar>
          </w:tcPr>
          <w:p w:rsidR="00B87E05" w:rsidRPr="00671137" w:rsidRDefault="00B87E05" w:rsidP="00555303">
            <w:pPr>
              <w:spacing w:before="60" w:after="60"/>
              <w:ind w:left="57" w:right="57"/>
            </w:pPr>
            <w:r>
              <w:rPr>
                <w:lang w:val="fr-FR"/>
              </w:rPr>
              <w:t>Bouteilles à gaz − Robinets de bouteilles équipés de clapets auto-</w:t>
            </w:r>
            <w:proofErr w:type="spellStart"/>
            <w:r>
              <w:rPr>
                <w:lang w:val="fr-FR"/>
              </w:rPr>
              <w:t>obturants</w:t>
            </w:r>
            <w:proofErr w:type="spellEnd"/>
            <w:r>
              <w:rPr>
                <w:lang w:val="fr-FR"/>
              </w:rPr>
              <w:t xml:space="preserve"> − Spécifications et essais de type</w:t>
            </w:r>
          </w:p>
        </w:tc>
        <w:tc>
          <w:tcPr>
            <w:tcW w:w="1275" w:type="dxa"/>
            <w:shd w:val="clear" w:color="auto" w:fill="auto"/>
            <w:tcMar>
              <w:left w:w="0" w:type="dxa"/>
              <w:right w:w="0" w:type="dxa"/>
            </w:tcMar>
          </w:tcPr>
          <w:p w:rsidR="00B87E05" w:rsidRPr="00AA6F5C" w:rsidRDefault="00B87E05" w:rsidP="00555303">
            <w:pPr>
              <w:spacing w:before="60" w:after="60"/>
              <w:ind w:left="57" w:right="57"/>
            </w:pPr>
            <w:r>
              <w:rPr>
                <w:lang w:val="fr-FR"/>
              </w:rPr>
              <w:t>Jusqu’à nouvel ordre</w:t>
            </w:r>
          </w:p>
        </w:tc>
      </w:tr>
    </w:tbl>
    <w:p w:rsidR="00B87E05" w:rsidRPr="007B2B1F" w:rsidRDefault="00B87E05" w:rsidP="00B87E05">
      <w:pPr>
        <w:pStyle w:val="H1G"/>
      </w:pPr>
      <w:r>
        <w:rPr>
          <w:lang w:val="fr-FR"/>
        </w:rPr>
        <w:tab/>
      </w:r>
      <w:r>
        <w:rPr>
          <w:lang w:val="fr-FR"/>
        </w:rPr>
        <w:tab/>
      </w:r>
      <w:r>
        <w:rPr>
          <w:bCs/>
          <w:lang w:val="fr-FR"/>
        </w:rPr>
        <w:t>Justification</w:t>
      </w:r>
    </w:p>
    <w:p w:rsidR="00B87E05" w:rsidRPr="00671137" w:rsidRDefault="00B87E05" w:rsidP="00B87E05">
      <w:pPr>
        <w:spacing w:after="120"/>
        <w:ind w:left="1134" w:right="1134"/>
        <w:jc w:val="both"/>
      </w:pPr>
      <w:r>
        <w:rPr>
          <w:lang w:val="fr-FR"/>
        </w:rPr>
        <w:t>12.</w:t>
      </w:r>
      <w:r>
        <w:rPr>
          <w:lang w:val="fr-FR"/>
        </w:rPr>
        <w:tab/>
        <w:t>La norme ISO 17879:2017 est une nouvelle norme pour les robinets à fermeture automatique des récipients contenant des gaz d’étalonnage et des gaz utilisés dans la fabrication de boissons, bien que ces robinets soient parfois également utilisés à d’autres fins, notamment pour les gaz médicaux. Elle ne s’applique pas aux gaz de pétrole liquéfiés.</w:t>
      </w:r>
    </w:p>
    <w:p w:rsidR="00B87E05" w:rsidRPr="00671137" w:rsidRDefault="00B87E05" w:rsidP="00B87E05">
      <w:pPr>
        <w:pStyle w:val="HChG"/>
      </w:pPr>
      <w:r>
        <w:rPr>
          <w:lang w:val="fr-FR"/>
        </w:rPr>
        <w:tab/>
      </w:r>
      <w:r>
        <w:rPr>
          <w:lang w:val="fr-FR"/>
        </w:rPr>
        <w:tab/>
      </w:r>
      <w:r>
        <w:rPr>
          <w:bCs/>
          <w:lang w:val="fr-FR"/>
        </w:rPr>
        <w:t>Proposition 5</w:t>
      </w:r>
    </w:p>
    <w:p w:rsidR="00B87E05" w:rsidRPr="00671137" w:rsidRDefault="00B87E05" w:rsidP="00B87E05">
      <w:pPr>
        <w:spacing w:after="120"/>
        <w:ind w:left="1134" w:right="1134"/>
        <w:jc w:val="both"/>
      </w:pPr>
      <w:r>
        <w:rPr>
          <w:lang w:val="fr-FR"/>
        </w:rPr>
        <w:t>13.</w:t>
      </w:r>
      <w:r>
        <w:rPr>
          <w:lang w:val="fr-FR"/>
        </w:rPr>
        <w:tab/>
        <w:t>Dans le 6.2.2.4, ajouter la nouvelle ligne suivante à la fin du premier tableau, immédiatement après la ligne commençant par ISO 22434:2006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4290"/>
        <w:gridCol w:w="1275"/>
      </w:tblGrid>
      <w:tr w:rsidR="00B87E05" w:rsidRPr="00AA6F5C" w:rsidTr="00555303">
        <w:tc>
          <w:tcPr>
            <w:tcW w:w="1914" w:type="dxa"/>
            <w:shd w:val="clear" w:color="auto" w:fill="auto"/>
            <w:tcMar>
              <w:left w:w="0" w:type="dxa"/>
              <w:right w:w="0" w:type="dxa"/>
            </w:tcMar>
          </w:tcPr>
          <w:p w:rsidR="00B87E05" w:rsidRPr="00AA6F5C" w:rsidRDefault="00B87E05" w:rsidP="00555303">
            <w:pPr>
              <w:spacing w:before="60" w:after="60"/>
              <w:ind w:left="57" w:right="57"/>
            </w:pPr>
            <w:r>
              <w:rPr>
                <w:lang w:val="fr-FR"/>
              </w:rPr>
              <w:t>ISO 20475:2018</w:t>
            </w:r>
          </w:p>
        </w:tc>
        <w:tc>
          <w:tcPr>
            <w:tcW w:w="4290" w:type="dxa"/>
            <w:shd w:val="clear" w:color="auto" w:fill="auto"/>
            <w:tcMar>
              <w:left w:w="0" w:type="dxa"/>
              <w:right w:w="0" w:type="dxa"/>
            </w:tcMar>
          </w:tcPr>
          <w:p w:rsidR="00B87E05" w:rsidRPr="00671137" w:rsidRDefault="00B87E05" w:rsidP="00555303">
            <w:pPr>
              <w:spacing w:before="60" w:after="60"/>
              <w:ind w:left="57" w:right="57"/>
            </w:pPr>
            <w:r>
              <w:rPr>
                <w:lang w:val="fr-FR"/>
              </w:rPr>
              <w:t>Bouteilles à gaz − Cadres de bouteilles − Contrôles et essais périodiques</w:t>
            </w:r>
          </w:p>
        </w:tc>
        <w:tc>
          <w:tcPr>
            <w:tcW w:w="1275" w:type="dxa"/>
            <w:shd w:val="clear" w:color="auto" w:fill="auto"/>
            <w:tcMar>
              <w:left w:w="0" w:type="dxa"/>
              <w:right w:w="0" w:type="dxa"/>
            </w:tcMar>
          </w:tcPr>
          <w:p w:rsidR="00B87E05" w:rsidRPr="00AA6F5C" w:rsidRDefault="00B87E05" w:rsidP="00555303">
            <w:pPr>
              <w:spacing w:before="60" w:after="60"/>
              <w:ind w:left="57" w:right="57"/>
            </w:pPr>
            <w:r>
              <w:rPr>
                <w:lang w:val="fr-FR"/>
              </w:rPr>
              <w:t>Jusqu’à nouvel ordre</w:t>
            </w:r>
          </w:p>
        </w:tc>
      </w:tr>
    </w:tbl>
    <w:p w:rsidR="00B87E05" w:rsidRDefault="00B87E05" w:rsidP="00B87E05">
      <w:pPr>
        <w:pStyle w:val="H1G"/>
      </w:pPr>
      <w:r>
        <w:rPr>
          <w:lang w:val="fr-FR"/>
        </w:rPr>
        <w:tab/>
      </w:r>
      <w:r>
        <w:rPr>
          <w:lang w:val="fr-FR"/>
        </w:rPr>
        <w:tab/>
      </w:r>
      <w:r>
        <w:rPr>
          <w:bCs/>
          <w:lang w:val="fr-FR"/>
        </w:rPr>
        <w:t>Justification</w:t>
      </w:r>
    </w:p>
    <w:p w:rsidR="00B87E05" w:rsidRPr="00671137" w:rsidRDefault="00B87E05" w:rsidP="00B87E05">
      <w:pPr>
        <w:ind w:left="1134" w:right="1134"/>
        <w:jc w:val="both"/>
      </w:pPr>
      <w:r>
        <w:rPr>
          <w:lang w:val="fr-FR"/>
        </w:rPr>
        <w:t>14.</w:t>
      </w:r>
      <w:r>
        <w:rPr>
          <w:lang w:val="fr-FR"/>
        </w:rPr>
        <w:tab/>
        <w:t>La norme ISO 10961:2010, qui établit les prescriptions relatives à la conception, à la construction ainsi qu’aux contrôles et aux épreuves initiaux des cadres de bouteilles, figure dans le Règlement type depuis la 18</w:t>
      </w:r>
      <w:r>
        <w:rPr>
          <w:vertAlign w:val="superscript"/>
          <w:lang w:val="fr-FR"/>
        </w:rPr>
        <w:t>e</w:t>
      </w:r>
      <w:r>
        <w:rPr>
          <w:lang w:val="fr-FR"/>
        </w:rPr>
        <w:t> révision, mais n’était accompagnée d’aucune procédure détaillée concernant le contrôle et les épreuves périodiques. La norme ISO 20475 établit cette procédure détaillée. En plus des prescriptions relatives au contrôle périodique, la norme fixe également des principes généraux pour l’entretien des cadres de bouteilles.</w:t>
      </w:r>
    </w:p>
    <w:p w:rsidR="00B87E05" w:rsidRPr="00671137" w:rsidRDefault="00B87E05" w:rsidP="00B87E05">
      <w:pPr>
        <w:pStyle w:val="HChG"/>
      </w:pPr>
      <w:r>
        <w:rPr>
          <w:lang w:val="fr-FR"/>
        </w:rPr>
        <w:tab/>
      </w:r>
      <w:r>
        <w:rPr>
          <w:lang w:val="fr-FR"/>
        </w:rPr>
        <w:tab/>
      </w:r>
      <w:r w:rsidRPr="00787691">
        <w:t>Proposition</w:t>
      </w:r>
      <w:r>
        <w:rPr>
          <w:lang w:val="fr-FR"/>
        </w:rPr>
        <w:t xml:space="preserve"> 6</w:t>
      </w:r>
    </w:p>
    <w:p w:rsidR="00B87E05" w:rsidRPr="00671137" w:rsidRDefault="00B87E05" w:rsidP="00B87E05">
      <w:pPr>
        <w:pStyle w:val="H1G"/>
      </w:pPr>
      <w:r>
        <w:rPr>
          <w:lang w:val="fr-FR"/>
        </w:rPr>
        <w:tab/>
      </w:r>
      <w:r>
        <w:rPr>
          <w:lang w:val="fr-FR"/>
        </w:rPr>
        <w:tab/>
      </w:r>
      <w:r w:rsidRPr="00787691">
        <w:t>Justification</w:t>
      </w:r>
    </w:p>
    <w:p w:rsidR="00B87E05" w:rsidRPr="00671137" w:rsidRDefault="00B87E05" w:rsidP="00B87E05">
      <w:pPr>
        <w:pStyle w:val="SingleTxtG"/>
      </w:pPr>
      <w:r>
        <w:rPr>
          <w:lang w:val="fr-FR"/>
        </w:rPr>
        <w:t>15.</w:t>
      </w:r>
      <w:r>
        <w:rPr>
          <w:lang w:val="fr-FR"/>
        </w:rPr>
        <w:tab/>
        <w:t>Dans le 6.2.2.4, supprimer la ligne relative à la norme ISO 10462:2005.</w:t>
      </w:r>
    </w:p>
    <w:p w:rsidR="00B87E05" w:rsidRDefault="00B87E05" w:rsidP="00B87E05">
      <w:pPr>
        <w:pStyle w:val="SingleTxtG"/>
        <w:rPr>
          <w:lang w:val="fr-FR"/>
        </w:rPr>
      </w:pPr>
      <w:r>
        <w:rPr>
          <w:lang w:val="fr-FR"/>
        </w:rPr>
        <w:t>16.</w:t>
      </w:r>
      <w:r>
        <w:rPr>
          <w:lang w:val="fr-FR"/>
        </w:rPr>
        <w:tab/>
        <w:t>La norme ISO 10462:2005, Bouteilles à gaz − Bouteilles transportables pour acétylène dissous − Contrôles et entretien périodiques, n’est plus applicable à compter de la fin de 2018 et il convient donc de supprimer cette référence du tableau 6.2.2.4.</w:t>
      </w:r>
    </w:p>
    <w:p w:rsidR="00B87E05" w:rsidRPr="00B87E05" w:rsidRDefault="00B87E05" w:rsidP="00B87E05">
      <w:pPr>
        <w:pStyle w:val="SingleTxtG"/>
        <w:spacing w:before="240" w:after="0"/>
        <w:jc w:val="center"/>
        <w:rPr>
          <w:u w:val="single"/>
        </w:rPr>
      </w:pPr>
      <w:r>
        <w:rPr>
          <w:u w:val="single"/>
        </w:rPr>
        <w:tab/>
      </w:r>
      <w:r>
        <w:rPr>
          <w:u w:val="single"/>
        </w:rPr>
        <w:tab/>
      </w:r>
      <w:r>
        <w:rPr>
          <w:u w:val="single"/>
        </w:rPr>
        <w:tab/>
      </w:r>
    </w:p>
    <w:sectPr w:rsidR="00B87E05" w:rsidRPr="00B87E05" w:rsidSect="00B87E0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BB8" w:rsidRDefault="00504BB8" w:rsidP="00F95C08">
      <w:pPr>
        <w:spacing w:line="240" w:lineRule="auto"/>
      </w:pPr>
    </w:p>
  </w:endnote>
  <w:endnote w:type="continuationSeparator" w:id="0">
    <w:p w:rsidR="00504BB8" w:rsidRPr="00AC3823" w:rsidRDefault="00504BB8" w:rsidP="00AC3823">
      <w:pPr>
        <w:pStyle w:val="Footer"/>
      </w:pPr>
    </w:p>
  </w:endnote>
  <w:endnote w:type="continuationNotice" w:id="1">
    <w:p w:rsidR="00504BB8" w:rsidRDefault="00504B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05" w:rsidRPr="00B87E05" w:rsidRDefault="00B87E05" w:rsidP="00B87E05">
    <w:pPr>
      <w:pStyle w:val="Footer"/>
      <w:tabs>
        <w:tab w:val="right" w:pos="9638"/>
      </w:tabs>
    </w:pPr>
    <w:r w:rsidRPr="00B87E05">
      <w:rPr>
        <w:b/>
        <w:sz w:val="18"/>
      </w:rPr>
      <w:fldChar w:fldCharType="begin"/>
    </w:r>
    <w:r w:rsidRPr="00B87E05">
      <w:rPr>
        <w:b/>
        <w:sz w:val="18"/>
      </w:rPr>
      <w:instrText xml:space="preserve"> PAGE  \* MERGEFORMAT </w:instrText>
    </w:r>
    <w:r w:rsidRPr="00B87E05">
      <w:rPr>
        <w:b/>
        <w:sz w:val="18"/>
      </w:rPr>
      <w:fldChar w:fldCharType="separate"/>
    </w:r>
    <w:r w:rsidR="00470090">
      <w:rPr>
        <w:b/>
        <w:noProof/>
        <w:sz w:val="18"/>
      </w:rPr>
      <w:t>2</w:t>
    </w:r>
    <w:r w:rsidRPr="00B87E05">
      <w:rPr>
        <w:b/>
        <w:sz w:val="18"/>
      </w:rPr>
      <w:fldChar w:fldCharType="end"/>
    </w:r>
    <w:r>
      <w:rPr>
        <w:b/>
        <w:sz w:val="18"/>
      </w:rPr>
      <w:tab/>
    </w:r>
    <w:r>
      <w:t>GE.18-04921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05" w:rsidRPr="00B87E05" w:rsidRDefault="00B87E05" w:rsidP="00B87E05">
    <w:pPr>
      <w:pStyle w:val="Footer"/>
      <w:tabs>
        <w:tab w:val="right" w:pos="9638"/>
      </w:tabs>
      <w:rPr>
        <w:b/>
        <w:sz w:val="18"/>
      </w:rPr>
    </w:pPr>
    <w:r>
      <w:t>GE.18-04921</w:t>
    </w:r>
    <w:r>
      <w:tab/>
    </w:r>
    <w:r w:rsidRPr="00B87E05">
      <w:rPr>
        <w:b/>
        <w:sz w:val="18"/>
      </w:rPr>
      <w:fldChar w:fldCharType="begin"/>
    </w:r>
    <w:r w:rsidRPr="00B87E05">
      <w:rPr>
        <w:b/>
        <w:sz w:val="18"/>
      </w:rPr>
      <w:instrText xml:space="preserve"> PAGE  \* MERGEFORMAT </w:instrText>
    </w:r>
    <w:r w:rsidRPr="00B87E05">
      <w:rPr>
        <w:b/>
        <w:sz w:val="18"/>
      </w:rPr>
      <w:fldChar w:fldCharType="separate"/>
    </w:r>
    <w:r w:rsidR="00470090">
      <w:rPr>
        <w:b/>
        <w:noProof/>
        <w:sz w:val="18"/>
      </w:rPr>
      <w:t>3</w:t>
    </w:r>
    <w:r w:rsidRPr="00B87E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B87E05" w:rsidRDefault="00B87E05" w:rsidP="00B87E05">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18-04921  (F)    020518    090518</w:t>
    </w:r>
    <w:r>
      <w:rPr>
        <w:sz w:val="20"/>
      </w:rPr>
      <w:br/>
    </w:r>
    <w:r w:rsidRPr="00B87E05">
      <w:rPr>
        <w:rFonts w:ascii="C39T30Lfz" w:hAnsi="C39T30Lfz"/>
        <w:sz w:val="56"/>
      </w:rPr>
      <w:t></w:t>
    </w:r>
    <w:r w:rsidRPr="00B87E05">
      <w:rPr>
        <w:rFonts w:ascii="C39T30Lfz" w:hAnsi="C39T30Lfz"/>
        <w:sz w:val="56"/>
      </w:rPr>
      <w:t></w:t>
    </w:r>
    <w:r w:rsidRPr="00B87E05">
      <w:rPr>
        <w:rFonts w:ascii="C39T30Lfz" w:hAnsi="C39T30Lfz"/>
        <w:sz w:val="56"/>
      </w:rPr>
      <w:t></w:t>
    </w:r>
    <w:r w:rsidRPr="00B87E05">
      <w:rPr>
        <w:rFonts w:ascii="C39T30Lfz" w:hAnsi="C39T30Lfz"/>
        <w:sz w:val="56"/>
      </w:rPr>
      <w:t></w:t>
    </w:r>
    <w:r w:rsidRPr="00B87E05">
      <w:rPr>
        <w:rFonts w:ascii="C39T30Lfz" w:hAnsi="C39T30Lfz"/>
        <w:sz w:val="56"/>
      </w:rPr>
      <w:t></w:t>
    </w:r>
    <w:r w:rsidRPr="00B87E05">
      <w:rPr>
        <w:rFonts w:ascii="C39T30Lfz" w:hAnsi="C39T30Lfz"/>
        <w:sz w:val="56"/>
      </w:rPr>
      <w:t></w:t>
    </w:r>
    <w:r w:rsidRPr="00B87E05">
      <w:rPr>
        <w:rFonts w:ascii="C39T30Lfz" w:hAnsi="C39T30Lfz"/>
        <w:sz w:val="56"/>
      </w:rPr>
      <w:t></w:t>
    </w:r>
    <w:r w:rsidRPr="00B87E05">
      <w:rPr>
        <w:rFonts w:ascii="C39T30Lfz" w:hAnsi="C39T30Lfz"/>
        <w:sz w:val="56"/>
      </w:rPr>
      <w:t></w:t>
    </w:r>
    <w:r w:rsidRPr="00B87E0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BB8" w:rsidRPr="00AC3823" w:rsidRDefault="00504BB8" w:rsidP="00AC3823">
      <w:pPr>
        <w:pStyle w:val="Footer"/>
        <w:tabs>
          <w:tab w:val="right" w:pos="2155"/>
        </w:tabs>
        <w:spacing w:after="80" w:line="240" w:lineRule="atLeast"/>
        <w:ind w:left="680"/>
        <w:rPr>
          <w:u w:val="single"/>
        </w:rPr>
      </w:pPr>
      <w:r>
        <w:rPr>
          <w:u w:val="single"/>
        </w:rPr>
        <w:tab/>
      </w:r>
    </w:p>
  </w:footnote>
  <w:footnote w:type="continuationSeparator" w:id="0">
    <w:p w:rsidR="00504BB8" w:rsidRPr="00AC3823" w:rsidRDefault="00504BB8" w:rsidP="00AC3823">
      <w:pPr>
        <w:pStyle w:val="Footer"/>
        <w:tabs>
          <w:tab w:val="right" w:pos="2155"/>
        </w:tabs>
        <w:spacing w:after="80" w:line="240" w:lineRule="atLeast"/>
        <w:ind w:left="680"/>
        <w:rPr>
          <w:u w:val="single"/>
        </w:rPr>
      </w:pPr>
      <w:r>
        <w:rPr>
          <w:u w:val="single"/>
        </w:rPr>
        <w:tab/>
      </w:r>
    </w:p>
  </w:footnote>
  <w:footnote w:type="continuationNotice" w:id="1">
    <w:p w:rsidR="00504BB8" w:rsidRPr="00AC3823" w:rsidRDefault="00504BB8">
      <w:pPr>
        <w:spacing w:line="240" w:lineRule="auto"/>
        <w:rPr>
          <w:sz w:val="2"/>
          <w:szCs w:val="2"/>
        </w:rPr>
      </w:pPr>
    </w:p>
  </w:footnote>
  <w:footnote w:id="2">
    <w:p w:rsidR="00B87E05" w:rsidRPr="001F50AE" w:rsidRDefault="00B87E05" w:rsidP="00B87E05">
      <w:pPr>
        <w:pStyle w:val="FootnoteText"/>
      </w:pPr>
      <w:r>
        <w:rPr>
          <w:lang w:val="fr-FR"/>
        </w:rPr>
        <w:tab/>
      </w:r>
      <w:r>
        <w:rPr>
          <w:rStyle w:val="FootnoteReference"/>
          <w:lang w:val="fr-FR"/>
        </w:rPr>
        <w:footnoteRef/>
      </w:r>
      <w:r>
        <w:rPr>
          <w:lang w:val="fr-FR"/>
        </w:rPr>
        <w:tab/>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05" w:rsidRPr="00B87E05" w:rsidRDefault="00470090">
    <w:pPr>
      <w:pStyle w:val="Header"/>
    </w:pPr>
    <w:r>
      <w:fldChar w:fldCharType="begin"/>
    </w:r>
    <w:r>
      <w:instrText xml:space="preserve"> TITLE  \* MERGEFORMAT </w:instrText>
    </w:r>
    <w:r>
      <w:fldChar w:fldCharType="separate"/>
    </w:r>
    <w:r>
      <w:t>ST/SG/AC.10/C.3/2018/23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05" w:rsidRPr="00B87E05" w:rsidRDefault="00470090" w:rsidP="00B87E05">
    <w:pPr>
      <w:pStyle w:val="Header"/>
      <w:jc w:val="right"/>
    </w:pPr>
    <w:r>
      <w:fldChar w:fldCharType="begin"/>
    </w:r>
    <w:r>
      <w:instrText xml:space="preserve"> TITLE  \* MERGEFORMAT </w:instrText>
    </w:r>
    <w:r>
      <w:fldChar w:fldCharType="separate"/>
    </w:r>
    <w:r>
      <w:t>ST/SG/AC.10/C.3/2018/23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B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70685"/>
    <w:rsid w:val="0041775E"/>
    <w:rsid w:val="00441C3B"/>
    <w:rsid w:val="00446FE5"/>
    <w:rsid w:val="00452396"/>
    <w:rsid w:val="00470090"/>
    <w:rsid w:val="004E468C"/>
    <w:rsid w:val="00504BB8"/>
    <w:rsid w:val="005505B7"/>
    <w:rsid w:val="00573BE5"/>
    <w:rsid w:val="00581CA2"/>
    <w:rsid w:val="00584DC4"/>
    <w:rsid w:val="00586ED3"/>
    <w:rsid w:val="00596AA9"/>
    <w:rsid w:val="0068456F"/>
    <w:rsid w:val="0071601D"/>
    <w:rsid w:val="007A62E6"/>
    <w:rsid w:val="007E3199"/>
    <w:rsid w:val="0080684C"/>
    <w:rsid w:val="00871C75"/>
    <w:rsid w:val="008776DC"/>
    <w:rsid w:val="008B40CD"/>
    <w:rsid w:val="009705C8"/>
    <w:rsid w:val="009C1CF4"/>
    <w:rsid w:val="00A30353"/>
    <w:rsid w:val="00A65146"/>
    <w:rsid w:val="00AC3823"/>
    <w:rsid w:val="00AE323C"/>
    <w:rsid w:val="00B00181"/>
    <w:rsid w:val="00B00B0D"/>
    <w:rsid w:val="00B765F7"/>
    <w:rsid w:val="00B87E05"/>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D9843A-8EF7-4097-B8DA-8749132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B87E05"/>
    <w:rPr>
      <w:rFonts w:ascii="Times New Roman" w:eastAsiaTheme="minorHAnsi" w:hAnsi="Times New Roman" w:cs="Times New Roman"/>
      <w:b/>
      <w:sz w:val="24"/>
      <w:szCs w:val="20"/>
      <w:lang w:eastAsia="en-US"/>
    </w:rPr>
  </w:style>
  <w:style w:type="paragraph" w:customStyle="1" w:styleId="Default">
    <w:name w:val="Default"/>
    <w:rsid w:val="00B87E05"/>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HChGChar">
    <w:name w:val="_ H _Ch_G Char"/>
    <w:link w:val="HChG"/>
    <w:locked/>
    <w:rsid w:val="00B87E05"/>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87E0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ST/SG/AC.10/C.3/2018/23</vt:lpstr>
      <vt:lpstr>ST/SG/AC.10/C.3/2018/23</vt:lpstr>
    </vt:vector>
  </TitlesOfParts>
  <Company>DCM</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ST/SG/AC.10/C.3/2018/23</dc:title>
  <dc:subject/>
  <dc:creator>Fabienne CRELIER</dc:creator>
  <cp:keywords/>
  <cp:lastModifiedBy>Laurence Berthet</cp:lastModifiedBy>
  <cp:revision>3</cp:revision>
  <cp:lastPrinted>2018-05-09T12:32:00Z</cp:lastPrinted>
  <dcterms:created xsi:type="dcterms:W3CDTF">2018-05-09T12:32:00Z</dcterms:created>
  <dcterms:modified xsi:type="dcterms:W3CDTF">2018-05-09T12:33:00Z</dcterms:modified>
</cp:coreProperties>
</file>