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8B5188">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8B5188" w:rsidP="008B5188">
            <w:pPr>
              <w:jc w:val="right"/>
            </w:pPr>
            <w:r w:rsidRPr="008B5188">
              <w:rPr>
                <w:sz w:val="40"/>
              </w:rPr>
              <w:t>ST</w:t>
            </w:r>
            <w:r>
              <w:t>/SG/AC.10/C.3/2018/21</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8B5188" w:rsidP="00F01738">
            <w:pPr>
              <w:spacing w:before="240"/>
            </w:pPr>
            <w:proofErr w:type="spellStart"/>
            <w:r>
              <w:t>Distr</w:t>
            </w:r>
            <w:proofErr w:type="spellEnd"/>
            <w:r>
              <w:t xml:space="preserve">. </w:t>
            </w:r>
            <w:proofErr w:type="gramStart"/>
            <w:r>
              <w:t>générale</w:t>
            </w:r>
            <w:proofErr w:type="gramEnd"/>
          </w:p>
          <w:p w:rsidR="008B5188" w:rsidRDefault="008B5188" w:rsidP="008B5188">
            <w:pPr>
              <w:spacing w:line="240" w:lineRule="exact"/>
            </w:pPr>
            <w:r>
              <w:t>3 avril 2018</w:t>
            </w:r>
          </w:p>
          <w:p w:rsidR="008B5188" w:rsidRDefault="008B5188" w:rsidP="008B5188">
            <w:pPr>
              <w:spacing w:line="240" w:lineRule="exact"/>
            </w:pPr>
            <w:r>
              <w:t>Français</w:t>
            </w:r>
          </w:p>
          <w:p w:rsidR="008B5188" w:rsidRPr="00DB58B5" w:rsidRDefault="008B5188" w:rsidP="008B5188">
            <w:pPr>
              <w:spacing w:line="240" w:lineRule="exact"/>
            </w:pPr>
            <w:r>
              <w:t>Original : anglais</w:t>
            </w:r>
          </w:p>
        </w:tc>
      </w:tr>
    </w:tbl>
    <w:p w:rsidR="008B5188" w:rsidRPr="00CA0680" w:rsidRDefault="008B5188"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8B5188" w:rsidRPr="00CA0680" w:rsidRDefault="008B5188" w:rsidP="000305D3">
      <w:pPr>
        <w:spacing w:before="120"/>
        <w:rPr>
          <w:b/>
        </w:rPr>
      </w:pPr>
      <w:r w:rsidRPr="00CA0680">
        <w:rPr>
          <w:b/>
        </w:rPr>
        <w:t>Sous</w:t>
      </w:r>
      <w:r>
        <w:rPr>
          <w:b/>
        </w:rPr>
        <w:t>-</w:t>
      </w:r>
      <w:r w:rsidRPr="00CA0680">
        <w:rPr>
          <w:b/>
        </w:rPr>
        <w:t>Comité d’experts du transport des marchandises dangereuses</w:t>
      </w:r>
    </w:p>
    <w:p w:rsidR="008B5188" w:rsidRDefault="008B5188" w:rsidP="000305D3">
      <w:pPr>
        <w:spacing w:before="120"/>
        <w:rPr>
          <w:b/>
        </w:rPr>
      </w:pPr>
      <w:r>
        <w:rPr>
          <w:b/>
        </w:rPr>
        <w:t xml:space="preserve">Cinquante-troisième </w:t>
      </w:r>
      <w:r w:rsidRPr="00CA0680">
        <w:rPr>
          <w:b/>
        </w:rPr>
        <w:t>session</w:t>
      </w:r>
    </w:p>
    <w:p w:rsidR="008B5188" w:rsidRDefault="008B5188" w:rsidP="000305D3">
      <w:r>
        <w:t>Genève, 25 juin-4 juillet 2018</w:t>
      </w:r>
    </w:p>
    <w:p w:rsidR="008B5188" w:rsidRDefault="008B5188" w:rsidP="000305D3">
      <w:r>
        <w:t>Point 3 de l’ordre du jour provisoire</w:t>
      </w:r>
    </w:p>
    <w:p w:rsidR="008B5188" w:rsidRPr="00C82E57" w:rsidRDefault="00C82E57" w:rsidP="00AC3823">
      <w:pPr>
        <w:rPr>
          <w:b/>
        </w:rPr>
      </w:pPr>
      <w:r w:rsidRPr="00C82E57">
        <w:rPr>
          <w:b/>
        </w:rPr>
        <w:t>Inscription, classement et emballage</w:t>
      </w:r>
    </w:p>
    <w:p w:rsidR="00043A6A" w:rsidRPr="002D128B" w:rsidRDefault="00043A6A" w:rsidP="00043A6A">
      <w:pPr>
        <w:pStyle w:val="HChG"/>
      </w:pPr>
      <w:r>
        <w:rPr>
          <w:lang w:val="fr-FR"/>
        </w:rPr>
        <w:tab/>
      </w:r>
      <w:r>
        <w:rPr>
          <w:lang w:val="fr-FR"/>
        </w:rPr>
        <w:tab/>
        <w:t>Révision de l’instruction d’emballage P801</w:t>
      </w:r>
    </w:p>
    <w:p w:rsidR="00043A6A" w:rsidRDefault="00043A6A" w:rsidP="00043A6A">
      <w:pPr>
        <w:pStyle w:val="H1G"/>
        <w:rPr>
          <w:lang w:val="fr-FR"/>
        </w:rPr>
      </w:pPr>
      <w:r>
        <w:rPr>
          <w:lang w:val="fr-FR"/>
        </w:rPr>
        <w:tab/>
      </w:r>
      <w:r>
        <w:rPr>
          <w:lang w:val="fr-FR"/>
        </w:rPr>
        <w:tab/>
        <w:t>Communication de l’expert du Canada</w:t>
      </w:r>
      <w:r w:rsidRPr="004C15CC">
        <w:rPr>
          <w:rStyle w:val="FootnoteReference"/>
          <w:b w:val="0"/>
          <w:bCs/>
          <w:sz w:val="20"/>
          <w:vertAlign w:val="baseline"/>
        </w:rPr>
        <w:footnoteReference w:customMarkFollows="1" w:id="2"/>
        <w:sym w:font="Symbol" w:char="F02A"/>
      </w:r>
    </w:p>
    <w:p w:rsidR="00C82E57" w:rsidRPr="00057E80" w:rsidRDefault="00C82E57" w:rsidP="00B853DC">
      <w:pPr>
        <w:pStyle w:val="HChG"/>
      </w:pPr>
      <w:r>
        <w:rPr>
          <w:lang w:val="fr-FR"/>
        </w:rPr>
        <w:tab/>
      </w:r>
      <w:r>
        <w:rPr>
          <w:lang w:val="fr-FR"/>
        </w:rPr>
        <w:tab/>
        <w:t>Introduction</w:t>
      </w:r>
    </w:p>
    <w:p w:rsidR="00C82E57" w:rsidRDefault="00C82E57" w:rsidP="00B853DC">
      <w:pPr>
        <w:pStyle w:val="SingleTxtG"/>
      </w:pPr>
      <w:r>
        <w:t>1.</w:t>
      </w:r>
      <w:r>
        <w:tab/>
      </w:r>
      <w:r>
        <w:rPr>
          <w:lang w:val="fr-FR"/>
        </w:rPr>
        <w:t xml:space="preserve">Lors des quarante-neuvième, cinquante et </w:t>
      </w:r>
      <w:proofErr w:type="gramStart"/>
      <w:r>
        <w:rPr>
          <w:lang w:val="fr-FR"/>
        </w:rPr>
        <w:t>unième et cinquante-deuxième sessions</w:t>
      </w:r>
      <w:proofErr w:type="gramEnd"/>
      <w:r>
        <w:rPr>
          <w:lang w:val="fr-FR"/>
        </w:rPr>
        <w:t xml:space="preserve"> du Sous-Comité, l’expert du Canada a présenté les documents officiels et informels proposant des modifications à l’instruction d’emballage P801.</w:t>
      </w:r>
    </w:p>
    <w:p w:rsidR="00C82E57" w:rsidRDefault="00C82E57" w:rsidP="00B853DC">
      <w:pPr>
        <w:pStyle w:val="SingleTxtG"/>
      </w:pPr>
      <w:r>
        <w:t>2.</w:t>
      </w:r>
      <w:r>
        <w:tab/>
      </w:r>
      <w:r>
        <w:rPr>
          <w:lang w:val="fr-FR"/>
        </w:rPr>
        <w:t>À sa cinquante-deuxième session (voir ST/SG/AC.10/C.3/104), le Sous-Comité a repris ses discussions sur la révision de l’instruction d’emballage P801 (voir ST/SG/AC.10/C.3/104, par</w:t>
      </w:r>
      <w:r w:rsidR="00B853DC">
        <w:rPr>
          <w:lang w:val="fr-FR"/>
        </w:rPr>
        <w:t>. </w:t>
      </w:r>
      <w:r>
        <w:rPr>
          <w:lang w:val="fr-FR"/>
        </w:rPr>
        <w:t xml:space="preserve">52). Plusieurs experts ont partagé les préoccupations de l’expert canadien concernant les personnes qui ont du mal à comprendre et à appliquer les prescriptions existantes de </w:t>
      </w:r>
      <w:r w:rsidRPr="00377704">
        <w:rPr>
          <w:lang w:val="fr-FR"/>
        </w:rPr>
        <w:t>l</w:t>
      </w:r>
      <w:r>
        <w:rPr>
          <w:lang w:val="fr-FR"/>
        </w:rPr>
        <w:t>’</w:t>
      </w:r>
      <w:r w:rsidRPr="00377704">
        <w:rPr>
          <w:lang w:val="fr-FR"/>
        </w:rPr>
        <w:t>instruction d</w:t>
      </w:r>
      <w:r>
        <w:rPr>
          <w:lang w:val="fr-FR"/>
        </w:rPr>
        <w:t>’</w:t>
      </w:r>
      <w:r w:rsidRPr="00377704">
        <w:rPr>
          <w:lang w:val="fr-FR"/>
        </w:rPr>
        <w:t>emballage</w:t>
      </w:r>
      <w:r>
        <w:rPr>
          <w:lang w:val="fr-FR"/>
        </w:rPr>
        <w:t xml:space="preserve"> P801, comme il est indiqué dans le document ST/SG/AC.10/C.3/2017/44 et les documents informels INF.</w:t>
      </w:r>
      <w:r w:rsidR="00B853DC">
        <w:rPr>
          <w:lang w:val="fr-FR"/>
        </w:rPr>
        <w:t> </w:t>
      </w:r>
      <w:r>
        <w:rPr>
          <w:lang w:val="fr-FR"/>
        </w:rPr>
        <w:t>52 et INF.</w:t>
      </w:r>
      <w:r w:rsidR="00B853DC">
        <w:rPr>
          <w:lang w:val="fr-FR"/>
        </w:rPr>
        <w:t> </w:t>
      </w:r>
      <w:r>
        <w:rPr>
          <w:lang w:val="fr-FR"/>
        </w:rPr>
        <w:t>61 (</w:t>
      </w:r>
      <w:r w:rsidR="00B853DC">
        <w:rPr>
          <w:lang w:val="fr-FR"/>
        </w:rPr>
        <w:t xml:space="preserve">cinquante-deuxième </w:t>
      </w:r>
      <w:r>
        <w:rPr>
          <w:lang w:val="fr-FR"/>
        </w:rPr>
        <w:t xml:space="preserve">session). Certains experts ont abondé </w:t>
      </w:r>
      <w:r w:rsidR="004C15CC">
        <w:rPr>
          <w:lang w:val="fr-FR"/>
        </w:rPr>
        <w:t>d</w:t>
      </w:r>
      <w:r>
        <w:rPr>
          <w:lang w:val="fr-FR"/>
        </w:rPr>
        <w:t xml:space="preserve">ans le sens du document informel INF. 61, tandis que d’autres ont suggéré quelques </w:t>
      </w:r>
      <w:r w:rsidRPr="00377704">
        <w:rPr>
          <w:lang w:val="fr-FR"/>
        </w:rPr>
        <w:t xml:space="preserve">améliorations </w:t>
      </w:r>
      <w:r>
        <w:rPr>
          <w:lang w:val="fr-FR"/>
        </w:rPr>
        <w:t>mineures supplémentaires</w:t>
      </w:r>
      <w:r w:rsidR="00B65BFD">
        <w:rPr>
          <w:lang w:val="fr-FR"/>
        </w:rPr>
        <w:t>.</w:t>
      </w:r>
      <w:r>
        <w:rPr>
          <w:lang w:val="fr-FR"/>
        </w:rPr>
        <w:t xml:space="preserve"> Le Sous-Comité a invité l’</w:t>
      </w:r>
      <w:r w:rsidR="00B65BFD">
        <w:rPr>
          <w:lang w:val="fr-FR"/>
        </w:rPr>
        <w:t>expert du Canada à</w:t>
      </w:r>
      <w:r>
        <w:rPr>
          <w:lang w:val="fr-FR"/>
        </w:rPr>
        <w:t xml:space="preserve"> soumettre une nouvelle proposition révisée à </w:t>
      </w:r>
      <w:r w:rsidR="00B65BFD">
        <w:rPr>
          <w:lang w:val="fr-FR"/>
        </w:rPr>
        <w:t>la cinquante-troisième session.</w:t>
      </w:r>
      <w:r>
        <w:rPr>
          <w:lang w:val="fr-FR"/>
        </w:rPr>
        <w:t xml:space="preserve"> La présente proposition officielle</w:t>
      </w:r>
      <w:r w:rsidR="00B65BFD">
        <w:rPr>
          <w:lang w:val="fr-FR"/>
        </w:rPr>
        <w:t xml:space="preserve"> (ST/SG/AC.10/C.3/2018/21)</w:t>
      </w:r>
      <w:r>
        <w:rPr>
          <w:lang w:val="fr-FR"/>
        </w:rPr>
        <w:t xml:space="preserve"> est le fruit des débats </w:t>
      </w:r>
      <w:r w:rsidR="00B65BFD">
        <w:rPr>
          <w:lang w:val="fr-FR"/>
        </w:rPr>
        <w:t>qui se sont déroulés</w:t>
      </w:r>
      <w:r>
        <w:rPr>
          <w:lang w:val="fr-FR"/>
        </w:rPr>
        <w:t xml:space="preserve"> au cours de la cinquante-deuxième session et </w:t>
      </w:r>
      <w:proofErr w:type="gramStart"/>
      <w:r>
        <w:rPr>
          <w:lang w:val="fr-FR"/>
        </w:rPr>
        <w:t xml:space="preserve">des </w:t>
      </w:r>
      <w:r w:rsidR="00B65BFD">
        <w:rPr>
          <w:lang w:val="fr-FR"/>
        </w:rPr>
        <w:t xml:space="preserve"> travaux</w:t>
      </w:r>
      <w:proofErr w:type="gramEnd"/>
      <w:r w:rsidR="00B65BFD">
        <w:rPr>
          <w:lang w:val="fr-FR"/>
        </w:rPr>
        <w:t xml:space="preserve"> menés par la suite. </w:t>
      </w:r>
    </w:p>
    <w:p w:rsidR="00C82E57" w:rsidRPr="005F557B" w:rsidRDefault="00C82E57" w:rsidP="00B853DC">
      <w:pPr>
        <w:pStyle w:val="SingleTxtG"/>
      </w:pPr>
      <w:r w:rsidRPr="005F557B">
        <w:t>3.</w:t>
      </w:r>
      <w:r w:rsidRPr="005F557B">
        <w:tab/>
      </w:r>
      <w:r>
        <w:rPr>
          <w:lang w:val="fr-FR"/>
        </w:rPr>
        <w:t>Le principal changement dans cette proposition officielle, par rapport aux</w:t>
      </w:r>
      <w:r w:rsidR="00B65BFD">
        <w:rPr>
          <w:lang w:val="fr-FR"/>
        </w:rPr>
        <w:t> </w:t>
      </w:r>
      <w:r>
        <w:rPr>
          <w:lang w:val="fr-FR"/>
        </w:rPr>
        <w:t>propositions présentées lors des quarante-neuvième, cinquante et unième et cinquante</w:t>
      </w:r>
      <w:r w:rsidR="00B65BFD">
        <w:rPr>
          <w:lang w:val="fr-FR"/>
        </w:rPr>
        <w:noBreakHyphen/>
      </w:r>
      <w:proofErr w:type="gramStart"/>
      <w:r>
        <w:rPr>
          <w:lang w:val="fr-FR"/>
        </w:rPr>
        <w:t>deuxième sessions</w:t>
      </w:r>
      <w:proofErr w:type="gramEnd"/>
      <w:r>
        <w:rPr>
          <w:lang w:val="fr-FR"/>
        </w:rPr>
        <w:t xml:space="preserve">, est </w:t>
      </w:r>
      <w:r w:rsidR="00B65BFD">
        <w:rPr>
          <w:lang w:val="fr-FR"/>
        </w:rPr>
        <w:t>la modification consistant à</w:t>
      </w:r>
      <w:r>
        <w:rPr>
          <w:lang w:val="fr-FR"/>
        </w:rPr>
        <w:t xml:space="preserve"> n’inclure que les références des dispositions générales auxquelles les emballages énumérés dans l’instruction d’emballage P801 doivent satisfaire.</w:t>
      </w:r>
    </w:p>
    <w:p w:rsidR="00C82E57" w:rsidRPr="00C64C52" w:rsidRDefault="00C82E57" w:rsidP="004C15CC">
      <w:pPr>
        <w:pStyle w:val="SingleTxtG"/>
        <w:keepNext/>
      </w:pPr>
      <w:r w:rsidRPr="00C64C52">
        <w:lastRenderedPageBreak/>
        <w:t>4.</w:t>
      </w:r>
      <w:r w:rsidRPr="00C64C52">
        <w:tab/>
      </w:r>
      <w:r>
        <w:rPr>
          <w:lang w:val="fr-FR"/>
        </w:rPr>
        <w:t>Les autres modifications de l’instruction d’emballage P801 actuelle présentées dans cette proposition sont notamment les suivantes</w:t>
      </w:r>
      <w:r w:rsidR="004C15CC">
        <w:rPr>
          <w:lang w:val="fr-FR"/>
        </w:rPr>
        <w:t> </w:t>
      </w:r>
      <w:r>
        <w:rPr>
          <w:lang w:val="fr-FR"/>
        </w:rPr>
        <w:t>:</w:t>
      </w:r>
    </w:p>
    <w:p w:rsidR="00C82E57" w:rsidRPr="00066C56" w:rsidRDefault="00C82E57" w:rsidP="00B65BFD">
      <w:pPr>
        <w:pStyle w:val="SingleTxtG"/>
        <w:ind w:firstLine="567"/>
      </w:pPr>
      <w:r w:rsidRPr="00066C56">
        <w:t>a)</w:t>
      </w:r>
      <w:r w:rsidRPr="00066C56">
        <w:tab/>
      </w:r>
      <w:r>
        <w:rPr>
          <w:lang w:val="fr-FR"/>
        </w:rPr>
        <w:t>Modification de la structure de l’instruction d’</w:t>
      </w:r>
      <w:r w:rsidR="00B65BFD">
        <w:rPr>
          <w:lang w:val="fr-FR"/>
        </w:rPr>
        <w:t>emballage ;</w:t>
      </w:r>
    </w:p>
    <w:p w:rsidR="00C82E57" w:rsidRPr="00066C56" w:rsidRDefault="00C82E57" w:rsidP="00B65BFD">
      <w:pPr>
        <w:pStyle w:val="SingleTxtG"/>
        <w:ind w:firstLine="567"/>
      </w:pPr>
      <w:r w:rsidRPr="00066C56">
        <w:t>b)</w:t>
      </w:r>
      <w:r w:rsidRPr="00066C56">
        <w:tab/>
      </w:r>
      <w:r>
        <w:rPr>
          <w:lang w:val="fr-FR"/>
        </w:rPr>
        <w:t>Modification et clarification de certaines prescriptions d’emballage conce</w:t>
      </w:r>
      <w:r w:rsidR="00A65C0B">
        <w:rPr>
          <w:lang w:val="fr-FR"/>
        </w:rPr>
        <w:t>rnant par exemple le risque de</w:t>
      </w:r>
      <w:r>
        <w:rPr>
          <w:lang w:val="fr-FR"/>
        </w:rPr>
        <w:t xml:space="preserve"> fuite d’électrolyte ou la protection contre les courts</w:t>
      </w:r>
      <w:r w:rsidR="00F90801">
        <w:rPr>
          <w:lang w:val="fr-FR"/>
        </w:rPr>
        <w:noBreakHyphen/>
      </w:r>
      <w:r>
        <w:rPr>
          <w:lang w:val="fr-FR"/>
        </w:rPr>
        <w:t>circuits</w:t>
      </w:r>
      <w:r w:rsidR="00B65BFD">
        <w:rPr>
          <w:lang w:val="fr-FR"/>
        </w:rPr>
        <w:t> ;</w:t>
      </w:r>
    </w:p>
    <w:p w:rsidR="00C82E57" w:rsidRPr="00066C56" w:rsidRDefault="00C82E57" w:rsidP="00B65BFD">
      <w:pPr>
        <w:pStyle w:val="SingleTxtG"/>
        <w:ind w:firstLine="567"/>
      </w:pPr>
      <w:r w:rsidRPr="00066C56">
        <w:t>c)</w:t>
      </w:r>
      <w:r w:rsidRPr="00066C56">
        <w:tab/>
      </w:r>
      <w:r>
        <w:rPr>
          <w:lang w:val="fr-FR"/>
        </w:rPr>
        <w:t xml:space="preserve">Clarification des prescriptions pour le transport d’accumulateurs dans ce qui est actuellement désigné comme des </w:t>
      </w:r>
      <w:r w:rsidR="00A65C0B">
        <w:rPr>
          <w:lang w:val="fr-FR"/>
        </w:rPr>
        <w:t>« </w:t>
      </w:r>
      <w:r>
        <w:rPr>
          <w:lang w:val="fr-FR"/>
        </w:rPr>
        <w:t>caisses pour accumulateurs</w:t>
      </w:r>
      <w:r w:rsidR="00A65C0B">
        <w:rPr>
          <w:lang w:val="fr-FR"/>
        </w:rPr>
        <w:t> »</w:t>
      </w:r>
      <w:r>
        <w:rPr>
          <w:lang w:val="fr-FR"/>
        </w:rPr>
        <w:t> ; et</w:t>
      </w:r>
    </w:p>
    <w:p w:rsidR="00C82E57" w:rsidRPr="00066C56" w:rsidRDefault="00C82E57" w:rsidP="00F90801">
      <w:pPr>
        <w:pStyle w:val="SingleTxtG"/>
        <w:keepLines/>
        <w:ind w:firstLine="567"/>
      </w:pPr>
      <w:r w:rsidRPr="00066C56">
        <w:t>d)</w:t>
      </w:r>
      <w:r w:rsidRPr="00066C56">
        <w:tab/>
      </w:r>
      <w:r>
        <w:rPr>
          <w:lang w:val="fr-FR"/>
        </w:rPr>
        <w:t>Modification de la disposition spéciale d’emballage PP16 de l’instruction d’emballage P003 pour autoriser le transport des accumulateurs à électrolyte liquide étanches usagés (N</w:t>
      </w:r>
      <w:r w:rsidR="001E1BC7">
        <w:rPr>
          <w:lang w:val="fr-FR"/>
        </w:rPr>
        <w:t>o </w:t>
      </w:r>
      <w:r>
        <w:rPr>
          <w:lang w:val="fr-FR"/>
        </w:rPr>
        <w:t>ONU 2800) dans des bacs en acier inoxydable ou en plastique, conformément à l’alinéa 4) de l’instruction d’emballage P801.</w:t>
      </w:r>
    </w:p>
    <w:p w:rsidR="00C82E57" w:rsidRDefault="00C82E57" w:rsidP="00B853DC">
      <w:pPr>
        <w:pStyle w:val="SingleTxtG"/>
      </w:pPr>
      <w:r>
        <w:t>5.</w:t>
      </w:r>
      <w:r>
        <w:tab/>
      </w:r>
      <w:r>
        <w:rPr>
          <w:lang w:val="fr-FR"/>
        </w:rPr>
        <w:t>Pour résume</w:t>
      </w:r>
      <w:r w:rsidR="00A65C0B">
        <w:rPr>
          <w:lang w:val="fr-FR"/>
        </w:rPr>
        <w:t xml:space="preserve">r ce qui a été mis en évidence </w:t>
      </w:r>
      <w:r>
        <w:rPr>
          <w:lang w:val="fr-FR"/>
        </w:rPr>
        <w:t>et examiné lors des sessions précédentes, l’actuelle instruction d’emballage P</w:t>
      </w:r>
      <w:proofErr w:type="gramStart"/>
      <w:r>
        <w:rPr>
          <w:lang w:val="fr-FR"/>
        </w:rPr>
        <w:t>801:</w:t>
      </w:r>
      <w:proofErr w:type="gramEnd"/>
      <w:r>
        <w:rPr>
          <w:lang w:val="fr-FR"/>
        </w:rPr>
        <w:t xml:space="preserve"> </w:t>
      </w:r>
    </w:p>
    <w:p w:rsidR="00C82E57" w:rsidRDefault="00C82E57" w:rsidP="001E1BC7">
      <w:pPr>
        <w:pStyle w:val="SingleTxtG"/>
        <w:ind w:firstLine="567"/>
      </w:pPr>
      <w:r>
        <w:t>a)</w:t>
      </w:r>
      <w:r>
        <w:tab/>
      </w:r>
      <w:r>
        <w:rPr>
          <w:lang w:val="fr-FR"/>
        </w:rPr>
        <w:t>N’aborde pas la question des accumulateurs susceptibles de présenter des fuites d’électrolyte. Les accumulateurs peuvent effectivement présenter de telles fuites en raison de dommages causés à leur enveloppe ou s’ils sont du type humide avec évents de ventilation. Toute fuite éventuelle d’électrolyte devrait être réduite au minimum dans l’intérêt de la sécurité de la manutention et du transport des accumulateurs</w:t>
      </w:r>
      <w:r w:rsidR="001E1BC7">
        <w:rPr>
          <w:lang w:val="fr-FR"/>
        </w:rPr>
        <w:t> ;</w:t>
      </w:r>
      <w:r>
        <w:rPr>
          <w:lang w:val="fr-FR"/>
        </w:rPr>
        <w:t xml:space="preserve"> </w:t>
      </w:r>
    </w:p>
    <w:p w:rsidR="00C82E57" w:rsidRDefault="00C82E57" w:rsidP="001E1BC7">
      <w:pPr>
        <w:pStyle w:val="SingleTxtG"/>
        <w:ind w:firstLine="567"/>
      </w:pPr>
      <w:r>
        <w:t>b)</w:t>
      </w:r>
      <w:r>
        <w:tab/>
      </w:r>
      <w:r>
        <w:rPr>
          <w:lang w:val="fr-FR"/>
        </w:rPr>
        <w:t>Autorise le transport des accumulateurs usagés en vrac dans des «</w:t>
      </w:r>
      <w:r w:rsidR="001E1BC7">
        <w:rPr>
          <w:lang w:val="fr-FR"/>
        </w:rPr>
        <w:t> </w:t>
      </w:r>
      <w:r>
        <w:rPr>
          <w:lang w:val="fr-FR"/>
        </w:rPr>
        <w:t>caisses pour accumulateurs</w:t>
      </w:r>
      <w:r w:rsidR="001E1BC7">
        <w:rPr>
          <w:lang w:val="fr-FR"/>
        </w:rPr>
        <w:t> </w:t>
      </w:r>
      <w:r>
        <w:rPr>
          <w:lang w:val="fr-FR"/>
        </w:rPr>
        <w:t>». Toutefois, l’expert du Canada ne voit pas bien comment des accumulateurs usagés peuvent être transportés en vrac tout en continuant de satisfaire aux prescriptions supplémentaires énumérées dans l’instruction P801 (par exemple que les accumulateurs soient emballés ou fixés de manière à empêcher tout mouvement accidentel). De surcroît, le concept de «</w:t>
      </w:r>
      <w:r w:rsidR="001E1BC7">
        <w:rPr>
          <w:lang w:val="fr-FR"/>
        </w:rPr>
        <w:t> </w:t>
      </w:r>
      <w:r>
        <w:rPr>
          <w:lang w:val="fr-FR"/>
        </w:rPr>
        <w:t>caisses pour accumulateurs</w:t>
      </w:r>
      <w:r w:rsidR="001E1BC7">
        <w:rPr>
          <w:lang w:val="fr-FR"/>
        </w:rPr>
        <w:t> </w:t>
      </w:r>
      <w:r>
        <w:rPr>
          <w:lang w:val="fr-FR"/>
        </w:rPr>
        <w:t>» n’est pas conforme à la définition d’une caisse qui figure dans la sous-section 1.2.1 des Recommandations</w:t>
      </w:r>
      <w:r w:rsidR="001E1BC7">
        <w:rPr>
          <w:lang w:val="fr-FR"/>
        </w:rPr>
        <w:t> ;</w:t>
      </w:r>
      <w:r>
        <w:rPr>
          <w:lang w:val="fr-FR"/>
        </w:rPr>
        <w:t xml:space="preserve"> </w:t>
      </w:r>
    </w:p>
    <w:p w:rsidR="00C82E57" w:rsidRPr="002B5B96" w:rsidRDefault="00C82E57" w:rsidP="001E1BC7">
      <w:pPr>
        <w:pStyle w:val="SingleTxtG"/>
        <w:ind w:firstLine="567"/>
      </w:pPr>
      <w:r w:rsidRPr="002B5B96">
        <w:t>c)</w:t>
      </w:r>
      <w:r w:rsidRPr="002B5B96">
        <w:tab/>
      </w:r>
      <w:r>
        <w:rPr>
          <w:lang w:val="fr-FR"/>
        </w:rPr>
        <w:t>Prescrit que chaque accumulateur transporté au titre de cette instruction d’emballage doit être protégé contre les courts-circuits. Or cette exigence risque</w:t>
      </w:r>
      <w:r w:rsidR="00A65C0B">
        <w:rPr>
          <w:lang w:val="fr-FR"/>
        </w:rPr>
        <w:t xml:space="preserve"> d’être exagérément rigoureuse </w:t>
      </w:r>
      <w:r>
        <w:rPr>
          <w:lang w:val="fr-FR"/>
        </w:rPr>
        <w:t xml:space="preserve">dans le cas des accumulateurs usagés transportés pour être éliminés ou recyclés qui ne contiennent probablement que peu de charge, voire aucune. </w:t>
      </w:r>
    </w:p>
    <w:p w:rsidR="00C82E57" w:rsidRDefault="00C82E57" w:rsidP="00B853DC">
      <w:pPr>
        <w:pStyle w:val="SingleTxtG"/>
      </w:pPr>
      <w:r>
        <w:t>6.</w:t>
      </w:r>
      <w:r>
        <w:tab/>
      </w:r>
      <w:r>
        <w:rPr>
          <w:lang w:val="fr-FR"/>
        </w:rPr>
        <w:t xml:space="preserve"> </w:t>
      </w:r>
      <w:r w:rsidRPr="000C1EDA">
        <w:rPr>
          <w:lang w:val="fr-FR"/>
        </w:rPr>
        <w:t xml:space="preserve">Lors de </w:t>
      </w:r>
      <w:r>
        <w:rPr>
          <w:lang w:val="fr-FR"/>
        </w:rPr>
        <w:t>la cinquante-deuxième session, l’expert du Canada a proposé d’apporter des modifications aux références des dispositions générales figurant dans l’instruction d’emballage P801. Certaine</w:t>
      </w:r>
      <w:r w:rsidR="00A65C0B">
        <w:rPr>
          <w:lang w:val="fr-FR"/>
        </w:rPr>
        <w:t xml:space="preserve">s délégations se sont demandé </w:t>
      </w:r>
      <w:r>
        <w:rPr>
          <w:lang w:val="fr-FR"/>
        </w:rPr>
        <w:t>si la disposition générale</w:t>
      </w:r>
      <w:r w:rsidR="001E1BC7">
        <w:rPr>
          <w:lang w:val="fr-FR"/>
        </w:rPr>
        <w:t> </w:t>
      </w:r>
      <w:r>
        <w:rPr>
          <w:lang w:val="fr-FR"/>
        </w:rPr>
        <w:t>4.1.1 pouvait s’appliquer à des bacs en acier inoxydable ou en plastique, étant donné qu’ils ne peuvent pas être considérés comme des «</w:t>
      </w:r>
      <w:r w:rsidR="001E1BC7">
        <w:rPr>
          <w:lang w:val="fr-FR"/>
        </w:rPr>
        <w:t> </w:t>
      </w:r>
      <w:r>
        <w:rPr>
          <w:lang w:val="fr-FR"/>
        </w:rPr>
        <w:t>emballages</w:t>
      </w:r>
      <w:r w:rsidR="001E1BC7">
        <w:rPr>
          <w:lang w:val="fr-FR"/>
        </w:rPr>
        <w:t> </w:t>
      </w:r>
      <w:r>
        <w:rPr>
          <w:lang w:val="fr-FR"/>
        </w:rPr>
        <w:t>» s’ils sont dépourvus de couverc</w:t>
      </w:r>
      <w:r w:rsidR="00A65C0B">
        <w:rPr>
          <w:lang w:val="fr-FR"/>
        </w:rPr>
        <w:t>le. Toutefois, si l’on applique</w:t>
      </w:r>
      <w:r>
        <w:rPr>
          <w:lang w:val="fr-FR"/>
        </w:rPr>
        <w:t xml:space="preserve"> cette même logique aux autres emballages actuellement énumérés dans l’instruction d’emballage P801, les harasses en boi</w:t>
      </w:r>
      <w:r w:rsidR="00311482">
        <w:rPr>
          <w:lang w:val="fr-FR"/>
        </w:rPr>
        <w:t xml:space="preserve">s et les palettes ne devraient </w:t>
      </w:r>
      <w:r>
        <w:rPr>
          <w:lang w:val="fr-FR"/>
        </w:rPr>
        <w:t>pas être considérées comme des emballages et, partant, ne pourraient être tenues de se conformer à la disposition générale</w:t>
      </w:r>
      <w:r w:rsidR="001E1BC7">
        <w:rPr>
          <w:lang w:val="fr-FR"/>
        </w:rPr>
        <w:t> </w:t>
      </w:r>
      <w:r>
        <w:rPr>
          <w:lang w:val="fr-FR"/>
        </w:rPr>
        <w:t>4.1.</w:t>
      </w:r>
      <w:r w:rsidR="001E1BC7">
        <w:rPr>
          <w:lang w:val="fr-FR"/>
        </w:rPr>
        <w:t>1.</w:t>
      </w:r>
    </w:p>
    <w:p w:rsidR="00C82E57" w:rsidRDefault="00C82E57" w:rsidP="00B853DC">
      <w:pPr>
        <w:pStyle w:val="SingleTxtG"/>
      </w:pPr>
      <w:r>
        <w:t>7.</w:t>
      </w:r>
      <w:r>
        <w:tab/>
      </w:r>
      <w:r>
        <w:rPr>
          <w:lang w:val="fr-FR"/>
        </w:rPr>
        <w:t>Enfin, comme l’ont exprimé certaines délégations à la cinquante-deuxième session et en se fondant sur les prescriptions de l’Accord européen relatif au transport international des marchandises dangereuses par route (ADR), l’expert du Canada propose de modifier la disposition spéciale d’emballage PP16 dans l’instruction d’emballage P003 pour autoriser le transport des accumulateurs usagés (N</w:t>
      </w:r>
      <w:r w:rsidR="0048341A">
        <w:rPr>
          <w:lang w:val="fr-FR"/>
        </w:rPr>
        <w:t>o </w:t>
      </w:r>
      <w:r>
        <w:rPr>
          <w:lang w:val="fr-FR"/>
        </w:rPr>
        <w:t>ONU 2800)</w:t>
      </w:r>
      <w:r w:rsidR="0048341A">
        <w:rPr>
          <w:lang w:val="fr-FR"/>
        </w:rPr>
        <w:t xml:space="preserve"> </w:t>
      </w:r>
      <w:r>
        <w:rPr>
          <w:lang w:val="fr-FR"/>
        </w:rPr>
        <w:t>dans des bacs en acier inoxydable ou en plastique conformément à l’alinéa 4) de l’instruction d’emballage P801.</w:t>
      </w:r>
    </w:p>
    <w:p w:rsidR="00C82E57" w:rsidRPr="00057E80" w:rsidRDefault="00C82E57" w:rsidP="0048341A">
      <w:pPr>
        <w:pStyle w:val="HChG"/>
      </w:pPr>
      <w:r>
        <w:rPr>
          <w:lang w:val="fr-FR"/>
        </w:rPr>
        <w:tab/>
      </w:r>
      <w:r>
        <w:rPr>
          <w:lang w:val="fr-FR"/>
        </w:rPr>
        <w:tab/>
        <w:t>Proposition</w:t>
      </w:r>
    </w:p>
    <w:p w:rsidR="00C82E57" w:rsidRDefault="00C82E57" w:rsidP="00B853DC">
      <w:pPr>
        <w:pStyle w:val="SingleTxtG"/>
        <w:rPr>
          <w:lang w:val="fr-FR"/>
        </w:rPr>
      </w:pPr>
      <w:r>
        <w:rPr>
          <w:lang w:val="fr-FR"/>
        </w:rPr>
        <w:t>8.</w:t>
      </w:r>
      <w:r>
        <w:rPr>
          <w:lang w:val="fr-FR"/>
        </w:rPr>
        <w:tab/>
        <w:t>Modifier l’instruction d’emballage P801 du paragraphe</w:t>
      </w:r>
      <w:r w:rsidR="0048341A">
        <w:rPr>
          <w:lang w:val="fr-FR"/>
        </w:rPr>
        <w:t> </w:t>
      </w:r>
      <w:r>
        <w:rPr>
          <w:lang w:val="fr-FR"/>
        </w:rPr>
        <w:t>4.1.4.1 du chapitre</w:t>
      </w:r>
      <w:r w:rsidR="0048341A">
        <w:rPr>
          <w:lang w:val="fr-FR"/>
        </w:rPr>
        <w:t> </w:t>
      </w:r>
      <w:r>
        <w:rPr>
          <w:lang w:val="fr-FR"/>
        </w:rPr>
        <w:t xml:space="preserve">4.1, comme suit (les ajouts sont indiqués en </w:t>
      </w:r>
      <w:r w:rsidRPr="00675AA0">
        <w:rPr>
          <w:u w:val="single"/>
          <w:lang w:val="fr-FR"/>
        </w:rPr>
        <w:t>caractères soulignés</w:t>
      </w:r>
      <w:r>
        <w:rPr>
          <w:lang w:val="fr-FR"/>
        </w:rPr>
        <w:t xml:space="preserve">, les suppressions en </w:t>
      </w:r>
      <w:r w:rsidRPr="00675AA0">
        <w:rPr>
          <w:strike/>
          <w:lang w:val="fr-FR"/>
        </w:rPr>
        <w:t>caractères biffés</w:t>
      </w:r>
      <w:r w:rsidR="0048341A">
        <w:rPr>
          <w:lang w:val="fr-FR"/>
        </w:rPr>
        <w:t>) </w:t>
      </w:r>
      <w:r>
        <w:rPr>
          <w:lang w:val="fr-FR"/>
        </w:rPr>
        <w:t xml:space="preserve">: </w:t>
      </w:r>
    </w:p>
    <w:p w:rsidR="00D5111A" w:rsidRDefault="00D5111A" w:rsidP="00B853DC">
      <w:pPr>
        <w:pStyle w:val="SingleTxtG"/>
        <w:rPr>
          <w:lang w:val="fr-FR"/>
        </w:rPr>
      </w:pPr>
      <w:r>
        <w:rPr>
          <w:lang w:val="fr-FR"/>
        </w:rPr>
        <w:br w:type="page"/>
      </w:r>
    </w:p>
    <w:tbl>
      <w:tblPr>
        <w:tblStyle w:val="TableGrid1"/>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13"/>
        <w:gridCol w:w="3213"/>
        <w:gridCol w:w="3213"/>
      </w:tblGrid>
      <w:tr w:rsidR="00D5111A" w:rsidRPr="00E275FD" w:rsidTr="00341E74">
        <w:trPr>
          <w:jc w:val="center"/>
        </w:trPr>
        <w:tc>
          <w:tcPr>
            <w:tcW w:w="3213" w:type="dxa"/>
            <w:tcBorders>
              <w:top w:val="single" w:sz="4" w:space="0" w:color="auto"/>
              <w:left w:val="single" w:sz="4" w:space="0" w:color="auto"/>
              <w:bottom w:val="single" w:sz="4" w:space="0" w:color="auto"/>
            </w:tcBorders>
            <w:tcMar>
              <w:left w:w="57" w:type="dxa"/>
              <w:right w:w="57" w:type="dxa"/>
            </w:tcMar>
            <w:vAlign w:val="center"/>
          </w:tcPr>
          <w:p w:rsidR="00D5111A" w:rsidRPr="00E275FD" w:rsidRDefault="00D5111A" w:rsidP="00341E74">
            <w:pPr>
              <w:spacing w:before="60" w:after="60" w:line="240" w:lineRule="auto"/>
              <w:rPr>
                <w:b/>
                <w:sz w:val="16"/>
              </w:rPr>
            </w:pPr>
            <w:r w:rsidRPr="00E275FD">
              <w:rPr>
                <w:b/>
                <w:sz w:val="16"/>
              </w:rPr>
              <w:lastRenderedPageBreak/>
              <w:t>P</w:t>
            </w:r>
            <w:r>
              <w:rPr>
                <w:b/>
                <w:sz w:val="16"/>
              </w:rPr>
              <w:t>801</w:t>
            </w:r>
          </w:p>
        </w:tc>
        <w:tc>
          <w:tcPr>
            <w:tcW w:w="3213" w:type="dxa"/>
            <w:tcBorders>
              <w:top w:val="single" w:sz="4" w:space="0" w:color="auto"/>
              <w:bottom w:val="single" w:sz="4" w:space="0" w:color="auto"/>
            </w:tcBorders>
            <w:tcMar>
              <w:left w:w="57" w:type="dxa"/>
              <w:right w:w="57" w:type="dxa"/>
            </w:tcMar>
            <w:vAlign w:val="center"/>
          </w:tcPr>
          <w:p w:rsidR="00D5111A" w:rsidRPr="0035264E" w:rsidRDefault="00D5111A" w:rsidP="00341E74">
            <w:pPr>
              <w:spacing w:before="60" w:after="60" w:line="240" w:lineRule="auto"/>
              <w:jc w:val="center"/>
              <w:rPr>
                <w:b/>
                <w:iCs/>
                <w:highlight w:val="yellow"/>
              </w:rPr>
            </w:pPr>
            <w:r w:rsidRPr="00C8248A">
              <w:rPr>
                <w:b/>
                <w:iCs/>
              </w:rPr>
              <w:t>INSTRUCTION D’EMBALLAGE</w:t>
            </w:r>
          </w:p>
        </w:tc>
        <w:tc>
          <w:tcPr>
            <w:cnfStyle w:val="000100000000" w:firstRow="0" w:lastRow="0" w:firstColumn="0" w:lastColumn="1" w:oddVBand="0" w:evenVBand="0" w:oddHBand="0" w:evenHBand="0" w:firstRowFirstColumn="0" w:firstRowLastColumn="0" w:lastRowFirstColumn="0" w:lastRowLastColumn="0"/>
            <w:tcW w:w="3213" w:type="dxa"/>
            <w:tcBorders>
              <w:top w:val="single" w:sz="4" w:space="0" w:color="auto"/>
              <w:bottom w:val="single" w:sz="4" w:space="0" w:color="auto"/>
              <w:right w:val="single" w:sz="4" w:space="0" w:color="auto"/>
            </w:tcBorders>
            <w:tcMar>
              <w:left w:w="57" w:type="dxa"/>
              <w:right w:w="57" w:type="dxa"/>
            </w:tcMar>
            <w:vAlign w:val="center"/>
          </w:tcPr>
          <w:p w:rsidR="00D5111A" w:rsidRPr="00E275FD" w:rsidRDefault="00D5111A" w:rsidP="00341E74">
            <w:pPr>
              <w:spacing w:before="60" w:after="60" w:line="240" w:lineRule="auto"/>
              <w:jc w:val="right"/>
              <w:rPr>
                <w:b/>
                <w:i w:val="0"/>
                <w:iCs w:val="0"/>
                <w:sz w:val="16"/>
              </w:rPr>
            </w:pPr>
            <w:r w:rsidRPr="00E275FD">
              <w:rPr>
                <w:b/>
                <w:i w:val="0"/>
                <w:iCs w:val="0"/>
                <w:sz w:val="16"/>
              </w:rPr>
              <w:t>P</w:t>
            </w:r>
            <w:r>
              <w:rPr>
                <w:b/>
                <w:i w:val="0"/>
                <w:iCs w:val="0"/>
                <w:sz w:val="16"/>
              </w:rPr>
              <w:t>801</w:t>
            </w:r>
          </w:p>
        </w:tc>
      </w:tr>
      <w:tr w:rsidR="00D5111A" w:rsidTr="00341E74">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D5111A" w:rsidRPr="000C563F" w:rsidRDefault="00D5111A" w:rsidP="00341E74">
            <w:pPr>
              <w:spacing w:before="60" w:after="60" w:line="240" w:lineRule="auto"/>
              <w:rPr>
                <w:i w:val="0"/>
              </w:rPr>
            </w:pPr>
            <w:r>
              <w:rPr>
                <w:i w:val="0"/>
              </w:rPr>
              <w:t>Cette instruction s’applique au</w:t>
            </w:r>
            <w:r w:rsidRPr="000C563F">
              <w:rPr>
                <w:i w:val="0"/>
              </w:rPr>
              <w:t xml:space="preserve">x </w:t>
            </w:r>
            <w:r w:rsidRPr="00311482">
              <w:rPr>
                <w:i w:val="0"/>
                <w:strike/>
                <w:lang w:val="fr-FR"/>
              </w:rPr>
              <w:t>accumulateurs, neufs et usagés (</w:t>
            </w:r>
            <w:r>
              <w:rPr>
                <w:i w:val="0"/>
                <w:iCs w:val="0"/>
              </w:rPr>
              <w:t xml:space="preserve">Nos </w:t>
            </w:r>
            <w:r w:rsidRPr="000C563F">
              <w:rPr>
                <w:i w:val="0"/>
              </w:rPr>
              <w:t xml:space="preserve">ONU </w:t>
            </w:r>
            <w:r w:rsidRPr="00AF7C24">
              <w:rPr>
                <w:i w:val="0"/>
                <w:lang w:val="fr-FR"/>
              </w:rPr>
              <w:t>2794, 2795 et 3028</w:t>
            </w:r>
            <w:r w:rsidRPr="00AF7C24">
              <w:rPr>
                <w:i w:val="0"/>
                <w:strike/>
                <w:lang w:val="fr-FR"/>
              </w:rPr>
              <w:t>)</w:t>
            </w:r>
          </w:p>
        </w:tc>
      </w:tr>
      <w:tr w:rsidR="00D5111A" w:rsidTr="00341E74">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top w:val="single" w:sz="4" w:space="0" w:color="auto"/>
              <w:left w:val="single" w:sz="4" w:space="0" w:color="auto"/>
              <w:right w:val="single" w:sz="4" w:space="0" w:color="auto"/>
            </w:tcBorders>
            <w:tcMar>
              <w:left w:w="57" w:type="dxa"/>
              <w:right w:w="57" w:type="dxa"/>
            </w:tcMar>
          </w:tcPr>
          <w:p w:rsidR="00D5111A" w:rsidRPr="000C563F" w:rsidRDefault="00D5111A" w:rsidP="00341E74">
            <w:pPr>
              <w:spacing w:before="60" w:after="60" w:line="240" w:lineRule="auto"/>
              <w:rPr>
                <w:i w:val="0"/>
              </w:rPr>
            </w:pPr>
            <w:r>
              <w:rPr>
                <w:i w:val="0"/>
              </w:rPr>
              <w:t xml:space="preserve">Les emballages suivants sont autorisés s’il est satisfait aux dispositions </w:t>
            </w:r>
            <w:r w:rsidRPr="00AF7C24">
              <w:rPr>
                <w:i w:val="0"/>
                <w:strike/>
              </w:rPr>
              <w:t>générales</w:t>
            </w:r>
            <w:r>
              <w:rPr>
                <w:i w:val="0"/>
              </w:rPr>
              <w:t xml:space="preserve"> des paragraphes </w:t>
            </w:r>
            <w:r w:rsidRPr="00AF7C24">
              <w:rPr>
                <w:i w:val="0"/>
                <w:u w:val="single"/>
                <w:lang w:val="fr-FR"/>
              </w:rPr>
              <w:t>4.1.1.1, 4.1.1.2, 4.1.1.6</w:t>
            </w:r>
            <w:r w:rsidRPr="00AF7C24">
              <w:rPr>
                <w:i w:val="0"/>
                <w:lang w:val="fr-FR"/>
              </w:rPr>
              <w:t xml:space="preserve"> </w:t>
            </w:r>
            <w:r w:rsidRPr="00AF7C24">
              <w:rPr>
                <w:b/>
                <w:bCs/>
                <w:i w:val="0"/>
                <w:strike/>
                <w:lang w:val="fr-FR"/>
              </w:rPr>
              <w:t>4.1.1</w:t>
            </w:r>
            <w:r w:rsidRPr="00AF7C24">
              <w:rPr>
                <w:i w:val="0"/>
                <w:strike/>
                <w:lang w:val="fr-FR"/>
              </w:rPr>
              <w:t xml:space="preserve">, à l’exception du </w:t>
            </w:r>
            <w:r w:rsidRPr="00AF7C24">
              <w:rPr>
                <w:b/>
                <w:bCs/>
                <w:i w:val="0"/>
                <w:strike/>
                <w:lang w:val="fr-FR"/>
              </w:rPr>
              <w:t>4.1.1.3</w:t>
            </w:r>
            <w:r w:rsidRPr="00AF7C24">
              <w:rPr>
                <w:i w:val="0"/>
                <w:lang w:val="fr-FR"/>
              </w:rPr>
              <w:t xml:space="preserve"> et de </w:t>
            </w:r>
            <w:r w:rsidRPr="00AF7C24">
              <w:rPr>
                <w:b/>
                <w:bCs/>
                <w:i w:val="0"/>
                <w:lang w:val="fr-FR"/>
              </w:rPr>
              <w:t>4.1.3</w:t>
            </w:r>
            <w:r>
              <w:rPr>
                <w:b/>
                <w:bCs/>
                <w:i w:val="0"/>
                <w:lang w:val="fr-FR"/>
              </w:rPr>
              <w:t> </w:t>
            </w:r>
            <w:r w:rsidRPr="00AF7C24">
              <w:rPr>
                <w:i w:val="0"/>
              </w:rPr>
              <w:t>:</w:t>
            </w:r>
          </w:p>
        </w:tc>
      </w:tr>
      <w:tr w:rsidR="00D5111A" w:rsidRPr="00E8006E" w:rsidTr="00341E74">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D5111A" w:rsidRPr="009922B8" w:rsidRDefault="00D5111A" w:rsidP="00341E74">
            <w:pPr>
              <w:spacing w:before="60" w:after="60" w:line="240" w:lineRule="auto"/>
              <w:rPr>
                <w:i w:val="0"/>
                <w:iCs w:val="0"/>
              </w:rPr>
            </w:pPr>
            <w:r w:rsidRPr="009922B8">
              <w:rPr>
                <w:rFonts w:eastAsia="Times New Roman"/>
                <w:i w:val="0"/>
                <w:iCs w:val="0"/>
                <w:lang w:eastAsia="fr-CH"/>
              </w:rPr>
              <w:t xml:space="preserve">1) </w:t>
            </w:r>
            <w:r w:rsidRPr="009922B8">
              <w:rPr>
                <w:rFonts w:eastAsia="Times New Roman"/>
                <w:i w:val="0"/>
                <w:iCs w:val="0"/>
                <w:lang w:eastAsia="fr-CH"/>
              </w:rPr>
              <w:tab/>
              <w:t>Emballages extérieurs rigides ;</w:t>
            </w:r>
          </w:p>
        </w:tc>
      </w:tr>
      <w:tr w:rsidR="00D5111A" w:rsidRPr="00E8006E" w:rsidTr="00341E74">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D5111A" w:rsidRPr="009922B8" w:rsidRDefault="00D5111A" w:rsidP="00341E74">
            <w:pPr>
              <w:spacing w:before="60" w:after="60" w:line="240" w:lineRule="auto"/>
              <w:rPr>
                <w:i w:val="0"/>
                <w:iCs w:val="0"/>
              </w:rPr>
            </w:pPr>
            <w:r w:rsidRPr="009922B8">
              <w:rPr>
                <w:rFonts w:eastAsia="Times New Roman"/>
                <w:i w:val="0"/>
                <w:iCs w:val="0"/>
                <w:lang w:eastAsia="fr-CH"/>
              </w:rPr>
              <w:t xml:space="preserve">2) </w:t>
            </w:r>
            <w:r w:rsidRPr="009922B8">
              <w:rPr>
                <w:rFonts w:eastAsia="Times New Roman"/>
                <w:i w:val="0"/>
                <w:iCs w:val="0"/>
                <w:lang w:eastAsia="fr-CH"/>
              </w:rPr>
              <w:tab/>
              <w:t>Harasses en bois</w:t>
            </w:r>
          </w:p>
        </w:tc>
      </w:tr>
      <w:tr w:rsidR="00D5111A" w:rsidRPr="00E8006E" w:rsidTr="00341E74">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D5111A" w:rsidRPr="009922B8" w:rsidRDefault="00D5111A" w:rsidP="00341E74">
            <w:pPr>
              <w:spacing w:before="60" w:after="60" w:line="240" w:lineRule="auto"/>
              <w:rPr>
                <w:i w:val="0"/>
                <w:iCs w:val="0"/>
              </w:rPr>
            </w:pPr>
            <w:r w:rsidRPr="009922B8">
              <w:rPr>
                <w:rFonts w:eastAsia="Times New Roman"/>
                <w:i w:val="0"/>
                <w:iCs w:val="0"/>
                <w:lang w:eastAsia="fr-CH"/>
              </w:rPr>
              <w:t xml:space="preserve">3) </w:t>
            </w:r>
            <w:r w:rsidRPr="009922B8">
              <w:rPr>
                <w:rFonts w:eastAsia="Times New Roman"/>
                <w:i w:val="0"/>
                <w:iCs w:val="0"/>
                <w:lang w:eastAsia="fr-CH"/>
              </w:rPr>
              <w:tab/>
              <w:t>Palettes</w:t>
            </w:r>
          </w:p>
        </w:tc>
      </w:tr>
      <w:tr w:rsidR="00D5111A" w:rsidRPr="00E8006E" w:rsidTr="00341E74">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D5111A" w:rsidRPr="009922B8" w:rsidRDefault="00D5111A" w:rsidP="00341E74">
            <w:pPr>
              <w:spacing w:before="60" w:after="60" w:line="240" w:lineRule="auto"/>
              <w:ind w:left="567"/>
              <w:rPr>
                <w:i w:val="0"/>
                <w:iCs w:val="0"/>
              </w:rPr>
            </w:pPr>
            <w:r w:rsidRPr="009922B8">
              <w:rPr>
                <w:i w:val="0"/>
                <w:u w:val="single"/>
                <w:lang w:val="fr-FR"/>
              </w:rPr>
              <w:t>De surcroît, les conditions suivantes doivent être remplies</w:t>
            </w:r>
            <w:r>
              <w:rPr>
                <w:i w:val="0"/>
                <w:u w:val="single"/>
                <w:lang w:val="fr-FR"/>
              </w:rPr>
              <w:t> </w:t>
            </w:r>
            <w:r w:rsidRPr="009922B8">
              <w:rPr>
                <w:i w:val="0"/>
                <w:u w:val="single"/>
                <w:lang w:val="fr-FR"/>
              </w:rPr>
              <w:t>:</w:t>
            </w:r>
          </w:p>
        </w:tc>
      </w:tr>
      <w:tr w:rsidR="00D5111A" w:rsidRPr="00E8006E" w:rsidTr="00341E74">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D5111A" w:rsidRPr="004C1BFD" w:rsidRDefault="00D5111A" w:rsidP="00341E74">
            <w:pPr>
              <w:spacing w:before="60" w:after="60" w:line="240" w:lineRule="auto"/>
              <w:ind w:left="1134" w:hanging="567"/>
              <w:rPr>
                <w:i w:val="0"/>
                <w:iCs w:val="0"/>
              </w:rPr>
            </w:pPr>
            <w:r w:rsidRPr="004C1BFD">
              <w:rPr>
                <w:i w:val="0"/>
                <w:u w:val="single"/>
                <w:lang w:val="fr-FR"/>
              </w:rPr>
              <w:t>a)</w:t>
            </w:r>
            <w:r w:rsidRPr="004C1BFD">
              <w:rPr>
                <w:i w:val="0"/>
                <w:u w:val="single"/>
                <w:lang w:val="fr-FR"/>
              </w:rPr>
              <w:tab/>
              <w:t>Les accumulateurs empilés doivent être placés sur plusieurs niveaux séparés par une couche en matériau non conducteur d’électricité</w:t>
            </w:r>
            <w:r>
              <w:rPr>
                <w:i w:val="0"/>
                <w:u w:val="single"/>
                <w:lang w:val="fr-FR"/>
              </w:rPr>
              <w:t> ;</w:t>
            </w:r>
          </w:p>
        </w:tc>
      </w:tr>
      <w:tr w:rsidR="00D5111A" w:rsidRPr="00E8006E" w:rsidTr="00341E74">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D5111A" w:rsidRPr="004C1BFD" w:rsidRDefault="00D5111A" w:rsidP="00341E74">
            <w:pPr>
              <w:spacing w:before="60" w:after="60" w:line="240" w:lineRule="auto"/>
              <w:ind w:left="1134" w:hanging="567"/>
              <w:rPr>
                <w:i w:val="0"/>
                <w:iCs w:val="0"/>
              </w:rPr>
            </w:pPr>
            <w:r w:rsidRPr="004C1BFD">
              <w:rPr>
                <w:i w:val="0"/>
                <w:u w:val="single"/>
                <w:lang w:val="fr-FR"/>
              </w:rPr>
              <w:t>b)</w:t>
            </w:r>
            <w:r w:rsidRPr="004C1BFD">
              <w:rPr>
                <w:i w:val="0"/>
                <w:u w:val="single"/>
                <w:lang w:val="fr-FR"/>
              </w:rPr>
              <w:tab/>
              <w:t>Les bornes des accumulateurs ne doivent pas supporter le poids d’autres éléments qui leur seraient superposés ;</w:t>
            </w:r>
          </w:p>
        </w:tc>
      </w:tr>
      <w:tr w:rsidR="00D5111A" w:rsidRPr="00E8006E" w:rsidTr="00341E74">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D5111A" w:rsidRPr="004C1BFD" w:rsidRDefault="00D5111A" w:rsidP="00341E74">
            <w:pPr>
              <w:spacing w:before="60" w:after="60" w:line="240" w:lineRule="auto"/>
              <w:ind w:left="1134" w:hanging="567"/>
              <w:rPr>
                <w:i w:val="0"/>
                <w:iCs w:val="0"/>
              </w:rPr>
            </w:pPr>
            <w:r w:rsidRPr="004C1BFD">
              <w:rPr>
                <w:i w:val="0"/>
                <w:u w:val="single"/>
                <w:lang w:val="fr-FR"/>
              </w:rPr>
              <w:t>c)</w:t>
            </w:r>
            <w:r w:rsidRPr="004C1BFD">
              <w:rPr>
                <w:i w:val="0"/>
                <w:u w:val="single"/>
                <w:lang w:val="fr-FR"/>
              </w:rPr>
              <w:tab/>
              <w:t>Les accumulateurs doivent être emballés ou assujettis de manière à empêcher tout mouvement accidentel ;</w:t>
            </w:r>
          </w:p>
        </w:tc>
      </w:tr>
      <w:tr w:rsidR="00D5111A" w:rsidRPr="00E8006E" w:rsidTr="00341E74">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D5111A" w:rsidRPr="004C1BFD" w:rsidRDefault="00D5111A" w:rsidP="00341E74">
            <w:pPr>
              <w:spacing w:before="60" w:after="60" w:line="240" w:lineRule="auto"/>
              <w:ind w:left="1134" w:hanging="567"/>
              <w:rPr>
                <w:i w:val="0"/>
                <w:iCs w:val="0"/>
              </w:rPr>
            </w:pPr>
            <w:r w:rsidRPr="004C1BFD">
              <w:rPr>
                <w:i w:val="0"/>
                <w:u w:val="single"/>
                <w:lang w:val="fr-FR"/>
              </w:rPr>
              <w:t>d)</w:t>
            </w:r>
            <w:r w:rsidRPr="004C1BFD">
              <w:rPr>
                <w:i w:val="0"/>
                <w:u w:val="single"/>
                <w:lang w:val="fr-FR"/>
              </w:rPr>
              <w:tab/>
              <w:t>Les accumulateurs ne doivent présenter aucune fuite dans des conditions normales de transport ou des mesures appropriées doivent être prises pour empêcher toute fuite d’électrolyte du colis (par exemple l’emballage individuel des accumulateurs ou d’autres moyens tout aussi efficaces)</w:t>
            </w:r>
            <w:r>
              <w:rPr>
                <w:i w:val="0"/>
                <w:u w:val="single"/>
                <w:lang w:val="fr-FR"/>
              </w:rPr>
              <w:t> </w:t>
            </w:r>
            <w:r w:rsidRPr="004C1BFD">
              <w:rPr>
                <w:i w:val="0"/>
                <w:u w:val="single"/>
                <w:lang w:val="fr-FR"/>
              </w:rPr>
              <w:t>; et</w:t>
            </w:r>
          </w:p>
        </w:tc>
      </w:tr>
      <w:tr w:rsidR="00D5111A" w:rsidRPr="00E8006E" w:rsidTr="00341E74">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D5111A" w:rsidRPr="004C1BFD" w:rsidRDefault="00D5111A" w:rsidP="00341E74">
            <w:pPr>
              <w:spacing w:before="60" w:after="60" w:line="240" w:lineRule="auto"/>
              <w:ind w:left="1134" w:hanging="567"/>
              <w:rPr>
                <w:i w:val="0"/>
                <w:iCs w:val="0"/>
              </w:rPr>
            </w:pPr>
            <w:r w:rsidRPr="004C1BFD">
              <w:rPr>
                <w:i w:val="0"/>
                <w:u w:val="single"/>
                <w:lang w:val="fr-FR"/>
              </w:rPr>
              <w:t>e)</w:t>
            </w:r>
            <w:r>
              <w:rPr>
                <w:i w:val="0"/>
                <w:u w:val="single"/>
                <w:lang w:val="fr-FR"/>
              </w:rPr>
              <w:tab/>
            </w:r>
            <w:r w:rsidRPr="004C1BFD">
              <w:rPr>
                <w:i w:val="0"/>
                <w:u w:val="single"/>
                <w:lang w:val="fr-FR"/>
              </w:rPr>
              <w:t>Les accumulateurs doivent être protégés des courts-circuits</w:t>
            </w:r>
            <w:r w:rsidRPr="004C1BFD">
              <w:rPr>
                <w:i w:val="0"/>
                <w:lang w:val="fr-FR"/>
              </w:rPr>
              <w:t>.</w:t>
            </w:r>
          </w:p>
        </w:tc>
      </w:tr>
      <w:tr w:rsidR="00D5111A" w:rsidRPr="00E8006E" w:rsidTr="00341E74">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D5111A" w:rsidRPr="001B0EC9" w:rsidRDefault="00D5111A" w:rsidP="00341E74">
            <w:pPr>
              <w:spacing w:before="60" w:after="60" w:line="240" w:lineRule="auto"/>
              <w:rPr>
                <w:i w:val="0"/>
                <w:iCs w:val="0"/>
              </w:rPr>
            </w:pPr>
            <w:r w:rsidRPr="001B0EC9">
              <w:rPr>
                <w:i w:val="0"/>
                <w:lang w:val="fr-FR"/>
              </w:rPr>
              <w:t xml:space="preserve">4) </w:t>
            </w:r>
            <w:r w:rsidRPr="001B0EC9">
              <w:rPr>
                <w:i w:val="0"/>
                <w:lang w:val="fr-FR"/>
              </w:rPr>
              <w:tab/>
            </w:r>
            <w:r w:rsidRPr="001B0EC9">
              <w:rPr>
                <w:i w:val="0"/>
                <w:strike/>
                <w:lang w:val="fr-FR"/>
              </w:rPr>
              <w:t xml:space="preserve">Les accumulateurs usagés peuvent aussi être transportés en vrac dans </w:t>
            </w:r>
            <w:proofErr w:type="spellStart"/>
            <w:r w:rsidRPr="001B0EC9">
              <w:rPr>
                <w:i w:val="0"/>
                <w:strike/>
                <w:lang w:val="fr-FR"/>
              </w:rPr>
              <w:t>d</w:t>
            </w:r>
            <w:r w:rsidRPr="001B0EC9">
              <w:rPr>
                <w:i w:val="0"/>
                <w:lang w:val="fr-FR"/>
              </w:rPr>
              <w:t>Des</w:t>
            </w:r>
            <w:proofErr w:type="spellEnd"/>
            <w:r w:rsidRPr="001B0EC9">
              <w:rPr>
                <w:i w:val="0"/>
                <w:lang w:val="fr-FR"/>
              </w:rPr>
              <w:t xml:space="preserve"> bacs d’acier inoxydable ou de plastique </w:t>
            </w:r>
            <w:r w:rsidRPr="001B0EC9">
              <w:rPr>
                <w:i w:val="0"/>
                <w:u w:val="single"/>
                <w:lang w:val="fr-FR"/>
              </w:rPr>
              <w:t>peuvent être utilisés pour le transport des accumulateurs usagés</w:t>
            </w:r>
            <w:r w:rsidRPr="001B0EC9">
              <w:rPr>
                <w:i w:val="0"/>
                <w:lang w:val="fr-FR"/>
              </w:rPr>
              <w:t xml:space="preserve"> </w:t>
            </w:r>
            <w:r w:rsidRPr="001B0EC9">
              <w:rPr>
                <w:i w:val="0"/>
                <w:strike/>
                <w:lang w:val="fr-FR"/>
              </w:rPr>
              <w:t>pouvant retenir tout liquide s’échappant</w:t>
            </w:r>
            <w:r w:rsidRPr="001B0EC9">
              <w:rPr>
                <w:i w:val="0"/>
                <w:lang w:val="fr-FR"/>
              </w:rPr>
              <w:t>.</w:t>
            </w:r>
          </w:p>
        </w:tc>
      </w:tr>
      <w:tr w:rsidR="00D5111A" w:rsidRPr="00E8006E" w:rsidTr="00341E74">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D5111A" w:rsidRPr="009922B8" w:rsidRDefault="00D5111A" w:rsidP="00341E74">
            <w:pPr>
              <w:spacing w:before="60" w:after="60" w:line="240" w:lineRule="auto"/>
              <w:ind w:left="567"/>
              <w:rPr>
                <w:i w:val="0"/>
                <w:iCs w:val="0"/>
              </w:rPr>
            </w:pPr>
            <w:r w:rsidRPr="009922B8">
              <w:rPr>
                <w:i w:val="0"/>
                <w:u w:val="single"/>
                <w:lang w:val="fr-FR"/>
              </w:rPr>
              <w:t>De surcroît, les conditions suivantes doivent être remplies</w:t>
            </w:r>
            <w:r>
              <w:rPr>
                <w:i w:val="0"/>
                <w:u w:val="single"/>
                <w:lang w:val="fr-FR"/>
              </w:rPr>
              <w:t> </w:t>
            </w:r>
            <w:r w:rsidRPr="009922B8">
              <w:rPr>
                <w:i w:val="0"/>
                <w:u w:val="single"/>
                <w:lang w:val="fr-FR"/>
              </w:rPr>
              <w:t>:</w:t>
            </w:r>
          </w:p>
        </w:tc>
      </w:tr>
      <w:tr w:rsidR="00D5111A" w:rsidRPr="00E8006E" w:rsidTr="00341E74">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D5111A" w:rsidRPr="00C252F0" w:rsidRDefault="00D5111A" w:rsidP="00341E74">
            <w:pPr>
              <w:spacing w:before="60" w:after="60" w:line="240" w:lineRule="auto"/>
              <w:ind w:left="1134" w:hanging="567"/>
              <w:rPr>
                <w:i w:val="0"/>
                <w:iCs w:val="0"/>
                <w:u w:val="single"/>
              </w:rPr>
            </w:pPr>
            <w:r w:rsidRPr="00C252F0">
              <w:rPr>
                <w:rFonts w:eastAsia="Times New Roman"/>
                <w:i w:val="0"/>
                <w:u w:val="single"/>
                <w:lang w:eastAsia="fr-CH"/>
              </w:rPr>
              <w:t>a)</w:t>
            </w:r>
            <w:r w:rsidRPr="00C252F0">
              <w:rPr>
                <w:rFonts w:eastAsia="Times New Roman"/>
                <w:i w:val="0"/>
                <w:u w:val="single"/>
                <w:lang w:eastAsia="fr-CH"/>
              </w:rPr>
              <w:tab/>
              <w:t xml:space="preserve">Les bacs pour accumulateurs doivent être résistants aux </w:t>
            </w:r>
            <w:proofErr w:type="gramStart"/>
            <w:r w:rsidRPr="00C252F0">
              <w:rPr>
                <w:rFonts w:eastAsia="Times New Roman"/>
                <w:i w:val="0"/>
                <w:u w:val="single"/>
                <w:lang w:eastAsia="fr-CH"/>
              </w:rPr>
              <w:t>électrolytes  contenu</w:t>
            </w:r>
            <w:r w:rsidRPr="00C252F0">
              <w:rPr>
                <w:i w:val="0"/>
                <w:u w:val="single"/>
              </w:rPr>
              <w:t>s</w:t>
            </w:r>
            <w:proofErr w:type="gramEnd"/>
            <w:r w:rsidRPr="00C252F0">
              <w:rPr>
                <w:i w:val="0"/>
                <w:u w:val="single"/>
              </w:rPr>
              <w:t xml:space="preserve"> dans les accumulateurs </w:t>
            </w:r>
            <w:r w:rsidRPr="00C252F0">
              <w:rPr>
                <w:rFonts w:eastAsia="Times New Roman"/>
                <w:i w:val="0"/>
                <w:u w:val="single"/>
                <w:lang w:eastAsia="fr-CH"/>
              </w:rPr>
              <w:t>;</w:t>
            </w:r>
          </w:p>
        </w:tc>
      </w:tr>
      <w:tr w:rsidR="00D5111A" w:rsidRPr="00E8006E" w:rsidTr="00341E74">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D5111A" w:rsidRPr="00C252F0" w:rsidRDefault="00D5111A" w:rsidP="00341E74">
            <w:pPr>
              <w:spacing w:before="60" w:after="60" w:line="240" w:lineRule="auto"/>
              <w:ind w:left="1134" w:hanging="567"/>
              <w:rPr>
                <w:i w:val="0"/>
                <w:iCs w:val="0"/>
                <w:u w:val="single"/>
              </w:rPr>
            </w:pPr>
            <w:r w:rsidRPr="00C252F0">
              <w:rPr>
                <w:i w:val="0"/>
                <w:u w:val="single"/>
                <w:lang w:val="fr-FR"/>
              </w:rPr>
              <w:t>b)</w:t>
            </w:r>
            <w:r w:rsidRPr="00C252F0">
              <w:rPr>
                <w:i w:val="0"/>
                <w:u w:val="single"/>
                <w:lang w:val="fr-FR"/>
              </w:rPr>
              <w:tab/>
              <w:t>La hauteur de chargement des accumulateurs ne doit pas dépasser le bord supérieur des parois latérales des bacs</w:t>
            </w:r>
            <w:r w:rsidRPr="00C252F0">
              <w:rPr>
                <w:i w:val="0"/>
                <w:u w:val="single"/>
              </w:rPr>
              <w:t> </w:t>
            </w:r>
            <w:r w:rsidRPr="00C252F0">
              <w:rPr>
                <w:rFonts w:eastAsia="Times New Roman"/>
                <w:i w:val="0"/>
                <w:u w:val="single"/>
                <w:lang w:eastAsia="fr-CH"/>
              </w:rPr>
              <w:t>;</w:t>
            </w:r>
          </w:p>
        </w:tc>
      </w:tr>
      <w:tr w:rsidR="00D5111A" w:rsidRPr="00E8006E" w:rsidTr="00341E74">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D5111A" w:rsidRPr="00C252F0" w:rsidRDefault="00D5111A" w:rsidP="00341E74">
            <w:pPr>
              <w:spacing w:before="60" w:after="60" w:line="240" w:lineRule="auto"/>
              <w:ind w:left="1134" w:hanging="567"/>
              <w:rPr>
                <w:i w:val="0"/>
                <w:iCs w:val="0"/>
                <w:u w:val="single"/>
              </w:rPr>
            </w:pPr>
            <w:r w:rsidRPr="00C252F0">
              <w:rPr>
                <w:i w:val="0"/>
                <w:u w:val="single"/>
                <w:lang w:val="fr-FR"/>
              </w:rPr>
              <w:t>c)</w:t>
            </w:r>
            <w:r w:rsidRPr="00C252F0">
              <w:rPr>
                <w:i w:val="0"/>
                <w:u w:val="single"/>
                <w:lang w:val="fr-FR"/>
              </w:rPr>
              <w:tab/>
              <w:t xml:space="preserve">Aucun </w:t>
            </w:r>
            <w:proofErr w:type="gramStart"/>
            <w:r w:rsidRPr="00C252F0">
              <w:rPr>
                <w:i w:val="0"/>
                <w:u w:val="single"/>
                <w:lang w:val="fr-FR"/>
              </w:rPr>
              <w:t>résidu  de</w:t>
            </w:r>
            <w:proofErr w:type="gramEnd"/>
            <w:r w:rsidRPr="00C252F0">
              <w:rPr>
                <w:i w:val="0"/>
                <w:u w:val="single"/>
                <w:lang w:val="fr-FR"/>
              </w:rPr>
              <w:t xml:space="preserve"> l’électrolyte contenu dans les accumulateurs ne doit adhérer à la surface extérieures des bacs</w:t>
            </w:r>
            <w:r w:rsidRPr="00C252F0">
              <w:rPr>
                <w:i w:val="0"/>
                <w:u w:val="single"/>
              </w:rPr>
              <w:t> </w:t>
            </w:r>
            <w:r w:rsidRPr="00C252F0">
              <w:rPr>
                <w:rFonts w:eastAsia="Times New Roman"/>
                <w:i w:val="0"/>
                <w:u w:val="single"/>
                <w:lang w:eastAsia="fr-CH"/>
              </w:rPr>
              <w:t>;</w:t>
            </w:r>
            <w:r w:rsidRPr="00C252F0">
              <w:rPr>
                <w:i w:val="0"/>
                <w:u w:val="single"/>
              </w:rPr>
              <w:t xml:space="preserve"> </w:t>
            </w:r>
          </w:p>
        </w:tc>
      </w:tr>
      <w:tr w:rsidR="00D5111A" w:rsidRPr="00E8006E" w:rsidTr="00341E74">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D5111A" w:rsidRPr="00C252F0" w:rsidRDefault="00D5111A" w:rsidP="00341E74">
            <w:pPr>
              <w:spacing w:before="60" w:after="60" w:line="240" w:lineRule="auto"/>
              <w:ind w:left="1134" w:hanging="567"/>
              <w:rPr>
                <w:i w:val="0"/>
                <w:sz w:val="18"/>
                <w:szCs w:val="18"/>
                <w:u w:val="single"/>
              </w:rPr>
            </w:pPr>
            <w:r w:rsidRPr="00C252F0">
              <w:rPr>
                <w:i w:val="0"/>
                <w:u w:val="single"/>
                <w:lang w:val="fr-FR"/>
              </w:rPr>
              <w:t>d)</w:t>
            </w:r>
            <w:r w:rsidRPr="00C252F0">
              <w:rPr>
                <w:i w:val="0"/>
                <w:u w:val="single"/>
                <w:lang w:val="fr-FR"/>
              </w:rPr>
              <w:tab/>
              <w:t>Dans les conditions normales de transport, il ne doit y avoir aucune fuite d’électrolyte des bacs</w:t>
            </w:r>
            <w:r w:rsidRPr="00C252F0">
              <w:rPr>
                <w:i w:val="0"/>
                <w:u w:val="single"/>
              </w:rPr>
              <w:t> </w:t>
            </w:r>
            <w:r w:rsidRPr="00C252F0">
              <w:rPr>
                <w:rFonts w:eastAsia="Times New Roman"/>
                <w:i w:val="0"/>
                <w:u w:val="single"/>
                <w:lang w:eastAsia="fr-CH"/>
              </w:rPr>
              <w:t>;</w:t>
            </w:r>
          </w:p>
        </w:tc>
      </w:tr>
      <w:tr w:rsidR="00D5111A" w:rsidRPr="00E8006E" w:rsidTr="00341E74">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D5111A" w:rsidRPr="00C252F0" w:rsidRDefault="00D5111A" w:rsidP="00341E74">
            <w:pPr>
              <w:spacing w:before="60" w:after="60" w:line="240" w:lineRule="auto"/>
              <w:ind w:left="1134" w:hanging="567"/>
              <w:rPr>
                <w:i w:val="0"/>
                <w:iCs w:val="0"/>
                <w:u w:val="single"/>
              </w:rPr>
            </w:pPr>
            <w:r w:rsidRPr="00C252F0">
              <w:rPr>
                <w:i w:val="0"/>
                <w:u w:val="single"/>
                <w:lang w:val="fr-FR"/>
              </w:rPr>
              <w:t>e)</w:t>
            </w:r>
            <w:r w:rsidRPr="00C252F0">
              <w:rPr>
                <w:i w:val="0"/>
                <w:u w:val="single"/>
                <w:lang w:val="fr-FR"/>
              </w:rPr>
              <w:tab/>
              <w:t>Des mesures doivent être prises pour que les bacs remplis ne puissent perdre de leur contenu</w:t>
            </w:r>
            <w:r w:rsidRPr="00C252F0">
              <w:rPr>
                <w:i w:val="0"/>
                <w:u w:val="single"/>
              </w:rPr>
              <w:t> </w:t>
            </w:r>
            <w:r w:rsidRPr="00C252F0">
              <w:rPr>
                <w:rFonts w:eastAsia="Times New Roman"/>
                <w:i w:val="0"/>
                <w:u w:val="single"/>
                <w:lang w:eastAsia="fr-CH"/>
              </w:rPr>
              <w:t>;</w:t>
            </w:r>
            <w:r w:rsidRPr="00C252F0">
              <w:rPr>
                <w:i w:val="0"/>
                <w:u w:val="single"/>
                <w:lang w:val="fr-FR"/>
              </w:rPr>
              <w:t xml:space="preserve"> et</w:t>
            </w:r>
          </w:p>
        </w:tc>
      </w:tr>
      <w:tr w:rsidR="00D5111A" w:rsidRPr="00E8006E" w:rsidTr="00341E74">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D5111A" w:rsidRPr="00C252F0" w:rsidRDefault="00D5111A" w:rsidP="00341E74">
            <w:pPr>
              <w:spacing w:before="60" w:after="60" w:line="240" w:lineRule="auto"/>
              <w:ind w:left="1134" w:hanging="567"/>
              <w:rPr>
                <w:i w:val="0"/>
                <w:iCs w:val="0"/>
                <w:u w:val="single"/>
              </w:rPr>
            </w:pPr>
            <w:r w:rsidRPr="00C252F0">
              <w:rPr>
                <w:i w:val="0"/>
                <w:u w:val="single"/>
                <w:lang w:val="fr-FR"/>
              </w:rPr>
              <w:t>f)</w:t>
            </w:r>
            <w:r w:rsidRPr="00C252F0">
              <w:rPr>
                <w:i w:val="0"/>
                <w:u w:val="single"/>
                <w:lang w:val="fr-FR"/>
              </w:rPr>
              <w:tab/>
              <w:t>Des mesures doivent être prises pour éviter les courts-circuits.</w:t>
            </w:r>
          </w:p>
        </w:tc>
      </w:tr>
      <w:tr w:rsidR="00D5111A" w:rsidTr="00C252F0">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top w:val="single" w:sz="4" w:space="0" w:color="auto"/>
              <w:left w:val="single" w:sz="4" w:space="0" w:color="auto"/>
              <w:right w:val="single" w:sz="4" w:space="0" w:color="auto"/>
            </w:tcBorders>
            <w:tcMar>
              <w:left w:w="57" w:type="dxa"/>
              <w:right w:w="57" w:type="dxa"/>
            </w:tcMar>
          </w:tcPr>
          <w:p w:rsidR="00D5111A" w:rsidRPr="008B6DC9" w:rsidRDefault="00D5111A" w:rsidP="00341E74">
            <w:pPr>
              <w:spacing w:before="60" w:after="60" w:line="240" w:lineRule="auto"/>
              <w:rPr>
                <w:b/>
                <w:i w:val="0"/>
                <w:strike/>
              </w:rPr>
            </w:pPr>
            <w:r w:rsidRPr="008B6DC9">
              <w:rPr>
                <w:b/>
                <w:i w:val="0"/>
                <w:strike/>
              </w:rPr>
              <w:t>Disposition supplémentaire</w:t>
            </w:r>
            <w:r>
              <w:rPr>
                <w:b/>
                <w:i w:val="0"/>
                <w:strike/>
              </w:rPr>
              <w:t> </w:t>
            </w:r>
            <w:r w:rsidRPr="008B6DC9">
              <w:rPr>
                <w:b/>
                <w:i w:val="0"/>
                <w:strike/>
              </w:rPr>
              <w:t>:</w:t>
            </w:r>
          </w:p>
        </w:tc>
      </w:tr>
      <w:tr w:rsidR="00D5111A" w:rsidTr="00C252F0">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D5111A" w:rsidRPr="008B6DC9" w:rsidRDefault="00D5111A" w:rsidP="00341E74">
            <w:pPr>
              <w:spacing w:before="60" w:after="60" w:line="240" w:lineRule="auto"/>
              <w:ind w:left="1134" w:hanging="567"/>
              <w:rPr>
                <w:i w:val="0"/>
              </w:rPr>
            </w:pPr>
            <w:r w:rsidRPr="001633DA">
              <w:rPr>
                <w:i w:val="0"/>
                <w:strike/>
                <w:sz w:val="18"/>
                <w:szCs w:val="18"/>
              </w:rPr>
              <w:t>1.</w:t>
            </w:r>
            <w:r w:rsidRPr="001633DA">
              <w:rPr>
                <w:i w:val="0"/>
                <w:strike/>
                <w:sz w:val="18"/>
                <w:szCs w:val="18"/>
              </w:rPr>
              <w:tab/>
            </w:r>
            <w:r w:rsidRPr="008B6DC9">
              <w:rPr>
                <w:i w:val="0"/>
                <w:strike/>
                <w:lang w:val="fr-FR"/>
              </w:rPr>
              <w:t>Les accumulateurs doivent être protégés des courts-circuits</w:t>
            </w:r>
          </w:p>
        </w:tc>
      </w:tr>
      <w:tr w:rsidR="00D5111A" w:rsidTr="00C252F0">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D5111A" w:rsidRPr="001633DA" w:rsidRDefault="00D5111A" w:rsidP="00341E74">
            <w:pPr>
              <w:spacing w:before="60" w:after="60" w:line="240" w:lineRule="auto"/>
              <w:ind w:left="1134" w:hanging="567"/>
              <w:rPr>
                <w:i w:val="0"/>
              </w:rPr>
            </w:pPr>
            <w:r w:rsidRPr="001633DA">
              <w:rPr>
                <w:i w:val="0"/>
                <w:strike/>
                <w:sz w:val="18"/>
                <w:szCs w:val="18"/>
              </w:rPr>
              <w:t>2.</w:t>
            </w:r>
            <w:r w:rsidRPr="001633DA">
              <w:rPr>
                <w:i w:val="0"/>
                <w:strike/>
                <w:sz w:val="18"/>
                <w:szCs w:val="18"/>
              </w:rPr>
              <w:tab/>
            </w:r>
            <w:r w:rsidRPr="001633DA">
              <w:rPr>
                <w:i w:val="0"/>
                <w:strike/>
                <w:lang w:val="fr-FR"/>
              </w:rPr>
              <w:t>Les accumulateurs empilés doivent être assujettis de manière adéquate sur plusieurs niveaux séparés par une couche en matériau non conducteur d’électricité.</w:t>
            </w:r>
          </w:p>
        </w:tc>
      </w:tr>
      <w:tr w:rsidR="00D5111A" w:rsidTr="00C252F0">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D5111A" w:rsidRPr="001633DA" w:rsidRDefault="00D5111A" w:rsidP="00341E74">
            <w:pPr>
              <w:spacing w:before="60" w:after="60" w:line="240" w:lineRule="auto"/>
              <w:ind w:left="1134" w:hanging="567"/>
              <w:rPr>
                <w:i w:val="0"/>
              </w:rPr>
            </w:pPr>
            <w:r w:rsidRPr="001633DA">
              <w:rPr>
                <w:i w:val="0"/>
                <w:strike/>
                <w:sz w:val="18"/>
                <w:szCs w:val="18"/>
              </w:rPr>
              <w:t>3.</w:t>
            </w:r>
            <w:r w:rsidRPr="001633DA">
              <w:rPr>
                <w:i w:val="0"/>
                <w:strike/>
                <w:sz w:val="18"/>
                <w:szCs w:val="18"/>
              </w:rPr>
              <w:tab/>
            </w:r>
            <w:r w:rsidRPr="001633DA">
              <w:rPr>
                <w:i w:val="0"/>
                <w:strike/>
                <w:lang w:val="fr-FR"/>
              </w:rPr>
              <w:t>Les bornes des accumulateurs ne doivent pas supporter le poids d’autres éléments qui leur seraient superposés.</w:t>
            </w:r>
          </w:p>
        </w:tc>
      </w:tr>
      <w:tr w:rsidR="00D5111A" w:rsidTr="00341E74">
        <w:trPr>
          <w:cnfStyle w:val="010000000000" w:firstRow="0" w:lastRow="1" w:firstColumn="0" w:lastColumn="0" w:oddVBand="0" w:evenVBand="0" w:oddHBand="0" w:evenHBand="0" w:firstRowFirstColumn="0" w:firstRowLastColumn="0" w:lastRowFirstColumn="0" w:lastRowLastColumn="0"/>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bottom w:val="single" w:sz="4" w:space="0" w:color="auto"/>
              <w:right w:val="single" w:sz="4" w:space="0" w:color="auto"/>
            </w:tcBorders>
            <w:tcMar>
              <w:left w:w="57" w:type="dxa"/>
              <w:right w:w="57" w:type="dxa"/>
            </w:tcMar>
          </w:tcPr>
          <w:p w:rsidR="00D5111A" w:rsidRPr="001633DA" w:rsidRDefault="00D5111A" w:rsidP="00341E74">
            <w:pPr>
              <w:spacing w:before="60" w:after="60" w:line="240" w:lineRule="auto"/>
              <w:ind w:left="1134" w:hanging="567"/>
              <w:rPr>
                <w:i w:val="0"/>
              </w:rPr>
            </w:pPr>
            <w:r w:rsidRPr="001633DA">
              <w:rPr>
                <w:i w:val="0"/>
                <w:strike/>
                <w:sz w:val="18"/>
                <w:szCs w:val="18"/>
              </w:rPr>
              <w:t>4.</w:t>
            </w:r>
            <w:r w:rsidRPr="001633DA">
              <w:rPr>
                <w:i w:val="0"/>
                <w:strike/>
                <w:sz w:val="18"/>
                <w:szCs w:val="18"/>
              </w:rPr>
              <w:tab/>
            </w:r>
            <w:r w:rsidRPr="001633DA">
              <w:rPr>
                <w:i w:val="0"/>
                <w:strike/>
                <w:lang w:val="fr-FR"/>
              </w:rPr>
              <w:t>Les accumulateurs doivent être emballés ou assujettis de manière à empêcher tout mouvement accidentel.</w:t>
            </w:r>
          </w:p>
        </w:tc>
      </w:tr>
    </w:tbl>
    <w:p w:rsidR="00C82E57" w:rsidRPr="00733975" w:rsidRDefault="00C82E57" w:rsidP="00D5111A">
      <w:pPr>
        <w:pStyle w:val="SingleTxtG"/>
        <w:spacing w:before="240"/>
      </w:pPr>
      <w:r>
        <w:rPr>
          <w:lang w:val="fr-FR"/>
        </w:rPr>
        <w:t>9.</w:t>
      </w:r>
      <w:r>
        <w:rPr>
          <w:lang w:val="fr-FR"/>
        </w:rPr>
        <w:tab/>
        <w:t>M</w:t>
      </w:r>
      <w:r w:rsidR="00FB390F">
        <w:rPr>
          <w:lang w:val="fr-FR"/>
        </w:rPr>
        <w:t>odifier la disposition spéciale</w:t>
      </w:r>
      <w:r>
        <w:rPr>
          <w:lang w:val="fr-FR"/>
        </w:rPr>
        <w:t xml:space="preserve"> PP16 dans l’instruction d’</w:t>
      </w:r>
      <w:r w:rsidR="00FB390F">
        <w:rPr>
          <w:lang w:val="fr-FR"/>
        </w:rPr>
        <w:t>emballage P003</w:t>
      </w:r>
      <w:r>
        <w:rPr>
          <w:lang w:val="fr-FR"/>
        </w:rPr>
        <w:t xml:space="preserve"> au chapitre</w:t>
      </w:r>
      <w:r w:rsidR="00FB390F">
        <w:rPr>
          <w:lang w:val="fr-FR"/>
        </w:rPr>
        <w:t> </w:t>
      </w:r>
      <w:r>
        <w:rPr>
          <w:lang w:val="fr-FR"/>
        </w:rPr>
        <w:t xml:space="preserve">4.1.4.1 du chapitre 4.1, comme suit (le nouveau texte est </w:t>
      </w:r>
      <w:r w:rsidRPr="00C252F0">
        <w:rPr>
          <w:u w:val="single"/>
          <w:lang w:val="fr-FR"/>
        </w:rPr>
        <w:t>souligné</w:t>
      </w:r>
      <w:r>
        <w:rPr>
          <w:lang w:val="fr-FR"/>
        </w:rPr>
        <w:t>)</w:t>
      </w:r>
      <w:r w:rsidR="00FB390F">
        <w:rPr>
          <w:lang w:val="fr-FR"/>
        </w:rPr>
        <w:t> </w:t>
      </w:r>
      <w:r>
        <w:rPr>
          <w:lang w:val="fr-FR"/>
        </w:rPr>
        <w:t xml:space="preserve">: </w:t>
      </w:r>
    </w:p>
    <w:p w:rsidR="00446FE5" w:rsidRDefault="00C82E57" w:rsidP="00D5111A">
      <w:pPr>
        <w:pStyle w:val="SingleTxtG"/>
        <w:ind w:left="1701"/>
        <w:rPr>
          <w:lang w:val="fr-FR"/>
        </w:rPr>
      </w:pPr>
      <w:r>
        <w:rPr>
          <w:lang w:val="fr-FR"/>
        </w:rPr>
        <w:t>«</w:t>
      </w:r>
      <w:r w:rsidR="00FB390F">
        <w:rPr>
          <w:lang w:val="fr-FR"/>
        </w:rPr>
        <w:t> </w:t>
      </w:r>
      <w:r w:rsidR="00C252F0">
        <w:rPr>
          <w:lang w:val="fr-FR"/>
        </w:rPr>
        <w:t>PP16</w:t>
      </w:r>
      <w:r>
        <w:rPr>
          <w:lang w:val="fr-FR"/>
        </w:rPr>
        <w:tab/>
        <w:t xml:space="preserve">Pour le </w:t>
      </w:r>
      <w:r w:rsidR="00FB390F">
        <w:rPr>
          <w:lang w:val="fr-FR"/>
        </w:rPr>
        <w:t>No </w:t>
      </w:r>
      <w:r>
        <w:rPr>
          <w:lang w:val="fr-FR"/>
        </w:rPr>
        <w:t xml:space="preserve">ONU 2800, les accumulateurs doivent être protégés des courts-circuits à l’intérieur de l’emballage. </w:t>
      </w:r>
      <w:r w:rsidRPr="008A1F96">
        <w:rPr>
          <w:u w:val="single"/>
          <w:lang w:val="fr-FR"/>
        </w:rPr>
        <w:t>Les accumulateurs usagés peuvent être transportés conformément à l</w:t>
      </w:r>
      <w:r>
        <w:rPr>
          <w:u w:val="single"/>
          <w:lang w:val="fr-FR"/>
        </w:rPr>
        <w:t>’alinéa 4 de l’instruction d’emballage P801</w:t>
      </w:r>
      <w:r>
        <w:rPr>
          <w:lang w:val="fr-FR"/>
        </w:rPr>
        <w:t>.</w:t>
      </w:r>
      <w:r w:rsidR="00FB390F">
        <w:rPr>
          <w:lang w:val="fr-FR"/>
        </w:rPr>
        <w:t> </w:t>
      </w:r>
      <w:r>
        <w:rPr>
          <w:lang w:val="fr-FR"/>
        </w:rPr>
        <w:t>».</w:t>
      </w:r>
    </w:p>
    <w:p w:rsidR="00B853DC" w:rsidRPr="00B853DC" w:rsidRDefault="00B853DC" w:rsidP="00B853DC">
      <w:pPr>
        <w:pStyle w:val="SingleTxtG"/>
        <w:spacing w:before="240" w:after="0"/>
        <w:jc w:val="center"/>
        <w:rPr>
          <w:u w:val="single"/>
        </w:rPr>
      </w:pPr>
      <w:r>
        <w:rPr>
          <w:u w:val="single"/>
        </w:rPr>
        <w:tab/>
      </w:r>
      <w:r>
        <w:rPr>
          <w:u w:val="single"/>
        </w:rPr>
        <w:tab/>
      </w:r>
      <w:r>
        <w:rPr>
          <w:u w:val="single"/>
        </w:rPr>
        <w:tab/>
      </w:r>
    </w:p>
    <w:sectPr w:rsidR="00B853DC" w:rsidRPr="00B853DC" w:rsidSect="008B518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209" w:rsidRDefault="00863209" w:rsidP="00F95C08">
      <w:pPr>
        <w:spacing w:line="240" w:lineRule="auto"/>
      </w:pPr>
    </w:p>
  </w:endnote>
  <w:endnote w:type="continuationSeparator" w:id="0">
    <w:p w:rsidR="00863209" w:rsidRPr="00AC3823" w:rsidRDefault="00863209" w:rsidP="00AC3823">
      <w:pPr>
        <w:pStyle w:val="Footer"/>
      </w:pPr>
    </w:p>
  </w:endnote>
  <w:endnote w:type="continuationNotice" w:id="1">
    <w:p w:rsidR="00863209" w:rsidRDefault="0086320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188" w:rsidRPr="008B5188" w:rsidRDefault="008B5188" w:rsidP="008B5188">
    <w:pPr>
      <w:pStyle w:val="Footer"/>
      <w:tabs>
        <w:tab w:val="right" w:pos="9638"/>
      </w:tabs>
    </w:pPr>
    <w:r w:rsidRPr="008B5188">
      <w:rPr>
        <w:b/>
        <w:sz w:val="18"/>
      </w:rPr>
      <w:fldChar w:fldCharType="begin"/>
    </w:r>
    <w:r w:rsidRPr="008B5188">
      <w:rPr>
        <w:b/>
        <w:sz w:val="18"/>
      </w:rPr>
      <w:instrText xml:space="preserve"> PAGE  \* MERGEFORMAT </w:instrText>
    </w:r>
    <w:r w:rsidRPr="008B5188">
      <w:rPr>
        <w:b/>
        <w:sz w:val="18"/>
      </w:rPr>
      <w:fldChar w:fldCharType="separate"/>
    </w:r>
    <w:r w:rsidR="00A5672D">
      <w:rPr>
        <w:b/>
        <w:noProof/>
        <w:sz w:val="18"/>
      </w:rPr>
      <w:t>2</w:t>
    </w:r>
    <w:r w:rsidRPr="008B5188">
      <w:rPr>
        <w:b/>
        <w:sz w:val="18"/>
      </w:rPr>
      <w:fldChar w:fldCharType="end"/>
    </w:r>
    <w:r>
      <w:rPr>
        <w:b/>
        <w:sz w:val="18"/>
      </w:rPr>
      <w:tab/>
    </w:r>
    <w:r>
      <w:t>GE.18-05127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188" w:rsidRPr="008B5188" w:rsidRDefault="008B5188" w:rsidP="008B5188">
    <w:pPr>
      <w:pStyle w:val="Footer"/>
      <w:tabs>
        <w:tab w:val="right" w:pos="9638"/>
      </w:tabs>
      <w:rPr>
        <w:b/>
        <w:sz w:val="18"/>
      </w:rPr>
    </w:pPr>
    <w:r>
      <w:t>GE.18-05127</w:t>
    </w:r>
    <w:r>
      <w:tab/>
    </w:r>
    <w:r w:rsidRPr="008B5188">
      <w:rPr>
        <w:b/>
        <w:sz w:val="18"/>
      </w:rPr>
      <w:fldChar w:fldCharType="begin"/>
    </w:r>
    <w:r w:rsidRPr="008B5188">
      <w:rPr>
        <w:b/>
        <w:sz w:val="18"/>
      </w:rPr>
      <w:instrText xml:space="preserve"> PAGE  \* MERGEFORMAT </w:instrText>
    </w:r>
    <w:r w:rsidRPr="008B5188">
      <w:rPr>
        <w:b/>
        <w:sz w:val="18"/>
      </w:rPr>
      <w:fldChar w:fldCharType="separate"/>
    </w:r>
    <w:r w:rsidR="00A5672D">
      <w:rPr>
        <w:b/>
        <w:noProof/>
        <w:sz w:val="18"/>
      </w:rPr>
      <w:t>3</w:t>
    </w:r>
    <w:r w:rsidRPr="008B518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8B5188" w:rsidRDefault="008B5188" w:rsidP="008B5188">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05127  (</w:t>
    </w:r>
    <w:proofErr w:type="gramEnd"/>
    <w:r>
      <w:rPr>
        <w:sz w:val="20"/>
      </w:rPr>
      <w:t>F)</w:t>
    </w:r>
    <w:r w:rsidR="00B65BFD">
      <w:rPr>
        <w:sz w:val="20"/>
      </w:rPr>
      <w:t xml:space="preserve">    010518    0</w:t>
    </w:r>
    <w:r w:rsidR="004C15CC">
      <w:rPr>
        <w:sz w:val="20"/>
      </w:rPr>
      <w:t>9</w:t>
    </w:r>
    <w:r w:rsidR="00B65BFD">
      <w:rPr>
        <w:sz w:val="20"/>
      </w:rPr>
      <w:t>0518</w:t>
    </w:r>
    <w:r>
      <w:rPr>
        <w:sz w:val="20"/>
      </w:rPr>
      <w:br/>
    </w:r>
    <w:r w:rsidRPr="008B5188">
      <w:rPr>
        <w:rFonts w:ascii="C39T30Lfz" w:hAnsi="C39T30Lfz"/>
        <w:sz w:val="56"/>
      </w:rPr>
      <w:t></w:t>
    </w:r>
    <w:r w:rsidRPr="008B5188">
      <w:rPr>
        <w:rFonts w:ascii="C39T30Lfz" w:hAnsi="C39T30Lfz"/>
        <w:sz w:val="56"/>
      </w:rPr>
      <w:t></w:t>
    </w:r>
    <w:r w:rsidRPr="008B5188">
      <w:rPr>
        <w:rFonts w:ascii="C39T30Lfz" w:hAnsi="C39T30Lfz"/>
        <w:sz w:val="56"/>
      </w:rPr>
      <w:t></w:t>
    </w:r>
    <w:r w:rsidRPr="008B5188">
      <w:rPr>
        <w:rFonts w:ascii="C39T30Lfz" w:hAnsi="C39T30Lfz"/>
        <w:sz w:val="56"/>
      </w:rPr>
      <w:t></w:t>
    </w:r>
    <w:r w:rsidRPr="008B5188">
      <w:rPr>
        <w:rFonts w:ascii="C39T30Lfz" w:hAnsi="C39T30Lfz"/>
        <w:sz w:val="56"/>
      </w:rPr>
      <w:t></w:t>
    </w:r>
    <w:r w:rsidRPr="008B5188">
      <w:rPr>
        <w:rFonts w:ascii="C39T30Lfz" w:hAnsi="C39T30Lfz"/>
        <w:sz w:val="56"/>
      </w:rPr>
      <w:t></w:t>
    </w:r>
    <w:r w:rsidRPr="008B5188">
      <w:rPr>
        <w:rFonts w:ascii="C39T30Lfz" w:hAnsi="C39T30Lfz"/>
        <w:sz w:val="56"/>
      </w:rPr>
      <w:t></w:t>
    </w:r>
    <w:r w:rsidRPr="008B5188">
      <w:rPr>
        <w:rFonts w:ascii="C39T30Lfz" w:hAnsi="C39T30Lfz"/>
        <w:sz w:val="56"/>
      </w:rPr>
      <w:t></w:t>
    </w:r>
    <w:r w:rsidRPr="008B5188">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2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2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209" w:rsidRPr="00AC3823" w:rsidRDefault="00863209" w:rsidP="00AC3823">
      <w:pPr>
        <w:pStyle w:val="Footer"/>
        <w:tabs>
          <w:tab w:val="right" w:pos="2155"/>
        </w:tabs>
        <w:spacing w:after="80" w:line="240" w:lineRule="atLeast"/>
        <w:ind w:left="680"/>
        <w:rPr>
          <w:u w:val="single"/>
        </w:rPr>
      </w:pPr>
      <w:r>
        <w:rPr>
          <w:u w:val="single"/>
        </w:rPr>
        <w:tab/>
      </w:r>
    </w:p>
  </w:footnote>
  <w:footnote w:type="continuationSeparator" w:id="0">
    <w:p w:rsidR="00863209" w:rsidRPr="00AC3823" w:rsidRDefault="00863209" w:rsidP="00AC3823">
      <w:pPr>
        <w:pStyle w:val="Footer"/>
        <w:tabs>
          <w:tab w:val="right" w:pos="2155"/>
        </w:tabs>
        <w:spacing w:after="80" w:line="240" w:lineRule="atLeast"/>
        <w:ind w:left="680"/>
        <w:rPr>
          <w:u w:val="single"/>
        </w:rPr>
      </w:pPr>
      <w:r>
        <w:rPr>
          <w:u w:val="single"/>
        </w:rPr>
        <w:tab/>
      </w:r>
    </w:p>
  </w:footnote>
  <w:footnote w:type="continuationNotice" w:id="1">
    <w:p w:rsidR="00863209" w:rsidRPr="00AC3823" w:rsidRDefault="00863209">
      <w:pPr>
        <w:spacing w:line="240" w:lineRule="auto"/>
        <w:rPr>
          <w:sz w:val="2"/>
          <w:szCs w:val="2"/>
        </w:rPr>
      </w:pPr>
    </w:p>
  </w:footnote>
  <w:footnote w:id="2">
    <w:p w:rsidR="00043A6A" w:rsidRDefault="00043A6A" w:rsidP="00043A6A">
      <w:pPr>
        <w:pStyle w:val="FootnoteText"/>
      </w:pPr>
      <w:r>
        <w:tab/>
      </w:r>
      <w:r w:rsidRPr="00043A6A">
        <w:rPr>
          <w:rStyle w:val="FootnoteReference"/>
          <w:sz w:val="20"/>
          <w:vertAlign w:val="baseline"/>
        </w:rPr>
        <w:sym w:font="Symbol" w:char="F02A"/>
      </w:r>
      <w:r>
        <w:rPr>
          <w:rStyle w:val="FootnoteReference"/>
        </w:rPr>
        <w:tab/>
      </w:r>
      <w:r>
        <w:rPr>
          <w:lang w:val="fr-FR"/>
        </w:rPr>
        <w:t>Conformément au programme de travail du Sous-Comité pour la période biennale 2017-2018, approuvé par le Comité à sa huitième session (voir ST/SG/AC.10/C.3/100, par. 98, et ST/SG/AC.10/44, par. 14).</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188" w:rsidRPr="008B5188" w:rsidRDefault="00A5672D">
    <w:pPr>
      <w:pStyle w:val="Header"/>
    </w:pPr>
    <w:r>
      <w:fldChar w:fldCharType="begin"/>
    </w:r>
    <w:r>
      <w:instrText xml:space="preserve"> TITLE  \* MERGEFORMAT </w:instrText>
    </w:r>
    <w:r>
      <w:fldChar w:fldCharType="separate"/>
    </w:r>
    <w:r>
      <w:t>ST/SG/AC.10/C.3/2018/21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188" w:rsidRPr="008B5188" w:rsidRDefault="00A5672D" w:rsidP="008B5188">
    <w:pPr>
      <w:pStyle w:val="Header"/>
      <w:jc w:val="right"/>
    </w:pPr>
    <w:r>
      <w:fldChar w:fldCharType="begin"/>
    </w:r>
    <w:r>
      <w:instrText xml:space="preserve"> TITLE  \* MERGEFORMAT </w:instrText>
    </w:r>
    <w:r>
      <w:fldChar w:fldCharType="separate"/>
    </w:r>
    <w:r>
      <w:t>ST/SG/AC.10/C.3/2018/21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09"/>
    <w:rsid w:val="00017F94"/>
    <w:rsid w:val="00023842"/>
    <w:rsid w:val="000305D3"/>
    <w:rsid w:val="000334F9"/>
    <w:rsid w:val="00043A6A"/>
    <w:rsid w:val="0007796D"/>
    <w:rsid w:val="000B7790"/>
    <w:rsid w:val="00111F2F"/>
    <w:rsid w:val="00132EA9"/>
    <w:rsid w:val="0014365E"/>
    <w:rsid w:val="00176178"/>
    <w:rsid w:val="001E1BC7"/>
    <w:rsid w:val="001F525A"/>
    <w:rsid w:val="00223272"/>
    <w:rsid w:val="0024779E"/>
    <w:rsid w:val="00283190"/>
    <w:rsid w:val="002832AC"/>
    <w:rsid w:val="002D7C93"/>
    <w:rsid w:val="00311482"/>
    <w:rsid w:val="003A21ED"/>
    <w:rsid w:val="00441C3B"/>
    <w:rsid w:val="00446FE5"/>
    <w:rsid w:val="00452396"/>
    <w:rsid w:val="0048341A"/>
    <w:rsid w:val="004C15CC"/>
    <w:rsid w:val="004D21FC"/>
    <w:rsid w:val="004E468C"/>
    <w:rsid w:val="005505B7"/>
    <w:rsid w:val="00573BE5"/>
    <w:rsid w:val="00584DC4"/>
    <w:rsid w:val="00586ED3"/>
    <w:rsid w:val="00596AA9"/>
    <w:rsid w:val="00602A44"/>
    <w:rsid w:val="0068456F"/>
    <w:rsid w:val="006D51C7"/>
    <w:rsid w:val="0071601D"/>
    <w:rsid w:val="007A62E6"/>
    <w:rsid w:val="007E7588"/>
    <w:rsid w:val="0080684C"/>
    <w:rsid w:val="00863209"/>
    <w:rsid w:val="00871C75"/>
    <w:rsid w:val="008776DC"/>
    <w:rsid w:val="008B40CD"/>
    <w:rsid w:val="008B5188"/>
    <w:rsid w:val="008E66C5"/>
    <w:rsid w:val="009705C8"/>
    <w:rsid w:val="009C1CF4"/>
    <w:rsid w:val="00A30353"/>
    <w:rsid w:val="00A5672D"/>
    <w:rsid w:val="00A6367D"/>
    <w:rsid w:val="00A65C0B"/>
    <w:rsid w:val="00AC3823"/>
    <w:rsid w:val="00AE323C"/>
    <w:rsid w:val="00B00181"/>
    <w:rsid w:val="00B00B0D"/>
    <w:rsid w:val="00B65BFD"/>
    <w:rsid w:val="00B765F7"/>
    <w:rsid w:val="00B853DC"/>
    <w:rsid w:val="00BA0CA9"/>
    <w:rsid w:val="00BB6337"/>
    <w:rsid w:val="00C02897"/>
    <w:rsid w:val="00C252F0"/>
    <w:rsid w:val="00C82E57"/>
    <w:rsid w:val="00D3439C"/>
    <w:rsid w:val="00D5111A"/>
    <w:rsid w:val="00DB1831"/>
    <w:rsid w:val="00DD3BFD"/>
    <w:rsid w:val="00DF6678"/>
    <w:rsid w:val="00EB653F"/>
    <w:rsid w:val="00EE55BB"/>
    <w:rsid w:val="00EF2E22"/>
    <w:rsid w:val="00F01738"/>
    <w:rsid w:val="00F5265D"/>
    <w:rsid w:val="00F660DF"/>
    <w:rsid w:val="00F730C8"/>
    <w:rsid w:val="00F90801"/>
    <w:rsid w:val="00F95C08"/>
    <w:rsid w:val="00FB390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C60AD9C-5A0E-4A6C-9AC6-629FF9B8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rsid w:val="00C82E57"/>
    <w:rPr>
      <w:rFonts w:ascii="Times New Roman" w:eastAsiaTheme="minorHAnsi" w:hAnsi="Times New Roman" w:cs="Times New Roman"/>
      <w:b/>
      <w:sz w:val="28"/>
      <w:szCs w:val="20"/>
      <w:lang w:eastAsia="en-US"/>
    </w:rPr>
  </w:style>
  <w:style w:type="paragraph" w:styleId="ListParagraph">
    <w:name w:val="List Paragraph"/>
    <w:basedOn w:val="Normal"/>
    <w:uiPriority w:val="34"/>
    <w:qFormat/>
    <w:rsid w:val="00C82E57"/>
    <w:pPr>
      <w:kinsoku/>
      <w:overflowPunct/>
      <w:autoSpaceDE/>
      <w:autoSpaceDN/>
      <w:adjustRightInd/>
      <w:snapToGrid/>
      <w:ind w:left="720"/>
      <w:contextualSpacing/>
    </w:pPr>
    <w:rPr>
      <w:rFonts w:eastAsia="Times New Roman"/>
      <w:lang w:val="en-GB"/>
    </w:rPr>
  </w:style>
  <w:style w:type="character" w:customStyle="1" w:styleId="SingleTxtGChar">
    <w:name w:val="_ Single Txt_G Char"/>
    <w:link w:val="SingleTxtG"/>
    <w:rsid w:val="00C82E57"/>
    <w:rPr>
      <w:rFonts w:ascii="Times New Roman" w:eastAsiaTheme="minorHAnsi" w:hAnsi="Times New Roman" w:cs="Times New Roman"/>
      <w:sz w:val="20"/>
      <w:szCs w:val="20"/>
      <w:lang w:eastAsia="en-US"/>
    </w:rPr>
  </w:style>
  <w:style w:type="table" w:styleId="TableGrid1">
    <w:name w:val="Table Grid 1"/>
    <w:basedOn w:val="TableNormal"/>
    <w:semiHidden/>
    <w:rsid w:val="00D5111A"/>
    <w:pPr>
      <w:suppressAutoHyphens/>
      <w:spacing w:after="0" w:line="240" w:lineRule="atLeast"/>
    </w:pPr>
    <w:rPr>
      <w:rFonts w:ascii="Times New Roman" w:hAnsi="Times New Roman" w:cs="Times New Roman"/>
      <w:sz w:val="20"/>
      <w:szCs w:val="20"/>
      <w:lang w:eastAsia="fr-C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1321</Words>
  <Characters>7531</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ST/SG/AC.10/C.3/2018/21</vt:lpstr>
      <vt:lpstr>ST/SG/AC.10/C.3/2018/21</vt:lpstr>
    </vt:vector>
  </TitlesOfParts>
  <Company>DCM</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ST/SG/AC.10/C.3/2018/21</dc:title>
  <dc:subject/>
  <dc:creator>Nathalie VITTOZ</dc:creator>
  <cp:keywords/>
  <cp:lastModifiedBy>Laurence Berthet</cp:lastModifiedBy>
  <cp:revision>3</cp:revision>
  <cp:lastPrinted>2018-05-09T14:39:00Z</cp:lastPrinted>
  <dcterms:created xsi:type="dcterms:W3CDTF">2018-05-09T14:38:00Z</dcterms:created>
  <dcterms:modified xsi:type="dcterms:W3CDTF">2018-05-09T14:39:00Z</dcterms:modified>
</cp:coreProperties>
</file>