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186A91">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86A91" w:rsidP="00186A91">
            <w:pPr>
              <w:jc w:val="right"/>
            </w:pPr>
            <w:r w:rsidRPr="00186A91">
              <w:rPr>
                <w:sz w:val="40"/>
              </w:rPr>
              <w:t>ST</w:t>
            </w:r>
            <w:r>
              <w:t>/SG/AC.10/C.3/2018/20</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86A91" w:rsidP="00F01738">
            <w:pPr>
              <w:spacing w:before="240"/>
            </w:pPr>
            <w:proofErr w:type="spellStart"/>
            <w:r>
              <w:t>Distr</w:t>
            </w:r>
            <w:proofErr w:type="spellEnd"/>
            <w:r>
              <w:t xml:space="preserve">. </w:t>
            </w:r>
            <w:proofErr w:type="gramStart"/>
            <w:r>
              <w:t>générale</w:t>
            </w:r>
            <w:proofErr w:type="gramEnd"/>
          </w:p>
          <w:p w:rsidR="00186A91" w:rsidRDefault="00186A91" w:rsidP="00186A91">
            <w:pPr>
              <w:spacing w:line="240" w:lineRule="exact"/>
            </w:pPr>
            <w:r>
              <w:t>29 mars 2018</w:t>
            </w:r>
          </w:p>
          <w:p w:rsidR="00186A91" w:rsidRDefault="00186A91" w:rsidP="00186A91">
            <w:pPr>
              <w:spacing w:line="240" w:lineRule="exact"/>
            </w:pPr>
            <w:r>
              <w:t>Français</w:t>
            </w:r>
          </w:p>
          <w:p w:rsidR="00186A91" w:rsidRPr="00DB58B5" w:rsidRDefault="00186A91" w:rsidP="00186A91">
            <w:pPr>
              <w:spacing w:line="240" w:lineRule="exact"/>
            </w:pPr>
            <w:r>
              <w:t>Original : anglais</w:t>
            </w:r>
          </w:p>
        </w:tc>
      </w:tr>
    </w:tbl>
    <w:p w:rsidR="00186A91" w:rsidRPr="00CA0680" w:rsidRDefault="00186A91"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186A91" w:rsidRPr="00CA0680" w:rsidRDefault="00186A91" w:rsidP="000305D3">
      <w:pPr>
        <w:spacing w:before="120"/>
        <w:rPr>
          <w:b/>
        </w:rPr>
      </w:pPr>
      <w:r w:rsidRPr="00CA0680">
        <w:rPr>
          <w:b/>
        </w:rPr>
        <w:t>Sous</w:t>
      </w:r>
      <w:r>
        <w:rPr>
          <w:b/>
        </w:rPr>
        <w:t>-</w:t>
      </w:r>
      <w:r w:rsidRPr="00CA0680">
        <w:rPr>
          <w:b/>
        </w:rPr>
        <w:t>Comité d’experts du transport des marchandises dangereuses</w:t>
      </w:r>
    </w:p>
    <w:p w:rsidR="00186A91" w:rsidRDefault="00186A91" w:rsidP="000305D3">
      <w:pPr>
        <w:spacing w:before="120"/>
        <w:rPr>
          <w:b/>
        </w:rPr>
      </w:pPr>
      <w:r w:rsidRPr="00994B21">
        <w:rPr>
          <w:b/>
          <w:lang w:val="fr-FR"/>
        </w:rPr>
        <w:t>Cinquante-troisième</w:t>
      </w:r>
      <w:r>
        <w:rPr>
          <w:b/>
        </w:rPr>
        <w:t xml:space="preserve"> </w:t>
      </w:r>
      <w:r w:rsidRPr="00CA0680">
        <w:rPr>
          <w:b/>
        </w:rPr>
        <w:t>session</w:t>
      </w:r>
    </w:p>
    <w:p w:rsidR="00186A91" w:rsidRDefault="00186A91" w:rsidP="000305D3">
      <w:r>
        <w:t xml:space="preserve">Genève, </w:t>
      </w:r>
      <w:r w:rsidRPr="00994B21">
        <w:rPr>
          <w:lang w:val="fr-FR"/>
        </w:rPr>
        <w:t>25</w:t>
      </w:r>
      <w:r>
        <w:rPr>
          <w:lang w:val="fr-FR"/>
        </w:rPr>
        <w:t> </w:t>
      </w:r>
      <w:r w:rsidRPr="00994B21">
        <w:rPr>
          <w:lang w:val="fr-FR"/>
        </w:rPr>
        <w:t>juin˗4</w:t>
      </w:r>
      <w:r>
        <w:rPr>
          <w:lang w:val="fr-FR"/>
        </w:rPr>
        <w:t> </w:t>
      </w:r>
      <w:r w:rsidRPr="00994B21">
        <w:rPr>
          <w:lang w:val="fr-FR"/>
        </w:rPr>
        <w:t>juillet 2018</w:t>
      </w:r>
    </w:p>
    <w:p w:rsidR="00186A91" w:rsidRDefault="00186A91" w:rsidP="000305D3">
      <w:r>
        <w:t>Point 3 de l’ordre du jour provisoire</w:t>
      </w:r>
    </w:p>
    <w:p w:rsidR="00186A91" w:rsidRPr="00186A91" w:rsidRDefault="00186A91" w:rsidP="00186A91">
      <w:pPr>
        <w:rPr>
          <w:b/>
          <w:lang w:val="fr-FR"/>
        </w:rPr>
      </w:pPr>
      <w:r w:rsidRPr="00186A91">
        <w:rPr>
          <w:b/>
          <w:lang w:val="fr-FR"/>
        </w:rPr>
        <w:t>Inscription, classement et emballage</w:t>
      </w:r>
    </w:p>
    <w:p w:rsidR="00186A91" w:rsidRPr="00186A91" w:rsidRDefault="00186A91" w:rsidP="00186A91">
      <w:pPr>
        <w:pStyle w:val="HChG"/>
        <w:rPr>
          <w:lang w:val="fr-FR"/>
        </w:rPr>
      </w:pPr>
      <w:r>
        <w:rPr>
          <w:lang w:val="fr-FR"/>
        </w:rPr>
        <w:tab/>
      </w:r>
      <w:r>
        <w:rPr>
          <w:lang w:val="fr-FR"/>
        </w:rPr>
        <w:tab/>
      </w:r>
      <w:r w:rsidRPr="00186A91">
        <w:rPr>
          <w:lang w:val="fr-FR"/>
        </w:rPr>
        <w:t xml:space="preserve">Classement et emballage des matières infectieuses </w:t>
      </w:r>
      <w:r>
        <w:rPr>
          <w:lang w:val="fr-FR"/>
        </w:rPr>
        <w:br/>
      </w:r>
      <w:r w:rsidRPr="00186A91">
        <w:rPr>
          <w:lang w:val="fr-FR"/>
        </w:rPr>
        <w:t>de la catégorie A</w:t>
      </w:r>
    </w:p>
    <w:p w:rsidR="00186A91" w:rsidRPr="00186A91" w:rsidRDefault="00186A91" w:rsidP="00186A91">
      <w:pPr>
        <w:pStyle w:val="H1G"/>
        <w:rPr>
          <w:lang w:val="fr-FR"/>
        </w:rPr>
      </w:pPr>
      <w:r>
        <w:rPr>
          <w:lang w:val="fr-FR"/>
        </w:rPr>
        <w:tab/>
      </w:r>
      <w:r>
        <w:rPr>
          <w:lang w:val="fr-FR"/>
        </w:rPr>
        <w:tab/>
      </w:r>
      <w:r w:rsidRPr="00186A91">
        <w:rPr>
          <w:lang w:val="fr-FR"/>
        </w:rPr>
        <w:t>Communication de l’expert du Canada</w:t>
      </w:r>
      <w:r w:rsidRPr="00186A91">
        <w:rPr>
          <w:rStyle w:val="FootnoteReference"/>
          <w:b w:val="0"/>
        </w:rPr>
        <w:footnoteReference w:id="2"/>
      </w:r>
    </w:p>
    <w:p w:rsidR="00186A91" w:rsidRPr="00186A91" w:rsidRDefault="00186A91" w:rsidP="00186A91">
      <w:pPr>
        <w:pStyle w:val="HChG"/>
        <w:rPr>
          <w:lang w:val="fr-FR"/>
        </w:rPr>
      </w:pPr>
      <w:r>
        <w:rPr>
          <w:lang w:val="fr-FR"/>
        </w:rPr>
        <w:tab/>
      </w:r>
      <w:r>
        <w:rPr>
          <w:lang w:val="fr-FR"/>
        </w:rPr>
        <w:tab/>
      </w:r>
      <w:r w:rsidRPr="00186A91">
        <w:rPr>
          <w:lang w:val="fr-FR"/>
        </w:rPr>
        <w:t>Introduction</w:t>
      </w:r>
    </w:p>
    <w:p w:rsidR="00186A91" w:rsidRPr="00186A91" w:rsidRDefault="00186A91" w:rsidP="00186A91">
      <w:pPr>
        <w:pStyle w:val="SingleTxtG"/>
        <w:rPr>
          <w:lang w:val="fr-FR"/>
        </w:rPr>
      </w:pPr>
      <w:r w:rsidRPr="00186A91">
        <w:rPr>
          <w:lang w:val="fr-FR"/>
        </w:rPr>
        <w:t>1.</w:t>
      </w:r>
      <w:r w:rsidRPr="00186A91">
        <w:rPr>
          <w:lang w:val="fr-FR"/>
        </w:rPr>
        <w:tab/>
        <w:t>À la cinquante et unième session du Sous-Comité, les experts du Canada et du Royaume-Uni ont soumis une proposition officielle (ST/SG/AC.10/C.3/2017/25) concernant le classement et l’emballage des matières infectieuses de la catégorie A. Cette proposition visait notamment à créer une nouvelle rubrique dans la liste des marchandises dangereuses pour les déchets solides infectieux de la catégorie A, ainsi que deux nouvelles instructions d’emballage : l’une pour l’utilisation d’emballages et l’autre pour l’utilisation de grands emballages. Le nouveau numéro ONU est censé être utilisé non pas pour les déchets des laboratoires de recherche biologique ou d’autres laboratoires ni les déchets liquides, mais pour les déchets solides générés par le traitement médical des êtres humains ou les soins vétérinaires. Au moyen des deux instructions d’emballage susmentionnées, le document ST/SG/AC.10/C.3/2017/25 proposait de nouvelles prescriptions relatives à l’emballage des déchets de la catégorie A qui étaient pratiques et qui garantissaient la sécurité.</w:t>
      </w:r>
    </w:p>
    <w:p w:rsidR="00186A91" w:rsidRPr="00186A91" w:rsidRDefault="00186A91" w:rsidP="00186A91">
      <w:pPr>
        <w:pStyle w:val="SingleTxtG"/>
        <w:rPr>
          <w:lang w:val="fr-FR"/>
        </w:rPr>
      </w:pPr>
      <w:r w:rsidRPr="00186A91">
        <w:rPr>
          <w:lang w:val="fr-FR"/>
        </w:rPr>
        <w:t>2.</w:t>
      </w:r>
      <w:r w:rsidRPr="00186A91">
        <w:rPr>
          <w:lang w:val="fr-FR"/>
        </w:rPr>
        <w:tab/>
        <w:t xml:space="preserve">Les emballages actuellement autorisés par l’instruction d’emballage P620 sont appropriés pour le transport de petites quantités de matières infectieuses de la catégorie A, comme les cultures et les échantillons, ainsi que pour de petites quantités de déchets provenant de laboratoires. Toutefois, ces emballages ne conviennent pas au transport de grandes quantités de déchets de la catégorie A, par exemple ceux qu’a générés l’épidémie d’Ebola en 2014. De plus, les emballages sélectionnés en application de l’instruction d’emballage P620 doivent satisfaire aux dispositions strictes du chapitre 6.3. Dans le document ST/SG/AC.10/C.3/2017/25, les experts du Canada et du Royaume-Uni ont souligné l’importance du triple emballage ; cependant, toutes les prescriptions relatives au contrôle figurant dans le chapitre 6.3 ne sont pas applicables au transport de grandes quantités </w:t>
      </w:r>
      <w:r w:rsidRPr="00186A91">
        <w:rPr>
          <w:lang w:val="fr-FR"/>
        </w:rPr>
        <w:lastRenderedPageBreak/>
        <w:t>de déchets solides de la catégorie A. Les interventions des autorités sanitaires et les mesures de lutte contre les épidémies doivent être rapides et efficaces et ne devraient pas être inutilement entravées par des problèmes de collecte et de transport dus à des difficultés d’ordre financier ou technique.</w:t>
      </w:r>
    </w:p>
    <w:p w:rsidR="00186A91" w:rsidRPr="00186A91" w:rsidRDefault="00186A91" w:rsidP="00186A91">
      <w:pPr>
        <w:pStyle w:val="SingleTxtG"/>
        <w:rPr>
          <w:lang w:val="fr-FR"/>
        </w:rPr>
      </w:pPr>
      <w:r w:rsidRPr="00186A91">
        <w:rPr>
          <w:lang w:val="fr-FR"/>
        </w:rPr>
        <w:t>3.</w:t>
      </w:r>
      <w:r w:rsidRPr="00186A91">
        <w:rPr>
          <w:lang w:val="fr-FR"/>
        </w:rPr>
        <w:tab/>
        <w:t>La proposition officielle figurant dans le document ST/SG/AC.10/C.3/2017/25 a été examinée par le Sous-Comité à sa cinquante et unième session, ainsi que par un groupe de travail lors d’un déjeuner de travail qui a abouti à la soumission du document informel INF.43 (cinquante et unième session).</w:t>
      </w:r>
    </w:p>
    <w:p w:rsidR="00186A91" w:rsidRPr="00186A91" w:rsidRDefault="00186A91" w:rsidP="00186A91">
      <w:pPr>
        <w:pStyle w:val="SingleTxtG"/>
        <w:rPr>
          <w:lang w:val="fr-FR"/>
        </w:rPr>
      </w:pPr>
      <w:r w:rsidRPr="00186A91">
        <w:rPr>
          <w:lang w:val="fr-FR"/>
        </w:rPr>
        <w:t>4.</w:t>
      </w:r>
      <w:r w:rsidRPr="00186A91">
        <w:rPr>
          <w:lang w:val="fr-FR"/>
        </w:rPr>
        <w:tab/>
        <w:t>Le Sous-Comité a estimé que l’approche révisée présentée dans le document informel INF.43 pourrait guider utilement les autorités sanitaires en cas de crise, telle que l’épidémie d’Ebola en 2014. Il a donc décidé d’adopter provisoirement ces dispositions en les plaçant entre crochets afin de donner l’occasion aux délégations de consulter les autorités sanitaires au sujet de l’approche proposée et de permettre la possibilité d’éclaircissements supplémentaires d’ici à la fin de l’exercice biennal en cours.</w:t>
      </w:r>
    </w:p>
    <w:p w:rsidR="00186A91" w:rsidRPr="00186A91" w:rsidRDefault="00186A91" w:rsidP="00186A91">
      <w:pPr>
        <w:pStyle w:val="SingleTxtG"/>
        <w:rPr>
          <w:lang w:val="fr-FR"/>
        </w:rPr>
      </w:pPr>
      <w:r w:rsidRPr="00186A91">
        <w:rPr>
          <w:lang w:val="fr-FR"/>
        </w:rPr>
        <w:t>5.</w:t>
      </w:r>
      <w:r w:rsidRPr="00186A91">
        <w:rPr>
          <w:lang w:val="fr-FR"/>
        </w:rPr>
        <w:tab/>
        <w:t>Le Sous-Comité n’a pas réussi à trouver un consensus sur le texte figurant dans le document informel INF.43, principalement en ce qui concerne les dispositions supplémentaires 8 et 9 des propositions d’instructions d’emballage P6XX et LP6XX, qui sont libellées comme suit :</w:t>
      </w:r>
    </w:p>
    <w:p w:rsidR="00186A91" w:rsidRPr="00186A91" w:rsidRDefault="00186A91" w:rsidP="00186A91">
      <w:pPr>
        <w:pStyle w:val="SingleTxtG"/>
        <w:ind w:left="1701"/>
        <w:rPr>
          <w:lang w:val="fr-FR"/>
        </w:rPr>
      </w:pPr>
      <w:r w:rsidRPr="00186A91">
        <w:rPr>
          <w:lang w:val="fr-FR"/>
        </w:rPr>
        <w:t>« 8.</w:t>
      </w:r>
      <w:r w:rsidRPr="00186A91">
        <w:rPr>
          <w:lang w:val="fr-FR"/>
        </w:rPr>
        <w:tab/>
        <w:t>Lorsque les emballages extérieurs ne sont pas capables de retenir les liquides, l’emballage intérieur ou l’emballage intermédiaire doivent être rigides.</w:t>
      </w:r>
    </w:p>
    <w:p w:rsidR="00186A91" w:rsidRPr="00186A91" w:rsidRDefault="00186A91" w:rsidP="00186A91">
      <w:pPr>
        <w:pStyle w:val="SingleTxtG"/>
        <w:ind w:left="1701"/>
        <w:rPr>
          <w:lang w:val="fr-FR"/>
        </w:rPr>
      </w:pPr>
      <w:r w:rsidRPr="00186A91">
        <w:rPr>
          <w:lang w:val="fr-FR"/>
        </w:rPr>
        <w:t>9.</w:t>
      </w:r>
      <w:r w:rsidRPr="00186A91">
        <w:rPr>
          <w:lang w:val="fr-FR"/>
        </w:rPr>
        <w:tab/>
        <w:t>Lorsque le matériau solide est saturé et qu’il est possible que du liquide sorte pendant le transport, il ne faut utiliser que des emballages extérieurs capables de retenir les liquides. ».</w:t>
      </w:r>
    </w:p>
    <w:p w:rsidR="00186A91" w:rsidRPr="00186A91" w:rsidRDefault="00186A91" w:rsidP="00186A91">
      <w:pPr>
        <w:pStyle w:val="SingleTxtG"/>
        <w:rPr>
          <w:lang w:val="fr-FR"/>
        </w:rPr>
      </w:pPr>
      <w:r w:rsidRPr="00186A91">
        <w:rPr>
          <w:lang w:val="fr-FR"/>
        </w:rPr>
        <w:t>6.</w:t>
      </w:r>
      <w:r w:rsidRPr="00186A91">
        <w:rPr>
          <w:lang w:val="fr-FR"/>
        </w:rPr>
        <w:tab/>
        <w:t>Il n’existe pas de corrélation entre la rigidité d’un emballage et son étanchéité aux liquides. Ainsi, une caisse en carton rigide constitue un emballage rigide, mais peut ou ne peut pas retenir les liquides en fonction de sa conception ; pour cela, il est parfois nécessaire qu’elle soit munie d’un revêtement ou d’une doublure imperméable. En conséquence, selon l’expert du Canada, le fait d’exiger que l’emballage intérieur ou l’emballage intermédiaire soit rigide si l’emballage extérieur n’est pas capable de retenir les liquides n’accroît pas la capacité du triple emballage de contenir des liquides.</w:t>
      </w:r>
    </w:p>
    <w:p w:rsidR="00186A91" w:rsidRPr="00186A91" w:rsidRDefault="00186A91" w:rsidP="00186A91">
      <w:pPr>
        <w:pStyle w:val="SingleTxtG"/>
        <w:rPr>
          <w:lang w:val="fr-FR"/>
        </w:rPr>
      </w:pPr>
      <w:r w:rsidRPr="00186A91">
        <w:rPr>
          <w:lang w:val="fr-FR"/>
        </w:rPr>
        <w:t>7.</w:t>
      </w:r>
      <w:r w:rsidRPr="00186A91">
        <w:rPr>
          <w:lang w:val="fr-FR"/>
        </w:rPr>
        <w:tab/>
        <w:t>De plus, les propositions d’instructions d’emballage P6XX et LP6XX sont telles que la probabilité que du liquide libre s’échappe de l’emballage intermédiaire est extrêmement faible. L’emballage intérieur et l’emballage intermédiaire doivent être capables de retenir les liquides, et il doit y avoir suffisamment de matériau absorbant ou solidifiant dans l’un ou l’autre de ces emballages pour absorber ou solidifier la totalité du contenu liquide présent. Afin de réduire au minimum le risque de déperdition de liquide, l’expert du Canada propose que seuls des emballages extérieurs capables de retenir les liquides soient utilisés dans tous les cas. Il propose également d’écarter la disposition supplémentaire 8 énoncée dans le document informel INF.43.</w:t>
      </w:r>
    </w:p>
    <w:p w:rsidR="00186A91" w:rsidRPr="00186A91" w:rsidRDefault="00186A91" w:rsidP="00186A91">
      <w:pPr>
        <w:pStyle w:val="SingleTxtG"/>
        <w:rPr>
          <w:lang w:val="fr-FR"/>
        </w:rPr>
      </w:pPr>
      <w:r w:rsidRPr="00186A91">
        <w:rPr>
          <w:lang w:val="fr-FR"/>
        </w:rPr>
        <w:t>8.</w:t>
      </w:r>
      <w:r w:rsidRPr="00186A91">
        <w:rPr>
          <w:lang w:val="fr-FR"/>
        </w:rPr>
        <w:tab/>
        <w:t>Les épidémies dues à ces agents pathogènes sont rares, mais constituent un risque important pour la santé et le bien-être des êtres humains et des animaux lorsqu’elles se déclarent. La lutte contre ces épidémies n’est pas seulement le fait des établissements de santé bien dotés, mais d’établissements se trouvant dans des zones éloignées et disposant d’équipements rudimentaires. Pour certains, déterminer si l’emballage extérieur qu’ils souhaitent utiliser est capable de retenir les liquides peut s’avérer ardu. Ils pourraient penser qu’en se servant d’une caisse en carton rigide munie d’un revêtement imperméable, ils se conforment à la disposition supplémentaire 9 proposée dans le document informel INF.43, mais celle-ci n’est pas toujours ainsi satisfaite, compte tenu des résultats de l’épreuve de détermination de l’absorption d’eau de caisses en carton rigide qui sont présentés dans le document informel INF.36 (cinquante et unième session) soumis par le Royaume-Uni. Comme l’indique ce document, tout joint non imperméable à l’eau doit être fermé avec une bande gommée à l’intérieur et à l’extérieur de la caisse. Toutefois, il se pourrait que cela ne soit pas faisable dans la pratique.</w:t>
      </w:r>
    </w:p>
    <w:p w:rsidR="00186A91" w:rsidRPr="00186A91" w:rsidRDefault="00186A91" w:rsidP="00186A91">
      <w:pPr>
        <w:pStyle w:val="SingleTxtG"/>
        <w:rPr>
          <w:lang w:val="fr-FR"/>
        </w:rPr>
      </w:pPr>
      <w:r w:rsidRPr="00186A91">
        <w:rPr>
          <w:lang w:val="fr-FR"/>
        </w:rPr>
        <w:t>9.</w:t>
      </w:r>
      <w:r w:rsidRPr="00186A91">
        <w:rPr>
          <w:lang w:val="fr-FR"/>
        </w:rPr>
        <w:tab/>
        <w:t xml:space="preserve">L’expert du Canada propose d’écarter la disposition supplémentaire 9 énoncée dans le document informel INF.43 (cinquante et unième session). À l’exception des caisses en </w:t>
      </w:r>
      <w:r w:rsidRPr="00186A91">
        <w:rPr>
          <w:lang w:val="fr-FR"/>
        </w:rPr>
        <w:lastRenderedPageBreak/>
        <w:t>contre-plaqué, des caisses en carton rigide, des fûts en contre-plaqué et des fûts en carton, tous les autres emballages extérieurs visés par les deux instructions d’emballage sont capables de retenir les liquides. Afin de simplifier les choses, il est proposé d’ajouter la prescription suivante :</w:t>
      </w:r>
    </w:p>
    <w:p w:rsidR="00186A91" w:rsidRPr="00186A91" w:rsidRDefault="00186A91" w:rsidP="00186A91">
      <w:pPr>
        <w:pStyle w:val="SingleTxtG"/>
        <w:ind w:left="1701"/>
        <w:rPr>
          <w:lang w:val="fr-FR"/>
        </w:rPr>
      </w:pPr>
      <w:r w:rsidRPr="00186A91">
        <w:rPr>
          <w:lang w:val="fr-FR"/>
        </w:rPr>
        <w:t>« Les caisses en contre-plaqué (4D), les caisses en carton rigide (4G), les fûts en contre-plaqué (1D) et les fûts en carton (1G) doivent être rendus capables de retenir les liquides au moyen d’une doublure intérieure ou d’un sac. Les emballages intermédiaires ne doivent pas remplir ces conditions. ».</w:t>
      </w:r>
    </w:p>
    <w:p w:rsidR="00186A91" w:rsidRPr="00186A91" w:rsidRDefault="00186A91" w:rsidP="00186A91">
      <w:pPr>
        <w:pStyle w:val="SingleTxtG"/>
        <w:rPr>
          <w:lang w:val="fr-FR"/>
        </w:rPr>
      </w:pPr>
      <w:r w:rsidRPr="00186A91">
        <w:rPr>
          <w:lang w:val="fr-FR"/>
        </w:rPr>
        <w:t>10.</w:t>
      </w:r>
      <w:r w:rsidRPr="00186A91">
        <w:rPr>
          <w:lang w:val="fr-FR"/>
        </w:rPr>
        <w:tab/>
        <w:t>Il est indiqué dans l’additif au rapport du Sous-Comité (ST/SG/AC.10/</w:t>
      </w:r>
      <w:r>
        <w:rPr>
          <w:lang w:val="fr-FR"/>
        </w:rPr>
        <w:t xml:space="preserve"> </w:t>
      </w:r>
      <w:r w:rsidRPr="00186A91">
        <w:rPr>
          <w:lang w:val="fr-FR"/>
        </w:rPr>
        <w:t>C.3/102/Add.1) sur sa cinquante et unième session que les déchets médicaux solides de la catégorie A sont affectés au No ONU 3549 et aux instructions d’emballage P622 et LP622.</w:t>
      </w:r>
    </w:p>
    <w:p w:rsidR="00186A91" w:rsidRPr="00186A91" w:rsidRDefault="00186A91" w:rsidP="00186A91">
      <w:pPr>
        <w:pStyle w:val="HChG"/>
        <w:rPr>
          <w:lang w:val="fr-FR"/>
        </w:rPr>
      </w:pPr>
      <w:r>
        <w:rPr>
          <w:lang w:val="fr-FR"/>
        </w:rPr>
        <w:tab/>
      </w:r>
      <w:r>
        <w:rPr>
          <w:lang w:val="fr-FR"/>
        </w:rPr>
        <w:tab/>
      </w:r>
      <w:r w:rsidRPr="00186A91">
        <w:rPr>
          <w:lang w:val="fr-FR"/>
        </w:rPr>
        <w:t>Proposition</w:t>
      </w:r>
    </w:p>
    <w:p w:rsidR="00186A91" w:rsidRPr="00186A91" w:rsidRDefault="00186A91" w:rsidP="00186A91">
      <w:pPr>
        <w:pStyle w:val="SingleTxtG"/>
        <w:rPr>
          <w:lang w:val="fr-FR"/>
        </w:rPr>
      </w:pPr>
      <w:r w:rsidRPr="00186A91">
        <w:rPr>
          <w:lang w:val="fr-FR"/>
        </w:rPr>
        <w:t>11.</w:t>
      </w:r>
      <w:r w:rsidRPr="00186A91">
        <w:rPr>
          <w:lang w:val="fr-FR"/>
        </w:rPr>
        <w:tab/>
        <w:t xml:space="preserve">La proposition concerne les amendements placés entre crochets qui sont contenus dans l’annexe II du document ST/SG/AC.10/C.3/102/Add.1, adopté par le Sous-Comité à sa cinquante et unième session. Les modifications apportées à ces amendements figurent en caractères </w:t>
      </w:r>
      <w:r w:rsidRPr="00186A91">
        <w:rPr>
          <w:u w:val="single"/>
          <w:lang w:val="fr-FR"/>
        </w:rPr>
        <w:t>soulignés</w:t>
      </w:r>
      <w:r w:rsidRPr="00186A91">
        <w:rPr>
          <w:lang w:val="fr-FR"/>
        </w:rPr>
        <w:t xml:space="preserve"> ou </w:t>
      </w:r>
      <w:r w:rsidRPr="00186A91">
        <w:rPr>
          <w:strike/>
          <w:lang w:val="fr-FR"/>
        </w:rPr>
        <w:t>biffés</w:t>
      </w:r>
      <w:r>
        <w:rPr>
          <w:lang w:val="fr-FR"/>
        </w:rPr>
        <w:t>.</w:t>
      </w:r>
    </w:p>
    <w:p w:rsidR="00186A91" w:rsidRPr="00186A91" w:rsidRDefault="00186A91" w:rsidP="00186A91">
      <w:pPr>
        <w:pStyle w:val="H1G"/>
        <w:rPr>
          <w:lang w:val="fr-FR"/>
        </w:rPr>
      </w:pPr>
      <w:r>
        <w:rPr>
          <w:lang w:val="fr-FR"/>
        </w:rPr>
        <w:tab/>
      </w:r>
      <w:r>
        <w:rPr>
          <w:lang w:val="fr-FR"/>
        </w:rPr>
        <w:tab/>
      </w:r>
      <w:r w:rsidRPr="00186A91">
        <w:rPr>
          <w:lang w:val="fr-FR"/>
        </w:rPr>
        <w:t>Chapitre 1.4</w:t>
      </w:r>
    </w:p>
    <w:p w:rsidR="00186A91" w:rsidRPr="00186A91" w:rsidRDefault="00186A91" w:rsidP="00186A91">
      <w:pPr>
        <w:pStyle w:val="SingleTxtG"/>
        <w:rPr>
          <w:lang w:val="fr-FR"/>
        </w:rPr>
      </w:pPr>
      <w:r w:rsidRPr="00186A91">
        <w:rPr>
          <w:lang w:val="fr-FR"/>
        </w:rPr>
        <w:t>1.4.3.1.2</w:t>
      </w:r>
      <w:r w:rsidRPr="00186A91">
        <w:rPr>
          <w:lang w:val="fr-FR"/>
        </w:rPr>
        <w:tab/>
        <w:t>Dans le tableau 1.4.1, modifier la ligne pour la Division 6.2 comme suit :</w:t>
      </w:r>
    </w:p>
    <w:p w:rsidR="00186A91" w:rsidRPr="00186A91" w:rsidRDefault="00186A91" w:rsidP="00F65C95">
      <w:pPr>
        <w:pStyle w:val="SingleTxtG"/>
        <w:tabs>
          <w:tab w:val="left" w:pos="3686"/>
        </w:tabs>
        <w:ind w:left="3686" w:hanging="1418"/>
        <w:rPr>
          <w:lang w:val="fr-FR"/>
        </w:rPr>
      </w:pPr>
      <w:r w:rsidRPr="00186A91">
        <w:rPr>
          <w:lang w:val="fr-FR"/>
        </w:rPr>
        <w:t>« Division 6.2</w:t>
      </w:r>
      <w:r w:rsidRPr="00186A91">
        <w:rPr>
          <w:lang w:val="fr-FR"/>
        </w:rPr>
        <w:tab/>
        <w:t xml:space="preserve">Matières infectieuses de la catégorie A (Nos ONU 2814 et </w:t>
      </w:r>
      <w:r>
        <w:rPr>
          <w:lang w:val="fr-FR"/>
        </w:rPr>
        <w:t xml:space="preserve">2900) et déchets </w:t>
      </w:r>
      <w:r w:rsidRPr="00186A91">
        <w:rPr>
          <w:lang w:val="fr-FR"/>
        </w:rPr>
        <w:t>médicaux de la catégorie A</w:t>
      </w:r>
      <w:r w:rsidR="00F65C95">
        <w:rPr>
          <w:lang w:val="fr-FR"/>
        </w:rPr>
        <w:t xml:space="preserve"> </w:t>
      </w:r>
      <w:r w:rsidRPr="00186A91">
        <w:rPr>
          <w:lang w:val="fr-FR"/>
        </w:rPr>
        <w:t>(No</w:t>
      </w:r>
      <w:r>
        <w:rPr>
          <w:lang w:val="fr-FR"/>
        </w:rPr>
        <w:t> </w:t>
      </w:r>
      <w:r w:rsidRPr="00186A91">
        <w:rPr>
          <w:lang w:val="fr-FR"/>
        </w:rPr>
        <w:t>ONU</w:t>
      </w:r>
      <w:r>
        <w:rPr>
          <w:lang w:val="fr-FR"/>
        </w:rPr>
        <w:t> </w:t>
      </w:r>
      <w:r w:rsidRPr="00186A91">
        <w:rPr>
          <w:lang w:val="fr-FR"/>
        </w:rPr>
        <w:t>3549) ».</w:t>
      </w:r>
    </w:p>
    <w:p w:rsidR="00186A91" w:rsidRPr="00186A91" w:rsidRDefault="00186A91" w:rsidP="00186A91">
      <w:pPr>
        <w:pStyle w:val="SingleTxtG"/>
        <w:rPr>
          <w:lang w:val="fr-FR"/>
        </w:rPr>
      </w:pPr>
      <w:r w:rsidRPr="005A74FA">
        <w:rPr>
          <w:i/>
          <w:lang w:val="fr-FR"/>
        </w:rPr>
        <w:t>(</w:t>
      </w:r>
      <w:r w:rsidRPr="00186A91">
        <w:rPr>
          <w:i/>
          <w:lang w:val="fr-FR"/>
        </w:rPr>
        <w:t>Document de référence : Proposition figurant dans l’annexe II du document ST/SG/AC.10/</w:t>
      </w:r>
      <w:r w:rsidR="005A74FA">
        <w:rPr>
          <w:i/>
          <w:lang w:val="fr-FR"/>
        </w:rPr>
        <w:t xml:space="preserve"> </w:t>
      </w:r>
      <w:r w:rsidRPr="00186A91">
        <w:rPr>
          <w:i/>
          <w:lang w:val="fr-FR"/>
        </w:rPr>
        <w:t>C.3/102/Add.1, non modifiée</w:t>
      </w:r>
      <w:r w:rsidRPr="005A74FA">
        <w:rPr>
          <w:i/>
          <w:lang w:val="fr-FR"/>
        </w:rPr>
        <w:t>)</w:t>
      </w:r>
    </w:p>
    <w:p w:rsidR="00186A91" w:rsidRPr="00186A91" w:rsidRDefault="00186A91" w:rsidP="00F65C95">
      <w:pPr>
        <w:pStyle w:val="H1G"/>
        <w:rPr>
          <w:lang w:val="fr-FR"/>
        </w:rPr>
      </w:pPr>
      <w:r>
        <w:rPr>
          <w:lang w:val="fr-FR"/>
        </w:rPr>
        <w:tab/>
      </w:r>
      <w:r>
        <w:rPr>
          <w:lang w:val="fr-FR"/>
        </w:rPr>
        <w:tab/>
      </w:r>
      <w:r w:rsidRPr="00F65C95">
        <w:t>Chapitre</w:t>
      </w:r>
      <w:r w:rsidRPr="00186A91">
        <w:rPr>
          <w:lang w:val="fr-FR"/>
        </w:rPr>
        <w:t xml:space="preserve"> 2.6</w:t>
      </w:r>
    </w:p>
    <w:p w:rsidR="00186A91" w:rsidRPr="00186A91" w:rsidRDefault="00186A91" w:rsidP="00186A91">
      <w:pPr>
        <w:pStyle w:val="SingleTxtG"/>
        <w:rPr>
          <w:lang w:val="fr-FR"/>
        </w:rPr>
      </w:pPr>
      <w:r w:rsidRPr="00186A91">
        <w:rPr>
          <w:lang w:val="fr-FR"/>
        </w:rPr>
        <w:t>2.6.3.1.6</w:t>
      </w:r>
      <w:r w:rsidRPr="00186A91">
        <w:rPr>
          <w:lang w:val="fr-FR"/>
        </w:rPr>
        <w:tab/>
        <w:t>Modifier comme suit :</w:t>
      </w:r>
    </w:p>
    <w:p w:rsidR="00186A91" w:rsidRPr="00186A91" w:rsidRDefault="00186A91" w:rsidP="00186A91">
      <w:pPr>
        <w:pStyle w:val="SingleTxtG"/>
        <w:rPr>
          <w:lang w:val="fr-FR"/>
        </w:rPr>
      </w:pPr>
      <w:r w:rsidRPr="00186A91">
        <w:rPr>
          <w:lang w:val="fr-FR"/>
        </w:rPr>
        <w:t>«</w:t>
      </w:r>
      <w:r w:rsidR="00F65C95">
        <w:rPr>
          <w:lang w:val="fr-FR"/>
        </w:rPr>
        <w:t> </w:t>
      </w:r>
      <w:r w:rsidRPr="00186A91">
        <w:rPr>
          <w:lang w:val="fr-FR"/>
        </w:rPr>
        <w:t>Par déchets médicaux ou déchets d’hôpital, des déchets provenant de traitements médicaux administrés à des êtres humains ou de traitements vétérinaires administrés à des animaux ou de la recherche biologique. ».</w:t>
      </w:r>
    </w:p>
    <w:p w:rsidR="00186A91" w:rsidRPr="00186A91" w:rsidRDefault="00186A91" w:rsidP="00186A91">
      <w:pPr>
        <w:pStyle w:val="SingleTxtG"/>
        <w:rPr>
          <w:i/>
          <w:lang w:val="fr-FR"/>
        </w:rPr>
      </w:pPr>
      <w:r w:rsidRPr="00186A91">
        <w:rPr>
          <w:lang w:val="fr-FR"/>
        </w:rPr>
        <w:t>(</w:t>
      </w:r>
      <w:r w:rsidRPr="00186A91">
        <w:rPr>
          <w:i/>
          <w:lang w:val="fr-FR"/>
        </w:rPr>
        <w:t>Document de référence : Proposition figurant dans l’annexe II du document ST/SG/AC.10/</w:t>
      </w:r>
      <w:r w:rsidR="005A74FA">
        <w:rPr>
          <w:i/>
          <w:lang w:val="fr-FR"/>
        </w:rPr>
        <w:t xml:space="preserve"> </w:t>
      </w:r>
      <w:r w:rsidRPr="00186A91">
        <w:rPr>
          <w:i/>
          <w:lang w:val="fr-FR"/>
        </w:rPr>
        <w:t>C.3/102/Add.1, non modifiée)</w:t>
      </w:r>
    </w:p>
    <w:p w:rsidR="00186A91" w:rsidRPr="00186A91" w:rsidRDefault="00186A91" w:rsidP="00186A91">
      <w:pPr>
        <w:pStyle w:val="SingleTxtG"/>
        <w:rPr>
          <w:lang w:val="fr-FR"/>
        </w:rPr>
      </w:pPr>
      <w:r w:rsidRPr="00186A91">
        <w:rPr>
          <w:lang w:val="fr-FR"/>
        </w:rPr>
        <w:t>2.6.3.2.1</w:t>
      </w:r>
      <w:r w:rsidRPr="00186A91">
        <w:rPr>
          <w:lang w:val="fr-FR"/>
        </w:rPr>
        <w:tab/>
        <w:t>Remplacer «</w:t>
      </w:r>
      <w:r w:rsidR="00F65C95">
        <w:rPr>
          <w:lang w:val="fr-FR"/>
        </w:rPr>
        <w:t> </w:t>
      </w:r>
      <w:r w:rsidRPr="00186A91">
        <w:rPr>
          <w:lang w:val="fr-FR"/>
        </w:rPr>
        <w:t>ou 3373</w:t>
      </w:r>
      <w:r w:rsidR="00F65C95">
        <w:rPr>
          <w:lang w:val="fr-FR"/>
        </w:rPr>
        <w:t> </w:t>
      </w:r>
      <w:r w:rsidRPr="00186A91">
        <w:rPr>
          <w:lang w:val="fr-FR"/>
        </w:rPr>
        <w:t xml:space="preserve">» par </w:t>
      </w:r>
      <w:proofErr w:type="gramStart"/>
      <w:r w:rsidRPr="00186A91">
        <w:rPr>
          <w:lang w:val="fr-FR"/>
        </w:rPr>
        <w:t>«</w:t>
      </w:r>
      <w:r w:rsidR="00F65C95">
        <w:rPr>
          <w:lang w:val="fr-FR"/>
        </w:rPr>
        <w:t> </w:t>
      </w:r>
      <w:r w:rsidRPr="00186A91">
        <w:rPr>
          <w:lang w:val="fr-FR"/>
        </w:rPr>
        <w:t>,</w:t>
      </w:r>
      <w:proofErr w:type="gramEnd"/>
      <w:r w:rsidRPr="00186A91">
        <w:rPr>
          <w:lang w:val="fr-FR"/>
        </w:rPr>
        <w:t xml:space="preserve"> 3373 ou 3549</w:t>
      </w:r>
      <w:r w:rsidR="00F65C95">
        <w:rPr>
          <w:lang w:val="fr-FR"/>
        </w:rPr>
        <w:t> </w:t>
      </w:r>
      <w:r w:rsidRPr="00186A91">
        <w:rPr>
          <w:lang w:val="fr-FR"/>
        </w:rPr>
        <w:t>»</w:t>
      </w:r>
      <w:r w:rsidR="00F65C95">
        <w:rPr>
          <w:lang w:val="fr-FR"/>
        </w:rPr>
        <w:t>.</w:t>
      </w:r>
    </w:p>
    <w:p w:rsidR="00186A91" w:rsidRPr="00186A91" w:rsidRDefault="00186A91" w:rsidP="00186A91">
      <w:pPr>
        <w:pStyle w:val="SingleTxtG"/>
        <w:rPr>
          <w:i/>
          <w:lang w:val="fr-FR"/>
        </w:rPr>
      </w:pPr>
      <w:r w:rsidRPr="00186A91">
        <w:rPr>
          <w:i/>
          <w:lang w:val="fr-FR"/>
        </w:rPr>
        <w:t>(Document de référence : Proposition figurant dans l’annexe II du document ST/SG/AC.10/</w:t>
      </w:r>
      <w:r w:rsidR="005A74FA">
        <w:rPr>
          <w:i/>
          <w:lang w:val="fr-FR"/>
        </w:rPr>
        <w:t xml:space="preserve"> </w:t>
      </w:r>
      <w:r w:rsidRPr="00186A91">
        <w:rPr>
          <w:i/>
          <w:lang w:val="fr-FR"/>
        </w:rPr>
        <w:t>C.3/102/Add.1, non modifiée)</w:t>
      </w:r>
    </w:p>
    <w:p w:rsidR="00186A91" w:rsidRPr="00186A91" w:rsidRDefault="00186A91" w:rsidP="00186A91">
      <w:pPr>
        <w:pStyle w:val="SingleTxtG"/>
        <w:rPr>
          <w:lang w:val="fr-FR"/>
        </w:rPr>
      </w:pPr>
      <w:r w:rsidRPr="00186A91">
        <w:rPr>
          <w:lang w:val="fr-FR"/>
        </w:rPr>
        <w:t>2.6.3.2.3.9 a)</w:t>
      </w:r>
      <w:r w:rsidRPr="00186A91">
        <w:rPr>
          <w:lang w:val="fr-FR"/>
        </w:rPr>
        <w:tab/>
      </w:r>
      <w:r w:rsidRPr="00F65C95">
        <w:rPr>
          <w:spacing w:val="-2"/>
          <w:lang w:val="fr-FR"/>
        </w:rPr>
        <w:t>Modifier le texte entre parenthèses comme suit</w:t>
      </w:r>
      <w:r w:rsidRPr="00186A91">
        <w:rPr>
          <w:lang w:val="fr-FR"/>
        </w:rPr>
        <w:t> : «</w:t>
      </w:r>
      <w:r w:rsidR="00F65C95">
        <w:rPr>
          <w:lang w:val="fr-FR"/>
        </w:rPr>
        <w:t> </w:t>
      </w:r>
      <w:r w:rsidRPr="00186A91">
        <w:rPr>
          <w:lang w:val="fr-FR"/>
        </w:rPr>
        <w:t>(Nos ONU 3291 et 3549)</w:t>
      </w:r>
      <w:r w:rsidR="00F65C95">
        <w:rPr>
          <w:lang w:val="fr-FR"/>
        </w:rPr>
        <w:t> </w:t>
      </w:r>
      <w:r w:rsidRPr="00186A91">
        <w:rPr>
          <w:lang w:val="fr-FR"/>
        </w:rPr>
        <w:t>».</w:t>
      </w:r>
    </w:p>
    <w:p w:rsidR="00186A91" w:rsidRPr="00186A91" w:rsidRDefault="00186A91" w:rsidP="00186A91">
      <w:pPr>
        <w:pStyle w:val="SingleTxtG"/>
        <w:rPr>
          <w:lang w:val="fr-FR"/>
        </w:rPr>
      </w:pPr>
      <w:r w:rsidRPr="005A74FA">
        <w:rPr>
          <w:i/>
          <w:lang w:val="fr-FR"/>
        </w:rPr>
        <w:t>(</w:t>
      </w:r>
      <w:r w:rsidRPr="00186A91">
        <w:rPr>
          <w:i/>
          <w:lang w:val="fr-FR"/>
        </w:rPr>
        <w:t>Document de référence : Proposition figurant dans l’annexe II du document ST/SG/AC.10/</w:t>
      </w:r>
      <w:r w:rsidR="005A74FA">
        <w:rPr>
          <w:i/>
          <w:lang w:val="fr-FR"/>
        </w:rPr>
        <w:t xml:space="preserve"> </w:t>
      </w:r>
      <w:r w:rsidRPr="00186A91">
        <w:rPr>
          <w:i/>
          <w:lang w:val="fr-FR"/>
        </w:rPr>
        <w:t>C.3/102/Add.1, non modifiée</w:t>
      </w:r>
      <w:r w:rsidRPr="005A74FA">
        <w:rPr>
          <w:i/>
          <w:lang w:val="fr-FR"/>
        </w:rPr>
        <w:t>)</w:t>
      </w:r>
    </w:p>
    <w:p w:rsidR="00186A91" w:rsidRPr="00186A91" w:rsidRDefault="00186A91" w:rsidP="00186A91">
      <w:pPr>
        <w:pStyle w:val="SingleTxtG"/>
        <w:rPr>
          <w:lang w:val="fr-FR"/>
        </w:rPr>
      </w:pPr>
      <w:r w:rsidRPr="00186A91">
        <w:rPr>
          <w:lang w:val="fr-FR"/>
        </w:rPr>
        <w:t>2.6.3.5.1</w:t>
      </w:r>
      <w:r w:rsidRPr="00186A91">
        <w:rPr>
          <w:lang w:val="fr-FR"/>
        </w:rPr>
        <w:tab/>
        <w:t>Modifier comme suit :</w:t>
      </w:r>
    </w:p>
    <w:p w:rsidR="00186A91" w:rsidRPr="00186A91" w:rsidRDefault="00186A91" w:rsidP="00186A91">
      <w:pPr>
        <w:pStyle w:val="SingleTxtG"/>
        <w:rPr>
          <w:lang w:val="fr-FR"/>
        </w:rPr>
      </w:pPr>
      <w:r w:rsidRPr="00186A91">
        <w:rPr>
          <w:lang w:val="fr-FR"/>
        </w:rPr>
        <w:t>«</w:t>
      </w:r>
      <w:r w:rsidR="00F65C95">
        <w:rPr>
          <w:lang w:val="fr-FR"/>
        </w:rPr>
        <w:t> </w:t>
      </w:r>
      <w:r w:rsidRPr="00186A91">
        <w:rPr>
          <w:lang w:val="fr-FR"/>
        </w:rPr>
        <w:t>2.6.3.5.1</w:t>
      </w:r>
      <w:r w:rsidRPr="00186A91">
        <w:rPr>
          <w:lang w:val="fr-FR"/>
        </w:rPr>
        <w:tab/>
        <w:t>Les déchets médicaux ou déchets d’hôpital contenant :</w:t>
      </w:r>
    </w:p>
    <w:p w:rsidR="00186A91" w:rsidRPr="00186A91" w:rsidRDefault="00186A91" w:rsidP="00186A91">
      <w:pPr>
        <w:pStyle w:val="SingleTxtG"/>
        <w:rPr>
          <w:lang w:val="fr-FR"/>
        </w:rPr>
      </w:pPr>
      <w:r w:rsidRPr="00186A91">
        <w:rPr>
          <w:lang w:val="fr-FR"/>
        </w:rPr>
        <w:t>a)</w:t>
      </w:r>
      <w:r w:rsidRPr="00186A91">
        <w:rPr>
          <w:lang w:val="fr-FR"/>
        </w:rPr>
        <w:tab/>
        <w:t>des matières infectieuses de la catégorie A doivent être affectés aux Nos ONU 2814, 2900 ou 3549, selon le cas. Les déchets médicaux solides contenant des matières infectieuses de la catégorie A générés par le traitement médical administré à des êtres humains ou par le traitement vétérinaire administré à des animaux peuvent être affectés au No ONU 3549. La rubrique ONU 3549 ne peut être utilisée pour les déchets provenant de la recherche biologique ou pour les déchets liquides ;</w:t>
      </w:r>
    </w:p>
    <w:p w:rsidR="00186A91" w:rsidRPr="00186A91" w:rsidRDefault="00186A91" w:rsidP="00186A91">
      <w:pPr>
        <w:pStyle w:val="SingleTxtG"/>
        <w:rPr>
          <w:lang w:val="fr-FR"/>
        </w:rPr>
      </w:pPr>
      <w:r w:rsidRPr="00186A91">
        <w:rPr>
          <w:lang w:val="fr-FR"/>
        </w:rPr>
        <w:lastRenderedPageBreak/>
        <w:t>b)</w:t>
      </w:r>
      <w:r w:rsidRPr="00186A91">
        <w:rPr>
          <w:lang w:val="fr-FR"/>
        </w:rPr>
        <w:tab/>
        <w:t>des matières infectieuses de la catégorie B doivent être affectés au No ONU 3291.</w:t>
      </w:r>
      <w:r w:rsidR="00F65C95">
        <w:rPr>
          <w:lang w:val="fr-FR"/>
        </w:rPr>
        <w:t> </w:t>
      </w:r>
      <w:r w:rsidRPr="00186A91">
        <w:rPr>
          <w:lang w:val="fr-FR"/>
        </w:rPr>
        <w:t>».</w:t>
      </w:r>
    </w:p>
    <w:p w:rsidR="00186A91" w:rsidRPr="00186A91" w:rsidRDefault="00186A91" w:rsidP="00186A91">
      <w:pPr>
        <w:pStyle w:val="SingleTxtG"/>
        <w:rPr>
          <w:lang w:val="fr-FR"/>
        </w:rPr>
      </w:pPr>
      <w:r w:rsidRPr="005A74FA">
        <w:rPr>
          <w:i/>
          <w:lang w:val="fr-FR"/>
        </w:rPr>
        <w:t>(</w:t>
      </w:r>
      <w:r w:rsidRPr="00186A91">
        <w:rPr>
          <w:i/>
          <w:lang w:val="fr-FR"/>
        </w:rPr>
        <w:t>Document de référence : Proposition figurant dans l’annexe II du document ST/SG/AC.10/</w:t>
      </w:r>
      <w:r w:rsidR="0088329D">
        <w:rPr>
          <w:i/>
          <w:lang w:val="fr-FR"/>
        </w:rPr>
        <w:t xml:space="preserve"> </w:t>
      </w:r>
      <w:r w:rsidRPr="00186A91">
        <w:rPr>
          <w:i/>
          <w:lang w:val="fr-FR"/>
        </w:rPr>
        <w:t>C.3/102/Add.1, non modifiée</w:t>
      </w:r>
      <w:r w:rsidRPr="005A74FA">
        <w:rPr>
          <w:i/>
          <w:lang w:val="fr-FR"/>
        </w:rPr>
        <w:t>)</w:t>
      </w:r>
    </w:p>
    <w:p w:rsidR="00186A91" w:rsidRPr="00186A91" w:rsidRDefault="00F65C95" w:rsidP="00F65C95">
      <w:pPr>
        <w:pStyle w:val="H1G"/>
        <w:rPr>
          <w:lang w:val="fr-FR"/>
        </w:rPr>
      </w:pPr>
      <w:r>
        <w:rPr>
          <w:lang w:val="fr-FR"/>
        </w:rPr>
        <w:tab/>
      </w:r>
      <w:r>
        <w:rPr>
          <w:lang w:val="fr-FR"/>
        </w:rPr>
        <w:tab/>
      </w:r>
      <w:r w:rsidR="00186A91" w:rsidRPr="00186A91">
        <w:rPr>
          <w:lang w:val="fr-FR"/>
        </w:rPr>
        <w:t>Chapitre 3.2</w:t>
      </w:r>
    </w:p>
    <w:p w:rsidR="00186A91" w:rsidRPr="00186A91" w:rsidRDefault="00F65C95" w:rsidP="00F65C95">
      <w:pPr>
        <w:pStyle w:val="H23G"/>
        <w:rPr>
          <w:i/>
          <w:lang w:val="fr-FR"/>
        </w:rPr>
      </w:pPr>
      <w:r>
        <w:rPr>
          <w:lang w:val="fr-FR"/>
        </w:rPr>
        <w:tab/>
      </w:r>
      <w:r>
        <w:rPr>
          <w:lang w:val="fr-FR"/>
        </w:rPr>
        <w:tab/>
      </w:r>
      <w:r w:rsidR="00186A91" w:rsidRPr="00186A91">
        <w:rPr>
          <w:lang w:val="fr-FR"/>
        </w:rPr>
        <w:t>Liste des marchandises dangereuses</w:t>
      </w:r>
      <w:r w:rsidR="00186A91" w:rsidRPr="00186A91">
        <w:rPr>
          <w:i/>
          <w:lang w:val="fr-FR"/>
        </w:rPr>
        <w:t xml:space="preserve"> </w:t>
      </w:r>
    </w:p>
    <w:p w:rsidR="00186A91" w:rsidRPr="00186A91" w:rsidRDefault="00186A91" w:rsidP="00186A91">
      <w:pPr>
        <w:pStyle w:val="SingleTxtG"/>
        <w:rPr>
          <w:i/>
          <w:lang w:val="fr-FR"/>
        </w:rPr>
      </w:pPr>
      <w:r w:rsidRPr="00186A91">
        <w:rPr>
          <w:lang w:val="fr-FR"/>
        </w:rPr>
        <w:t>Insérer la nouvelle rubrique suivante :</w:t>
      </w:r>
    </w:p>
    <w:p w:rsidR="00186A91" w:rsidRPr="00186A91" w:rsidRDefault="00186A91" w:rsidP="00186A91">
      <w:pPr>
        <w:pStyle w:val="SingleTxtG"/>
        <w:rPr>
          <w:lang w:val="fr-FR"/>
        </w:rPr>
      </w:pPr>
      <w:r w:rsidRPr="00186A91">
        <w:rPr>
          <w:lang w:val="fr-FR"/>
        </w:rPr>
        <w:t>«</w:t>
      </w:r>
      <w:r w:rsidR="00F65C95">
        <w:rPr>
          <w:lang w:val="fr-FR"/>
        </w:rPr>
        <w:t> </w:t>
      </w:r>
    </w:p>
    <w:tbl>
      <w:tblPr>
        <w:tblW w:w="0" w:type="auto"/>
        <w:jc w:val="center"/>
        <w:tblLayout w:type="fixed"/>
        <w:tblCellMar>
          <w:left w:w="0" w:type="dxa"/>
          <w:right w:w="0" w:type="dxa"/>
        </w:tblCellMar>
        <w:tblLook w:val="0000" w:firstRow="0" w:lastRow="0" w:firstColumn="0" w:lastColumn="0" w:noHBand="0" w:noVBand="0"/>
      </w:tblPr>
      <w:tblGrid>
        <w:gridCol w:w="454"/>
        <w:gridCol w:w="2325"/>
        <w:gridCol w:w="623"/>
        <w:gridCol w:w="567"/>
        <w:gridCol w:w="680"/>
        <w:gridCol w:w="680"/>
        <w:gridCol w:w="454"/>
        <w:gridCol w:w="454"/>
        <w:gridCol w:w="907"/>
        <w:gridCol w:w="907"/>
        <w:gridCol w:w="851"/>
        <w:gridCol w:w="737"/>
      </w:tblGrid>
      <w:tr w:rsidR="00057F72" w:rsidTr="001D7D03">
        <w:trPr>
          <w:trHeight w:val="20"/>
          <w:tblHeader/>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(1)</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(2)</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(3)</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(4)</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(5)</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(6)</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(7a)</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(7b)</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(8)</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(9)</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(10)</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exact"/>
              <w:jc w:val="center"/>
              <w:rPr>
                <w:b/>
                <w:bCs/>
                <w:color w:val="000000"/>
                <w:sz w:val="16"/>
                <w:szCs w:val="16"/>
                <w:lang w:val="fr-FR"/>
              </w:rPr>
            </w:pPr>
            <w:r>
              <w:rPr>
                <w:b/>
                <w:bCs/>
                <w:color w:val="000000"/>
                <w:sz w:val="16"/>
                <w:szCs w:val="16"/>
                <w:lang w:val="fr-FR"/>
              </w:rPr>
              <w:t>(11)</w:t>
            </w:r>
          </w:p>
        </w:tc>
      </w:tr>
      <w:tr w:rsidR="00057F72" w:rsidTr="001D7D03">
        <w:trPr>
          <w:trHeight w:val="20"/>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atLeast"/>
              <w:jc w:val="center"/>
              <w:rPr>
                <w:sz w:val="16"/>
                <w:szCs w:val="16"/>
                <w:lang w:val="fr-FR"/>
              </w:rPr>
            </w:pPr>
            <w:r>
              <w:rPr>
                <w:sz w:val="16"/>
                <w:szCs w:val="16"/>
                <w:lang w:val="fr-FR"/>
              </w:rPr>
              <w:t>3549</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atLeast"/>
              <w:rPr>
                <w:sz w:val="16"/>
                <w:szCs w:val="16"/>
                <w:lang w:val="fr-FR"/>
              </w:rPr>
            </w:pPr>
            <w:r w:rsidRPr="00057F72">
              <w:rPr>
                <w:sz w:val="16"/>
                <w:szCs w:val="16"/>
                <w:lang w:val="fr-FR"/>
              </w:rPr>
              <w:t>DÉCHETS MÉDICAUX INFECTIEUX POUR L’HOMME, CATÉGORIE A, solides ou DÉCHETS MÉDICAUX INFECTIEUX POUR LES ANIMAUX uniquement, CATÉGORIE A, solides</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atLeast"/>
              <w:jc w:val="center"/>
              <w:rPr>
                <w:sz w:val="16"/>
                <w:szCs w:val="16"/>
                <w:lang w:val="fr-FR"/>
              </w:rPr>
            </w:pPr>
            <w:r w:rsidRPr="00057F72">
              <w:rPr>
                <w:sz w:val="16"/>
                <w:szCs w:val="16"/>
                <w:lang w:val="fr-FR"/>
              </w:rPr>
              <w:t>6.2</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atLeast"/>
              <w:jc w:val="center"/>
              <w:rPr>
                <w:sz w:val="16"/>
                <w:szCs w:val="16"/>
                <w:lang w:val="fr-FR"/>
              </w:rPr>
            </w:pPr>
            <w:r>
              <w:rPr>
                <w:sz w:val="16"/>
                <w:szCs w:val="16"/>
                <w:lang w:val="fr-FR"/>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Pr="005A74FA" w:rsidRDefault="00057F72" w:rsidP="00125D7B">
            <w:pPr>
              <w:spacing w:before="60" w:after="60" w:line="200" w:lineRule="atLeast"/>
              <w:jc w:val="center"/>
              <w:rPr>
                <w:strike/>
                <w:sz w:val="16"/>
                <w:szCs w:val="16"/>
                <w:lang w:val="fr-FR"/>
              </w:rPr>
            </w:pPr>
            <w:r w:rsidRPr="005A74FA">
              <w:rPr>
                <w:strike/>
                <w:sz w:val="16"/>
                <w:szCs w:val="16"/>
                <w:lang w:val="fr-FR"/>
              </w:rPr>
              <w:t>318</w:t>
            </w:r>
          </w:p>
          <w:p w:rsidR="00057F72" w:rsidRDefault="00057F72" w:rsidP="00125D7B">
            <w:pPr>
              <w:spacing w:before="60" w:after="60" w:line="200" w:lineRule="atLeast"/>
              <w:jc w:val="center"/>
              <w:rPr>
                <w:sz w:val="16"/>
                <w:szCs w:val="16"/>
                <w:lang w:val="fr-FR"/>
              </w:rPr>
            </w:pPr>
            <w:r w:rsidRPr="00057F72">
              <w:rPr>
                <w:sz w:val="16"/>
                <w:szCs w:val="16"/>
                <w:u w:val="single"/>
                <w:lang w:val="fr-FR"/>
              </w:rP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atLeast"/>
              <w:jc w:val="center"/>
              <w:rPr>
                <w:sz w:val="16"/>
                <w:szCs w:val="16"/>
                <w:lang w:val="fr-FR"/>
              </w:rPr>
            </w:pPr>
            <w:r w:rsidRPr="00057F72">
              <w:rPr>
                <w:sz w:val="16"/>
                <w:szCs w:val="16"/>
                <w:lang w:val="fr-FR"/>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atLeast"/>
              <w:jc w:val="center"/>
              <w:rPr>
                <w:sz w:val="16"/>
                <w:szCs w:val="16"/>
                <w:lang w:val="fr-FR"/>
              </w:rPr>
            </w:pPr>
            <w:r w:rsidRPr="00057F72">
              <w:rPr>
                <w:sz w:val="16"/>
                <w:szCs w:val="16"/>
                <w:lang w:val="fr-FR"/>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Pr="00057F72" w:rsidRDefault="00057F72" w:rsidP="00125D7B">
            <w:pPr>
              <w:spacing w:before="60" w:after="60" w:line="200" w:lineRule="atLeast"/>
              <w:jc w:val="center"/>
              <w:rPr>
                <w:sz w:val="16"/>
                <w:szCs w:val="16"/>
                <w:lang w:val="fr-FR"/>
              </w:rPr>
            </w:pPr>
            <w:r w:rsidRPr="00057F72">
              <w:rPr>
                <w:sz w:val="16"/>
                <w:szCs w:val="16"/>
                <w:lang w:val="fr-FR"/>
              </w:rPr>
              <w:t>P622</w:t>
            </w:r>
          </w:p>
          <w:p w:rsidR="00057F72" w:rsidRDefault="00057F72" w:rsidP="00125D7B">
            <w:pPr>
              <w:spacing w:before="60" w:after="60" w:line="200" w:lineRule="atLeast"/>
              <w:jc w:val="center"/>
              <w:rPr>
                <w:sz w:val="16"/>
                <w:szCs w:val="16"/>
                <w:lang w:val="fr-FR"/>
              </w:rPr>
            </w:pPr>
            <w:r w:rsidRPr="00057F72">
              <w:rPr>
                <w:sz w:val="16"/>
                <w:szCs w:val="16"/>
                <w:lang w:val="fr-FR"/>
              </w:rPr>
              <w:t>LP622</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057F72" w:rsidRDefault="00057F72" w:rsidP="00125D7B">
            <w:pPr>
              <w:spacing w:before="60" w:after="60" w:line="200" w:lineRule="atLeast"/>
              <w:jc w:val="center"/>
              <w:rPr>
                <w:sz w:val="16"/>
                <w:szCs w:val="16"/>
                <w:lang w:val="fr-FR"/>
              </w:rPr>
            </w:pPr>
          </w:p>
        </w:tc>
      </w:tr>
    </w:tbl>
    <w:p w:rsidR="00186A91" w:rsidRPr="00186A91" w:rsidRDefault="00057F72" w:rsidP="00186A91">
      <w:pPr>
        <w:pStyle w:val="SingleTxtG"/>
        <w:rPr>
          <w:lang w:val="fr-FR"/>
        </w:rPr>
      </w:pPr>
      <w:r>
        <w:rPr>
          <w:lang w:val="fr-FR"/>
        </w:rPr>
        <w:t> </w:t>
      </w:r>
      <w:r w:rsidR="00186A91" w:rsidRPr="00186A91">
        <w:rPr>
          <w:lang w:val="fr-FR"/>
        </w:rPr>
        <w:t>».</w:t>
      </w:r>
    </w:p>
    <w:p w:rsidR="00186A91" w:rsidRPr="00186A91" w:rsidRDefault="00186A91" w:rsidP="00186A91">
      <w:pPr>
        <w:pStyle w:val="SingleTxtG"/>
        <w:rPr>
          <w:lang w:val="fr-FR"/>
        </w:rPr>
      </w:pPr>
      <w:r w:rsidRPr="00186A91">
        <w:rPr>
          <w:b/>
          <w:i/>
          <w:lang w:val="fr-FR"/>
        </w:rPr>
        <w:t>Justification </w:t>
      </w:r>
      <w:r w:rsidRPr="005A74FA">
        <w:rPr>
          <w:lang w:val="fr-FR"/>
        </w:rPr>
        <w:t xml:space="preserve">: </w:t>
      </w:r>
      <w:r w:rsidRPr="00186A91">
        <w:rPr>
          <w:lang w:val="fr-FR"/>
        </w:rPr>
        <w:t>La disposition spéciale 318 est supprimée, car le No</w:t>
      </w:r>
      <w:r w:rsidR="005A74FA">
        <w:rPr>
          <w:lang w:val="fr-FR"/>
        </w:rPr>
        <w:t> </w:t>
      </w:r>
      <w:r w:rsidRPr="00186A91">
        <w:rPr>
          <w:lang w:val="fr-FR"/>
        </w:rPr>
        <w:t>ONU</w:t>
      </w:r>
      <w:r w:rsidR="005A74FA">
        <w:rPr>
          <w:lang w:val="fr-FR"/>
        </w:rPr>
        <w:t> </w:t>
      </w:r>
      <w:r w:rsidRPr="00186A91">
        <w:rPr>
          <w:lang w:val="fr-FR"/>
        </w:rPr>
        <w:t>3549 n’est affecté à aucune désignation officielle de transport générique ou «</w:t>
      </w:r>
      <w:r w:rsidR="00057F72">
        <w:rPr>
          <w:lang w:val="fr-FR"/>
        </w:rPr>
        <w:t> </w:t>
      </w:r>
      <w:r w:rsidRPr="00186A91">
        <w:rPr>
          <w:lang w:val="fr-FR"/>
        </w:rPr>
        <w:t>non spécifiée par ailleurs</w:t>
      </w:r>
      <w:r w:rsidR="00057F72">
        <w:rPr>
          <w:lang w:val="fr-FR"/>
        </w:rPr>
        <w:t> </w:t>
      </w:r>
      <w:r w:rsidRPr="00186A91">
        <w:rPr>
          <w:lang w:val="fr-FR"/>
        </w:rPr>
        <w:t>». De plus, le nom technique indiqué dans la documentation n’aurait aucune incidence sur la réaction des premiers intervenants.</w:t>
      </w:r>
    </w:p>
    <w:p w:rsidR="00186A91" w:rsidRPr="00186A91" w:rsidRDefault="00186A91" w:rsidP="00186A91">
      <w:pPr>
        <w:pStyle w:val="SingleTxtG"/>
        <w:rPr>
          <w:lang w:val="fr-FR"/>
        </w:rPr>
      </w:pPr>
      <w:r w:rsidRPr="005A74FA">
        <w:rPr>
          <w:i/>
          <w:lang w:val="fr-FR"/>
        </w:rPr>
        <w:t>(</w:t>
      </w:r>
      <w:r w:rsidRPr="00186A91">
        <w:rPr>
          <w:i/>
          <w:lang w:val="fr-FR"/>
        </w:rPr>
        <w:t>Document de référence : Proposition figurant dans l’annexe II du document ST/SG/AC.10/</w:t>
      </w:r>
      <w:r w:rsidR="005A74FA">
        <w:rPr>
          <w:i/>
          <w:lang w:val="fr-FR"/>
        </w:rPr>
        <w:t xml:space="preserve"> </w:t>
      </w:r>
      <w:r w:rsidRPr="00186A91">
        <w:rPr>
          <w:i/>
          <w:lang w:val="fr-FR"/>
        </w:rPr>
        <w:t>C.3/102/Add.1, telle que modifiée</w:t>
      </w:r>
      <w:r w:rsidRPr="005A74FA">
        <w:rPr>
          <w:i/>
          <w:lang w:val="fr-FR"/>
        </w:rPr>
        <w:t>)</w:t>
      </w:r>
    </w:p>
    <w:p w:rsidR="00186A91" w:rsidRPr="00186A91" w:rsidRDefault="00057F72" w:rsidP="00057F72">
      <w:pPr>
        <w:pStyle w:val="H1G"/>
        <w:rPr>
          <w:lang w:val="fr-FR"/>
        </w:rPr>
      </w:pPr>
      <w:r>
        <w:rPr>
          <w:lang w:val="fr-FR"/>
        </w:rPr>
        <w:tab/>
      </w:r>
      <w:r>
        <w:rPr>
          <w:lang w:val="fr-FR"/>
        </w:rPr>
        <w:tab/>
      </w:r>
      <w:r w:rsidR="00186A91" w:rsidRPr="00186A91">
        <w:rPr>
          <w:lang w:val="fr-FR"/>
        </w:rPr>
        <w:t>Chapitre 3.3</w:t>
      </w:r>
    </w:p>
    <w:p w:rsidR="00186A91" w:rsidRPr="00186A91" w:rsidRDefault="00186A91" w:rsidP="00186A91">
      <w:pPr>
        <w:pStyle w:val="SingleTxtG"/>
        <w:rPr>
          <w:lang w:val="fr-FR"/>
        </w:rPr>
      </w:pPr>
      <w:r w:rsidRPr="00186A91">
        <w:rPr>
          <w:lang w:val="fr-FR"/>
        </w:rPr>
        <w:t>Ajouter une nouvelle disposition spéciale «</w:t>
      </w:r>
      <w:r w:rsidR="00057F72">
        <w:rPr>
          <w:lang w:val="fr-FR"/>
        </w:rPr>
        <w:t> </w:t>
      </w:r>
      <w:r w:rsidRPr="00186A91">
        <w:rPr>
          <w:lang w:val="fr-FR"/>
        </w:rPr>
        <w:t>XXX</w:t>
      </w:r>
      <w:r w:rsidR="00057F72">
        <w:rPr>
          <w:lang w:val="fr-FR"/>
        </w:rPr>
        <w:t> </w:t>
      </w:r>
      <w:r w:rsidRPr="00186A91">
        <w:rPr>
          <w:lang w:val="fr-FR"/>
        </w:rPr>
        <w:t>» (applicable uniquement au No</w:t>
      </w:r>
      <w:r w:rsidR="00057F72">
        <w:rPr>
          <w:lang w:val="fr-FR"/>
        </w:rPr>
        <w:t> </w:t>
      </w:r>
      <w:r w:rsidRPr="00186A91">
        <w:rPr>
          <w:lang w:val="fr-FR"/>
        </w:rPr>
        <w:t>ONU</w:t>
      </w:r>
      <w:r w:rsidR="00057F72">
        <w:rPr>
          <w:lang w:val="fr-FR"/>
        </w:rPr>
        <w:t> </w:t>
      </w:r>
      <w:r w:rsidRPr="00186A91">
        <w:rPr>
          <w:lang w:val="fr-FR"/>
        </w:rPr>
        <w:t>3549) libellée comme suit :</w:t>
      </w:r>
    </w:p>
    <w:p w:rsidR="00186A91" w:rsidRPr="00186A91" w:rsidRDefault="00186A91" w:rsidP="00057F72">
      <w:pPr>
        <w:pStyle w:val="SingleTxtG"/>
        <w:ind w:left="2268" w:hanging="1134"/>
        <w:rPr>
          <w:lang w:val="fr-FR"/>
        </w:rPr>
      </w:pPr>
      <w:r w:rsidRPr="00057F72">
        <w:rPr>
          <w:lang w:val="fr-FR"/>
        </w:rPr>
        <w:t>«</w:t>
      </w:r>
      <w:r w:rsidR="00057F72" w:rsidRPr="00057F72">
        <w:rPr>
          <w:lang w:val="fr-FR"/>
        </w:rPr>
        <w:t> </w:t>
      </w:r>
      <w:r w:rsidRPr="00186A91">
        <w:rPr>
          <w:u w:val="single"/>
          <w:lang w:val="fr-FR"/>
        </w:rPr>
        <w:t>XXX</w:t>
      </w:r>
      <w:r w:rsidRPr="00186A91">
        <w:rPr>
          <w:u w:val="single"/>
          <w:lang w:val="fr-FR"/>
        </w:rPr>
        <w:tab/>
        <w:t>Cette rubrique ne doit être utilisée que pour les déchets médicaux solides de la catégorie A transportés en vue de leur élimination.</w:t>
      </w:r>
      <w:r w:rsidR="00057F72" w:rsidRPr="00057F72">
        <w:rPr>
          <w:lang w:val="fr-FR"/>
        </w:rPr>
        <w:t> </w:t>
      </w:r>
      <w:r w:rsidRPr="00057F72">
        <w:rPr>
          <w:lang w:val="fr-FR"/>
        </w:rPr>
        <w:t>».</w:t>
      </w:r>
    </w:p>
    <w:p w:rsidR="00186A91" w:rsidRPr="00186A91" w:rsidRDefault="00057F72" w:rsidP="00057F72">
      <w:pPr>
        <w:pStyle w:val="H1G"/>
        <w:rPr>
          <w:lang w:val="fr-FR"/>
        </w:rPr>
      </w:pPr>
      <w:r>
        <w:rPr>
          <w:lang w:val="fr-FR"/>
        </w:rPr>
        <w:tab/>
      </w:r>
      <w:r>
        <w:rPr>
          <w:lang w:val="fr-FR"/>
        </w:rPr>
        <w:tab/>
      </w:r>
      <w:r w:rsidR="00186A91" w:rsidRPr="00186A91">
        <w:rPr>
          <w:lang w:val="fr-FR"/>
        </w:rPr>
        <w:t>Appendices</w:t>
      </w:r>
    </w:p>
    <w:p w:rsidR="00186A91" w:rsidRPr="00186A91" w:rsidRDefault="00186A91" w:rsidP="00186A91">
      <w:pPr>
        <w:pStyle w:val="SingleTxtG"/>
        <w:rPr>
          <w:u w:val="single"/>
          <w:lang w:val="fr-FR"/>
        </w:rPr>
      </w:pPr>
      <w:r w:rsidRPr="00186A91">
        <w:rPr>
          <w:lang w:val="fr-FR"/>
        </w:rPr>
        <w:t>Dans le tableau, pour la Division 6.2, sous «</w:t>
      </w:r>
      <w:r w:rsidR="00125D7B">
        <w:rPr>
          <w:lang w:val="fr-FR"/>
        </w:rPr>
        <w:t> </w:t>
      </w:r>
      <w:r w:rsidRPr="00186A91">
        <w:rPr>
          <w:lang w:val="fr-FR"/>
        </w:rPr>
        <w:t>Rubriques spécifiques</w:t>
      </w:r>
      <w:r w:rsidR="00125D7B">
        <w:rPr>
          <w:lang w:val="fr-FR"/>
        </w:rPr>
        <w:t> </w:t>
      </w:r>
      <w:r w:rsidRPr="00186A91">
        <w:rPr>
          <w:lang w:val="fr-FR"/>
        </w:rPr>
        <w:t>», ajouter les nouvelles rubriques suivantes : </w:t>
      </w:r>
    </w:p>
    <w:p w:rsidR="00186A91" w:rsidRDefault="00186A91" w:rsidP="00186A91">
      <w:pPr>
        <w:pStyle w:val="SingleTxtG"/>
        <w:rPr>
          <w:lang w:val="fr-FR"/>
        </w:rPr>
      </w:pPr>
      <w:r w:rsidRPr="00186A91">
        <w:rPr>
          <w:lang w:val="fr-FR"/>
        </w:rPr>
        <w:t>«</w:t>
      </w:r>
      <w:r w:rsidR="00125D7B">
        <w:rPr>
          <w:lang w:val="fr-FR"/>
        </w:rPr>
        <w:t>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959"/>
        <w:gridCol w:w="1134"/>
        <w:gridCol w:w="4251"/>
      </w:tblGrid>
      <w:tr w:rsidR="00186A91" w:rsidRPr="00994B21" w:rsidTr="001D7D03">
        <w:tc>
          <w:tcPr>
            <w:tcW w:w="1026" w:type="dxa"/>
            <w:tcBorders>
              <w:top w:val="single" w:sz="4" w:space="0" w:color="auto"/>
              <w:left w:val="single" w:sz="4" w:space="0" w:color="auto"/>
              <w:bottom w:val="single" w:sz="4" w:space="0" w:color="auto"/>
              <w:right w:val="single" w:sz="4" w:space="0" w:color="auto"/>
            </w:tcBorders>
            <w:shd w:val="clear" w:color="auto" w:fill="auto"/>
          </w:tcPr>
          <w:p w:rsidR="00186A91" w:rsidRPr="00994B21" w:rsidRDefault="00186A91" w:rsidP="00125D7B">
            <w:pPr>
              <w:suppressAutoHyphens w:val="0"/>
              <w:spacing w:before="60" w:after="60" w:line="240" w:lineRule="auto"/>
              <w:ind w:left="28" w:right="28"/>
              <w:jc w:val="center"/>
              <w:rPr>
                <w:sz w:val="18"/>
                <w:szCs w:val="18"/>
                <w:lang w:val="fr-FR"/>
              </w:rPr>
            </w:pPr>
            <w:r w:rsidRPr="00994B21">
              <w:rPr>
                <w:sz w:val="18"/>
                <w:szCs w:val="18"/>
                <w:lang w:val="fr-FR"/>
              </w:rPr>
              <w:t>6.2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186A91" w:rsidRPr="00994B21" w:rsidRDefault="00186A91" w:rsidP="00125D7B">
            <w:pPr>
              <w:suppressAutoHyphens w:val="0"/>
              <w:spacing w:before="60" w:after="60" w:line="240" w:lineRule="auto"/>
              <w:ind w:left="28" w:right="28"/>
              <w:jc w:val="center"/>
              <w:rPr>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A91" w:rsidRPr="00994B21" w:rsidRDefault="00186A91" w:rsidP="00125D7B">
            <w:pPr>
              <w:suppressAutoHyphens w:val="0"/>
              <w:spacing w:before="60" w:after="60" w:line="240" w:lineRule="auto"/>
              <w:ind w:left="28" w:right="28"/>
              <w:jc w:val="center"/>
              <w:rPr>
                <w:sz w:val="18"/>
                <w:szCs w:val="18"/>
                <w:lang w:val="fr-FR"/>
              </w:rPr>
            </w:pPr>
            <w:r w:rsidRPr="00994B21">
              <w:rPr>
                <w:sz w:val="18"/>
                <w:szCs w:val="18"/>
                <w:lang w:val="fr-FR"/>
              </w:rPr>
              <w:t>3549</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bottom"/>
          </w:tcPr>
          <w:p w:rsidR="00186A91" w:rsidRPr="00994B21" w:rsidRDefault="00186A91" w:rsidP="00125D7B">
            <w:pPr>
              <w:suppressAutoHyphens w:val="0"/>
              <w:spacing w:before="60" w:after="60" w:line="240" w:lineRule="auto"/>
              <w:ind w:left="28" w:right="28"/>
              <w:rPr>
                <w:sz w:val="18"/>
                <w:szCs w:val="18"/>
                <w:lang w:val="fr-FR"/>
              </w:rPr>
            </w:pPr>
            <w:r w:rsidRPr="00994B21">
              <w:rPr>
                <w:caps/>
                <w:sz w:val="18"/>
                <w:szCs w:val="18"/>
                <w:lang w:val="fr-FR"/>
              </w:rPr>
              <w:t>Déchets médicaux infectieux pour l’homme, catégorie A,</w:t>
            </w:r>
            <w:r w:rsidRPr="00994B21">
              <w:rPr>
                <w:sz w:val="18"/>
                <w:szCs w:val="18"/>
                <w:lang w:val="fr-FR"/>
              </w:rPr>
              <w:t xml:space="preserve"> solides</w:t>
            </w:r>
          </w:p>
        </w:tc>
      </w:tr>
      <w:tr w:rsidR="00186A91" w:rsidRPr="00994B21" w:rsidTr="001D7D03">
        <w:tc>
          <w:tcPr>
            <w:tcW w:w="1026" w:type="dxa"/>
            <w:tcBorders>
              <w:top w:val="single" w:sz="4" w:space="0" w:color="auto"/>
              <w:left w:val="single" w:sz="4" w:space="0" w:color="auto"/>
              <w:bottom w:val="single" w:sz="4" w:space="0" w:color="auto"/>
              <w:right w:val="single" w:sz="4" w:space="0" w:color="auto"/>
            </w:tcBorders>
            <w:shd w:val="clear" w:color="auto" w:fill="auto"/>
          </w:tcPr>
          <w:p w:rsidR="00186A91" w:rsidRPr="00994B21" w:rsidRDefault="00186A91" w:rsidP="00125D7B">
            <w:pPr>
              <w:suppressAutoHyphens w:val="0"/>
              <w:spacing w:before="60" w:after="60" w:line="240" w:lineRule="auto"/>
              <w:ind w:left="28" w:right="28"/>
              <w:jc w:val="center"/>
              <w:rPr>
                <w:sz w:val="18"/>
                <w:szCs w:val="18"/>
                <w:lang w:val="fr-FR"/>
              </w:rPr>
            </w:pPr>
            <w:r w:rsidRPr="00994B21">
              <w:rPr>
                <w:sz w:val="18"/>
                <w:szCs w:val="18"/>
                <w:lang w:val="fr-FR"/>
              </w:rPr>
              <w:t>6.2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186A91" w:rsidRPr="00994B21" w:rsidRDefault="00186A91" w:rsidP="00125D7B">
            <w:pPr>
              <w:suppressAutoHyphens w:val="0"/>
              <w:spacing w:before="60" w:after="60" w:line="240" w:lineRule="auto"/>
              <w:ind w:left="28" w:right="28"/>
              <w:jc w:val="center"/>
              <w:rPr>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A91" w:rsidRPr="00994B21" w:rsidRDefault="00186A91" w:rsidP="00125D7B">
            <w:pPr>
              <w:suppressAutoHyphens w:val="0"/>
              <w:spacing w:before="60" w:after="60" w:line="240" w:lineRule="auto"/>
              <w:ind w:left="28" w:right="28"/>
              <w:jc w:val="center"/>
              <w:rPr>
                <w:sz w:val="18"/>
                <w:szCs w:val="18"/>
                <w:lang w:val="fr-FR"/>
              </w:rPr>
            </w:pPr>
            <w:r w:rsidRPr="00994B21">
              <w:rPr>
                <w:sz w:val="18"/>
                <w:szCs w:val="18"/>
                <w:lang w:val="fr-FR"/>
              </w:rPr>
              <w:t>3549</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bottom"/>
          </w:tcPr>
          <w:p w:rsidR="00186A91" w:rsidRPr="00994B21" w:rsidRDefault="00186A91" w:rsidP="00125D7B">
            <w:pPr>
              <w:suppressAutoHyphens w:val="0"/>
              <w:spacing w:before="60" w:after="60" w:line="240" w:lineRule="auto"/>
              <w:ind w:left="28" w:right="28"/>
              <w:rPr>
                <w:sz w:val="18"/>
                <w:szCs w:val="18"/>
                <w:lang w:val="fr-FR"/>
              </w:rPr>
            </w:pPr>
            <w:r w:rsidRPr="00994B21">
              <w:rPr>
                <w:caps/>
                <w:sz w:val="18"/>
                <w:szCs w:val="18"/>
                <w:lang w:val="fr-FR"/>
              </w:rPr>
              <w:t>Déchets médicaux infectieux pour les animaux</w:t>
            </w:r>
            <w:r w:rsidRPr="00994B21">
              <w:rPr>
                <w:sz w:val="18"/>
                <w:szCs w:val="18"/>
                <w:lang w:val="fr-FR"/>
              </w:rPr>
              <w:t xml:space="preserve"> uniquement, </w:t>
            </w:r>
            <w:r w:rsidRPr="00994B21">
              <w:rPr>
                <w:caps/>
                <w:sz w:val="18"/>
                <w:szCs w:val="18"/>
                <w:lang w:val="fr-FR"/>
              </w:rPr>
              <w:t>catégorie A</w:t>
            </w:r>
            <w:r w:rsidRPr="00994B21">
              <w:rPr>
                <w:sz w:val="18"/>
                <w:szCs w:val="18"/>
                <w:lang w:val="fr-FR"/>
              </w:rPr>
              <w:t>, solides</w:t>
            </w:r>
          </w:p>
        </w:tc>
      </w:tr>
    </w:tbl>
    <w:p w:rsidR="00186A91" w:rsidRPr="00186A91" w:rsidRDefault="00125D7B" w:rsidP="00186A91">
      <w:pPr>
        <w:pStyle w:val="SingleTxtG"/>
        <w:rPr>
          <w:lang w:val="fr-FR"/>
        </w:rPr>
      </w:pPr>
      <w:r>
        <w:rPr>
          <w:lang w:val="fr-FR"/>
        </w:rPr>
        <w:t> </w:t>
      </w:r>
      <w:r w:rsidR="00186A91" w:rsidRPr="00186A91">
        <w:rPr>
          <w:lang w:val="fr-FR"/>
        </w:rPr>
        <w:t>».</w:t>
      </w:r>
    </w:p>
    <w:p w:rsidR="00186A91" w:rsidRPr="00186A91" w:rsidRDefault="00186A91" w:rsidP="00186A91">
      <w:pPr>
        <w:pStyle w:val="SingleTxtG"/>
        <w:rPr>
          <w:lang w:val="fr-FR"/>
        </w:rPr>
      </w:pPr>
      <w:r w:rsidRPr="00186A91">
        <w:rPr>
          <w:i/>
          <w:lang w:val="fr-FR"/>
        </w:rPr>
        <w:t>(Document de référence : Proposition figurant dans l’annexe II du document ST/SG/AC.10/</w:t>
      </w:r>
      <w:r w:rsidR="005A74FA">
        <w:rPr>
          <w:i/>
          <w:lang w:val="fr-FR"/>
        </w:rPr>
        <w:t xml:space="preserve"> </w:t>
      </w:r>
      <w:r w:rsidRPr="00186A91">
        <w:rPr>
          <w:i/>
          <w:lang w:val="fr-FR"/>
        </w:rPr>
        <w:t>C.3/102/Add.1, non modifiée</w:t>
      </w:r>
      <w:r w:rsidR="00125D7B" w:rsidRPr="005A74FA">
        <w:rPr>
          <w:i/>
          <w:lang w:val="fr-FR"/>
        </w:rPr>
        <w:t>)</w:t>
      </w:r>
    </w:p>
    <w:p w:rsidR="00186A91" w:rsidRPr="00186A91" w:rsidRDefault="00125D7B" w:rsidP="00125D7B">
      <w:pPr>
        <w:pStyle w:val="H1G"/>
        <w:rPr>
          <w:lang w:val="fr-FR"/>
        </w:rPr>
      </w:pPr>
      <w:r>
        <w:rPr>
          <w:lang w:val="fr-FR"/>
        </w:rPr>
        <w:lastRenderedPageBreak/>
        <w:tab/>
      </w:r>
      <w:r>
        <w:rPr>
          <w:lang w:val="fr-FR"/>
        </w:rPr>
        <w:tab/>
      </w:r>
      <w:r w:rsidR="00186A91" w:rsidRPr="00186A91">
        <w:rPr>
          <w:lang w:val="fr-FR"/>
        </w:rPr>
        <w:t>Index alphabétique</w:t>
      </w:r>
    </w:p>
    <w:p w:rsidR="00186A91" w:rsidRPr="00186A91" w:rsidRDefault="00186A91" w:rsidP="00125D7B">
      <w:pPr>
        <w:pStyle w:val="SingleTxtG"/>
        <w:keepNext/>
        <w:rPr>
          <w:lang w:val="fr-FR"/>
        </w:rPr>
      </w:pPr>
      <w:r w:rsidRPr="00186A91">
        <w:rPr>
          <w:lang w:val="fr-FR"/>
        </w:rPr>
        <w:t>Ajouter les nouvelles rubriques suivantes dans l’ordre alphabétique :</w:t>
      </w:r>
    </w:p>
    <w:p w:rsidR="00186A91" w:rsidRDefault="00186A91" w:rsidP="00125D7B">
      <w:pPr>
        <w:pStyle w:val="SingleTxtG"/>
        <w:keepNext/>
        <w:rPr>
          <w:lang w:val="fr-FR"/>
        </w:rPr>
      </w:pPr>
      <w:r w:rsidRPr="00186A91">
        <w:rPr>
          <w:lang w:val="fr-FR"/>
        </w:rPr>
        <w:t>« </w:t>
      </w:r>
    </w:p>
    <w:tbl>
      <w:tblPr>
        <w:tblStyle w:val="TableGrid"/>
        <w:tblW w:w="7370" w:type="dxa"/>
        <w:tblInd w:w="1134" w:type="dxa"/>
        <w:tblLayout w:type="fixed"/>
        <w:tblLook w:val="04A0" w:firstRow="1" w:lastRow="0" w:firstColumn="1" w:lastColumn="0" w:noHBand="0" w:noVBand="1"/>
      </w:tblPr>
      <w:tblGrid>
        <w:gridCol w:w="5245"/>
        <w:gridCol w:w="992"/>
        <w:gridCol w:w="1133"/>
      </w:tblGrid>
      <w:tr w:rsidR="00186A91" w:rsidRPr="00994B21" w:rsidTr="00125D7B">
        <w:tc>
          <w:tcPr>
            <w:tcW w:w="5245" w:type="dxa"/>
            <w:tcBorders>
              <w:bottom w:val="single" w:sz="4" w:space="0" w:color="auto"/>
              <w:right w:val="single" w:sz="4" w:space="0" w:color="auto"/>
            </w:tcBorders>
            <w:shd w:val="clear" w:color="auto" w:fill="auto"/>
          </w:tcPr>
          <w:p w:rsidR="00186A91" w:rsidRPr="00994B21" w:rsidRDefault="00186A91" w:rsidP="00125D7B">
            <w:pPr>
              <w:keepNext/>
              <w:suppressAutoHyphens w:val="0"/>
              <w:spacing w:before="60" w:after="60" w:line="240" w:lineRule="auto"/>
              <w:ind w:left="28" w:right="28"/>
              <w:rPr>
                <w:b/>
                <w:sz w:val="18"/>
                <w:szCs w:val="18"/>
                <w:lang w:val="fr-FR"/>
              </w:rPr>
            </w:pPr>
            <w:r w:rsidRPr="00994B21">
              <w:rPr>
                <w:caps/>
                <w:sz w:val="18"/>
                <w:szCs w:val="18"/>
                <w:lang w:val="fr-FR"/>
              </w:rPr>
              <w:t>Déchets médicaux infectieux pour l’homme, catégorie A,</w:t>
            </w:r>
            <w:r w:rsidRPr="00994B21">
              <w:rPr>
                <w:sz w:val="18"/>
                <w:szCs w:val="18"/>
                <w:lang w:val="fr-FR"/>
              </w:rPr>
              <w:t xml:space="preserve"> solides</w:t>
            </w:r>
          </w:p>
        </w:tc>
        <w:tc>
          <w:tcPr>
            <w:tcW w:w="992" w:type="dxa"/>
            <w:tcBorders>
              <w:left w:val="single" w:sz="4" w:space="0" w:color="auto"/>
              <w:bottom w:val="single" w:sz="4" w:space="0" w:color="auto"/>
              <w:right w:val="single" w:sz="4" w:space="0" w:color="auto"/>
            </w:tcBorders>
            <w:shd w:val="clear" w:color="auto" w:fill="auto"/>
            <w:vAlign w:val="bottom"/>
          </w:tcPr>
          <w:p w:rsidR="00186A91" w:rsidRPr="00994B21" w:rsidRDefault="00186A91" w:rsidP="00125D7B">
            <w:pPr>
              <w:keepNext/>
              <w:suppressAutoHyphens w:val="0"/>
              <w:spacing w:before="60" w:after="60" w:line="240" w:lineRule="auto"/>
              <w:ind w:left="28" w:right="28"/>
              <w:jc w:val="right"/>
              <w:rPr>
                <w:sz w:val="18"/>
                <w:szCs w:val="18"/>
                <w:lang w:val="fr-FR"/>
              </w:rPr>
            </w:pPr>
            <w:r w:rsidRPr="00994B21">
              <w:rPr>
                <w:sz w:val="18"/>
                <w:szCs w:val="18"/>
                <w:lang w:val="fr-FR"/>
              </w:rPr>
              <w:t>6.2</w:t>
            </w:r>
          </w:p>
        </w:tc>
        <w:tc>
          <w:tcPr>
            <w:tcW w:w="1133" w:type="dxa"/>
            <w:tcBorders>
              <w:left w:val="single" w:sz="4" w:space="0" w:color="auto"/>
              <w:bottom w:val="single" w:sz="4" w:space="0" w:color="auto"/>
            </w:tcBorders>
            <w:shd w:val="clear" w:color="auto" w:fill="auto"/>
            <w:vAlign w:val="bottom"/>
          </w:tcPr>
          <w:p w:rsidR="00186A91" w:rsidRPr="00994B21" w:rsidRDefault="00186A91" w:rsidP="00125D7B">
            <w:pPr>
              <w:keepNext/>
              <w:suppressAutoHyphens w:val="0"/>
              <w:spacing w:before="60" w:after="60" w:line="240" w:lineRule="auto"/>
              <w:ind w:left="28" w:right="28"/>
              <w:jc w:val="right"/>
              <w:rPr>
                <w:sz w:val="18"/>
                <w:szCs w:val="18"/>
                <w:lang w:val="fr-FR"/>
              </w:rPr>
            </w:pPr>
            <w:r w:rsidRPr="00994B21">
              <w:rPr>
                <w:sz w:val="18"/>
                <w:szCs w:val="18"/>
                <w:lang w:val="fr-FR"/>
              </w:rPr>
              <w:t>3549</w:t>
            </w:r>
          </w:p>
        </w:tc>
      </w:tr>
      <w:tr w:rsidR="00186A91" w:rsidRPr="00994B21" w:rsidTr="00125D7B">
        <w:tc>
          <w:tcPr>
            <w:tcW w:w="5245" w:type="dxa"/>
            <w:tcBorders>
              <w:top w:val="single" w:sz="4" w:space="0" w:color="auto"/>
              <w:right w:val="single" w:sz="4" w:space="0" w:color="auto"/>
            </w:tcBorders>
            <w:shd w:val="clear" w:color="auto" w:fill="auto"/>
          </w:tcPr>
          <w:p w:rsidR="00186A91" w:rsidRPr="00994B21" w:rsidRDefault="00186A91" w:rsidP="00125D7B">
            <w:pPr>
              <w:suppressAutoHyphens w:val="0"/>
              <w:spacing w:before="60" w:after="60" w:line="240" w:lineRule="auto"/>
              <w:ind w:left="28" w:right="28"/>
              <w:rPr>
                <w:b/>
                <w:sz w:val="18"/>
                <w:szCs w:val="18"/>
                <w:lang w:val="fr-FR"/>
              </w:rPr>
            </w:pPr>
            <w:r w:rsidRPr="009C7207">
              <w:rPr>
                <w:caps/>
                <w:sz w:val="18"/>
                <w:szCs w:val="18"/>
                <w:lang w:val="fr-FR"/>
              </w:rPr>
              <w:t>Déchets médicaux infectieux pour les animaux</w:t>
            </w:r>
            <w:r w:rsidRPr="00994B21">
              <w:rPr>
                <w:sz w:val="18"/>
                <w:szCs w:val="18"/>
                <w:lang w:val="fr-FR"/>
              </w:rPr>
              <w:t xml:space="preserve"> uniquement, </w:t>
            </w:r>
            <w:r w:rsidRPr="009C7207">
              <w:rPr>
                <w:caps/>
                <w:sz w:val="18"/>
                <w:szCs w:val="18"/>
                <w:lang w:val="fr-FR"/>
              </w:rPr>
              <w:t>catégorie A</w:t>
            </w:r>
            <w:r w:rsidRPr="00994B21">
              <w:rPr>
                <w:sz w:val="18"/>
                <w:szCs w:val="18"/>
                <w:lang w:val="fr-FR"/>
              </w:rPr>
              <w:t>, solides</w:t>
            </w:r>
          </w:p>
        </w:tc>
        <w:tc>
          <w:tcPr>
            <w:tcW w:w="992" w:type="dxa"/>
            <w:tcBorders>
              <w:top w:val="single" w:sz="4" w:space="0" w:color="auto"/>
              <w:left w:val="single" w:sz="4" w:space="0" w:color="auto"/>
              <w:right w:val="single" w:sz="4" w:space="0" w:color="auto"/>
            </w:tcBorders>
            <w:shd w:val="clear" w:color="auto" w:fill="auto"/>
            <w:vAlign w:val="bottom"/>
          </w:tcPr>
          <w:p w:rsidR="00186A91" w:rsidRPr="00994B21" w:rsidRDefault="00186A91" w:rsidP="00125D7B">
            <w:pPr>
              <w:suppressAutoHyphens w:val="0"/>
              <w:spacing w:before="60" w:after="60" w:line="240" w:lineRule="auto"/>
              <w:ind w:left="28" w:right="28"/>
              <w:jc w:val="right"/>
              <w:rPr>
                <w:sz w:val="18"/>
                <w:szCs w:val="18"/>
                <w:lang w:val="fr-FR"/>
              </w:rPr>
            </w:pPr>
            <w:r w:rsidRPr="00994B21">
              <w:rPr>
                <w:sz w:val="18"/>
                <w:szCs w:val="18"/>
                <w:lang w:val="fr-FR"/>
              </w:rPr>
              <w:t>6.2</w:t>
            </w:r>
          </w:p>
        </w:tc>
        <w:tc>
          <w:tcPr>
            <w:tcW w:w="1133" w:type="dxa"/>
            <w:tcBorders>
              <w:top w:val="single" w:sz="4" w:space="0" w:color="auto"/>
              <w:left w:val="single" w:sz="4" w:space="0" w:color="auto"/>
            </w:tcBorders>
            <w:shd w:val="clear" w:color="auto" w:fill="auto"/>
            <w:vAlign w:val="bottom"/>
          </w:tcPr>
          <w:p w:rsidR="00186A91" w:rsidRPr="00994B21" w:rsidRDefault="00186A91" w:rsidP="00125D7B">
            <w:pPr>
              <w:suppressAutoHyphens w:val="0"/>
              <w:spacing w:before="60" w:after="60" w:line="240" w:lineRule="auto"/>
              <w:ind w:left="28" w:right="28"/>
              <w:jc w:val="right"/>
              <w:rPr>
                <w:sz w:val="18"/>
                <w:szCs w:val="18"/>
                <w:lang w:val="fr-FR"/>
              </w:rPr>
            </w:pPr>
            <w:r w:rsidRPr="00994B21">
              <w:rPr>
                <w:sz w:val="18"/>
                <w:szCs w:val="18"/>
                <w:lang w:val="fr-FR"/>
              </w:rPr>
              <w:t>3549</w:t>
            </w:r>
          </w:p>
        </w:tc>
      </w:tr>
    </w:tbl>
    <w:p w:rsidR="00125D7B" w:rsidRPr="00125D7B" w:rsidRDefault="00125D7B" w:rsidP="00186A91">
      <w:pPr>
        <w:pStyle w:val="SingleTxtG"/>
        <w:rPr>
          <w:lang w:val="fr-FR"/>
        </w:rPr>
      </w:pPr>
      <w:r w:rsidRPr="00125D7B">
        <w:rPr>
          <w:lang w:val="fr-FR"/>
        </w:rPr>
        <w:t> »</w:t>
      </w:r>
      <w:r>
        <w:rPr>
          <w:lang w:val="fr-FR"/>
        </w:rPr>
        <w:t>.</w:t>
      </w:r>
    </w:p>
    <w:p w:rsidR="00186A91" w:rsidRPr="00186A91" w:rsidRDefault="00186A91" w:rsidP="00186A91">
      <w:pPr>
        <w:pStyle w:val="SingleTxtG"/>
        <w:rPr>
          <w:i/>
          <w:lang w:val="fr-FR"/>
        </w:rPr>
      </w:pPr>
      <w:r w:rsidRPr="00186A91">
        <w:rPr>
          <w:i/>
          <w:lang w:val="fr-FR"/>
        </w:rPr>
        <w:t>(Document de référence : Proposition figura</w:t>
      </w:r>
      <w:r w:rsidR="005A74FA">
        <w:rPr>
          <w:i/>
          <w:lang w:val="fr-FR"/>
        </w:rPr>
        <w:t xml:space="preserve">nt dans l’annexe II du document </w:t>
      </w:r>
      <w:r w:rsidRPr="00186A91">
        <w:rPr>
          <w:i/>
          <w:lang w:val="fr-FR"/>
        </w:rPr>
        <w:t>ST/SG/AC.10/</w:t>
      </w:r>
      <w:r w:rsidR="005A74FA">
        <w:rPr>
          <w:i/>
          <w:lang w:val="fr-FR"/>
        </w:rPr>
        <w:t xml:space="preserve"> </w:t>
      </w:r>
      <w:r w:rsidRPr="00186A91">
        <w:rPr>
          <w:i/>
          <w:lang w:val="fr-FR"/>
        </w:rPr>
        <w:t>C.3/102/Add.1, non modifiée)</w:t>
      </w:r>
    </w:p>
    <w:p w:rsidR="00186A91" w:rsidRPr="00186A91" w:rsidRDefault="00125D7B" w:rsidP="00125D7B">
      <w:pPr>
        <w:pStyle w:val="H1G"/>
        <w:rPr>
          <w:lang w:val="fr-FR"/>
        </w:rPr>
      </w:pPr>
      <w:r>
        <w:rPr>
          <w:lang w:val="fr-FR"/>
        </w:rPr>
        <w:tab/>
      </w:r>
      <w:r>
        <w:rPr>
          <w:lang w:val="fr-FR"/>
        </w:rPr>
        <w:tab/>
      </w:r>
      <w:r w:rsidR="00186A91" w:rsidRPr="00186A91">
        <w:rPr>
          <w:lang w:val="fr-FR"/>
        </w:rPr>
        <w:t>Chapitre 4.1</w:t>
      </w:r>
    </w:p>
    <w:p w:rsidR="00186A91" w:rsidRPr="00186A91" w:rsidRDefault="00186A91" w:rsidP="005A74FA">
      <w:pPr>
        <w:pStyle w:val="SingleTxtG"/>
        <w:tabs>
          <w:tab w:val="left" w:pos="2268"/>
        </w:tabs>
        <w:rPr>
          <w:lang w:val="fr-FR"/>
        </w:rPr>
      </w:pPr>
      <w:r w:rsidRPr="00186A91">
        <w:rPr>
          <w:lang w:val="fr-FR"/>
        </w:rPr>
        <w:t>4.1.1</w:t>
      </w:r>
      <w:r w:rsidRPr="00186A91">
        <w:rPr>
          <w:lang w:val="fr-FR"/>
        </w:rPr>
        <w:tab/>
      </w:r>
      <w:r w:rsidRPr="00125D7B">
        <w:rPr>
          <w:lang w:val="fr-FR"/>
        </w:rPr>
        <w:t>D</w:t>
      </w:r>
      <w:r w:rsidRPr="00186A91">
        <w:rPr>
          <w:lang w:val="fr-FR"/>
        </w:rPr>
        <w:t>ans la note, remplacer «</w:t>
      </w:r>
      <w:r w:rsidR="00125D7B">
        <w:rPr>
          <w:lang w:val="fr-FR"/>
        </w:rPr>
        <w:t> </w:t>
      </w:r>
      <w:r w:rsidRPr="00186A91">
        <w:rPr>
          <w:lang w:val="fr-FR"/>
        </w:rPr>
        <w:t>dans les conditions indiquées aux 4.1.8.2 (division</w:t>
      </w:r>
      <w:r w:rsidR="005A74FA">
        <w:rPr>
          <w:lang w:val="fr-FR"/>
        </w:rPr>
        <w:t> </w:t>
      </w:r>
      <w:r w:rsidRPr="00186A91">
        <w:rPr>
          <w:lang w:val="fr-FR"/>
        </w:rPr>
        <w:t>6.2)</w:t>
      </w:r>
      <w:r w:rsidR="00125D7B">
        <w:rPr>
          <w:lang w:val="fr-FR"/>
        </w:rPr>
        <w:t> </w:t>
      </w:r>
      <w:r w:rsidRPr="00186A91">
        <w:rPr>
          <w:lang w:val="fr-FR"/>
        </w:rPr>
        <w:t>» par «</w:t>
      </w:r>
      <w:r w:rsidR="00125D7B">
        <w:rPr>
          <w:lang w:val="fr-FR"/>
        </w:rPr>
        <w:t> </w:t>
      </w:r>
      <w:r w:rsidRPr="00186A91">
        <w:rPr>
          <w:lang w:val="fr-FR"/>
        </w:rPr>
        <w:t>dans les conditions indiquées dans (division 6.2, Nos ONU 2814 et 2900)</w:t>
      </w:r>
      <w:r w:rsidR="00125D7B">
        <w:rPr>
          <w:lang w:val="fr-FR"/>
        </w:rPr>
        <w:t> </w:t>
      </w:r>
      <w:r w:rsidRPr="00186A91">
        <w:rPr>
          <w:lang w:val="fr-FR"/>
        </w:rPr>
        <w:t>». Modifier la fin de la phrase comme suit : «</w:t>
      </w:r>
      <w:r w:rsidR="00125D7B">
        <w:rPr>
          <w:lang w:val="fr-FR"/>
        </w:rPr>
        <w:t> </w:t>
      </w:r>
      <w:r w:rsidRPr="00186A91">
        <w:rPr>
          <w:lang w:val="fr-FR"/>
        </w:rPr>
        <w:t>(P201 et LP02 pour la classe 2 et P620, P621, P622, IBC620, LP621 et LP622 pour la division 6.2).</w:t>
      </w:r>
      <w:r w:rsidR="00125D7B">
        <w:rPr>
          <w:lang w:val="fr-FR"/>
        </w:rPr>
        <w:t> </w:t>
      </w:r>
      <w:r w:rsidRPr="00186A91">
        <w:rPr>
          <w:lang w:val="fr-FR"/>
        </w:rPr>
        <w:t>».</w:t>
      </w:r>
    </w:p>
    <w:p w:rsidR="00186A91" w:rsidRPr="00186A91" w:rsidRDefault="00186A91" w:rsidP="00186A91">
      <w:pPr>
        <w:pStyle w:val="SingleTxtG"/>
        <w:rPr>
          <w:i/>
          <w:lang w:val="fr-FR"/>
        </w:rPr>
      </w:pPr>
      <w:r w:rsidRPr="005A74FA">
        <w:rPr>
          <w:i/>
          <w:lang w:val="fr-FR"/>
        </w:rPr>
        <w:t>(</w:t>
      </w:r>
      <w:r w:rsidRPr="00186A91">
        <w:rPr>
          <w:i/>
          <w:lang w:val="fr-FR"/>
        </w:rPr>
        <w:t>Document de référence : Proposition figurant dans l’annexe II du document ST/SG/AC.10/</w:t>
      </w:r>
      <w:r w:rsidR="005A74FA">
        <w:rPr>
          <w:i/>
          <w:lang w:val="fr-FR"/>
        </w:rPr>
        <w:t xml:space="preserve"> </w:t>
      </w:r>
      <w:r w:rsidRPr="00186A91">
        <w:rPr>
          <w:i/>
          <w:lang w:val="fr-FR"/>
        </w:rPr>
        <w:t>C.3/102/Add.1, non modifiée)</w:t>
      </w:r>
    </w:p>
    <w:p w:rsidR="00186A91" w:rsidRPr="00186A91" w:rsidRDefault="00186A91" w:rsidP="005A74FA">
      <w:pPr>
        <w:pStyle w:val="SingleTxtG"/>
        <w:tabs>
          <w:tab w:val="left" w:pos="2268"/>
        </w:tabs>
        <w:rPr>
          <w:lang w:val="fr-FR"/>
        </w:rPr>
      </w:pPr>
      <w:r w:rsidRPr="00186A91">
        <w:rPr>
          <w:lang w:val="fr-FR"/>
        </w:rPr>
        <w:t>4.1.4.1</w:t>
      </w:r>
      <w:r w:rsidRPr="00186A91">
        <w:rPr>
          <w:lang w:val="fr-FR"/>
        </w:rPr>
        <w:tab/>
        <w:t xml:space="preserve">Ajouter la nouvelle instruction d’emballage P622 suivante : </w:t>
      </w:r>
    </w:p>
    <w:p w:rsidR="00186A91" w:rsidRDefault="00186A91" w:rsidP="00186A91">
      <w:pPr>
        <w:pStyle w:val="SingleTxtG"/>
        <w:rPr>
          <w:lang w:val="en-CA"/>
        </w:rPr>
      </w:pPr>
      <w:r w:rsidRPr="00186A91">
        <w:rPr>
          <w:lang w:val="en-CA"/>
        </w:rPr>
        <w:t>«</w:t>
      </w:r>
    </w:p>
    <w:tbl>
      <w:tblPr>
        <w:tblW w:w="9645"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4A0" w:firstRow="1" w:lastRow="0" w:firstColumn="1" w:lastColumn="0" w:noHBand="0" w:noVBand="1"/>
      </w:tblPr>
      <w:tblGrid>
        <w:gridCol w:w="856"/>
        <w:gridCol w:w="2359"/>
        <w:gridCol w:w="3215"/>
        <w:gridCol w:w="2644"/>
        <w:gridCol w:w="571"/>
      </w:tblGrid>
      <w:tr w:rsidR="00186A91" w:rsidRPr="009D6971" w:rsidTr="009D6971">
        <w:tc>
          <w:tcPr>
            <w:tcW w:w="856" w:type="dxa"/>
            <w:tcBorders>
              <w:top w:val="single" w:sz="4" w:space="0" w:color="000000"/>
              <w:left w:val="single" w:sz="4" w:space="0" w:color="000000"/>
              <w:bottom w:val="single" w:sz="4" w:space="0" w:color="auto"/>
              <w:right w:val="nil"/>
            </w:tcBorders>
            <w:hideMark/>
          </w:tcPr>
          <w:p w:rsidR="00186A91" w:rsidRPr="009D6971" w:rsidRDefault="00186A91" w:rsidP="00DE3298">
            <w:pPr>
              <w:spacing w:before="60" w:after="60" w:line="240" w:lineRule="auto"/>
              <w:rPr>
                <w:b/>
                <w:bCs/>
                <w:color w:val="000000"/>
                <w:sz w:val="16"/>
                <w:szCs w:val="16"/>
                <w:lang w:val="fr-FR"/>
              </w:rPr>
            </w:pPr>
            <w:r w:rsidRPr="009D6971">
              <w:rPr>
                <w:b/>
                <w:bCs/>
                <w:sz w:val="16"/>
                <w:szCs w:val="16"/>
                <w:lang w:val="fr-FR"/>
              </w:rPr>
              <w:t>P622</w:t>
            </w:r>
          </w:p>
        </w:tc>
        <w:tc>
          <w:tcPr>
            <w:tcW w:w="8218" w:type="dxa"/>
            <w:gridSpan w:val="3"/>
            <w:tcBorders>
              <w:top w:val="single" w:sz="4" w:space="0" w:color="000000"/>
              <w:left w:val="nil"/>
              <w:bottom w:val="single" w:sz="4" w:space="0" w:color="auto"/>
              <w:right w:val="nil"/>
            </w:tcBorders>
            <w:hideMark/>
          </w:tcPr>
          <w:p w:rsidR="00186A91" w:rsidRPr="00994B21" w:rsidRDefault="00186A91" w:rsidP="00DE3298">
            <w:pPr>
              <w:spacing w:before="60" w:after="60" w:line="240" w:lineRule="auto"/>
              <w:jc w:val="center"/>
              <w:rPr>
                <w:b/>
                <w:bCs/>
                <w:color w:val="000000"/>
                <w:sz w:val="18"/>
                <w:szCs w:val="18"/>
                <w:lang w:val="fr-FR"/>
              </w:rPr>
            </w:pPr>
            <w:r w:rsidRPr="00994B21">
              <w:rPr>
                <w:b/>
                <w:bCs/>
                <w:lang w:val="fr-FR"/>
              </w:rPr>
              <w:t>INSTRUCTION D’EMBALLAGE</w:t>
            </w:r>
          </w:p>
        </w:tc>
        <w:tc>
          <w:tcPr>
            <w:tcW w:w="571" w:type="dxa"/>
            <w:tcBorders>
              <w:top w:val="single" w:sz="4" w:space="0" w:color="000000"/>
              <w:left w:val="nil"/>
              <w:bottom w:val="single" w:sz="4" w:space="0" w:color="auto"/>
              <w:right w:val="single" w:sz="4" w:space="0" w:color="000000"/>
            </w:tcBorders>
            <w:hideMark/>
          </w:tcPr>
          <w:p w:rsidR="00186A91" w:rsidRPr="009D6971" w:rsidRDefault="00186A91" w:rsidP="00DE3298">
            <w:pPr>
              <w:spacing w:before="60" w:after="60" w:line="240" w:lineRule="auto"/>
              <w:jc w:val="right"/>
              <w:rPr>
                <w:b/>
                <w:bCs/>
                <w:color w:val="000000"/>
                <w:sz w:val="16"/>
                <w:szCs w:val="16"/>
                <w:lang w:val="fr-FR"/>
              </w:rPr>
            </w:pPr>
            <w:r w:rsidRPr="009D6971">
              <w:rPr>
                <w:b/>
                <w:iCs/>
                <w:sz w:val="16"/>
              </w:rPr>
              <w:t>P622</w:t>
            </w:r>
          </w:p>
        </w:tc>
      </w:tr>
      <w:tr w:rsidR="00186A91" w:rsidRPr="00994B21" w:rsidTr="009D6971">
        <w:tc>
          <w:tcPr>
            <w:tcW w:w="9645" w:type="dxa"/>
            <w:gridSpan w:val="5"/>
            <w:tcBorders>
              <w:top w:val="single" w:sz="4" w:space="0" w:color="auto"/>
              <w:left w:val="single" w:sz="4" w:space="0" w:color="000000"/>
              <w:bottom w:val="single" w:sz="4" w:space="0" w:color="000000"/>
              <w:right w:val="single" w:sz="4" w:space="0" w:color="000000"/>
            </w:tcBorders>
            <w:hideMark/>
          </w:tcPr>
          <w:p w:rsidR="00186A91" w:rsidRPr="00994B21" w:rsidRDefault="00186A91" w:rsidP="00DE3298">
            <w:pPr>
              <w:spacing w:before="60" w:after="60" w:line="240" w:lineRule="auto"/>
              <w:rPr>
                <w:color w:val="000000"/>
                <w:sz w:val="18"/>
                <w:szCs w:val="18"/>
                <w:lang w:val="fr-FR"/>
              </w:rPr>
            </w:pPr>
            <w:r w:rsidRPr="00994B21">
              <w:rPr>
                <w:lang w:val="fr-FR"/>
              </w:rPr>
              <w:t xml:space="preserve">La présente instruction s’applique </w:t>
            </w:r>
            <w:r w:rsidRPr="00994B21">
              <w:rPr>
                <w:strike/>
                <w:lang w:val="fr-FR"/>
              </w:rPr>
              <w:t xml:space="preserve">aux déchets médicaux ou déchets d’hôpital solides affectés </w:t>
            </w:r>
            <w:r w:rsidRPr="00994B21">
              <w:rPr>
                <w:lang w:val="fr-FR"/>
              </w:rPr>
              <w:t xml:space="preserve">au No ONU 3549 </w:t>
            </w:r>
            <w:r w:rsidRPr="00994B21">
              <w:rPr>
                <w:strike/>
                <w:lang w:val="fr-FR"/>
              </w:rPr>
              <w:t>transportés en vue de leur élimination</w:t>
            </w:r>
            <w:r w:rsidRPr="00994B21">
              <w:rPr>
                <w:lang w:val="fr-FR"/>
              </w:rPr>
              <w:t>.</w:t>
            </w:r>
          </w:p>
        </w:tc>
      </w:tr>
      <w:tr w:rsidR="00186A91" w:rsidRPr="00994B21" w:rsidTr="009D6971">
        <w:tc>
          <w:tcPr>
            <w:tcW w:w="9645" w:type="dxa"/>
            <w:gridSpan w:val="5"/>
            <w:tcBorders>
              <w:top w:val="single" w:sz="4" w:space="0" w:color="000000"/>
              <w:left w:val="single" w:sz="4" w:space="0" w:color="000000"/>
              <w:bottom w:val="single" w:sz="4" w:space="0" w:color="000000"/>
              <w:right w:val="single" w:sz="4" w:space="0" w:color="000000"/>
            </w:tcBorders>
            <w:hideMark/>
          </w:tcPr>
          <w:p w:rsidR="00186A91" w:rsidRPr="00994B21" w:rsidRDefault="00186A91" w:rsidP="00DE3298">
            <w:pPr>
              <w:spacing w:before="60" w:after="60" w:line="240" w:lineRule="auto"/>
              <w:rPr>
                <w:color w:val="000000"/>
                <w:sz w:val="18"/>
                <w:szCs w:val="18"/>
                <w:lang w:val="fr-FR"/>
              </w:rPr>
            </w:pPr>
            <w:r w:rsidRPr="00994B21">
              <w:rPr>
                <w:lang w:val="fr-FR"/>
              </w:rPr>
              <w:t xml:space="preserve">Les emballages suivants sont autorisés s’il est satisfait aux dispositions générales des </w:t>
            </w:r>
            <w:r w:rsidRPr="00994B21">
              <w:rPr>
                <w:b/>
                <w:lang w:val="fr-FR"/>
              </w:rPr>
              <w:t>4.1.1</w:t>
            </w:r>
            <w:r w:rsidRPr="00994B21">
              <w:rPr>
                <w:lang w:val="fr-FR"/>
              </w:rPr>
              <w:t xml:space="preserve"> et </w:t>
            </w:r>
            <w:r w:rsidRPr="00994B21">
              <w:rPr>
                <w:b/>
                <w:lang w:val="fr-FR"/>
              </w:rPr>
              <w:t>4.1.3</w:t>
            </w:r>
            <w:r w:rsidRPr="00994B21">
              <w:rPr>
                <w:lang w:val="fr-FR"/>
              </w:rPr>
              <w:t> :</w:t>
            </w:r>
          </w:p>
        </w:tc>
      </w:tr>
      <w:tr w:rsidR="00186A91" w:rsidRPr="00994B21" w:rsidTr="009D6971">
        <w:tc>
          <w:tcPr>
            <w:tcW w:w="3215" w:type="dxa"/>
            <w:gridSpan w:val="2"/>
            <w:tcBorders>
              <w:top w:val="single" w:sz="4" w:space="0" w:color="000000"/>
              <w:left w:val="single" w:sz="4" w:space="0" w:color="000000"/>
              <w:bottom w:val="single" w:sz="4" w:space="0" w:color="000000"/>
              <w:right w:val="single" w:sz="4" w:space="0" w:color="auto"/>
            </w:tcBorders>
            <w:hideMark/>
          </w:tcPr>
          <w:p w:rsidR="00186A91" w:rsidRPr="00994B21" w:rsidRDefault="00186A91" w:rsidP="00DE3298">
            <w:pPr>
              <w:spacing w:before="60" w:after="60" w:line="240" w:lineRule="auto"/>
              <w:rPr>
                <w:b/>
                <w:color w:val="000000"/>
                <w:sz w:val="18"/>
                <w:szCs w:val="18"/>
                <w:lang w:val="fr-FR"/>
              </w:rPr>
            </w:pPr>
            <w:r w:rsidRPr="00994B21">
              <w:rPr>
                <w:b/>
                <w:bCs/>
                <w:lang w:val="fr-FR"/>
              </w:rPr>
              <w:t>Emballages intérieurs</w:t>
            </w:r>
          </w:p>
        </w:tc>
        <w:tc>
          <w:tcPr>
            <w:tcW w:w="3215" w:type="dxa"/>
            <w:tcBorders>
              <w:top w:val="single" w:sz="4" w:space="0" w:color="000000"/>
              <w:left w:val="single" w:sz="4" w:space="0" w:color="auto"/>
              <w:bottom w:val="single" w:sz="4" w:space="0" w:color="000000"/>
              <w:right w:val="single" w:sz="4" w:space="0" w:color="auto"/>
            </w:tcBorders>
            <w:hideMark/>
          </w:tcPr>
          <w:p w:rsidR="00186A91" w:rsidRPr="00994B21" w:rsidRDefault="00186A91" w:rsidP="00DE3298">
            <w:pPr>
              <w:spacing w:before="60" w:after="60" w:line="240" w:lineRule="auto"/>
              <w:rPr>
                <w:b/>
                <w:color w:val="000000"/>
                <w:sz w:val="18"/>
                <w:szCs w:val="18"/>
                <w:lang w:val="fr-FR"/>
              </w:rPr>
            </w:pPr>
            <w:r w:rsidRPr="00994B21">
              <w:rPr>
                <w:b/>
                <w:bCs/>
                <w:lang w:val="fr-FR"/>
              </w:rPr>
              <w:t>Emballages intermédiaires</w:t>
            </w:r>
          </w:p>
        </w:tc>
        <w:tc>
          <w:tcPr>
            <w:tcW w:w="3215" w:type="dxa"/>
            <w:gridSpan w:val="2"/>
            <w:tcBorders>
              <w:top w:val="single" w:sz="4" w:space="0" w:color="000000"/>
              <w:left w:val="single" w:sz="4" w:space="0" w:color="auto"/>
              <w:bottom w:val="single" w:sz="4" w:space="0" w:color="000000"/>
              <w:right w:val="single" w:sz="4" w:space="0" w:color="000000"/>
            </w:tcBorders>
            <w:hideMark/>
          </w:tcPr>
          <w:p w:rsidR="00186A91" w:rsidRPr="00994B21" w:rsidRDefault="00186A91" w:rsidP="00DE3298">
            <w:pPr>
              <w:spacing w:before="60" w:after="60" w:line="240" w:lineRule="auto"/>
              <w:rPr>
                <w:b/>
                <w:color w:val="000000"/>
                <w:sz w:val="18"/>
                <w:szCs w:val="18"/>
                <w:lang w:val="fr-FR"/>
              </w:rPr>
            </w:pPr>
            <w:r w:rsidRPr="00994B21">
              <w:rPr>
                <w:b/>
                <w:bCs/>
                <w:lang w:val="fr-FR"/>
              </w:rPr>
              <w:t>Emballages extérieurs</w:t>
            </w:r>
          </w:p>
        </w:tc>
      </w:tr>
      <w:tr w:rsidR="00186A91" w:rsidRPr="00994B21" w:rsidTr="0093604B">
        <w:trPr>
          <w:trHeight w:val="2897"/>
        </w:trPr>
        <w:tc>
          <w:tcPr>
            <w:tcW w:w="3215" w:type="dxa"/>
            <w:gridSpan w:val="2"/>
            <w:tcBorders>
              <w:top w:val="single" w:sz="4" w:space="0" w:color="000000"/>
              <w:left w:val="single" w:sz="4" w:space="0" w:color="000000"/>
              <w:bottom w:val="single" w:sz="4" w:space="0" w:color="000000"/>
              <w:right w:val="single" w:sz="4" w:space="0" w:color="auto"/>
            </w:tcBorders>
            <w:hideMark/>
          </w:tcPr>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métal</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plastique</w:t>
            </w:r>
          </w:p>
        </w:tc>
        <w:tc>
          <w:tcPr>
            <w:tcW w:w="3215" w:type="dxa"/>
            <w:tcBorders>
              <w:top w:val="single" w:sz="4" w:space="0" w:color="000000"/>
              <w:left w:val="single" w:sz="4" w:space="0" w:color="auto"/>
              <w:bottom w:val="single" w:sz="4" w:space="0" w:color="000000"/>
              <w:right w:val="single" w:sz="4" w:space="0" w:color="auto"/>
            </w:tcBorders>
            <w:hideMark/>
          </w:tcPr>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métal</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plastique</w:t>
            </w:r>
          </w:p>
        </w:tc>
        <w:tc>
          <w:tcPr>
            <w:tcW w:w="3215" w:type="dxa"/>
            <w:gridSpan w:val="2"/>
            <w:tcBorders>
              <w:top w:val="single" w:sz="4" w:space="0" w:color="000000"/>
              <w:left w:val="single" w:sz="4" w:space="0" w:color="auto"/>
              <w:bottom w:val="single" w:sz="4" w:space="0" w:color="000000"/>
              <w:right w:val="single" w:sz="4" w:space="0" w:color="000000"/>
            </w:tcBorders>
            <w:hideMark/>
          </w:tcPr>
          <w:p w:rsidR="00186A91" w:rsidRPr="00994B21" w:rsidRDefault="00186A91" w:rsidP="00DE3298">
            <w:pPr>
              <w:spacing w:before="60" w:after="60" w:line="240" w:lineRule="auto"/>
              <w:rPr>
                <w:b/>
                <w:color w:val="000000"/>
                <w:sz w:val="18"/>
                <w:szCs w:val="18"/>
                <w:lang w:val="fr-FR"/>
              </w:rPr>
            </w:pPr>
            <w:r w:rsidRPr="00994B21">
              <w:rPr>
                <w:b/>
                <w:bCs/>
                <w:lang w:val="fr-FR"/>
              </w:rPr>
              <w:t>Caisses</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acier (4A)</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aluminium (4B)</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contreplaqué (4D)</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carton rigide (4G)</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un autre métal (4N)</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plastique rigide (4H2)</w:t>
            </w:r>
          </w:p>
          <w:p w:rsidR="00186A91" w:rsidRPr="00994B21" w:rsidRDefault="00186A91" w:rsidP="00DE3298">
            <w:pPr>
              <w:spacing w:before="60" w:after="60" w:line="240" w:lineRule="auto"/>
              <w:rPr>
                <w:b/>
                <w:color w:val="000000"/>
                <w:sz w:val="18"/>
                <w:szCs w:val="18"/>
                <w:lang w:val="fr-FR"/>
              </w:rPr>
            </w:pPr>
            <w:r w:rsidRPr="00994B21">
              <w:rPr>
                <w:b/>
                <w:bCs/>
                <w:lang w:val="fr-FR"/>
              </w:rPr>
              <w:t>Fûts</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acier (1A2)</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aluminium (1B2)</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contre-plaqué (1D)</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carton (1G)</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un autre métal (1N2)</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plastique (1H2)</w:t>
            </w:r>
          </w:p>
          <w:p w:rsidR="00186A91" w:rsidRPr="00994B21" w:rsidRDefault="00186A91" w:rsidP="00DE3298">
            <w:pPr>
              <w:spacing w:before="60" w:after="60" w:line="240" w:lineRule="auto"/>
              <w:rPr>
                <w:b/>
                <w:color w:val="000000"/>
                <w:sz w:val="18"/>
                <w:szCs w:val="18"/>
                <w:lang w:val="fr-FR"/>
              </w:rPr>
            </w:pPr>
            <w:r w:rsidRPr="00994B21">
              <w:rPr>
                <w:b/>
                <w:bCs/>
                <w:lang w:val="fr-FR"/>
              </w:rPr>
              <w:t>Bidons (jerricans)</w:t>
            </w:r>
          </w:p>
          <w:p w:rsidR="00186A91" w:rsidRPr="001178D4" w:rsidRDefault="00186A91" w:rsidP="00DE3298">
            <w:pPr>
              <w:spacing w:before="60" w:after="60" w:line="240" w:lineRule="auto"/>
              <w:rPr>
                <w:color w:val="000000"/>
                <w:sz w:val="18"/>
                <w:szCs w:val="18"/>
                <w:lang w:val="es-ES"/>
              </w:rPr>
            </w:pPr>
            <w:r w:rsidRPr="001178D4">
              <w:rPr>
                <w:lang w:val="es-ES"/>
              </w:rPr>
              <w:t xml:space="preserve">en </w:t>
            </w:r>
            <w:proofErr w:type="spellStart"/>
            <w:r w:rsidRPr="001178D4">
              <w:rPr>
                <w:lang w:val="es-ES"/>
              </w:rPr>
              <w:t>acier</w:t>
            </w:r>
            <w:proofErr w:type="spellEnd"/>
            <w:r w:rsidRPr="001178D4">
              <w:rPr>
                <w:lang w:val="es-ES"/>
              </w:rPr>
              <w:t xml:space="preserve"> (3A2)</w:t>
            </w:r>
          </w:p>
          <w:p w:rsidR="00186A91" w:rsidRPr="001178D4" w:rsidRDefault="00186A91" w:rsidP="00DE3298">
            <w:pPr>
              <w:spacing w:before="60" w:after="60" w:line="240" w:lineRule="auto"/>
              <w:rPr>
                <w:color w:val="000000"/>
                <w:sz w:val="18"/>
                <w:szCs w:val="18"/>
                <w:lang w:val="es-ES"/>
              </w:rPr>
            </w:pPr>
            <w:r w:rsidRPr="001178D4">
              <w:rPr>
                <w:lang w:val="es-ES"/>
              </w:rPr>
              <w:t xml:space="preserve">en </w:t>
            </w:r>
            <w:proofErr w:type="spellStart"/>
            <w:r w:rsidRPr="001178D4">
              <w:rPr>
                <w:lang w:val="es-ES"/>
              </w:rPr>
              <w:t>aluminium</w:t>
            </w:r>
            <w:proofErr w:type="spellEnd"/>
            <w:r w:rsidRPr="001178D4">
              <w:rPr>
                <w:lang w:val="es-ES"/>
              </w:rPr>
              <w:t xml:space="preserve"> (3B2)</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plastique (3H2)</w:t>
            </w:r>
          </w:p>
        </w:tc>
      </w:tr>
      <w:tr w:rsidR="00186A91" w:rsidRPr="00994B21" w:rsidTr="0093604B">
        <w:tc>
          <w:tcPr>
            <w:tcW w:w="9645" w:type="dxa"/>
            <w:gridSpan w:val="5"/>
            <w:tcBorders>
              <w:top w:val="single" w:sz="4" w:space="0" w:color="000000"/>
              <w:left w:val="single" w:sz="4" w:space="0" w:color="000000"/>
              <w:bottom w:val="single" w:sz="4" w:space="0" w:color="000000"/>
              <w:right w:val="single" w:sz="4" w:space="0" w:color="000000"/>
            </w:tcBorders>
            <w:hideMark/>
          </w:tcPr>
          <w:p w:rsidR="00186A91" w:rsidRPr="00994B21" w:rsidRDefault="00186A91" w:rsidP="00DE3298">
            <w:pPr>
              <w:spacing w:before="60" w:after="60" w:line="240" w:lineRule="auto"/>
              <w:rPr>
                <w:color w:val="000000"/>
                <w:sz w:val="18"/>
                <w:szCs w:val="18"/>
                <w:lang w:val="fr-FR"/>
              </w:rPr>
            </w:pPr>
            <w:r w:rsidRPr="00994B21">
              <w:rPr>
                <w:lang w:val="fr-FR"/>
              </w:rPr>
              <w:t xml:space="preserve">L’emballage doit satisfaire au niveau d’épreuve du groupe d’emballage I pour les matières solides. </w:t>
            </w:r>
          </w:p>
        </w:tc>
      </w:tr>
      <w:tr w:rsidR="00186A91" w:rsidRPr="00994B21" w:rsidTr="0093604B">
        <w:trPr>
          <w:trHeight w:val="244"/>
        </w:trPr>
        <w:tc>
          <w:tcPr>
            <w:tcW w:w="9645" w:type="dxa"/>
            <w:gridSpan w:val="5"/>
            <w:tcBorders>
              <w:top w:val="single" w:sz="4" w:space="0" w:color="000000"/>
              <w:left w:val="single" w:sz="4" w:space="0" w:color="000000"/>
              <w:bottom w:val="single" w:sz="4" w:space="0" w:color="000000"/>
              <w:right w:val="single" w:sz="4" w:space="0" w:color="000000"/>
            </w:tcBorders>
            <w:hideMark/>
          </w:tcPr>
          <w:p w:rsidR="00186A91" w:rsidRPr="00994B21" w:rsidRDefault="00186A91" w:rsidP="00DE3298">
            <w:pPr>
              <w:keepNext/>
              <w:spacing w:before="60" w:after="60" w:line="240" w:lineRule="auto"/>
              <w:rPr>
                <w:color w:val="000000"/>
                <w:sz w:val="18"/>
                <w:szCs w:val="18"/>
                <w:lang w:val="fr-FR"/>
              </w:rPr>
            </w:pPr>
            <w:r w:rsidRPr="00994B21">
              <w:rPr>
                <w:b/>
                <w:bCs/>
                <w:lang w:val="fr-FR"/>
              </w:rPr>
              <w:lastRenderedPageBreak/>
              <w:t>Dispositions supplémentaires :</w:t>
            </w:r>
          </w:p>
        </w:tc>
      </w:tr>
      <w:tr w:rsidR="00186A91" w:rsidRPr="00994B21" w:rsidTr="009D6971">
        <w:trPr>
          <w:trHeight w:val="360"/>
        </w:trPr>
        <w:tc>
          <w:tcPr>
            <w:tcW w:w="9645" w:type="dxa"/>
            <w:gridSpan w:val="5"/>
            <w:tcBorders>
              <w:top w:val="single" w:sz="4" w:space="0" w:color="000000"/>
              <w:left w:val="single" w:sz="4" w:space="0" w:color="000000"/>
              <w:bottom w:val="nil"/>
              <w:right w:val="single" w:sz="4" w:space="0" w:color="000000"/>
            </w:tcBorders>
            <w:vAlign w:val="center"/>
            <w:hideMark/>
          </w:tcPr>
          <w:p w:rsidR="00186A91" w:rsidRPr="00994B21" w:rsidRDefault="00186A91" w:rsidP="00DE3298">
            <w:pPr>
              <w:spacing w:before="60" w:after="60" w:line="240" w:lineRule="auto"/>
              <w:ind w:left="284" w:hanging="284"/>
              <w:rPr>
                <w:color w:val="000000"/>
                <w:lang w:val="fr-FR"/>
              </w:rPr>
            </w:pPr>
            <w:r w:rsidRPr="00994B21">
              <w:rPr>
                <w:lang w:val="fr-FR"/>
              </w:rPr>
              <w:t>1.</w:t>
            </w:r>
            <w:r w:rsidRPr="00994B21">
              <w:rPr>
                <w:lang w:val="fr-FR"/>
              </w:rPr>
              <w:tab/>
              <w:t>Les objets fragiles doivent être contenus soit dans des emballages intérieurs rigides, soit dans des emballages intermédiaires rigides.</w:t>
            </w:r>
          </w:p>
        </w:tc>
      </w:tr>
      <w:tr w:rsidR="00186A91" w:rsidRPr="00994B21" w:rsidTr="009D6971">
        <w:trPr>
          <w:trHeight w:val="360"/>
        </w:trPr>
        <w:tc>
          <w:tcPr>
            <w:tcW w:w="9645" w:type="dxa"/>
            <w:gridSpan w:val="5"/>
            <w:tcBorders>
              <w:top w:val="nil"/>
              <w:left w:val="single" w:sz="4" w:space="0" w:color="000000"/>
              <w:bottom w:val="nil"/>
              <w:right w:val="single" w:sz="4" w:space="0" w:color="000000"/>
            </w:tcBorders>
            <w:vAlign w:val="center"/>
            <w:hideMark/>
          </w:tcPr>
          <w:p w:rsidR="00186A91" w:rsidRPr="00994B21" w:rsidRDefault="00186A91" w:rsidP="00DE3298">
            <w:pPr>
              <w:spacing w:before="60" w:after="60" w:line="240" w:lineRule="auto"/>
              <w:ind w:left="284" w:hanging="284"/>
              <w:rPr>
                <w:color w:val="000000"/>
                <w:lang w:val="fr-FR"/>
              </w:rPr>
            </w:pPr>
            <w:r w:rsidRPr="00994B21">
              <w:rPr>
                <w:lang w:val="fr-FR"/>
              </w:rPr>
              <w:t>2.</w:t>
            </w:r>
            <w:r w:rsidRPr="00994B21">
              <w:rPr>
                <w:lang w:val="fr-FR"/>
              </w:rPr>
              <w:tab/>
              <w:t>Les emballages intérieurs contenant des objets tranchants ou pointus tels que du verre brisé et des aiguilles doivent être rigides et résistants à la perforation.</w:t>
            </w:r>
          </w:p>
        </w:tc>
      </w:tr>
      <w:tr w:rsidR="00186A91" w:rsidRPr="00994B21" w:rsidTr="009D6971">
        <w:trPr>
          <w:trHeight w:val="360"/>
        </w:trPr>
        <w:tc>
          <w:tcPr>
            <w:tcW w:w="9645" w:type="dxa"/>
            <w:gridSpan w:val="5"/>
            <w:tcBorders>
              <w:top w:val="nil"/>
              <w:left w:val="single" w:sz="4" w:space="0" w:color="000000"/>
              <w:bottom w:val="nil"/>
              <w:right w:val="single" w:sz="4" w:space="0" w:color="000000"/>
            </w:tcBorders>
            <w:vAlign w:val="center"/>
            <w:hideMark/>
          </w:tcPr>
          <w:p w:rsidR="00186A91" w:rsidRPr="00994B21" w:rsidRDefault="00186A91" w:rsidP="00DE3298">
            <w:pPr>
              <w:spacing w:before="60" w:after="60" w:line="240" w:lineRule="auto"/>
              <w:ind w:left="284" w:hanging="284"/>
              <w:rPr>
                <w:color w:val="000000"/>
                <w:lang w:val="fr-FR"/>
              </w:rPr>
            </w:pPr>
            <w:r w:rsidRPr="00994B21">
              <w:rPr>
                <w:lang w:val="fr-FR"/>
              </w:rPr>
              <w:t>3.</w:t>
            </w:r>
            <w:r w:rsidRPr="00994B21">
              <w:rPr>
                <w:lang w:val="fr-FR"/>
              </w:rPr>
              <w:tab/>
              <w:t>L’emballage intérieur et l’emballage intermédiaire doivent être capables de retenir les liquides.</w:t>
            </w:r>
          </w:p>
        </w:tc>
      </w:tr>
      <w:tr w:rsidR="00186A91" w:rsidRPr="00994B21" w:rsidTr="009D6971">
        <w:trPr>
          <w:trHeight w:val="360"/>
        </w:trPr>
        <w:tc>
          <w:tcPr>
            <w:tcW w:w="9645" w:type="dxa"/>
            <w:gridSpan w:val="5"/>
            <w:tcBorders>
              <w:top w:val="nil"/>
              <w:left w:val="single" w:sz="4" w:space="0" w:color="000000"/>
              <w:bottom w:val="nil"/>
              <w:right w:val="single" w:sz="4" w:space="0" w:color="000000"/>
            </w:tcBorders>
            <w:vAlign w:val="center"/>
            <w:hideMark/>
          </w:tcPr>
          <w:p w:rsidR="00186A91" w:rsidRPr="00994B21" w:rsidRDefault="00186A91" w:rsidP="00DE3298">
            <w:pPr>
              <w:spacing w:before="60" w:after="60" w:line="240" w:lineRule="auto"/>
              <w:ind w:left="284" w:hanging="284"/>
              <w:rPr>
                <w:lang w:val="fr-FR"/>
              </w:rPr>
            </w:pPr>
            <w:r w:rsidRPr="00994B21">
              <w:rPr>
                <w:lang w:val="fr-FR"/>
              </w:rPr>
              <w:t>4.</w:t>
            </w:r>
            <w:r w:rsidRPr="00994B21">
              <w:rPr>
                <w:lang w:val="fr-FR"/>
              </w:rPr>
              <w:tab/>
              <w:t xml:space="preserve">L’emballage intérieur et l’emballage intermédiaire peuvent être souples. Lorsque des emballages souples sont utilisés, ils doivent satisfaire </w:t>
            </w:r>
            <w:r w:rsidRPr="00994B21">
              <w:rPr>
                <w:strike/>
                <w:lang w:val="fr-FR"/>
              </w:rPr>
              <w:t>aux</w:t>
            </w:r>
            <w:r w:rsidRPr="00994B21">
              <w:rPr>
                <w:lang w:val="fr-FR"/>
              </w:rPr>
              <w:t xml:space="preserve"> </w:t>
            </w:r>
            <w:r w:rsidRPr="00994B21">
              <w:rPr>
                <w:u w:val="single"/>
                <w:lang w:val="fr-FR"/>
              </w:rPr>
              <w:t>à l’</w:t>
            </w:r>
            <w:r w:rsidRPr="00994B21">
              <w:rPr>
                <w:lang w:val="fr-FR"/>
              </w:rPr>
              <w:t>épreuve</w:t>
            </w:r>
            <w:r w:rsidRPr="00994B21">
              <w:rPr>
                <w:strike/>
                <w:lang w:val="fr-FR"/>
              </w:rPr>
              <w:t>s</w:t>
            </w:r>
            <w:r w:rsidRPr="00994B21">
              <w:rPr>
                <w:lang w:val="fr-FR"/>
              </w:rPr>
              <w:t xml:space="preserve"> de choc</w:t>
            </w:r>
            <w:r w:rsidRPr="00994B21">
              <w:rPr>
                <w:strike/>
                <w:lang w:val="fr-FR"/>
              </w:rPr>
              <w:t xml:space="preserve"> et de résistance</w:t>
            </w:r>
            <w:r w:rsidRPr="00994B21">
              <w:rPr>
                <w:lang w:val="fr-FR"/>
              </w:rPr>
              <w:t xml:space="preserve"> </w:t>
            </w:r>
            <w:r>
              <w:rPr>
                <w:u w:val="single"/>
                <w:lang w:val="fr-FR"/>
              </w:rPr>
              <w:t xml:space="preserve">en offrant une résistance </w:t>
            </w:r>
            <w:r w:rsidRPr="00994B21">
              <w:rPr>
                <w:u w:val="single"/>
                <w:lang w:val="fr-FR"/>
              </w:rPr>
              <w:t>d’au moins 165 g</w:t>
            </w:r>
            <w:r w:rsidRPr="00994B21">
              <w:rPr>
                <w:lang w:val="fr-FR"/>
              </w:rPr>
              <w:t xml:space="preserve"> en application </w:t>
            </w:r>
            <w:proofErr w:type="spellStart"/>
            <w:r w:rsidRPr="00994B21">
              <w:rPr>
                <w:lang w:val="fr-FR"/>
              </w:rPr>
              <w:t>de</w:t>
            </w:r>
            <w:r w:rsidRPr="00994B21">
              <w:rPr>
                <w:strike/>
                <w:lang w:val="fr-FR"/>
              </w:rPr>
              <w:t>s</w:t>
            </w:r>
            <w:proofErr w:type="spellEnd"/>
            <w:r w:rsidRPr="00994B21">
              <w:rPr>
                <w:lang w:val="fr-FR"/>
              </w:rPr>
              <w:t xml:space="preserve"> </w:t>
            </w:r>
            <w:r w:rsidRPr="00994B21">
              <w:rPr>
                <w:u w:val="single"/>
                <w:lang w:val="fr-FR"/>
              </w:rPr>
              <w:t>la</w:t>
            </w:r>
            <w:r w:rsidRPr="00994B21">
              <w:rPr>
                <w:lang w:val="fr-FR"/>
              </w:rPr>
              <w:t xml:space="preserve"> norme</w:t>
            </w:r>
            <w:r w:rsidRPr="00994B21">
              <w:rPr>
                <w:strike/>
                <w:lang w:val="fr-FR"/>
              </w:rPr>
              <w:t>s</w:t>
            </w:r>
            <w:r>
              <w:rPr>
                <w:lang w:val="fr-FR"/>
              </w:rPr>
              <w:t xml:space="preserve"> ISO 7765-1:1988 </w:t>
            </w:r>
            <w:r w:rsidRPr="00370582">
              <w:t>“</w:t>
            </w:r>
            <w:r w:rsidRPr="00994B21">
              <w:rPr>
                <w:lang w:val="fr-FR"/>
              </w:rPr>
              <w:t xml:space="preserve">Films et feuilles de plastique − Détermination de la résistance au choc par la méthode par chute libre de projectile − </w:t>
            </w:r>
            <w:r w:rsidR="00DE3298">
              <w:rPr>
                <w:lang w:val="fr-FR"/>
              </w:rPr>
              <w:t>Partie 1 : Méthodes dites de l’</w:t>
            </w:r>
            <w:r w:rsidR="00DE3298">
              <w:t>“</w:t>
            </w:r>
            <w:r>
              <w:rPr>
                <w:lang w:val="fr-FR"/>
              </w:rPr>
              <w:t>escalier</w:t>
            </w:r>
            <w:r w:rsidR="00DE3298">
              <w:rPr>
                <w:lang w:val="fr-FR"/>
              </w:rPr>
              <w:t>”</w:t>
            </w:r>
            <w:r w:rsidRPr="00994B21">
              <w:rPr>
                <w:lang w:val="fr-FR"/>
              </w:rPr>
              <w:t xml:space="preserve">, </w:t>
            </w:r>
            <w:r w:rsidRPr="00994B21">
              <w:rPr>
                <w:u w:val="single"/>
                <w:lang w:val="fr-FR"/>
              </w:rPr>
              <w:t>ains</w:t>
            </w:r>
            <w:r>
              <w:rPr>
                <w:u w:val="single"/>
                <w:lang w:val="fr-FR"/>
              </w:rPr>
              <w:t>i</w:t>
            </w:r>
            <w:r w:rsidRPr="00994B21">
              <w:rPr>
                <w:u w:val="single"/>
                <w:lang w:val="fr-FR"/>
              </w:rPr>
              <w:t xml:space="preserve"> qu’à l’épreuve de résistance au déchirement </w:t>
            </w:r>
            <w:r>
              <w:rPr>
                <w:u w:val="single"/>
                <w:lang w:val="fr-FR"/>
              </w:rPr>
              <w:t>en offrant</w:t>
            </w:r>
            <w:r w:rsidRPr="00994B21">
              <w:rPr>
                <w:u w:val="single"/>
                <w:lang w:val="fr-FR"/>
              </w:rPr>
              <w:t xml:space="preserve"> une résistance d’au moins 480 g sur des plans perpendiculaires et parallèles au plan longitudinal du sac</w:t>
            </w:r>
            <w:r w:rsidRPr="00994B21">
              <w:rPr>
                <w:lang w:val="fr-FR"/>
              </w:rPr>
              <w:t xml:space="preserve"> </w:t>
            </w:r>
            <w:r w:rsidRPr="00994B21">
              <w:rPr>
                <w:strike/>
                <w:lang w:val="fr-FR"/>
              </w:rPr>
              <w:t>et</w:t>
            </w:r>
            <w:r w:rsidRPr="00994B21">
              <w:rPr>
                <w:lang w:val="fr-FR"/>
              </w:rPr>
              <w:t xml:space="preserve"> </w:t>
            </w:r>
            <w:r w:rsidRPr="00994B21">
              <w:rPr>
                <w:u w:val="single"/>
                <w:lang w:val="fr-FR"/>
              </w:rPr>
              <w:t>en application de la norme</w:t>
            </w:r>
            <w:r w:rsidRPr="00994B21">
              <w:rPr>
                <w:lang w:val="fr-FR"/>
              </w:rPr>
              <w:t xml:space="preserve"> ISO 6383-2:1983 </w:t>
            </w:r>
            <w:r w:rsidRPr="00370582">
              <w:t>“</w:t>
            </w:r>
            <w:r w:rsidRPr="00994B21">
              <w:rPr>
                <w:lang w:val="fr-FR"/>
              </w:rPr>
              <w:t xml:space="preserve">Films et feuilles de plastique − Détermination de la résistance au déchirement − Partie 2 : Méthode </w:t>
            </w:r>
            <w:proofErr w:type="spellStart"/>
            <w:r w:rsidRPr="00994B21">
              <w:rPr>
                <w:lang w:val="fr-FR"/>
              </w:rPr>
              <w:t>Elmendorf</w:t>
            </w:r>
            <w:proofErr w:type="spellEnd"/>
            <w:r w:rsidRPr="00370582">
              <w:t>”</w:t>
            </w:r>
            <w:r w:rsidRPr="00994B21">
              <w:rPr>
                <w:lang w:val="fr-FR"/>
              </w:rPr>
              <w:t xml:space="preserve">. </w:t>
            </w:r>
            <w:r w:rsidRPr="00994B21">
              <w:rPr>
                <w:strike/>
                <w:lang w:val="fr-FR"/>
              </w:rPr>
              <w:t>Chacun des sacs doit avoir une résistance au choc d’au moins 165 g et une résistance au déchirement d’au moins 480 g sur des plans perpendiculaires et parallèles au plan longitudinal du sac</w:t>
            </w:r>
            <w:r w:rsidRPr="00994B21">
              <w:rPr>
                <w:lang w:val="fr-FR"/>
              </w:rPr>
              <w:t xml:space="preserve">. La masse nette maximale de chaque </w:t>
            </w:r>
            <w:r w:rsidRPr="00994B21">
              <w:rPr>
                <w:u w:val="single"/>
                <w:lang w:val="fr-FR"/>
              </w:rPr>
              <w:t>emballage intérieur souple</w:t>
            </w:r>
            <w:r w:rsidRPr="00994B21">
              <w:rPr>
                <w:lang w:val="fr-FR"/>
              </w:rPr>
              <w:t xml:space="preserve"> </w:t>
            </w:r>
            <w:r w:rsidRPr="00994B21">
              <w:rPr>
                <w:strike/>
                <w:lang w:val="fr-FR"/>
              </w:rPr>
              <w:t>sac en plastique</w:t>
            </w:r>
            <w:r w:rsidRPr="00994B21">
              <w:rPr>
                <w:lang w:val="fr-FR"/>
              </w:rPr>
              <w:t xml:space="preserve"> doit être de 30 kg.</w:t>
            </w:r>
          </w:p>
        </w:tc>
      </w:tr>
      <w:tr w:rsidR="00186A91" w:rsidRPr="00994B21" w:rsidTr="009D6971">
        <w:trPr>
          <w:trHeight w:val="360"/>
        </w:trPr>
        <w:tc>
          <w:tcPr>
            <w:tcW w:w="9645" w:type="dxa"/>
            <w:gridSpan w:val="5"/>
            <w:tcBorders>
              <w:top w:val="nil"/>
              <w:left w:val="single" w:sz="4" w:space="0" w:color="000000"/>
              <w:bottom w:val="nil"/>
              <w:right w:val="single" w:sz="4" w:space="0" w:color="000000"/>
            </w:tcBorders>
            <w:vAlign w:val="center"/>
            <w:hideMark/>
          </w:tcPr>
          <w:p w:rsidR="00186A91" w:rsidRPr="00994B21" w:rsidRDefault="00186A91" w:rsidP="00DE3298">
            <w:pPr>
              <w:spacing w:before="60" w:after="60" w:line="240" w:lineRule="auto"/>
              <w:ind w:left="284" w:hanging="284"/>
              <w:rPr>
                <w:lang w:val="fr-FR"/>
              </w:rPr>
            </w:pPr>
            <w:r w:rsidRPr="00994B21">
              <w:rPr>
                <w:lang w:val="fr-FR"/>
              </w:rPr>
              <w:t>5.</w:t>
            </w:r>
            <w:r w:rsidRPr="00994B21">
              <w:rPr>
                <w:lang w:val="fr-FR"/>
              </w:rPr>
              <w:tab/>
              <w:t>Chaque emballage intermédiaire souple ne doit contenir qu’un seul emballage intérieur.</w:t>
            </w:r>
          </w:p>
        </w:tc>
      </w:tr>
      <w:tr w:rsidR="00186A91" w:rsidRPr="00994B21" w:rsidTr="009D6971">
        <w:trPr>
          <w:trHeight w:val="360"/>
        </w:trPr>
        <w:tc>
          <w:tcPr>
            <w:tcW w:w="9645" w:type="dxa"/>
            <w:gridSpan w:val="5"/>
            <w:tcBorders>
              <w:top w:val="nil"/>
              <w:left w:val="single" w:sz="4" w:space="0" w:color="000000"/>
              <w:bottom w:val="single" w:sz="4" w:space="0" w:color="auto"/>
              <w:right w:val="single" w:sz="4" w:space="0" w:color="000000"/>
            </w:tcBorders>
            <w:vAlign w:val="center"/>
            <w:hideMark/>
          </w:tcPr>
          <w:p w:rsidR="00186A91" w:rsidRPr="00994B21" w:rsidRDefault="00186A91" w:rsidP="00DE3298">
            <w:pPr>
              <w:spacing w:before="60" w:after="60" w:line="240" w:lineRule="auto"/>
              <w:ind w:left="284" w:hanging="284"/>
              <w:rPr>
                <w:lang w:val="fr-FR"/>
              </w:rPr>
            </w:pPr>
            <w:r w:rsidRPr="00994B21">
              <w:rPr>
                <w:lang w:val="fr-FR"/>
              </w:rPr>
              <w:t>6.</w:t>
            </w:r>
            <w:r w:rsidRPr="00994B21">
              <w:rPr>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pouvant résister aux températures et aux vibrations susceptibles de se produire dans des conditions normales de transport doit être utilisé.</w:t>
            </w:r>
          </w:p>
        </w:tc>
      </w:tr>
      <w:tr w:rsidR="00186A91" w:rsidRPr="00994B21" w:rsidTr="009D6971">
        <w:trPr>
          <w:trHeight w:val="360"/>
        </w:trPr>
        <w:tc>
          <w:tcPr>
            <w:tcW w:w="9645" w:type="dxa"/>
            <w:gridSpan w:val="5"/>
            <w:tcBorders>
              <w:top w:val="single" w:sz="4" w:space="0" w:color="auto"/>
              <w:left w:val="single" w:sz="4" w:space="0" w:color="000000"/>
              <w:bottom w:val="nil"/>
              <w:right w:val="single" w:sz="4" w:space="0" w:color="000000"/>
            </w:tcBorders>
            <w:vAlign w:val="center"/>
            <w:hideMark/>
          </w:tcPr>
          <w:p w:rsidR="00186A91" w:rsidRPr="00994B21" w:rsidRDefault="00186A91" w:rsidP="00DE3298">
            <w:pPr>
              <w:pStyle w:val="H4G"/>
              <w:tabs>
                <w:tab w:val="clear" w:pos="851"/>
              </w:tabs>
              <w:spacing w:before="60" w:after="60" w:line="240" w:lineRule="auto"/>
              <w:ind w:left="0" w:right="0" w:firstLine="0"/>
              <w:rPr>
                <w:i w:val="0"/>
                <w:lang w:val="fr-FR"/>
              </w:rPr>
            </w:pPr>
            <w:r w:rsidRPr="00994B21">
              <w:rPr>
                <w:i w:val="0"/>
                <w:lang w:val="fr-FR"/>
              </w:rPr>
              <w:t>7.</w:t>
            </w:r>
            <w:r w:rsidRPr="00994B21">
              <w:rPr>
                <w:i w:val="0"/>
                <w:lang w:val="fr-FR"/>
              </w:rPr>
              <w:tab/>
            </w:r>
            <w:r w:rsidRPr="00994B21">
              <w:rPr>
                <w:i w:val="0"/>
                <w:color w:val="000000"/>
                <w:u w:val="single"/>
                <w:lang w:val="fr-FR"/>
              </w:rPr>
              <w:t>Les caisses en contre-plaqué (4D), les caisses en carton rigide (4G), les fûts en contre-plaqué (1D) et les fûts en carton (1G) destiné</w:t>
            </w:r>
            <w:r>
              <w:rPr>
                <w:i w:val="0"/>
                <w:color w:val="000000"/>
                <w:u w:val="single"/>
                <w:lang w:val="fr-FR"/>
              </w:rPr>
              <w:t>s</w:t>
            </w:r>
            <w:r w:rsidRPr="00994B21">
              <w:rPr>
                <w:i w:val="0"/>
                <w:color w:val="000000"/>
                <w:u w:val="single"/>
                <w:lang w:val="fr-FR"/>
              </w:rPr>
              <w:t xml:space="preserve"> à être utilisés comme emballages extérieurs doivent être rendus capables de retenir les liquides au moyen d’une doublure intérieure ou d’un sac. Les emballages intermédiaires ne doivent pas remplir ces conditions.</w:t>
            </w:r>
            <w:r w:rsidRPr="00994B21">
              <w:rPr>
                <w:i w:val="0"/>
                <w:lang w:val="fr-FR"/>
              </w:rPr>
              <w:tab/>
            </w:r>
          </w:p>
          <w:p w:rsidR="00186A91" w:rsidRPr="00994B21" w:rsidRDefault="00186A91" w:rsidP="00DE3298">
            <w:pPr>
              <w:spacing w:before="60" w:after="60" w:line="240" w:lineRule="auto"/>
              <w:ind w:left="284" w:hanging="284"/>
              <w:rPr>
                <w:strike/>
                <w:lang w:val="fr-FR"/>
              </w:rPr>
            </w:pPr>
            <w:r w:rsidRPr="00994B21">
              <w:rPr>
                <w:strike/>
                <w:lang w:val="fr-FR"/>
              </w:rPr>
              <w:t xml:space="preserve">7. </w:t>
            </w:r>
            <w:r w:rsidRPr="00994B21">
              <w:rPr>
                <w:strike/>
                <w:lang w:val="fr-FR"/>
              </w:rPr>
              <w:tab/>
            </w:r>
            <w:r w:rsidRPr="00994B21">
              <w:rPr>
                <w:rFonts w:ascii="inherit" w:hAnsi="inherit"/>
                <w:strike/>
                <w:color w:val="212121"/>
                <w:lang w:val="fr-FR"/>
              </w:rPr>
              <w:t>Lorsque les emballages extérieurs ne sont pas capables de retenir les liquides, l</w:t>
            </w:r>
            <w:r>
              <w:rPr>
                <w:rFonts w:ascii="inherit" w:hAnsi="inherit"/>
                <w:strike/>
                <w:color w:val="212121"/>
                <w:lang w:val="fr-FR"/>
              </w:rPr>
              <w:t>’</w:t>
            </w:r>
            <w:r w:rsidRPr="00994B21">
              <w:rPr>
                <w:rFonts w:ascii="inherit" w:hAnsi="inherit"/>
                <w:strike/>
                <w:color w:val="212121"/>
                <w:lang w:val="fr-FR"/>
              </w:rPr>
              <w:t>emballage intérieur ou l</w:t>
            </w:r>
            <w:r>
              <w:rPr>
                <w:rFonts w:ascii="inherit" w:hAnsi="inherit"/>
                <w:strike/>
                <w:color w:val="212121"/>
                <w:lang w:val="fr-FR"/>
              </w:rPr>
              <w:t>’</w:t>
            </w:r>
            <w:r w:rsidRPr="00994B21">
              <w:rPr>
                <w:rFonts w:ascii="inherit" w:hAnsi="inherit"/>
                <w:strike/>
                <w:color w:val="212121"/>
                <w:lang w:val="fr-FR"/>
              </w:rPr>
              <w:t>emballage intermédiaire doivent être rigides.</w:t>
            </w:r>
          </w:p>
        </w:tc>
      </w:tr>
      <w:tr w:rsidR="00186A91" w:rsidRPr="00994B21" w:rsidTr="009D6971">
        <w:trPr>
          <w:trHeight w:val="360"/>
        </w:trPr>
        <w:tc>
          <w:tcPr>
            <w:tcW w:w="9645" w:type="dxa"/>
            <w:gridSpan w:val="5"/>
            <w:tcBorders>
              <w:top w:val="nil"/>
              <w:left w:val="single" w:sz="4" w:space="0" w:color="000000"/>
              <w:bottom w:val="single" w:sz="4" w:space="0" w:color="auto"/>
              <w:right w:val="single" w:sz="4" w:space="0" w:color="000000"/>
            </w:tcBorders>
            <w:vAlign w:val="center"/>
            <w:hideMark/>
          </w:tcPr>
          <w:p w:rsidR="00186A91" w:rsidRPr="00994B21" w:rsidRDefault="00186A91" w:rsidP="00DE3298">
            <w:pPr>
              <w:spacing w:before="60" w:after="60" w:line="240" w:lineRule="auto"/>
              <w:ind w:left="284" w:hanging="284"/>
              <w:rPr>
                <w:strike/>
                <w:lang w:val="fr-FR"/>
              </w:rPr>
            </w:pPr>
            <w:r w:rsidRPr="00994B21">
              <w:rPr>
                <w:rFonts w:ascii="inherit" w:hAnsi="inherit" w:cs="Courier New"/>
                <w:strike/>
                <w:color w:val="212121"/>
                <w:lang w:val="fr-FR" w:eastAsia="en-GB"/>
              </w:rPr>
              <w:t>8.</w:t>
            </w:r>
            <w:r w:rsidRPr="00994B21">
              <w:rPr>
                <w:strike/>
                <w:lang w:val="fr-FR"/>
              </w:rPr>
              <w:t xml:space="preserve"> </w:t>
            </w:r>
            <w:r w:rsidRPr="00994B21">
              <w:rPr>
                <w:strike/>
                <w:lang w:val="fr-FR"/>
              </w:rPr>
              <w:tab/>
            </w:r>
            <w:r w:rsidRPr="00994B21">
              <w:rPr>
                <w:rFonts w:ascii="inherit" w:hAnsi="inherit" w:cs="Courier New"/>
                <w:strike/>
                <w:color w:val="212121"/>
                <w:lang w:val="fr-FR" w:eastAsia="en-GB"/>
              </w:rPr>
              <w:t>Lorsque le matériau solide est saturé et qu</w:t>
            </w:r>
            <w:r>
              <w:rPr>
                <w:rFonts w:ascii="inherit" w:hAnsi="inherit" w:cs="Courier New"/>
                <w:strike/>
                <w:color w:val="212121"/>
                <w:lang w:val="fr-FR" w:eastAsia="en-GB"/>
              </w:rPr>
              <w:t>’</w:t>
            </w:r>
            <w:r w:rsidRPr="00994B21">
              <w:rPr>
                <w:rFonts w:ascii="inherit" w:hAnsi="inherit" w:cs="Courier New"/>
                <w:strike/>
                <w:color w:val="212121"/>
                <w:lang w:val="fr-FR" w:eastAsia="en-GB"/>
              </w:rPr>
              <w:t>il est possible que du liquide sorte pendant le transport, il ne faut utiliser que des emballages extérieurs capables de retenir des liquides.</w:t>
            </w:r>
          </w:p>
        </w:tc>
      </w:tr>
    </w:tbl>
    <w:p w:rsidR="00186A91" w:rsidRPr="00F0722D" w:rsidRDefault="00186A91" w:rsidP="00186A91">
      <w:pPr>
        <w:pStyle w:val="SingleTxtG"/>
        <w:spacing w:line="240" w:lineRule="auto"/>
        <w:jc w:val="right"/>
      </w:pPr>
      <w:r>
        <w:t> »</w:t>
      </w:r>
      <w:r w:rsidRPr="00F0722D">
        <w:t>.</w:t>
      </w:r>
    </w:p>
    <w:p w:rsidR="00186A91" w:rsidRPr="00DE3298" w:rsidRDefault="00186A91" w:rsidP="00DE3298">
      <w:pPr>
        <w:pStyle w:val="SingleTxtG"/>
        <w:rPr>
          <w:i/>
          <w:lang w:val="fr-FR"/>
        </w:rPr>
      </w:pPr>
      <w:r w:rsidRPr="00DE3298">
        <w:rPr>
          <w:i/>
          <w:lang w:val="fr-FR"/>
        </w:rPr>
        <w:t>(Document de référence : Proposition figurant dans l’annexe II du document ST/SG/AC.10/</w:t>
      </w:r>
      <w:r w:rsidR="0088329D">
        <w:rPr>
          <w:i/>
          <w:lang w:val="fr-FR"/>
        </w:rPr>
        <w:t xml:space="preserve"> </w:t>
      </w:r>
      <w:r w:rsidRPr="00DE3298">
        <w:rPr>
          <w:i/>
          <w:lang w:val="fr-FR"/>
        </w:rPr>
        <w:t xml:space="preserve">C.3/102/Add.1, telle que </w:t>
      </w:r>
      <w:r w:rsidRPr="00DE3298">
        <w:rPr>
          <w:i/>
        </w:rPr>
        <w:t>modifiée</w:t>
      </w:r>
      <w:r w:rsidRPr="00DE3298">
        <w:rPr>
          <w:i/>
          <w:lang w:val="fr-FR"/>
        </w:rPr>
        <w:t>)</w:t>
      </w:r>
    </w:p>
    <w:p w:rsidR="00186A91" w:rsidRDefault="00186A91" w:rsidP="005A74FA">
      <w:pPr>
        <w:pStyle w:val="SingleTxtG"/>
        <w:tabs>
          <w:tab w:val="left" w:pos="2268"/>
        </w:tabs>
        <w:rPr>
          <w:lang w:val="fr-FR"/>
        </w:rPr>
      </w:pPr>
      <w:r w:rsidRPr="00994B21">
        <w:rPr>
          <w:lang w:val="fr-FR"/>
        </w:rPr>
        <w:t>4.1.4.3</w:t>
      </w:r>
      <w:r w:rsidRPr="00994B21">
        <w:rPr>
          <w:lang w:val="fr-FR"/>
        </w:rPr>
        <w:tab/>
        <w:t>Ajouter la nouvelle instruction d’emballage</w:t>
      </w:r>
      <w:r w:rsidR="00DE3298">
        <w:rPr>
          <w:lang w:val="fr-FR"/>
        </w:rPr>
        <w:t xml:space="preserve"> LP622 suivante :</w:t>
      </w:r>
    </w:p>
    <w:p w:rsidR="00186A91" w:rsidRDefault="00186A91" w:rsidP="00186A91">
      <w:pPr>
        <w:pStyle w:val="SingleTxtG"/>
        <w:spacing w:after="240" w:line="240" w:lineRule="auto"/>
        <w:ind w:left="0" w:right="0"/>
        <w:jc w:val="left"/>
        <w:rPr>
          <w:lang w:val="en-CA"/>
        </w:rPr>
      </w:pPr>
      <w:r>
        <w:rPr>
          <w:lang w:val="en-CA"/>
        </w:rPr>
        <w:t>«</w:t>
      </w:r>
      <w:r w:rsidR="00DE3298">
        <w:rPr>
          <w:lang w:val="en-CA"/>
        </w:rPr>
        <w:t> </w:t>
      </w:r>
    </w:p>
    <w:tbl>
      <w:tblPr>
        <w:tblW w:w="9645"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4A0" w:firstRow="1" w:lastRow="0" w:firstColumn="1" w:lastColumn="0" w:noHBand="0" w:noVBand="1"/>
      </w:tblPr>
      <w:tblGrid>
        <w:gridCol w:w="856"/>
        <w:gridCol w:w="2359"/>
        <w:gridCol w:w="3215"/>
        <w:gridCol w:w="2644"/>
        <w:gridCol w:w="571"/>
      </w:tblGrid>
      <w:tr w:rsidR="00DE3298" w:rsidRPr="009D6971" w:rsidTr="001D7D03">
        <w:tc>
          <w:tcPr>
            <w:tcW w:w="856" w:type="dxa"/>
            <w:tcBorders>
              <w:top w:val="single" w:sz="4" w:space="0" w:color="000000"/>
              <w:left w:val="single" w:sz="4" w:space="0" w:color="000000"/>
              <w:bottom w:val="single" w:sz="4" w:space="0" w:color="auto"/>
              <w:right w:val="nil"/>
            </w:tcBorders>
            <w:hideMark/>
          </w:tcPr>
          <w:p w:rsidR="00DE3298" w:rsidRPr="009D6971" w:rsidRDefault="005A74FA" w:rsidP="00DE3298">
            <w:pPr>
              <w:spacing w:before="60" w:after="60" w:line="240" w:lineRule="auto"/>
              <w:rPr>
                <w:b/>
                <w:bCs/>
                <w:color w:val="000000"/>
                <w:sz w:val="16"/>
                <w:szCs w:val="16"/>
                <w:lang w:val="fr-FR"/>
              </w:rPr>
            </w:pPr>
            <w:r>
              <w:rPr>
                <w:b/>
                <w:bCs/>
                <w:sz w:val="16"/>
                <w:szCs w:val="16"/>
                <w:lang w:val="fr-FR"/>
              </w:rPr>
              <w:t>L</w:t>
            </w:r>
            <w:r w:rsidR="00DE3298" w:rsidRPr="009D6971">
              <w:rPr>
                <w:b/>
                <w:bCs/>
                <w:sz w:val="16"/>
                <w:szCs w:val="16"/>
                <w:lang w:val="fr-FR"/>
              </w:rPr>
              <w:t>P622</w:t>
            </w:r>
          </w:p>
        </w:tc>
        <w:tc>
          <w:tcPr>
            <w:tcW w:w="8218" w:type="dxa"/>
            <w:gridSpan w:val="3"/>
            <w:tcBorders>
              <w:top w:val="single" w:sz="4" w:space="0" w:color="000000"/>
              <w:left w:val="nil"/>
              <w:bottom w:val="single" w:sz="4" w:space="0" w:color="auto"/>
              <w:right w:val="nil"/>
            </w:tcBorders>
            <w:hideMark/>
          </w:tcPr>
          <w:p w:rsidR="00DE3298" w:rsidRPr="00994B21" w:rsidRDefault="00DE3298" w:rsidP="00DE3298">
            <w:pPr>
              <w:spacing w:before="60" w:after="60" w:line="240" w:lineRule="auto"/>
              <w:jc w:val="center"/>
              <w:rPr>
                <w:b/>
                <w:bCs/>
                <w:color w:val="000000"/>
                <w:sz w:val="18"/>
                <w:szCs w:val="18"/>
                <w:lang w:val="fr-FR"/>
              </w:rPr>
            </w:pPr>
            <w:r w:rsidRPr="00994B21">
              <w:rPr>
                <w:b/>
                <w:bCs/>
                <w:lang w:val="fr-FR"/>
              </w:rPr>
              <w:t>INSTRUCTION D’EMBALLAGE</w:t>
            </w:r>
          </w:p>
        </w:tc>
        <w:tc>
          <w:tcPr>
            <w:tcW w:w="571" w:type="dxa"/>
            <w:tcBorders>
              <w:top w:val="single" w:sz="4" w:space="0" w:color="000000"/>
              <w:left w:val="nil"/>
              <w:bottom w:val="single" w:sz="4" w:space="0" w:color="auto"/>
              <w:right w:val="single" w:sz="4" w:space="0" w:color="000000"/>
            </w:tcBorders>
            <w:hideMark/>
          </w:tcPr>
          <w:p w:rsidR="00DE3298" w:rsidRPr="009D6971" w:rsidRDefault="005A74FA" w:rsidP="00DE3298">
            <w:pPr>
              <w:spacing w:before="60" w:after="60" w:line="240" w:lineRule="auto"/>
              <w:jc w:val="right"/>
              <w:rPr>
                <w:b/>
                <w:bCs/>
                <w:color w:val="000000"/>
                <w:sz w:val="16"/>
                <w:szCs w:val="16"/>
                <w:lang w:val="fr-FR"/>
              </w:rPr>
            </w:pPr>
            <w:r>
              <w:rPr>
                <w:b/>
                <w:iCs/>
                <w:sz w:val="16"/>
              </w:rPr>
              <w:t>L</w:t>
            </w:r>
            <w:r w:rsidR="00DE3298" w:rsidRPr="009D6971">
              <w:rPr>
                <w:b/>
                <w:iCs/>
                <w:sz w:val="16"/>
              </w:rPr>
              <w:t>P622</w:t>
            </w:r>
          </w:p>
        </w:tc>
      </w:tr>
      <w:tr w:rsidR="00186A91" w:rsidRPr="00994B21" w:rsidTr="00DE3298">
        <w:tc>
          <w:tcPr>
            <w:tcW w:w="9645" w:type="dxa"/>
            <w:gridSpan w:val="5"/>
            <w:tcBorders>
              <w:top w:val="single" w:sz="4" w:space="0" w:color="000000"/>
              <w:left w:val="single" w:sz="4" w:space="0" w:color="000000"/>
              <w:bottom w:val="single" w:sz="4" w:space="0" w:color="000000"/>
              <w:right w:val="single" w:sz="4" w:space="0" w:color="000000"/>
            </w:tcBorders>
            <w:hideMark/>
          </w:tcPr>
          <w:p w:rsidR="00186A91" w:rsidRPr="00994B21" w:rsidRDefault="00186A91" w:rsidP="00DE3298">
            <w:pPr>
              <w:spacing w:before="60" w:after="60" w:line="240" w:lineRule="auto"/>
              <w:rPr>
                <w:color w:val="000000"/>
                <w:sz w:val="18"/>
                <w:szCs w:val="18"/>
                <w:lang w:val="fr-FR"/>
              </w:rPr>
            </w:pPr>
            <w:r w:rsidRPr="00994B21">
              <w:rPr>
                <w:lang w:val="fr-FR"/>
              </w:rPr>
              <w:t xml:space="preserve">La présente instruction s’applique </w:t>
            </w:r>
            <w:r w:rsidRPr="00994B21">
              <w:rPr>
                <w:strike/>
                <w:lang w:val="fr-FR"/>
              </w:rPr>
              <w:t>aux déchets médicaux ou déchets d’hôpital solides affectés</w:t>
            </w:r>
            <w:r w:rsidRPr="00994B21">
              <w:rPr>
                <w:lang w:val="fr-FR"/>
              </w:rPr>
              <w:t xml:space="preserve"> au No ONU 3549 </w:t>
            </w:r>
            <w:r w:rsidRPr="00994B21">
              <w:rPr>
                <w:strike/>
                <w:lang w:val="fr-FR"/>
              </w:rPr>
              <w:t>transportés en vue de leur élimination</w:t>
            </w:r>
            <w:r w:rsidRPr="00994B21">
              <w:rPr>
                <w:lang w:val="fr-FR"/>
              </w:rPr>
              <w:t>.</w:t>
            </w:r>
          </w:p>
        </w:tc>
      </w:tr>
      <w:tr w:rsidR="00186A91" w:rsidRPr="00994B21" w:rsidTr="00DE3298">
        <w:tc>
          <w:tcPr>
            <w:tcW w:w="9645" w:type="dxa"/>
            <w:gridSpan w:val="5"/>
            <w:tcBorders>
              <w:top w:val="single" w:sz="4" w:space="0" w:color="000000"/>
              <w:left w:val="single" w:sz="4" w:space="0" w:color="000000"/>
              <w:bottom w:val="single" w:sz="4" w:space="0" w:color="000000"/>
              <w:right w:val="single" w:sz="4" w:space="0" w:color="000000"/>
            </w:tcBorders>
            <w:hideMark/>
          </w:tcPr>
          <w:p w:rsidR="00186A91" w:rsidRPr="00994B21" w:rsidRDefault="00186A91" w:rsidP="00DE3298">
            <w:pPr>
              <w:spacing w:before="60" w:after="60" w:line="240" w:lineRule="auto"/>
              <w:rPr>
                <w:color w:val="000000"/>
                <w:sz w:val="18"/>
                <w:szCs w:val="18"/>
                <w:lang w:val="fr-FR"/>
              </w:rPr>
            </w:pPr>
            <w:r w:rsidRPr="00994B21">
              <w:rPr>
                <w:lang w:val="fr-FR"/>
              </w:rPr>
              <w:t xml:space="preserve">Les emballages suivants sont autorisés s’il est satisfait aux dispositions générales des sections </w:t>
            </w:r>
            <w:r w:rsidRPr="00994B21">
              <w:rPr>
                <w:b/>
                <w:lang w:val="fr-FR"/>
              </w:rPr>
              <w:t>4.1.1</w:t>
            </w:r>
            <w:r w:rsidRPr="00994B21">
              <w:rPr>
                <w:lang w:val="fr-FR"/>
              </w:rPr>
              <w:t xml:space="preserve"> et </w:t>
            </w:r>
            <w:r w:rsidRPr="00994B21">
              <w:rPr>
                <w:b/>
                <w:lang w:val="fr-FR"/>
              </w:rPr>
              <w:t>4.1.3</w:t>
            </w:r>
            <w:r w:rsidRPr="00994B21">
              <w:rPr>
                <w:lang w:val="fr-FR"/>
              </w:rPr>
              <w:t> :</w:t>
            </w:r>
          </w:p>
        </w:tc>
      </w:tr>
      <w:tr w:rsidR="00186A91" w:rsidRPr="00994B21" w:rsidTr="00DE3298">
        <w:tc>
          <w:tcPr>
            <w:tcW w:w="3215" w:type="dxa"/>
            <w:gridSpan w:val="2"/>
            <w:tcBorders>
              <w:top w:val="single" w:sz="4" w:space="0" w:color="000000"/>
              <w:left w:val="single" w:sz="4" w:space="0" w:color="000000"/>
              <w:bottom w:val="single" w:sz="4" w:space="0" w:color="000000"/>
              <w:right w:val="single" w:sz="4" w:space="0" w:color="auto"/>
            </w:tcBorders>
            <w:hideMark/>
          </w:tcPr>
          <w:p w:rsidR="00186A91" w:rsidRPr="00994B21" w:rsidRDefault="00186A91" w:rsidP="00DE3298">
            <w:pPr>
              <w:spacing w:before="60" w:after="60" w:line="240" w:lineRule="auto"/>
              <w:rPr>
                <w:b/>
                <w:color w:val="000000"/>
                <w:sz w:val="18"/>
                <w:szCs w:val="18"/>
                <w:lang w:val="fr-FR"/>
              </w:rPr>
            </w:pPr>
            <w:r w:rsidRPr="00994B21">
              <w:rPr>
                <w:b/>
                <w:bCs/>
                <w:lang w:val="fr-FR"/>
              </w:rPr>
              <w:t>Emballages intérieurs</w:t>
            </w:r>
          </w:p>
        </w:tc>
        <w:tc>
          <w:tcPr>
            <w:tcW w:w="3215" w:type="dxa"/>
            <w:tcBorders>
              <w:top w:val="single" w:sz="4" w:space="0" w:color="000000"/>
              <w:left w:val="single" w:sz="4" w:space="0" w:color="auto"/>
              <w:bottom w:val="single" w:sz="4" w:space="0" w:color="000000"/>
              <w:right w:val="single" w:sz="4" w:space="0" w:color="auto"/>
            </w:tcBorders>
            <w:hideMark/>
          </w:tcPr>
          <w:p w:rsidR="00186A91" w:rsidRPr="00994B21" w:rsidRDefault="00186A91" w:rsidP="00DE3298">
            <w:pPr>
              <w:spacing w:before="60" w:after="60" w:line="240" w:lineRule="auto"/>
              <w:rPr>
                <w:b/>
                <w:color w:val="000000"/>
                <w:sz w:val="18"/>
                <w:szCs w:val="18"/>
                <w:lang w:val="fr-FR"/>
              </w:rPr>
            </w:pPr>
            <w:r w:rsidRPr="00994B21">
              <w:rPr>
                <w:b/>
                <w:bCs/>
                <w:lang w:val="fr-FR"/>
              </w:rPr>
              <w:t>Emballages intermédiaires</w:t>
            </w:r>
          </w:p>
        </w:tc>
        <w:tc>
          <w:tcPr>
            <w:tcW w:w="3215" w:type="dxa"/>
            <w:gridSpan w:val="2"/>
            <w:tcBorders>
              <w:top w:val="single" w:sz="4" w:space="0" w:color="000000"/>
              <w:left w:val="single" w:sz="4" w:space="0" w:color="auto"/>
              <w:bottom w:val="single" w:sz="4" w:space="0" w:color="000000"/>
              <w:right w:val="single" w:sz="4" w:space="0" w:color="000000"/>
            </w:tcBorders>
            <w:hideMark/>
          </w:tcPr>
          <w:p w:rsidR="00186A91" w:rsidRPr="00994B21" w:rsidRDefault="00186A91" w:rsidP="00DE3298">
            <w:pPr>
              <w:spacing w:before="60" w:after="60" w:line="240" w:lineRule="auto"/>
              <w:rPr>
                <w:b/>
                <w:color w:val="000000"/>
                <w:sz w:val="18"/>
                <w:szCs w:val="18"/>
                <w:lang w:val="fr-FR"/>
              </w:rPr>
            </w:pPr>
            <w:r w:rsidRPr="00994B21">
              <w:rPr>
                <w:b/>
                <w:bCs/>
                <w:lang w:val="fr-FR"/>
              </w:rPr>
              <w:t>Emballages extérieurs</w:t>
            </w:r>
          </w:p>
        </w:tc>
      </w:tr>
      <w:tr w:rsidR="00186A91" w:rsidRPr="00994B21" w:rsidTr="00DE3298">
        <w:trPr>
          <w:trHeight w:val="1394"/>
        </w:trPr>
        <w:tc>
          <w:tcPr>
            <w:tcW w:w="3215" w:type="dxa"/>
            <w:gridSpan w:val="2"/>
            <w:tcBorders>
              <w:top w:val="single" w:sz="4" w:space="0" w:color="000000"/>
              <w:left w:val="single" w:sz="4" w:space="0" w:color="000000"/>
              <w:bottom w:val="single" w:sz="4" w:space="0" w:color="000000"/>
              <w:right w:val="single" w:sz="4" w:space="0" w:color="auto"/>
            </w:tcBorders>
            <w:hideMark/>
          </w:tcPr>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métal</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plastique</w:t>
            </w:r>
          </w:p>
        </w:tc>
        <w:tc>
          <w:tcPr>
            <w:tcW w:w="3215" w:type="dxa"/>
            <w:tcBorders>
              <w:top w:val="single" w:sz="4" w:space="0" w:color="000000"/>
              <w:left w:val="single" w:sz="4" w:space="0" w:color="auto"/>
              <w:bottom w:val="single" w:sz="4" w:space="0" w:color="000000"/>
              <w:right w:val="single" w:sz="4" w:space="0" w:color="auto"/>
            </w:tcBorders>
            <w:hideMark/>
          </w:tcPr>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métal</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plastique</w:t>
            </w:r>
          </w:p>
        </w:tc>
        <w:tc>
          <w:tcPr>
            <w:tcW w:w="3215" w:type="dxa"/>
            <w:gridSpan w:val="2"/>
            <w:tcBorders>
              <w:top w:val="single" w:sz="4" w:space="0" w:color="000000"/>
              <w:left w:val="single" w:sz="4" w:space="0" w:color="auto"/>
              <w:bottom w:val="single" w:sz="4" w:space="0" w:color="000000"/>
              <w:right w:val="single" w:sz="4" w:space="0" w:color="000000"/>
            </w:tcBorders>
            <w:hideMark/>
          </w:tcPr>
          <w:p w:rsidR="00186A91" w:rsidRPr="001178D4" w:rsidRDefault="00186A91" w:rsidP="00DE3298">
            <w:pPr>
              <w:spacing w:before="60" w:after="60" w:line="240" w:lineRule="auto"/>
              <w:rPr>
                <w:color w:val="000000"/>
                <w:sz w:val="18"/>
                <w:szCs w:val="18"/>
                <w:lang w:val="es-ES"/>
              </w:rPr>
            </w:pPr>
            <w:r w:rsidRPr="001178D4">
              <w:rPr>
                <w:lang w:val="es-ES"/>
              </w:rPr>
              <w:t xml:space="preserve">en </w:t>
            </w:r>
            <w:proofErr w:type="spellStart"/>
            <w:r w:rsidRPr="001178D4">
              <w:rPr>
                <w:lang w:val="es-ES"/>
              </w:rPr>
              <w:t>acier</w:t>
            </w:r>
            <w:proofErr w:type="spellEnd"/>
            <w:r w:rsidRPr="001178D4">
              <w:rPr>
                <w:lang w:val="es-ES"/>
              </w:rPr>
              <w:t xml:space="preserve"> (50A)</w:t>
            </w:r>
          </w:p>
          <w:p w:rsidR="00186A91" w:rsidRPr="001178D4" w:rsidRDefault="00186A91" w:rsidP="00DE3298">
            <w:pPr>
              <w:spacing w:before="60" w:after="60" w:line="240" w:lineRule="auto"/>
              <w:rPr>
                <w:color w:val="000000"/>
                <w:sz w:val="18"/>
                <w:szCs w:val="18"/>
                <w:lang w:val="es-ES"/>
              </w:rPr>
            </w:pPr>
            <w:r w:rsidRPr="001178D4">
              <w:rPr>
                <w:lang w:val="es-ES"/>
              </w:rPr>
              <w:t xml:space="preserve">en </w:t>
            </w:r>
            <w:proofErr w:type="spellStart"/>
            <w:r w:rsidRPr="001178D4">
              <w:rPr>
                <w:lang w:val="es-ES"/>
              </w:rPr>
              <w:t>aluminium</w:t>
            </w:r>
            <w:proofErr w:type="spellEnd"/>
            <w:r w:rsidRPr="001178D4">
              <w:rPr>
                <w:lang w:val="es-ES"/>
              </w:rPr>
              <w:t xml:space="preserve"> (50B)</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contreplaqué (50D)</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carton rigide (50G)</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un autre métal (50N)</w:t>
            </w:r>
          </w:p>
          <w:p w:rsidR="00186A91" w:rsidRPr="00994B21" w:rsidRDefault="00186A91" w:rsidP="00DE3298">
            <w:pPr>
              <w:spacing w:before="60" w:after="60" w:line="240" w:lineRule="auto"/>
              <w:rPr>
                <w:color w:val="000000"/>
                <w:sz w:val="18"/>
                <w:szCs w:val="18"/>
                <w:lang w:val="fr-FR"/>
              </w:rPr>
            </w:pPr>
            <w:proofErr w:type="gramStart"/>
            <w:r w:rsidRPr="00994B21">
              <w:rPr>
                <w:lang w:val="fr-FR"/>
              </w:rPr>
              <w:t>en</w:t>
            </w:r>
            <w:proofErr w:type="gramEnd"/>
            <w:r w:rsidRPr="00994B21">
              <w:rPr>
                <w:lang w:val="fr-FR"/>
              </w:rPr>
              <w:t xml:space="preserve"> plastique (50H)</w:t>
            </w:r>
          </w:p>
        </w:tc>
      </w:tr>
      <w:tr w:rsidR="00186A91" w:rsidRPr="00994B21" w:rsidTr="005A74FA">
        <w:tc>
          <w:tcPr>
            <w:tcW w:w="9645" w:type="dxa"/>
            <w:gridSpan w:val="5"/>
            <w:tcBorders>
              <w:top w:val="single" w:sz="4" w:space="0" w:color="000000"/>
              <w:left w:val="single" w:sz="4" w:space="0" w:color="000000"/>
              <w:bottom w:val="single" w:sz="4" w:space="0" w:color="000000"/>
              <w:right w:val="single" w:sz="4" w:space="0" w:color="000000"/>
            </w:tcBorders>
            <w:hideMark/>
          </w:tcPr>
          <w:p w:rsidR="00186A91" w:rsidRPr="00994B21" w:rsidRDefault="00186A91" w:rsidP="00DE3298">
            <w:pPr>
              <w:spacing w:before="60" w:after="60" w:line="240" w:lineRule="auto"/>
              <w:rPr>
                <w:color w:val="000000"/>
                <w:sz w:val="18"/>
                <w:szCs w:val="18"/>
                <w:lang w:val="fr-FR"/>
              </w:rPr>
            </w:pPr>
            <w:r w:rsidRPr="00994B21">
              <w:rPr>
                <w:lang w:val="fr-FR"/>
              </w:rPr>
              <w:t xml:space="preserve">L’emballage doit satisfaire au niveau d’épreuve du groupe d’emballage I pour les matières solides. </w:t>
            </w:r>
          </w:p>
        </w:tc>
      </w:tr>
      <w:tr w:rsidR="00186A91" w:rsidRPr="00994B21" w:rsidTr="005A74FA">
        <w:tc>
          <w:tcPr>
            <w:tcW w:w="9645" w:type="dxa"/>
            <w:gridSpan w:val="5"/>
            <w:tcBorders>
              <w:top w:val="single" w:sz="4" w:space="0" w:color="000000"/>
              <w:left w:val="single" w:sz="4" w:space="0" w:color="000000"/>
              <w:bottom w:val="single" w:sz="4" w:space="0" w:color="000000"/>
              <w:right w:val="single" w:sz="4" w:space="0" w:color="000000"/>
            </w:tcBorders>
            <w:hideMark/>
          </w:tcPr>
          <w:p w:rsidR="00186A91" w:rsidRPr="00994B21" w:rsidRDefault="00186A91" w:rsidP="005A74FA">
            <w:pPr>
              <w:keepNext/>
              <w:spacing w:before="60" w:after="60" w:line="240" w:lineRule="auto"/>
              <w:rPr>
                <w:color w:val="000000"/>
                <w:sz w:val="18"/>
                <w:szCs w:val="18"/>
                <w:lang w:val="fr-FR"/>
              </w:rPr>
            </w:pPr>
            <w:r w:rsidRPr="00994B21">
              <w:rPr>
                <w:b/>
                <w:bCs/>
                <w:lang w:val="fr-FR"/>
              </w:rPr>
              <w:lastRenderedPageBreak/>
              <w:t>Dispositions supplémentaires :</w:t>
            </w:r>
          </w:p>
        </w:tc>
      </w:tr>
      <w:tr w:rsidR="00186A91" w:rsidRPr="00994B21" w:rsidTr="00DE3298">
        <w:trPr>
          <w:trHeight w:val="244"/>
        </w:trPr>
        <w:tc>
          <w:tcPr>
            <w:tcW w:w="9645" w:type="dxa"/>
            <w:gridSpan w:val="5"/>
            <w:tcBorders>
              <w:top w:val="single" w:sz="4" w:space="0" w:color="000000"/>
              <w:left w:val="single" w:sz="4" w:space="0" w:color="000000"/>
              <w:bottom w:val="single" w:sz="4" w:space="0" w:color="000000"/>
              <w:right w:val="single" w:sz="4" w:space="0" w:color="000000"/>
            </w:tcBorders>
            <w:vAlign w:val="center"/>
            <w:hideMark/>
          </w:tcPr>
          <w:p w:rsidR="00186A91" w:rsidRPr="00994B21" w:rsidRDefault="00186A91" w:rsidP="00DE3298">
            <w:pPr>
              <w:spacing w:before="60" w:after="60" w:line="240" w:lineRule="auto"/>
              <w:ind w:left="284" w:hanging="284"/>
              <w:rPr>
                <w:lang w:val="fr-FR"/>
              </w:rPr>
            </w:pPr>
            <w:r w:rsidRPr="00994B21">
              <w:rPr>
                <w:lang w:val="fr-FR"/>
              </w:rPr>
              <w:t>1.</w:t>
            </w:r>
            <w:r w:rsidRPr="00994B21">
              <w:rPr>
                <w:lang w:val="fr-FR"/>
              </w:rPr>
              <w:tab/>
              <w:t>Les objets fragiles doivent être contenus soit dans des emballages intérieurs rigides, soit dans des emballages intermédiaires rigides.</w:t>
            </w:r>
          </w:p>
          <w:p w:rsidR="00186A91" w:rsidRPr="00994B21" w:rsidRDefault="00186A91" w:rsidP="00DE3298">
            <w:pPr>
              <w:spacing w:before="60" w:after="60" w:line="240" w:lineRule="auto"/>
              <w:ind w:left="284" w:hanging="284"/>
              <w:rPr>
                <w:lang w:val="fr-FR"/>
              </w:rPr>
            </w:pPr>
            <w:r w:rsidRPr="00994B21">
              <w:rPr>
                <w:lang w:val="fr-FR"/>
              </w:rPr>
              <w:t>2.</w:t>
            </w:r>
            <w:r w:rsidRPr="00994B21">
              <w:rPr>
                <w:lang w:val="fr-FR"/>
              </w:rPr>
              <w:tab/>
              <w:t>Les emballages intérieurs contenant des objets tranchants ou pointus tels que du verre brisé et des aiguilles doivent être rigides et résistants à la perforation.</w:t>
            </w:r>
          </w:p>
          <w:p w:rsidR="00186A91" w:rsidRPr="00994B21" w:rsidRDefault="00186A91" w:rsidP="00DE3298">
            <w:pPr>
              <w:spacing w:before="60" w:after="60" w:line="240" w:lineRule="auto"/>
              <w:ind w:left="284" w:hanging="284"/>
              <w:rPr>
                <w:lang w:val="fr-FR"/>
              </w:rPr>
            </w:pPr>
            <w:r w:rsidRPr="00994B21">
              <w:rPr>
                <w:lang w:val="fr-FR"/>
              </w:rPr>
              <w:t>3.</w:t>
            </w:r>
            <w:r w:rsidRPr="00994B21">
              <w:rPr>
                <w:lang w:val="fr-FR"/>
              </w:rPr>
              <w:tab/>
              <w:t xml:space="preserve">L’emballage intérieur et l’emballage intermédiaire doivent être capables de retenir les liquides. </w:t>
            </w:r>
          </w:p>
          <w:p w:rsidR="00186A91" w:rsidRPr="00994B21" w:rsidRDefault="00186A91" w:rsidP="00DE3298">
            <w:pPr>
              <w:spacing w:before="60" w:after="60" w:line="240" w:lineRule="auto"/>
              <w:ind w:left="284" w:hanging="284"/>
              <w:rPr>
                <w:lang w:val="fr-FR"/>
              </w:rPr>
            </w:pPr>
            <w:r w:rsidRPr="00994B21">
              <w:rPr>
                <w:lang w:val="fr-FR"/>
              </w:rPr>
              <w:t>4.</w:t>
            </w:r>
            <w:r w:rsidRPr="00994B21">
              <w:rPr>
                <w:lang w:val="fr-FR"/>
              </w:rPr>
              <w:tab/>
              <w:t xml:space="preserve">L’emballage intérieur et l’emballage intermédiaire peuvent être souples. Lorsque des emballages souples sont utilisés, ils doivent satisfaire </w:t>
            </w:r>
            <w:r w:rsidRPr="00994B21">
              <w:rPr>
                <w:strike/>
                <w:lang w:val="fr-FR"/>
              </w:rPr>
              <w:t>aux</w:t>
            </w:r>
            <w:r w:rsidRPr="00994B21">
              <w:rPr>
                <w:lang w:val="fr-FR"/>
              </w:rPr>
              <w:t xml:space="preserve"> </w:t>
            </w:r>
            <w:r w:rsidRPr="00994B21">
              <w:rPr>
                <w:u w:val="single"/>
                <w:lang w:val="fr-FR"/>
              </w:rPr>
              <w:t>à l’</w:t>
            </w:r>
            <w:r w:rsidRPr="00994B21">
              <w:rPr>
                <w:lang w:val="fr-FR"/>
              </w:rPr>
              <w:t>épreuve</w:t>
            </w:r>
            <w:r w:rsidRPr="00994B21">
              <w:rPr>
                <w:strike/>
                <w:lang w:val="fr-FR"/>
              </w:rPr>
              <w:t>s</w:t>
            </w:r>
            <w:r w:rsidRPr="00994B21">
              <w:rPr>
                <w:lang w:val="fr-FR"/>
              </w:rPr>
              <w:t xml:space="preserve"> de choc</w:t>
            </w:r>
            <w:r w:rsidRPr="00994B21">
              <w:rPr>
                <w:strike/>
                <w:lang w:val="fr-FR"/>
              </w:rPr>
              <w:t xml:space="preserve"> et de résistance</w:t>
            </w:r>
            <w:r w:rsidRPr="00994B21">
              <w:rPr>
                <w:lang w:val="fr-FR"/>
              </w:rPr>
              <w:t xml:space="preserve"> </w:t>
            </w:r>
            <w:r>
              <w:rPr>
                <w:u w:val="single"/>
                <w:lang w:val="fr-FR"/>
              </w:rPr>
              <w:t>en offrant</w:t>
            </w:r>
            <w:r w:rsidRPr="00994B21">
              <w:rPr>
                <w:u w:val="single"/>
                <w:lang w:val="fr-FR"/>
              </w:rPr>
              <w:t xml:space="preserve"> une résistance d’au moins 165 g</w:t>
            </w:r>
            <w:r w:rsidRPr="00994B21">
              <w:rPr>
                <w:lang w:val="fr-FR"/>
              </w:rPr>
              <w:t xml:space="preserve"> en application </w:t>
            </w:r>
            <w:proofErr w:type="spellStart"/>
            <w:r w:rsidRPr="00994B21">
              <w:rPr>
                <w:lang w:val="fr-FR"/>
              </w:rPr>
              <w:t>de</w:t>
            </w:r>
            <w:r w:rsidRPr="00994B21">
              <w:rPr>
                <w:strike/>
                <w:lang w:val="fr-FR"/>
              </w:rPr>
              <w:t>s</w:t>
            </w:r>
            <w:proofErr w:type="spellEnd"/>
            <w:r w:rsidRPr="00994B21">
              <w:rPr>
                <w:lang w:val="fr-FR"/>
              </w:rPr>
              <w:t xml:space="preserve"> </w:t>
            </w:r>
            <w:r w:rsidRPr="00994B21">
              <w:rPr>
                <w:u w:val="single"/>
                <w:lang w:val="fr-FR"/>
              </w:rPr>
              <w:t>la</w:t>
            </w:r>
            <w:r w:rsidRPr="00994B21">
              <w:rPr>
                <w:lang w:val="fr-FR"/>
              </w:rPr>
              <w:t xml:space="preserve"> norme</w:t>
            </w:r>
            <w:r w:rsidRPr="00994B21">
              <w:rPr>
                <w:strike/>
                <w:lang w:val="fr-FR"/>
              </w:rPr>
              <w:t>s</w:t>
            </w:r>
            <w:r w:rsidRPr="00994B21">
              <w:rPr>
                <w:lang w:val="fr-FR"/>
              </w:rPr>
              <w:t xml:space="preserve"> ISO 7765-1:1988 </w:t>
            </w:r>
            <w:r w:rsidRPr="00370582">
              <w:t>“</w:t>
            </w:r>
            <w:r w:rsidRPr="00994B21">
              <w:rPr>
                <w:lang w:val="fr-FR"/>
              </w:rPr>
              <w:t>Films et feuilles de plastique − Détermination de la résistance au choc par la méthode par chute libre de projectile −</w:t>
            </w:r>
            <w:r w:rsidR="00DE3298">
              <w:rPr>
                <w:lang w:val="fr-FR"/>
              </w:rPr>
              <w:t xml:space="preserve"> Partie 1 : Méthodes dites de l’“</w:t>
            </w:r>
            <w:r w:rsidRPr="00994B21">
              <w:rPr>
                <w:lang w:val="fr-FR"/>
              </w:rPr>
              <w:t>escalier</w:t>
            </w:r>
            <w:r w:rsidR="00DE3298">
              <w:rPr>
                <w:lang w:val="fr-FR"/>
              </w:rPr>
              <w:t>”</w:t>
            </w:r>
            <w:r w:rsidRPr="006D14F9">
              <w:rPr>
                <w:u w:val="single"/>
                <w:lang w:val="fr-FR"/>
              </w:rPr>
              <w:t xml:space="preserve">, ainsi </w:t>
            </w:r>
            <w:r w:rsidRPr="00994B21">
              <w:rPr>
                <w:u w:val="single"/>
                <w:lang w:val="fr-FR"/>
              </w:rPr>
              <w:t xml:space="preserve">qu’à l’épreuve de résistance au déchirement </w:t>
            </w:r>
            <w:r>
              <w:rPr>
                <w:u w:val="single"/>
                <w:lang w:val="fr-FR"/>
              </w:rPr>
              <w:t>en offrant</w:t>
            </w:r>
            <w:r w:rsidRPr="00994B21">
              <w:rPr>
                <w:u w:val="single"/>
                <w:lang w:val="fr-FR"/>
              </w:rPr>
              <w:t xml:space="preserve"> une résistance d’au moins 480 g sur des plans perpendiculaires et parallèles au plan longitudinal du sac</w:t>
            </w:r>
            <w:r w:rsidRPr="00994B21">
              <w:rPr>
                <w:lang w:val="fr-FR"/>
              </w:rPr>
              <w:t xml:space="preserve"> </w:t>
            </w:r>
            <w:r w:rsidRPr="00994B21">
              <w:rPr>
                <w:strike/>
                <w:lang w:val="fr-FR"/>
              </w:rPr>
              <w:t>et</w:t>
            </w:r>
            <w:r w:rsidRPr="00994B21">
              <w:rPr>
                <w:lang w:val="fr-FR"/>
              </w:rPr>
              <w:t xml:space="preserve"> </w:t>
            </w:r>
            <w:r w:rsidRPr="00994B21">
              <w:rPr>
                <w:u w:val="single"/>
                <w:lang w:val="fr-FR"/>
              </w:rPr>
              <w:t>en application de la norme</w:t>
            </w:r>
            <w:r w:rsidRPr="00994B21">
              <w:rPr>
                <w:lang w:val="fr-FR"/>
              </w:rPr>
              <w:t xml:space="preserve"> ISO 6383-2:1983 </w:t>
            </w:r>
            <w:r w:rsidRPr="00370582">
              <w:t>“</w:t>
            </w:r>
            <w:r w:rsidRPr="00994B21">
              <w:rPr>
                <w:lang w:val="fr-FR"/>
              </w:rPr>
              <w:t xml:space="preserve">Films et feuilles de plastique − Détermination de la résistance au déchirement − Partie 2 : Méthode </w:t>
            </w:r>
            <w:proofErr w:type="spellStart"/>
            <w:r w:rsidRPr="00994B21">
              <w:rPr>
                <w:lang w:val="fr-FR"/>
              </w:rPr>
              <w:t>Elmendorf</w:t>
            </w:r>
            <w:proofErr w:type="spellEnd"/>
            <w:r w:rsidRPr="00370582">
              <w:t>”</w:t>
            </w:r>
            <w:r w:rsidRPr="00994B21">
              <w:rPr>
                <w:lang w:val="fr-FR"/>
              </w:rPr>
              <w:t xml:space="preserve">. </w:t>
            </w:r>
            <w:r w:rsidRPr="00994B21">
              <w:rPr>
                <w:strike/>
                <w:lang w:val="fr-FR"/>
              </w:rPr>
              <w:t>Chacun des sacs doit avoir une résistance au choc d’au moins 165 g et une résistance au déchirement d’au moins 480 g sur des plans perpendiculaires et parallèles au plan longitudinal du sac.</w:t>
            </w:r>
            <w:r w:rsidRPr="00994B21">
              <w:rPr>
                <w:lang w:val="fr-FR"/>
              </w:rPr>
              <w:t xml:space="preserve"> La masse nette maximale de chaque </w:t>
            </w:r>
            <w:r w:rsidRPr="00994B21">
              <w:rPr>
                <w:u w:val="single"/>
                <w:lang w:val="fr-FR"/>
              </w:rPr>
              <w:t>emballage intérieur souple</w:t>
            </w:r>
            <w:r w:rsidRPr="00994B21">
              <w:rPr>
                <w:lang w:val="fr-FR"/>
              </w:rPr>
              <w:t xml:space="preserve"> </w:t>
            </w:r>
            <w:r w:rsidRPr="00994B21">
              <w:rPr>
                <w:strike/>
                <w:lang w:val="fr-FR"/>
              </w:rPr>
              <w:t>sac en plastique</w:t>
            </w:r>
            <w:r w:rsidRPr="00994B21">
              <w:rPr>
                <w:lang w:val="fr-FR"/>
              </w:rPr>
              <w:t xml:space="preserve"> doit être de 30 kg.</w:t>
            </w:r>
          </w:p>
          <w:p w:rsidR="00186A91" w:rsidRPr="00994B21" w:rsidRDefault="00186A91" w:rsidP="00DE3298">
            <w:pPr>
              <w:spacing w:before="60" w:after="60" w:line="240" w:lineRule="auto"/>
              <w:ind w:left="284" w:hanging="284"/>
              <w:rPr>
                <w:lang w:val="fr-FR"/>
              </w:rPr>
            </w:pPr>
            <w:r w:rsidRPr="00994B21">
              <w:rPr>
                <w:lang w:val="fr-FR"/>
              </w:rPr>
              <w:t>5.</w:t>
            </w:r>
            <w:r w:rsidRPr="00994B21">
              <w:rPr>
                <w:lang w:val="fr-FR"/>
              </w:rPr>
              <w:tab/>
              <w:t xml:space="preserve">Chaque emballage intermédiaire souple ne doit contenir qu’un seul emballage intérieur. </w:t>
            </w:r>
          </w:p>
          <w:p w:rsidR="00186A91" w:rsidRPr="00994B21" w:rsidRDefault="00186A91" w:rsidP="00DE3298">
            <w:pPr>
              <w:spacing w:before="60" w:after="60" w:line="240" w:lineRule="auto"/>
              <w:ind w:left="284" w:hanging="284"/>
              <w:rPr>
                <w:lang w:val="fr-FR"/>
              </w:rPr>
            </w:pPr>
            <w:r w:rsidRPr="00994B21">
              <w:rPr>
                <w:lang w:val="fr-FR"/>
              </w:rPr>
              <w:t>6.</w:t>
            </w:r>
            <w:r w:rsidRPr="00994B21">
              <w:rPr>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pouvant résister aux températures et aux vibrations susceptibles de se produire dans des conditions normales de transport doit être utilisé.</w:t>
            </w:r>
          </w:p>
          <w:p w:rsidR="00186A91" w:rsidRPr="00994B21" w:rsidRDefault="00186A91" w:rsidP="00DE3298">
            <w:pPr>
              <w:spacing w:before="60" w:after="60" w:line="240" w:lineRule="auto"/>
              <w:ind w:left="284" w:hanging="284"/>
              <w:rPr>
                <w:lang w:val="fr-FR"/>
              </w:rPr>
            </w:pPr>
            <w:r w:rsidRPr="00994B21">
              <w:rPr>
                <w:lang w:val="fr-FR"/>
              </w:rPr>
              <w:t>7.</w:t>
            </w:r>
            <w:r w:rsidRPr="00994B21">
              <w:rPr>
                <w:lang w:val="fr-FR"/>
              </w:rPr>
              <w:tab/>
            </w:r>
            <w:r w:rsidRPr="00994B21">
              <w:rPr>
                <w:u w:val="single"/>
                <w:lang w:val="fr-FR"/>
              </w:rPr>
              <w:t>Les grands emballages en contre-plaqué (50D) ou en carton rigide (50G) destinés à être utilisés comme emballages extérieurs doiv</w:t>
            </w:r>
            <w:r>
              <w:rPr>
                <w:u w:val="single"/>
                <w:lang w:val="fr-FR"/>
              </w:rPr>
              <w:t>e</w:t>
            </w:r>
            <w:r w:rsidRPr="00994B21">
              <w:rPr>
                <w:u w:val="single"/>
                <w:lang w:val="fr-FR"/>
              </w:rPr>
              <w:t xml:space="preserve">nt être rendus capables de retenir les liquides au moyen d’une doublure intérieure ou d’un sac. </w:t>
            </w:r>
            <w:r w:rsidRPr="00994B21">
              <w:rPr>
                <w:color w:val="000000"/>
                <w:u w:val="single"/>
                <w:lang w:val="fr-FR"/>
              </w:rPr>
              <w:t>Les emballages intermédiaires ne doivent pas remplir ces conditions.</w:t>
            </w:r>
          </w:p>
          <w:p w:rsidR="00186A91" w:rsidRPr="00994B21" w:rsidRDefault="00186A91" w:rsidP="00DE3298">
            <w:pPr>
              <w:spacing w:before="60" w:after="60" w:line="240" w:lineRule="auto"/>
              <w:ind w:left="284" w:hanging="284"/>
              <w:rPr>
                <w:rFonts w:ascii="inherit" w:hAnsi="inherit"/>
                <w:strike/>
                <w:color w:val="212121"/>
                <w:lang w:val="fr-FR"/>
              </w:rPr>
            </w:pPr>
            <w:r w:rsidRPr="00994B21">
              <w:rPr>
                <w:strike/>
                <w:lang w:val="fr-FR"/>
              </w:rPr>
              <w:t xml:space="preserve">7. </w:t>
            </w:r>
            <w:r w:rsidRPr="00994B21">
              <w:rPr>
                <w:strike/>
                <w:lang w:val="fr-FR"/>
              </w:rPr>
              <w:tab/>
            </w:r>
            <w:r w:rsidRPr="00994B21">
              <w:rPr>
                <w:rFonts w:ascii="inherit" w:hAnsi="inherit"/>
                <w:strike/>
                <w:color w:val="212121"/>
                <w:lang w:val="fr-FR"/>
              </w:rPr>
              <w:t>Lorsque les emballages extérieurs ne sont pas capables de retenir les liquides, l'emballage intérieur ou l'emballage intermédiaire doivent être rigides.</w:t>
            </w:r>
          </w:p>
          <w:p w:rsidR="00186A91" w:rsidRPr="00994B21" w:rsidRDefault="00186A91" w:rsidP="00DE3298">
            <w:pPr>
              <w:spacing w:before="60" w:after="60" w:line="240" w:lineRule="auto"/>
              <w:ind w:left="284" w:hanging="284"/>
              <w:rPr>
                <w:lang w:val="fr-FR"/>
              </w:rPr>
            </w:pPr>
            <w:r w:rsidRPr="00994B21">
              <w:rPr>
                <w:rFonts w:ascii="inherit" w:hAnsi="inherit" w:cs="Courier New"/>
                <w:strike/>
                <w:color w:val="212121"/>
                <w:lang w:val="fr-FR" w:eastAsia="en-GB"/>
              </w:rPr>
              <w:t>8.</w:t>
            </w:r>
            <w:r w:rsidRPr="00994B21">
              <w:rPr>
                <w:strike/>
                <w:lang w:val="fr-FR"/>
              </w:rPr>
              <w:t xml:space="preserve"> </w:t>
            </w:r>
            <w:r w:rsidRPr="00994B21">
              <w:rPr>
                <w:strike/>
                <w:lang w:val="fr-FR"/>
              </w:rPr>
              <w:tab/>
            </w:r>
            <w:r w:rsidRPr="00994B21">
              <w:rPr>
                <w:rFonts w:ascii="inherit" w:hAnsi="inherit" w:cs="Courier New"/>
                <w:strike/>
                <w:color w:val="212121"/>
                <w:lang w:val="fr-FR" w:eastAsia="en-GB"/>
              </w:rPr>
              <w:t>Lorsque le matériau solide est saturé et qu'il est possible que du liquide sorte pendant le transport, il ne faut utiliser que des emballages extérieurs capables de retenir des liquides.</w:t>
            </w:r>
          </w:p>
        </w:tc>
      </w:tr>
    </w:tbl>
    <w:p w:rsidR="00186A91" w:rsidRPr="007D1781" w:rsidRDefault="00186A91" w:rsidP="00DE3298">
      <w:pPr>
        <w:pStyle w:val="SingleTxtG"/>
        <w:spacing w:line="240" w:lineRule="auto"/>
        <w:ind w:left="0" w:right="0"/>
        <w:jc w:val="right"/>
        <w:rPr>
          <w:lang w:val="fr-FR"/>
        </w:rPr>
      </w:pPr>
      <w:r>
        <w:rPr>
          <w:lang w:val="fr-FR"/>
        </w:rPr>
        <w:t> ».</w:t>
      </w:r>
    </w:p>
    <w:p w:rsidR="00186A91" w:rsidRPr="00DE3298" w:rsidRDefault="00186A91" w:rsidP="00DE3298">
      <w:pPr>
        <w:pStyle w:val="SingleTxtG"/>
        <w:rPr>
          <w:b/>
          <w:i/>
          <w:lang w:val="fr-FR"/>
        </w:rPr>
      </w:pPr>
      <w:r w:rsidRPr="00DE3298">
        <w:rPr>
          <w:i/>
          <w:lang w:val="fr-FR"/>
        </w:rPr>
        <w:t>(Document de référence : Proposition figurant dans l’annexe II du document ST/SG/AC.10/</w:t>
      </w:r>
      <w:r w:rsidR="005A74FA">
        <w:rPr>
          <w:i/>
          <w:lang w:val="fr-FR"/>
        </w:rPr>
        <w:t xml:space="preserve"> </w:t>
      </w:r>
      <w:r w:rsidRPr="00DE3298">
        <w:rPr>
          <w:i/>
          <w:lang w:val="fr-FR"/>
        </w:rPr>
        <w:t>C.3/102/Add.1, telle que modifiée)</w:t>
      </w:r>
    </w:p>
    <w:p w:rsidR="00186A91" w:rsidRPr="00994B21" w:rsidRDefault="00186A91" w:rsidP="00DE3298">
      <w:pPr>
        <w:pStyle w:val="H1G"/>
        <w:rPr>
          <w:lang w:val="fr-FR"/>
        </w:rPr>
      </w:pPr>
      <w:r w:rsidRPr="00994B21">
        <w:rPr>
          <w:lang w:val="fr-FR"/>
        </w:rPr>
        <w:tab/>
      </w:r>
      <w:r w:rsidR="00DE3298">
        <w:rPr>
          <w:lang w:val="fr-FR"/>
        </w:rPr>
        <w:tab/>
      </w:r>
      <w:r w:rsidRPr="00994B21">
        <w:rPr>
          <w:lang w:val="fr-FR"/>
        </w:rPr>
        <w:t>Chapitre 6.1</w:t>
      </w:r>
    </w:p>
    <w:p w:rsidR="00186A91" w:rsidRPr="00994B21" w:rsidRDefault="00186A91" w:rsidP="00DE3298">
      <w:pPr>
        <w:pStyle w:val="SingleTxtG"/>
        <w:rPr>
          <w:b/>
          <w:lang w:val="fr-FR"/>
        </w:rPr>
      </w:pPr>
      <w:r w:rsidRPr="00994B21">
        <w:rPr>
          <w:lang w:val="fr-FR"/>
        </w:rPr>
        <w:t>6.1.1.1 e)</w:t>
      </w:r>
      <w:r w:rsidRPr="00994B21">
        <w:rPr>
          <w:lang w:val="fr-FR"/>
        </w:rPr>
        <w:tab/>
        <w:t xml:space="preserve">À la fin, ajouter </w:t>
      </w:r>
      <w:r>
        <w:rPr>
          <w:lang w:val="fr-FR"/>
        </w:rPr>
        <w:t>«</w:t>
      </w:r>
      <w:r w:rsidRPr="00994B21">
        <w:rPr>
          <w:lang w:val="fr-FR"/>
        </w:rPr>
        <w:t>, excepté pour le No ONU 3549.</w:t>
      </w:r>
      <w:r w:rsidR="00DE3298">
        <w:rPr>
          <w:lang w:val="fr-FR"/>
        </w:rPr>
        <w:t> </w:t>
      </w:r>
      <w:r>
        <w:rPr>
          <w:lang w:val="fr-FR"/>
        </w:rPr>
        <w:t>»</w:t>
      </w:r>
      <w:r w:rsidRPr="00994B21">
        <w:rPr>
          <w:lang w:val="fr-FR"/>
        </w:rPr>
        <w:t>.</w:t>
      </w:r>
    </w:p>
    <w:p w:rsidR="00186A91" w:rsidRPr="00DE3298" w:rsidRDefault="00186A91" w:rsidP="00DE3298">
      <w:pPr>
        <w:pStyle w:val="SingleTxtG"/>
        <w:rPr>
          <w:b/>
          <w:i/>
          <w:lang w:val="fr-FR"/>
        </w:rPr>
      </w:pPr>
      <w:r w:rsidRPr="00DE3298">
        <w:rPr>
          <w:i/>
          <w:lang w:val="fr-FR"/>
        </w:rPr>
        <w:t>(Document de référence : Proposition figurant dans l’annexe II du document ST/SG/AC.10/</w:t>
      </w:r>
      <w:r w:rsidR="005A74FA">
        <w:rPr>
          <w:i/>
          <w:lang w:val="fr-FR"/>
        </w:rPr>
        <w:t xml:space="preserve"> </w:t>
      </w:r>
      <w:r w:rsidRPr="00DE3298">
        <w:rPr>
          <w:i/>
          <w:lang w:val="fr-FR"/>
        </w:rPr>
        <w:t>C.3/102/Add.1, non modifiée)</w:t>
      </w:r>
    </w:p>
    <w:p w:rsidR="00186A91" w:rsidRPr="00994B21" w:rsidRDefault="00186A91" w:rsidP="00DE3298">
      <w:pPr>
        <w:pStyle w:val="H1G"/>
        <w:rPr>
          <w:lang w:val="fr-FR"/>
        </w:rPr>
      </w:pPr>
      <w:r w:rsidRPr="00994B21">
        <w:rPr>
          <w:lang w:val="fr-FR"/>
        </w:rPr>
        <w:tab/>
      </w:r>
      <w:r w:rsidR="00DE3298">
        <w:rPr>
          <w:lang w:val="fr-FR"/>
        </w:rPr>
        <w:tab/>
      </w:r>
      <w:r w:rsidRPr="00994B21">
        <w:rPr>
          <w:lang w:val="fr-FR"/>
        </w:rPr>
        <w:t>Chapitre 6.3</w:t>
      </w:r>
    </w:p>
    <w:p w:rsidR="00186A91" w:rsidRPr="00994B21" w:rsidRDefault="00186A91" w:rsidP="00DE3298">
      <w:pPr>
        <w:pStyle w:val="SingleTxtG"/>
        <w:rPr>
          <w:b/>
          <w:lang w:val="fr-FR"/>
        </w:rPr>
      </w:pPr>
      <w:r w:rsidRPr="00994B21">
        <w:rPr>
          <w:lang w:val="fr-FR"/>
        </w:rPr>
        <w:t xml:space="preserve">Dans le titre du chapitre 6.3, ajouter </w:t>
      </w:r>
      <w:r>
        <w:rPr>
          <w:lang w:val="fr-FR"/>
        </w:rPr>
        <w:t>«</w:t>
      </w:r>
      <w:r w:rsidR="00DE3298">
        <w:rPr>
          <w:lang w:val="fr-FR"/>
        </w:rPr>
        <w:t> </w:t>
      </w:r>
      <w:r w:rsidRPr="00994B21">
        <w:rPr>
          <w:lang w:val="fr-FR"/>
        </w:rPr>
        <w:t>(ONU</w:t>
      </w:r>
      <w:r w:rsidR="005A74FA">
        <w:rPr>
          <w:lang w:val="fr-FR"/>
        </w:rPr>
        <w:t> </w:t>
      </w:r>
      <w:r w:rsidRPr="00994B21">
        <w:rPr>
          <w:lang w:val="fr-FR"/>
        </w:rPr>
        <w:t>2814 et ONU</w:t>
      </w:r>
      <w:r w:rsidR="005A74FA">
        <w:rPr>
          <w:lang w:val="fr-FR"/>
        </w:rPr>
        <w:t> </w:t>
      </w:r>
      <w:r w:rsidRPr="00994B21">
        <w:rPr>
          <w:lang w:val="fr-FR"/>
        </w:rPr>
        <w:t>2900)</w:t>
      </w:r>
      <w:r w:rsidR="00DE3298">
        <w:rPr>
          <w:lang w:val="fr-FR"/>
        </w:rPr>
        <w:t> </w:t>
      </w:r>
      <w:r>
        <w:rPr>
          <w:lang w:val="fr-FR"/>
        </w:rPr>
        <w:t>»</w:t>
      </w:r>
      <w:r w:rsidRPr="00994B21">
        <w:rPr>
          <w:lang w:val="fr-FR"/>
        </w:rPr>
        <w:t xml:space="preserve"> après </w:t>
      </w:r>
      <w:r>
        <w:rPr>
          <w:lang w:val="fr-FR"/>
        </w:rPr>
        <w:t>«</w:t>
      </w:r>
      <w:r w:rsidR="00DE3298">
        <w:rPr>
          <w:lang w:val="fr-FR"/>
        </w:rPr>
        <w:t> </w:t>
      </w:r>
      <w:r w:rsidRPr="00994B21">
        <w:rPr>
          <w:lang w:val="fr-FR"/>
        </w:rPr>
        <w:t>de la division</w:t>
      </w:r>
      <w:r w:rsidR="005A74FA">
        <w:rPr>
          <w:lang w:val="fr-FR"/>
        </w:rPr>
        <w:t> </w:t>
      </w:r>
      <w:r w:rsidRPr="00994B21">
        <w:rPr>
          <w:lang w:val="fr-FR"/>
        </w:rPr>
        <w:t>6.2</w:t>
      </w:r>
      <w:r w:rsidR="00DE3298">
        <w:rPr>
          <w:lang w:val="fr-FR"/>
        </w:rPr>
        <w:t> </w:t>
      </w:r>
      <w:r>
        <w:rPr>
          <w:lang w:val="fr-FR"/>
        </w:rPr>
        <w:t>»</w:t>
      </w:r>
      <w:r w:rsidRPr="00994B21">
        <w:rPr>
          <w:lang w:val="fr-FR"/>
        </w:rPr>
        <w:t>.</w:t>
      </w:r>
    </w:p>
    <w:p w:rsidR="00186A91" w:rsidRPr="00994B21" w:rsidRDefault="00186A91" w:rsidP="005A74FA">
      <w:pPr>
        <w:pStyle w:val="SingleTxtG"/>
        <w:tabs>
          <w:tab w:val="left" w:pos="2268"/>
        </w:tabs>
        <w:rPr>
          <w:b/>
          <w:lang w:val="fr-FR"/>
        </w:rPr>
      </w:pPr>
      <w:r w:rsidRPr="00994B21">
        <w:rPr>
          <w:lang w:val="fr-FR"/>
        </w:rPr>
        <w:t>6.3.1.1</w:t>
      </w:r>
      <w:r w:rsidRPr="00994B21">
        <w:rPr>
          <w:lang w:val="fr-FR"/>
        </w:rPr>
        <w:tab/>
        <w:t xml:space="preserve">À la fin, ajouter </w:t>
      </w:r>
      <w:r>
        <w:rPr>
          <w:lang w:val="fr-FR"/>
        </w:rPr>
        <w:t>«</w:t>
      </w:r>
      <w:r w:rsidR="00DE3298">
        <w:rPr>
          <w:lang w:val="fr-FR"/>
        </w:rPr>
        <w:t> </w:t>
      </w:r>
      <w:r w:rsidRPr="00994B21">
        <w:rPr>
          <w:lang w:val="fr-FR"/>
        </w:rPr>
        <w:t>Nos ONU</w:t>
      </w:r>
      <w:r w:rsidR="0088329D">
        <w:rPr>
          <w:lang w:val="fr-FR"/>
        </w:rPr>
        <w:t> </w:t>
      </w:r>
      <w:r w:rsidRPr="00994B21">
        <w:rPr>
          <w:lang w:val="fr-FR"/>
        </w:rPr>
        <w:t>2814 et 2900.</w:t>
      </w:r>
      <w:r w:rsidR="00DE3298">
        <w:rPr>
          <w:lang w:val="fr-FR"/>
        </w:rPr>
        <w:t> </w:t>
      </w:r>
      <w:r>
        <w:rPr>
          <w:lang w:val="fr-FR"/>
        </w:rPr>
        <w:t>»</w:t>
      </w:r>
      <w:r w:rsidRPr="00994B21">
        <w:rPr>
          <w:lang w:val="fr-FR"/>
        </w:rPr>
        <w:t>.</w:t>
      </w:r>
    </w:p>
    <w:p w:rsidR="00186A91" w:rsidRPr="00DE3298" w:rsidRDefault="00186A91" w:rsidP="00DE3298">
      <w:pPr>
        <w:pStyle w:val="SingleTxtG"/>
        <w:rPr>
          <w:i/>
        </w:rPr>
      </w:pPr>
      <w:r w:rsidRPr="00DE3298">
        <w:rPr>
          <w:i/>
          <w:lang w:val="fr-FR"/>
        </w:rPr>
        <w:t>(</w:t>
      </w:r>
      <w:r w:rsidRPr="00DE3298">
        <w:rPr>
          <w:i/>
        </w:rPr>
        <w:t>Document</w:t>
      </w:r>
      <w:r w:rsidRPr="00DE3298">
        <w:rPr>
          <w:i/>
          <w:lang w:val="fr-FR"/>
        </w:rPr>
        <w:t xml:space="preserve"> de référence : Proposition figurant dans l’annexe II du document ST/SG/AC.10/</w:t>
      </w:r>
      <w:r w:rsidR="005A74FA">
        <w:rPr>
          <w:i/>
          <w:lang w:val="fr-FR"/>
        </w:rPr>
        <w:t xml:space="preserve"> </w:t>
      </w:r>
      <w:r w:rsidRPr="00DE3298">
        <w:rPr>
          <w:i/>
          <w:lang w:val="fr-FR"/>
        </w:rPr>
        <w:t>C.3/102/Add.1, non modifiée)</w:t>
      </w:r>
    </w:p>
    <w:p w:rsidR="00186A91" w:rsidRPr="00DE3298" w:rsidRDefault="00DE3298" w:rsidP="00DE329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86A91" w:rsidRPr="00DE3298" w:rsidSect="00186A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546" w:rsidRDefault="00116546" w:rsidP="00F95C08">
      <w:pPr>
        <w:spacing w:line="240" w:lineRule="auto"/>
      </w:pPr>
    </w:p>
  </w:endnote>
  <w:endnote w:type="continuationSeparator" w:id="0">
    <w:p w:rsidR="00116546" w:rsidRPr="00AC3823" w:rsidRDefault="00116546" w:rsidP="00AC3823">
      <w:pPr>
        <w:pStyle w:val="Footer"/>
      </w:pPr>
    </w:p>
  </w:endnote>
  <w:endnote w:type="continuationNotice" w:id="1">
    <w:p w:rsidR="00116546" w:rsidRDefault="001165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91" w:rsidRPr="00186A91" w:rsidRDefault="00186A91" w:rsidP="00186A91">
    <w:pPr>
      <w:pStyle w:val="Footer"/>
      <w:tabs>
        <w:tab w:val="right" w:pos="9638"/>
      </w:tabs>
    </w:pPr>
    <w:r w:rsidRPr="00186A91">
      <w:rPr>
        <w:b/>
        <w:sz w:val="18"/>
      </w:rPr>
      <w:fldChar w:fldCharType="begin"/>
    </w:r>
    <w:r w:rsidRPr="00186A91">
      <w:rPr>
        <w:b/>
        <w:sz w:val="18"/>
      </w:rPr>
      <w:instrText xml:space="preserve"> PAGE  \* MERGEFORMAT </w:instrText>
    </w:r>
    <w:r w:rsidRPr="00186A91">
      <w:rPr>
        <w:b/>
        <w:sz w:val="18"/>
      </w:rPr>
      <w:fldChar w:fldCharType="separate"/>
    </w:r>
    <w:r w:rsidR="009E2C26">
      <w:rPr>
        <w:b/>
        <w:noProof/>
        <w:sz w:val="18"/>
      </w:rPr>
      <w:t>6</w:t>
    </w:r>
    <w:r w:rsidRPr="00186A91">
      <w:rPr>
        <w:b/>
        <w:sz w:val="18"/>
      </w:rPr>
      <w:fldChar w:fldCharType="end"/>
    </w:r>
    <w:r>
      <w:rPr>
        <w:b/>
        <w:sz w:val="18"/>
      </w:rPr>
      <w:tab/>
    </w:r>
    <w:r>
      <w:t>GE.18-04992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91" w:rsidRPr="00186A91" w:rsidRDefault="00186A91" w:rsidP="00186A91">
    <w:pPr>
      <w:pStyle w:val="Footer"/>
      <w:tabs>
        <w:tab w:val="right" w:pos="9638"/>
      </w:tabs>
      <w:rPr>
        <w:b/>
        <w:sz w:val="18"/>
      </w:rPr>
    </w:pPr>
    <w:r>
      <w:t>GE.18-04992</w:t>
    </w:r>
    <w:r>
      <w:tab/>
    </w:r>
    <w:r w:rsidRPr="00186A91">
      <w:rPr>
        <w:b/>
        <w:sz w:val="18"/>
      </w:rPr>
      <w:fldChar w:fldCharType="begin"/>
    </w:r>
    <w:r w:rsidRPr="00186A91">
      <w:rPr>
        <w:b/>
        <w:sz w:val="18"/>
      </w:rPr>
      <w:instrText xml:space="preserve"> PAGE  \* MERGEFORMAT </w:instrText>
    </w:r>
    <w:r w:rsidRPr="00186A91">
      <w:rPr>
        <w:b/>
        <w:sz w:val="18"/>
      </w:rPr>
      <w:fldChar w:fldCharType="separate"/>
    </w:r>
    <w:r w:rsidR="009E2C26">
      <w:rPr>
        <w:b/>
        <w:noProof/>
        <w:sz w:val="18"/>
      </w:rPr>
      <w:t>7</w:t>
    </w:r>
    <w:r w:rsidRPr="00186A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186A91" w:rsidRDefault="00186A91" w:rsidP="00186A91">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04992  (</w:t>
    </w:r>
    <w:proofErr w:type="gramEnd"/>
    <w:r>
      <w:rPr>
        <w:sz w:val="20"/>
      </w:rPr>
      <w:t>F)</w:t>
    </w:r>
    <w:r w:rsidR="005A74FA">
      <w:rPr>
        <w:sz w:val="20"/>
      </w:rPr>
      <w:t xml:space="preserve">    300418    080518</w:t>
    </w:r>
    <w:r>
      <w:rPr>
        <w:sz w:val="20"/>
      </w:rPr>
      <w:br/>
    </w:r>
    <w:r w:rsidRPr="00186A91">
      <w:rPr>
        <w:rFonts w:ascii="C39T30Lfz" w:hAnsi="C39T30Lfz"/>
        <w:sz w:val="56"/>
      </w:rPr>
      <w:t></w:t>
    </w:r>
    <w:r w:rsidRPr="00186A91">
      <w:rPr>
        <w:rFonts w:ascii="C39T30Lfz" w:hAnsi="C39T30Lfz"/>
        <w:sz w:val="56"/>
      </w:rPr>
      <w:t></w:t>
    </w:r>
    <w:r w:rsidRPr="00186A91">
      <w:rPr>
        <w:rFonts w:ascii="C39T30Lfz" w:hAnsi="C39T30Lfz"/>
        <w:sz w:val="56"/>
      </w:rPr>
      <w:t></w:t>
    </w:r>
    <w:r w:rsidRPr="00186A91">
      <w:rPr>
        <w:rFonts w:ascii="C39T30Lfz" w:hAnsi="C39T30Lfz"/>
        <w:sz w:val="56"/>
      </w:rPr>
      <w:t></w:t>
    </w:r>
    <w:r w:rsidRPr="00186A91">
      <w:rPr>
        <w:rFonts w:ascii="C39T30Lfz" w:hAnsi="C39T30Lfz"/>
        <w:sz w:val="56"/>
      </w:rPr>
      <w:t></w:t>
    </w:r>
    <w:r w:rsidRPr="00186A91">
      <w:rPr>
        <w:rFonts w:ascii="C39T30Lfz" w:hAnsi="C39T30Lfz"/>
        <w:sz w:val="56"/>
      </w:rPr>
      <w:t></w:t>
    </w:r>
    <w:r w:rsidRPr="00186A91">
      <w:rPr>
        <w:rFonts w:ascii="C39T30Lfz" w:hAnsi="C39T30Lfz"/>
        <w:sz w:val="56"/>
      </w:rPr>
      <w:t></w:t>
    </w:r>
    <w:r w:rsidRPr="00186A91">
      <w:rPr>
        <w:rFonts w:ascii="C39T30Lfz" w:hAnsi="C39T30Lfz"/>
        <w:sz w:val="56"/>
      </w:rPr>
      <w:t></w:t>
    </w:r>
    <w:r w:rsidRPr="00186A9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546" w:rsidRPr="00AC3823" w:rsidRDefault="00116546" w:rsidP="00AC3823">
      <w:pPr>
        <w:pStyle w:val="Footer"/>
        <w:tabs>
          <w:tab w:val="right" w:pos="2155"/>
        </w:tabs>
        <w:spacing w:after="80" w:line="240" w:lineRule="atLeast"/>
        <w:ind w:left="680"/>
        <w:rPr>
          <w:u w:val="single"/>
        </w:rPr>
      </w:pPr>
      <w:r>
        <w:rPr>
          <w:u w:val="single"/>
        </w:rPr>
        <w:tab/>
      </w:r>
    </w:p>
  </w:footnote>
  <w:footnote w:type="continuationSeparator" w:id="0">
    <w:p w:rsidR="00116546" w:rsidRPr="00AC3823" w:rsidRDefault="00116546" w:rsidP="00AC3823">
      <w:pPr>
        <w:pStyle w:val="Footer"/>
        <w:tabs>
          <w:tab w:val="right" w:pos="2155"/>
        </w:tabs>
        <w:spacing w:after="80" w:line="240" w:lineRule="atLeast"/>
        <w:ind w:left="680"/>
        <w:rPr>
          <w:u w:val="single"/>
        </w:rPr>
      </w:pPr>
      <w:r>
        <w:rPr>
          <w:u w:val="single"/>
        </w:rPr>
        <w:tab/>
      </w:r>
    </w:p>
  </w:footnote>
  <w:footnote w:type="continuationNotice" w:id="1">
    <w:p w:rsidR="00116546" w:rsidRPr="00AC3823" w:rsidRDefault="00116546">
      <w:pPr>
        <w:spacing w:line="240" w:lineRule="auto"/>
        <w:rPr>
          <w:sz w:val="2"/>
          <w:szCs w:val="2"/>
        </w:rPr>
      </w:pPr>
    </w:p>
  </w:footnote>
  <w:footnote w:id="2">
    <w:p w:rsidR="00186A91" w:rsidRDefault="00186A91">
      <w:pPr>
        <w:pStyle w:val="FootnoteText"/>
      </w:pPr>
      <w:r>
        <w:tab/>
      </w:r>
      <w:r>
        <w:rPr>
          <w:rStyle w:val="FootnoteReference"/>
        </w:rPr>
        <w:footnoteRef/>
      </w:r>
      <w:r>
        <w:tab/>
      </w:r>
      <w:r w:rsidRPr="003905A6">
        <w:t>Conformément au programme de travail du Sous-Comité pour la période 2017-2018, approuvé par le Comité à sa huitième session (</w:t>
      </w:r>
      <w:r>
        <w:t>voir ST/SG/AC.10/C.3/100, par. </w:t>
      </w:r>
      <w:r w:rsidRPr="003905A6">
        <w:t>98</w:t>
      </w:r>
      <w:r>
        <w:t>,</w:t>
      </w:r>
      <w:r w:rsidRPr="003905A6">
        <w:t xml:space="preserve"> </w:t>
      </w:r>
      <w:r>
        <w:t>et ST/SG/AC.10/44, par</w:t>
      </w:r>
      <w:r w:rsidRPr="003905A6">
        <w:t>. </w:t>
      </w:r>
      <w:r w:rsidRPr="002017DF">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91" w:rsidRPr="00186A91" w:rsidRDefault="009E2C26">
    <w:pPr>
      <w:pStyle w:val="Header"/>
    </w:pPr>
    <w:r>
      <w:fldChar w:fldCharType="begin"/>
    </w:r>
    <w:r>
      <w:instrText xml:space="preserve"> TITLE  \* MERGEFORMAT </w:instrText>
    </w:r>
    <w:r>
      <w:fldChar w:fldCharType="separate"/>
    </w:r>
    <w:r>
      <w:t>ST/SG/AC.10/C.3/2018/20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91" w:rsidRPr="00186A91" w:rsidRDefault="009E2C26" w:rsidP="00186A91">
    <w:pPr>
      <w:pStyle w:val="Header"/>
      <w:jc w:val="right"/>
    </w:pPr>
    <w:r>
      <w:fldChar w:fldCharType="begin"/>
    </w:r>
    <w:r>
      <w:instrText xml:space="preserve"> TITLE  \* MERGEFORMAT </w:instrText>
    </w:r>
    <w:r>
      <w:fldChar w:fldCharType="separate"/>
    </w:r>
    <w:r>
      <w:t>ST/SG/AC.10/C.3/2018/20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D3286B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E63E879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86CC86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46"/>
    <w:rsid w:val="00017F94"/>
    <w:rsid w:val="00023842"/>
    <w:rsid w:val="000305D3"/>
    <w:rsid w:val="000334F9"/>
    <w:rsid w:val="00057F72"/>
    <w:rsid w:val="0007796D"/>
    <w:rsid w:val="000B7790"/>
    <w:rsid w:val="00111F2F"/>
    <w:rsid w:val="00116546"/>
    <w:rsid w:val="00125D7B"/>
    <w:rsid w:val="00132EA9"/>
    <w:rsid w:val="0014365E"/>
    <w:rsid w:val="00176178"/>
    <w:rsid w:val="00186A91"/>
    <w:rsid w:val="001F525A"/>
    <w:rsid w:val="00223272"/>
    <w:rsid w:val="00225E6D"/>
    <w:rsid w:val="0024779E"/>
    <w:rsid w:val="00283190"/>
    <w:rsid w:val="002832AC"/>
    <w:rsid w:val="002D7C93"/>
    <w:rsid w:val="002F38A2"/>
    <w:rsid w:val="003511AC"/>
    <w:rsid w:val="003A5ED4"/>
    <w:rsid w:val="003F274B"/>
    <w:rsid w:val="00441C3B"/>
    <w:rsid w:val="00446FE5"/>
    <w:rsid w:val="00452396"/>
    <w:rsid w:val="00484EE1"/>
    <w:rsid w:val="004E468C"/>
    <w:rsid w:val="005505B7"/>
    <w:rsid w:val="00573BE5"/>
    <w:rsid w:val="00584DC4"/>
    <w:rsid w:val="00586ED3"/>
    <w:rsid w:val="00596AA9"/>
    <w:rsid w:val="005A74FA"/>
    <w:rsid w:val="0068456F"/>
    <w:rsid w:val="0071601D"/>
    <w:rsid w:val="007A62E6"/>
    <w:rsid w:val="0080684C"/>
    <w:rsid w:val="00835863"/>
    <w:rsid w:val="00871C75"/>
    <w:rsid w:val="008776DC"/>
    <w:rsid w:val="0088329D"/>
    <w:rsid w:val="00886F8D"/>
    <w:rsid w:val="008B40CD"/>
    <w:rsid w:val="0093604B"/>
    <w:rsid w:val="009705C8"/>
    <w:rsid w:val="009C1CF4"/>
    <w:rsid w:val="009D6971"/>
    <w:rsid w:val="009E2C26"/>
    <w:rsid w:val="00A30353"/>
    <w:rsid w:val="00AC3823"/>
    <w:rsid w:val="00AE323C"/>
    <w:rsid w:val="00B00181"/>
    <w:rsid w:val="00B00B0D"/>
    <w:rsid w:val="00B45C94"/>
    <w:rsid w:val="00B765F7"/>
    <w:rsid w:val="00BA0CA9"/>
    <w:rsid w:val="00BA691E"/>
    <w:rsid w:val="00C02897"/>
    <w:rsid w:val="00C47258"/>
    <w:rsid w:val="00D3439C"/>
    <w:rsid w:val="00DB1831"/>
    <w:rsid w:val="00DD3BFD"/>
    <w:rsid w:val="00DE3298"/>
    <w:rsid w:val="00DF6678"/>
    <w:rsid w:val="00E51CE1"/>
    <w:rsid w:val="00EF2E22"/>
    <w:rsid w:val="00F00C42"/>
    <w:rsid w:val="00F01738"/>
    <w:rsid w:val="00F65C95"/>
    <w:rsid w:val="00F660DF"/>
    <w:rsid w:val="00F72593"/>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D7AC11-4BE3-4A24-BD63-124B7B29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4F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A74FA"/>
    <w:pPr>
      <w:keepNext/>
      <w:keepLines/>
      <w:spacing w:after="0" w:line="240" w:lineRule="auto"/>
      <w:ind w:right="0"/>
      <w:jc w:val="left"/>
      <w:outlineLvl w:val="0"/>
    </w:pPr>
  </w:style>
  <w:style w:type="paragraph" w:styleId="Heading2">
    <w:name w:val="heading 2"/>
    <w:basedOn w:val="Normal"/>
    <w:next w:val="Normal"/>
    <w:link w:val="Heading2Char"/>
    <w:semiHidden/>
    <w:qFormat/>
    <w:rsid w:val="005A74FA"/>
    <w:pPr>
      <w:outlineLvl w:val="1"/>
    </w:pPr>
  </w:style>
  <w:style w:type="paragraph" w:styleId="Heading3">
    <w:name w:val="heading 3"/>
    <w:basedOn w:val="Normal"/>
    <w:next w:val="Normal"/>
    <w:link w:val="Heading3Char"/>
    <w:semiHidden/>
    <w:qFormat/>
    <w:rsid w:val="005A74FA"/>
    <w:pPr>
      <w:outlineLvl w:val="2"/>
    </w:pPr>
  </w:style>
  <w:style w:type="paragraph" w:styleId="Heading4">
    <w:name w:val="heading 4"/>
    <w:basedOn w:val="Normal"/>
    <w:next w:val="Normal"/>
    <w:link w:val="Heading4Char"/>
    <w:semiHidden/>
    <w:qFormat/>
    <w:rsid w:val="005A74FA"/>
    <w:pPr>
      <w:outlineLvl w:val="3"/>
    </w:pPr>
  </w:style>
  <w:style w:type="paragraph" w:styleId="Heading5">
    <w:name w:val="heading 5"/>
    <w:basedOn w:val="Normal"/>
    <w:next w:val="Normal"/>
    <w:link w:val="Heading5Char"/>
    <w:semiHidden/>
    <w:qFormat/>
    <w:rsid w:val="005A74FA"/>
    <w:pPr>
      <w:outlineLvl w:val="4"/>
    </w:pPr>
  </w:style>
  <w:style w:type="paragraph" w:styleId="Heading6">
    <w:name w:val="heading 6"/>
    <w:basedOn w:val="Normal"/>
    <w:next w:val="Normal"/>
    <w:link w:val="Heading6Char"/>
    <w:semiHidden/>
    <w:qFormat/>
    <w:rsid w:val="005A74FA"/>
    <w:pPr>
      <w:outlineLvl w:val="5"/>
    </w:pPr>
  </w:style>
  <w:style w:type="paragraph" w:styleId="Heading7">
    <w:name w:val="heading 7"/>
    <w:basedOn w:val="Normal"/>
    <w:next w:val="Normal"/>
    <w:link w:val="Heading7Char"/>
    <w:semiHidden/>
    <w:qFormat/>
    <w:rsid w:val="005A74FA"/>
    <w:pPr>
      <w:outlineLvl w:val="6"/>
    </w:pPr>
  </w:style>
  <w:style w:type="paragraph" w:styleId="Heading8">
    <w:name w:val="heading 8"/>
    <w:basedOn w:val="Normal"/>
    <w:next w:val="Normal"/>
    <w:link w:val="Heading8Char"/>
    <w:semiHidden/>
    <w:qFormat/>
    <w:rsid w:val="005A74FA"/>
    <w:pPr>
      <w:outlineLvl w:val="7"/>
    </w:pPr>
  </w:style>
  <w:style w:type="paragraph" w:styleId="Heading9">
    <w:name w:val="heading 9"/>
    <w:basedOn w:val="Normal"/>
    <w:next w:val="Normal"/>
    <w:link w:val="Heading9Char"/>
    <w:semiHidden/>
    <w:qFormat/>
    <w:rsid w:val="005A74F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A74F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A74F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A74FA"/>
    <w:pPr>
      <w:spacing w:line="240" w:lineRule="auto"/>
    </w:pPr>
    <w:rPr>
      <w:sz w:val="16"/>
    </w:rPr>
  </w:style>
  <w:style w:type="character" w:customStyle="1" w:styleId="FooterChar">
    <w:name w:val="Footer Char"/>
    <w:aliases w:val="3_G Char"/>
    <w:basedOn w:val="DefaultParagraphFont"/>
    <w:link w:val="Footer"/>
    <w:rsid w:val="005A74F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A74F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A74F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A74F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A74F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A74F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A74F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A74FA"/>
    <w:pPr>
      <w:spacing w:after="120"/>
      <w:ind w:left="1134" w:right="1134"/>
      <w:jc w:val="both"/>
    </w:pPr>
  </w:style>
  <w:style w:type="paragraph" w:customStyle="1" w:styleId="SLG">
    <w:name w:val="__S_L_G"/>
    <w:basedOn w:val="Normal"/>
    <w:next w:val="Normal"/>
    <w:rsid w:val="005A74FA"/>
    <w:pPr>
      <w:keepNext/>
      <w:keepLines/>
      <w:spacing w:before="240" w:after="240" w:line="580" w:lineRule="exact"/>
      <w:ind w:left="1134" w:right="1134"/>
    </w:pPr>
    <w:rPr>
      <w:b/>
      <w:sz w:val="56"/>
    </w:rPr>
  </w:style>
  <w:style w:type="paragraph" w:customStyle="1" w:styleId="SMG">
    <w:name w:val="__S_M_G"/>
    <w:basedOn w:val="Normal"/>
    <w:next w:val="Normal"/>
    <w:rsid w:val="005A74FA"/>
    <w:pPr>
      <w:keepNext/>
      <w:keepLines/>
      <w:spacing w:before="240" w:after="240" w:line="420" w:lineRule="exact"/>
      <w:ind w:left="1134" w:right="1134"/>
    </w:pPr>
    <w:rPr>
      <w:b/>
      <w:sz w:val="40"/>
    </w:rPr>
  </w:style>
  <w:style w:type="paragraph" w:customStyle="1" w:styleId="SSG">
    <w:name w:val="__S_S_G"/>
    <w:basedOn w:val="Normal"/>
    <w:next w:val="Normal"/>
    <w:rsid w:val="005A74FA"/>
    <w:pPr>
      <w:keepNext/>
      <w:keepLines/>
      <w:spacing w:before="240" w:after="240" w:line="300" w:lineRule="exact"/>
      <w:ind w:left="1134" w:right="1134"/>
    </w:pPr>
    <w:rPr>
      <w:b/>
      <w:sz w:val="28"/>
    </w:rPr>
  </w:style>
  <w:style w:type="paragraph" w:customStyle="1" w:styleId="XLargeG">
    <w:name w:val="__XLarge_G"/>
    <w:basedOn w:val="Normal"/>
    <w:next w:val="Normal"/>
    <w:rsid w:val="005A74FA"/>
    <w:pPr>
      <w:keepNext/>
      <w:keepLines/>
      <w:spacing w:before="240" w:after="240" w:line="420" w:lineRule="exact"/>
      <w:ind w:left="1134" w:right="1134"/>
    </w:pPr>
    <w:rPr>
      <w:b/>
      <w:sz w:val="40"/>
    </w:rPr>
  </w:style>
  <w:style w:type="paragraph" w:customStyle="1" w:styleId="Bullet1G">
    <w:name w:val="_Bullet 1_G"/>
    <w:basedOn w:val="Normal"/>
    <w:qFormat/>
    <w:rsid w:val="005A74FA"/>
    <w:pPr>
      <w:numPr>
        <w:numId w:val="17"/>
      </w:numPr>
      <w:spacing w:after="120"/>
      <w:ind w:right="1134"/>
      <w:jc w:val="both"/>
    </w:pPr>
  </w:style>
  <w:style w:type="paragraph" w:customStyle="1" w:styleId="Bullet2G">
    <w:name w:val="_Bullet 2_G"/>
    <w:basedOn w:val="Normal"/>
    <w:qFormat/>
    <w:rsid w:val="005A74FA"/>
    <w:pPr>
      <w:numPr>
        <w:numId w:val="18"/>
      </w:numPr>
      <w:spacing w:after="120"/>
      <w:ind w:right="1134"/>
      <w:jc w:val="both"/>
    </w:pPr>
  </w:style>
  <w:style w:type="paragraph" w:customStyle="1" w:styleId="ParNoG">
    <w:name w:val="_ParNo_G"/>
    <w:basedOn w:val="Normal"/>
    <w:qFormat/>
    <w:rsid w:val="005A74FA"/>
    <w:pPr>
      <w:numPr>
        <w:numId w:val="19"/>
      </w:numPr>
      <w:tabs>
        <w:tab w:val="clear" w:pos="1701"/>
      </w:tabs>
      <w:spacing w:after="120"/>
      <w:ind w:right="1134"/>
      <w:jc w:val="both"/>
    </w:pPr>
  </w:style>
  <w:style w:type="character" w:styleId="FootnoteReference">
    <w:name w:val="footnote reference"/>
    <w:aliases w:val="4_G"/>
    <w:basedOn w:val="DefaultParagraphFont"/>
    <w:qFormat/>
    <w:rsid w:val="005A74FA"/>
    <w:rPr>
      <w:rFonts w:ascii="Times New Roman" w:hAnsi="Times New Roman"/>
      <w:sz w:val="18"/>
      <w:vertAlign w:val="superscript"/>
      <w:lang w:val="fr-CH"/>
    </w:rPr>
  </w:style>
  <w:style w:type="character" w:styleId="EndnoteReference">
    <w:name w:val="endnote reference"/>
    <w:aliases w:val="1_G"/>
    <w:basedOn w:val="FootnoteReference"/>
    <w:qFormat/>
    <w:rsid w:val="005A74FA"/>
    <w:rPr>
      <w:rFonts w:ascii="Times New Roman" w:hAnsi="Times New Roman"/>
      <w:sz w:val="18"/>
      <w:vertAlign w:val="superscript"/>
      <w:lang w:val="fr-CH"/>
    </w:rPr>
  </w:style>
  <w:style w:type="table" w:styleId="TableGrid">
    <w:name w:val="Table Grid"/>
    <w:basedOn w:val="TableNormal"/>
    <w:rsid w:val="005A74F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A74FA"/>
    <w:rPr>
      <w:color w:val="0000FF"/>
      <w:u w:val="none"/>
    </w:rPr>
  </w:style>
  <w:style w:type="character" w:styleId="FollowedHyperlink">
    <w:name w:val="FollowedHyperlink"/>
    <w:basedOn w:val="DefaultParagraphFont"/>
    <w:unhideWhenUsed/>
    <w:rsid w:val="005A74FA"/>
    <w:rPr>
      <w:color w:val="0000FF"/>
      <w:u w:val="none"/>
    </w:rPr>
  </w:style>
  <w:style w:type="paragraph" w:styleId="FootnoteText">
    <w:name w:val="footnote text"/>
    <w:aliases w:val="5_G"/>
    <w:basedOn w:val="Normal"/>
    <w:link w:val="FootnoteTextChar"/>
    <w:qFormat/>
    <w:rsid w:val="005A74F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A74F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A74FA"/>
  </w:style>
  <w:style w:type="character" w:customStyle="1" w:styleId="EndnoteTextChar">
    <w:name w:val="Endnote Text Char"/>
    <w:aliases w:val="2_G Char"/>
    <w:basedOn w:val="DefaultParagraphFont"/>
    <w:link w:val="EndnoteText"/>
    <w:rsid w:val="005A74F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A74FA"/>
    <w:rPr>
      <w:rFonts w:ascii="Times New Roman" w:hAnsi="Times New Roman"/>
      <w:b/>
      <w:sz w:val="18"/>
      <w:lang w:val="fr-CH"/>
    </w:rPr>
  </w:style>
  <w:style w:type="character" w:customStyle="1" w:styleId="Heading1Char">
    <w:name w:val="Heading 1 Char"/>
    <w:aliases w:val="Table_G Char"/>
    <w:basedOn w:val="DefaultParagraphFont"/>
    <w:link w:val="Heading1"/>
    <w:rsid w:val="005A74F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5A74FA"/>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5A74FA"/>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5A74FA"/>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5A74FA"/>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5A74FA"/>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5A74FA"/>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5A74FA"/>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5A74FA"/>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186A91"/>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186A91"/>
    <w:rPr>
      <w:rFonts w:ascii="Times New Roman" w:eastAsiaTheme="minorHAnsi" w:hAnsi="Times New Roman" w:cs="Times New Roman"/>
      <w:sz w:val="20"/>
      <w:szCs w:val="20"/>
      <w:lang w:eastAsia="en-US"/>
    </w:rPr>
  </w:style>
  <w:style w:type="character" w:customStyle="1" w:styleId="H23GChar">
    <w:name w:val="_ H_2/3_G Char"/>
    <w:link w:val="H23G"/>
    <w:locked/>
    <w:rsid w:val="00186A91"/>
    <w:rPr>
      <w:rFonts w:ascii="Times New Roman" w:eastAsiaTheme="minorHAnsi" w:hAnsi="Times New Roman" w:cs="Times New Roman"/>
      <w:b/>
      <w:sz w:val="20"/>
      <w:szCs w:val="20"/>
      <w:lang w:eastAsia="en-US"/>
    </w:rPr>
  </w:style>
  <w:style w:type="table" w:styleId="TableGrid1">
    <w:name w:val="Table Grid 1"/>
    <w:basedOn w:val="TableNormal"/>
    <w:semiHidden/>
    <w:rsid w:val="009D6971"/>
    <w:pPr>
      <w:suppressAutoHyphens/>
      <w:spacing w:after="0" w:line="240" w:lineRule="atLeast"/>
    </w:pPr>
    <w:rPr>
      <w:rFonts w:ascii="Times New Roman" w:hAnsi="Times New Roman" w:cs="Times New Roman"/>
      <w:sz w:val="20"/>
      <w:szCs w:val="20"/>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3014</Words>
  <Characters>17183</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ST/SG/AC.10/C.3/2018/20</vt:lpstr>
      <vt:lpstr>ST/SG/AC.10/C.3/2018/20</vt:lpstr>
    </vt:vector>
  </TitlesOfParts>
  <Company>DCM</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ST/SG/AC.10/C.3/2018/20</dc:title>
  <dc:subject/>
  <dc:creator>Fabienne CRELIER</dc:creator>
  <cp:keywords/>
  <cp:lastModifiedBy>Laurence Berthet</cp:lastModifiedBy>
  <cp:revision>3</cp:revision>
  <cp:lastPrinted>2018-05-08T18:38:00Z</cp:lastPrinted>
  <dcterms:created xsi:type="dcterms:W3CDTF">2018-05-08T18:38:00Z</dcterms:created>
  <dcterms:modified xsi:type="dcterms:W3CDTF">2018-05-08T18:38:00Z</dcterms:modified>
</cp:coreProperties>
</file>