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rsidTr="00BA24A5">
        <w:trPr>
          <w:trHeight w:hRule="exact" w:val="851"/>
        </w:trPr>
        <w:tc>
          <w:tcPr>
            <w:tcW w:w="1276" w:type="dxa"/>
            <w:tcBorders>
              <w:bottom w:val="single" w:sz="4" w:space="0" w:color="auto"/>
            </w:tcBorders>
          </w:tcPr>
          <w:p w:rsidR="00B31474" w:rsidRDefault="00B31474">
            <w:bookmarkStart w:id="0" w:name="_GoBack"/>
            <w:bookmarkEnd w:id="0"/>
          </w:p>
        </w:tc>
        <w:tc>
          <w:tcPr>
            <w:tcW w:w="2268" w:type="dxa"/>
            <w:tcBorders>
              <w:bottom w:val="single" w:sz="4" w:space="0" w:color="auto"/>
            </w:tcBorders>
            <w:vAlign w:val="bottom"/>
          </w:tcPr>
          <w:p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rsidR="00B31474" w:rsidRDefault="005F25FC" w:rsidP="008E2998">
            <w:pPr>
              <w:jc w:val="right"/>
              <w:rPr>
                <w:lang w:val="en-US"/>
              </w:rPr>
            </w:pPr>
            <w:r w:rsidRPr="007E25DA">
              <w:rPr>
                <w:sz w:val="40"/>
              </w:rPr>
              <w:t>ST</w:t>
            </w:r>
            <w:r w:rsidR="00CB75C1">
              <w:t>/SG/AC.10/C.3/</w:t>
            </w:r>
            <w:r w:rsidR="008E2998">
              <w:t>2018</w:t>
            </w:r>
            <w:r w:rsidR="00D072BB">
              <w:t>/118</w:t>
            </w:r>
          </w:p>
        </w:tc>
      </w:tr>
      <w:tr w:rsidR="00B31474">
        <w:trPr>
          <w:trHeight w:hRule="exact" w:val="2835"/>
        </w:trPr>
        <w:tc>
          <w:tcPr>
            <w:tcW w:w="1276" w:type="dxa"/>
            <w:tcBorders>
              <w:top w:val="single" w:sz="4" w:space="0" w:color="auto"/>
              <w:bottom w:val="single" w:sz="12" w:space="0" w:color="auto"/>
            </w:tcBorders>
          </w:tcPr>
          <w:p w:rsidR="00B31474" w:rsidRDefault="002475A5">
            <w:pPr>
              <w:spacing w:before="120"/>
              <w:jc w:val="center"/>
            </w:pPr>
            <w:r>
              <w:rPr>
                <w:noProof/>
                <w:lang w:val="en-US"/>
              </w:rPr>
              <w:drawing>
                <wp:inline distT="0" distB="0" distL="0" distR="0">
                  <wp:extent cx="71120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rsidR="00B31474" w:rsidRDefault="00B31474">
            <w:pPr>
              <w:spacing w:before="240" w:line="240" w:lineRule="exact"/>
            </w:pPr>
            <w:proofErr w:type="spellStart"/>
            <w:r>
              <w:t>Distr</w:t>
            </w:r>
            <w:proofErr w:type="spellEnd"/>
            <w:r>
              <w:t>. générale</w:t>
            </w:r>
          </w:p>
          <w:p w:rsidR="00B31474" w:rsidRDefault="008C563A">
            <w:pPr>
              <w:spacing w:line="240" w:lineRule="exact"/>
            </w:pPr>
            <w:r>
              <w:t>12</w:t>
            </w:r>
            <w:r w:rsidR="00D072BB">
              <w:t xml:space="preserve"> </w:t>
            </w:r>
            <w:r>
              <w:t>septembre</w:t>
            </w:r>
            <w:r w:rsidR="00D072BB">
              <w:t xml:space="preserve"> 2018</w:t>
            </w:r>
            <w:r w:rsidR="008A0233">
              <w:br/>
            </w:r>
          </w:p>
          <w:p w:rsidR="00B31474" w:rsidRDefault="00B31474">
            <w:pPr>
              <w:spacing w:line="240" w:lineRule="exact"/>
            </w:pPr>
            <w:r>
              <w:t>Original: français</w:t>
            </w:r>
            <w:r w:rsidR="00FE6A6C">
              <w:t xml:space="preserve"> </w:t>
            </w:r>
          </w:p>
        </w:tc>
      </w:tr>
    </w:tbl>
    <w:p w:rsidR="00F24FAC" w:rsidRDefault="00F24FAC" w:rsidP="00F24FAC">
      <w:pPr>
        <w:spacing w:before="120"/>
        <w:rPr>
          <w:b/>
          <w:sz w:val="24"/>
          <w:szCs w:val="24"/>
        </w:rPr>
      </w:pPr>
      <w:r>
        <w:rPr>
          <w:b/>
          <w:sz w:val="24"/>
          <w:szCs w:val="24"/>
        </w:rPr>
        <w:t>Comité d’experts du transport des marchandises dangereuses</w:t>
      </w:r>
      <w:r>
        <w:rPr>
          <w:b/>
          <w:sz w:val="24"/>
          <w:szCs w:val="24"/>
        </w:rPr>
        <w:br/>
        <w:t>et du Système général harmonisé de classification</w:t>
      </w:r>
      <w:r>
        <w:rPr>
          <w:b/>
          <w:sz w:val="24"/>
          <w:szCs w:val="24"/>
        </w:rPr>
        <w:br/>
        <w:t>et d’étiquetage des produits chimiques</w:t>
      </w:r>
    </w:p>
    <w:p w:rsidR="00F24FAC" w:rsidRDefault="00F24FAC" w:rsidP="00F24FAC">
      <w:pPr>
        <w:spacing w:before="120"/>
        <w:rPr>
          <w:b/>
        </w:rPr>
      </w:pPr>
      <w:r>
        <w:rPr>
          <w:b/>
        </w:rPr>
        <w:t>Sous-Comité d’experts du transport des marchandises dangereuses</w:t>
      </w:r>
    </w:p>
    <w:p w:rsidR="00D072BB" w:rsidRPr="00C559D6" w:rsidRDefault="00245F15" w:rsidP="00D072BB">
      <w:pPr>
        <w:spacing w:before="120"/>
        <w:rPr>
          <w:b/>
        </w:rPr>
      </w:pPr>
      <w:r>
        <w:rPr>
          <w:b/>
          <w:bCs/>
          <w:lang w:val="fr-FR"/>
        </w:rPr>
        <w:t>Cinquante-</w:t>
      </w:r>
      <w:r w:rsidR="00D072BB">
        <w:rPr>
          <w:b/>
          <w:bCs/>
          <w:lang w:val="fr-FR"/>
        </w:rPr>
        <w:t>quatrième</w:t>
      </w:r>
      <w:r w:rsidR="00D072BB" w:rsidRPr="00C559D6">
        <w:rPr>
          <w:b/>
        </w:rPr>
        <w:t xml:space="preserve"> session</w:t>
      </w:r>
    </w:p>
    <w:p w:rsidR="00D072BB" w:rsidRDefault="00D072BB" w:rsidP="00D072BB">
      <w:r w:rsidRPr="00C559D6">
        <w:t>Genève, 2</w:t>
      </w:r>
      <w:r>
        <w:t>6 novembre-4 décembre 2018</w:t>
      </w:r>
    </w:p>
    <w:p w:rsidR="00D072BB" w:rsidRPr="00C559D6" w:rsidRDefault="00D072BB" w:rsidP="00D072BB">
      <w:r w:rsidRPr="00C559D6">
        <w:t xml:space="preserve">Point </w:t>
      </w:r>
      <w:r>
        <w:t>2 d)</w:t>
      </w:r>
      <w:r w:rsidRPr="00C559D6">
        <w:t xml:space="preserve"> de l</w:t>
      </w:r>
      <w:r>
        <w:t>’</w:t>
      </w:r>
      <w:r w:rsidRPr="00C559D6">
        <w:t>ordre du jour provisoire</w:t>
      </w:r>
    </w:p>
    <w:p w:rsidR="008A0233" w:rsidRPr="00D072BB" w:rsidRDefault="00D072BB" w:rsidP="00D072BB">
      <w:pPr>
        <w:rPr>
          <w:b/>
          <w:bCs/>
        </w:rPr>
      </w:pPr>
      <w:r w:rsidRPr="00D072BB">
        <w:rPr>
          <w:b/>
          <w:bCs/>
          <w:lang w:val="fr-FR"/>
        </w:rPr>
        <w:t xml:space="preserve">Recommandations du Sous-Comité formulées à ses cinquante et unième, </w:t>
      </w:r>
      <w:r w:rsidRPr="00D072BB">
        <w:rPr>
          <w:b/>
          <w:bCs/>
          <w:lang w:val="fr-FR"/>
        </w:rPr>
        <w:br/>
        <w:t xml:space="preserve">cinquante deuxième et cinquante troisième sessions et questions en </w:t>
      </w:r>
      <w:proofErr w:type="gramStart"/>
      <w:r w:rsidRPr="00D072BB">
        <w:rPr>
          <w:b/>
          <w:bCs/>
          <w:lang w:val="fr-FR"/>
        </w:rPr>
        <w:t>suspens:</w:t>
      </w:r>
      <w:proofErr w:type="gramEnd"/>
      <w:r w:rsidRPr="00D072BB">
        <w:rPr>
          <w:b/>
          <w:bCs/>
          <w:lang w:val="fr-FR"/>
        </w:rPr>
        <w:br/>
        <w:t>systèmes de stockage de l’électricité</w:t>
      </w:r>
    </w:p>
    <w:p w:rsidR="004969DF" w:rsidRDefault="00B90BC5" w:rsidP="00D072BB">
      <w:pPr>
        <w:pStyle w:val="HChG"/>
        <w:spacing w:before="240" w:after="120"/>
        <w:rPr>
          <w:lang w:val="fr-FR"/>
        </w:rPr>
      </w:pPr>
      <w:r>
        <w:rPr>
          <w:lang w:val="fr-FR"/>
        </w:rPr>
        <w:tab/>
      </w:r>
      <w:r>
        <w:rPr>
          <w:lang w:val="fr-FR"/>
        </w:rPr>
        <w:tab/>
      </w:r>
      <w:r w:rsidR="00C77778">
        <w:rPr>
          <w:lang w:val="fr-FR"/>
        </w:rPr>
        <w:t xml:space="preserve">Champ d’application de l’exemption 1.1.1.2 </w:t>
      </w:r>
    </w:p>
    <w:p w:rsidR="00E72C4C" w:rsidRDefault="00E72C4C" w:rsidP="00D072BB">
      <w:pPr>
        <w:pStyle w:val="H1G"/>
        <w:keepNext w:val="0"/>
        <w:keepLines w:val="0"/>
        <w:spacing w:before="240" w:after="120"/>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8A0233">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34DB1" w:rsidRPr="008C563A" w:rsidTr="00E6328D">
        <w:trPr>
          <w:jc w:val="center"/>
        </w:trPr>
        <w:tc>
          <w:tcPr>
            <w:tcW w:w="9637" w:type="dxa"/>
          </w:tcPr>
          <w:p w:rsidR="00734DB1" w:rsidRPr="008C563A" w:rsidRDefault="00734DB1" w:rsidP="008C563A">
            <w:pPr>
              <w:spacing w:before="120" w:after="120" w:line="216" w:lineRule="auto"/>
              <w:ind w:left="255"/>
              <w:rPr>
                <w:rFonts w:eastAsia="Arial"/>
                <w:i/>
                <w:lang w:val="fr-FR"/>
              </w:rPr>
            </w:pPr>
            <w:r w:rsidRPr="008C563A">
              <w:rPr>
                <w:rFonts w:eastAsia="Arial"/>
                <w:i/>
                <w:lang w:val="fr-FR"/>
              </w:rPr>
              <w:t xml:space="preserve">Résumé </w:t>
            </w:r>
          </w:p>
        </w:tc>
      </w:tr>
      <w:tr w:rsidR="00734DB1" w:rsidRPr="008C563A" w:rsidTr="00E6328D">
        <w:trPr>
          <w:jc w:val="center"/>
        </w:trPr>
        <w:tc>
          <w:tcPr>
            <w:tcW w:w="9637" w:type="dxa"/>
          </w:tcPr>
          <w:p w:rsidR="00734DB1" w:rsidRPr="008C563A" w:rsidRDefault="00734DB1" w:rsidP="008C563A">
            <w:pPr>
              <w:pStyle w:val="SingleTxtG"/>
              <w:spacing w:line="216" w:lineRule="auto"/>
              <w:ind w:left="2499" w:hanging="2248"/>
              <w:rPr>
                <w:rFonts w:eastAsia="Arial"/>
                <w:b/>
                <w:lang w:val="fr-FR"/>
              </w:rPr>
            </w:pPr>
            <w:r w:rsidRPr="008C563A">
              <w:rPr>
                <w:b/>
                <w:lang w:val="fr-FR"/>
              </w:rPr>
              <w:t xml:space="preserve">Résumé </w:t>
            </w:r>
            <w:proofErr w:type="gramStart"/>
            <w:r w:rsidRPr="008C563A">
              <w:rPr>
                <w:b/>
                <w:lang w:val="fr-FR"/>
              </w:rPr>
              <w:t>analytique:</w:t>
            </w:r>
            <w:proofErr w:type="gramEnd"/>
            <w:r w:rsidRPr="008C563A">
              <w:rPr>
                <w:b/>
                <w:lang w:val="fr-FR"/>
              </w:rPr>
              <w:tab/>
            </w:r>
            <w:r w:rsidR="00AE43F0" w:rsidRPr="008C563A">
              <w:rPr>
                <w:lang w:val="fr-FR"/>
              </w:rPr>
              <w:t>L</w:t>
            </w:r>
            <w:r w:rsidR="000F4E9C" w:rsidRPr="008C563A">
              <w:rPr>
                <w:lang w:val="fr-FR"/>
              </w:rPr>
              <w:t>a version française adoptée entre crochets du 1.1.1.2 c) doit avoir la même p</w:t>
            </w:r>
            <w:r w:rsidR="0099356F" w:rsidRPr="008C563A">
              <w:rPr>
                <w:lang w:val="fr-FR"/>
              </w:rPr>
              <w:t>or</w:t>
            </w:r>
            <w:r w:rsidR="000F4E9C" w:rsidRPr="008C563A">
              <w:rPr>
                <w:lang w:val="fr-FR"/>
              </w:rPr>
              <w:t xml:space="preserve">tée que la version anglaise. </w:t>
            </w:r>
            <w:r w:rsidR="00590209" w:rsidRPr="008C563A">
              <w:rPr>
                <w:lang w:val="fr-FR"/>
              </w:rPr>
              <w:t>Il ne doit pas y avoir de différence entre l</w:t>
            </w:r>
            <w:r w:rsidR="000F4E9C" w:rsidRPr="008C563A">
              <w:rPr>
                <w:lang w:val="fr-FR"/>
              </w:rPr>
              <w:t xml:space="preserve">es termes en français au 1.1.1.2 a) </w:t>
            </w:r>
            <w:r w:rsidR="00590209" w:rsidRPr="008C563A">
              <w:rPr>
                <w:lang w:val="fr-FR"/>
              </w:rPr>
              <w:t xml:space="preserve">(actuellement « engins de transport ») </w:t>
            </w:r>
            <w:r w:rsidR="000F4E9C" w:rsidRPr="008C563A">
              <w:rPr>
                <w:lang w:val="fr-FR"/>
              </w:rPr>
              <w:t>et a</w:t>
            </w:r>
            <w:r w:rsidR="0099356F" w:rsidRPr="008C563A">
              <w:rPr>
                <w:lang w:val="fr-FR"/>
              </w:rPr>
              <w:t>u</w:t>
            </w:r>
            <w:r w:rsidR="000F4E9C" w:rsidRPr="008C563A">
              <w:rPr>
                <w:lang w:val="fr-FR"/>
              </w:rPr>
              <w:t xml:space="preserve"> Nota 3 du 1.1.1.2 </w:t>
            </w:r>
            <w:r w:rsidR="00590209" w:rsidRPr="008C563A">
              <w:rPr>
                <w:lang w:val="fr-FR"/>
              </w:rPr>
              <w:t>(actuellement « moyen de transport »)</w:t>
            </w:r>
            <w:r w:rsidR="001E4367" w:rsidRPr="008C563A">
              <w:rPr>
                <w:lang w:val="fr-FR"/>
              </w:rPr>
              <w:t xml:space="preserve"> et </w:t>
            </w:r>
            <w:r w:rsidR="00590209" w:rsidRPr="008C563A">
              <w:rPr>
                <w:lang w:val="fr-FR"/>
              </w:rPr>
              <w:t xml:space="preserve">ceux-ci </w:t>
            </w:r>
            <w:r w:rsidR="001E4367" w:rsidRPr="008C563A">
              <w:rPr>
                <w:lang w:val="fr-FR"/>
              </w:rPr>
              <w:t xml:space="preserve">ne </w:t>
            </w:r>
            <w:r w:rsidR="00590209" w:rsidRPr="008C563A">
              <w:rPr>
                <w:lang w:val="fr-FR"/>
              </w:rPr>
              <w:t xml:space="preserve">doivent </w:t>
            </w:r>
            <w:r w:rsidR="001E4367" w:rsidRPr="008C563A">
              <w:rPr>
                <w:lang w:val="fr-FR"/>
              </w:rPr>
              <w:t xml:space="preserve">pas </w:t>
            </w:r>
            <w:r w:rsidR="000F4E9C" w:rsidRPr="008C563A">
              <w:rPr>
                <w:lang w:val="fr-FR"/>
              </w:rPr>
              <w:t>entrer en conflit avec le terme « engin de transport »</w:t>
            </w:r>
            <w:r w:rsidR="0099356F" w:rsidRPr="008C563A">
              <w:rPr>
                <w:lang w:val="fr-FR"/>
              </w:rPr>
              <w:t xml:space="preserve"> employé au 1.1.1.2 c). Il faut éviter qu’</w:t>
            </w:r>
            <w:r w:rsidR="000F4E9C" w:rsidRPr="008C563A">
              <w:rPr>
                <w:lang w:val="fr-FR"/>
              </w:rPr>
              <w:t xml:space="preserve">au 1.1.1.2 c) des dispositions supplémentaires concernant les piles au lithium </w:t>
            </w:r>
            <w:r w:rsidR="0099356F" w:rsidRPr="008C563A">
              <w:rPr>
                <w:lang w:val="fr-FR"/>
              </w:rPr>
              <w:t xml:space="preserve">soient appliquées </w:t>
            </w:r>
            <w:r w:rsidR="000F4E9C" w:rsidRPr="008C563A">
              <w:rPr>
                <w:lang w:val="fr-FR"/>
              </w:rPr>
              <w:t>aux engins de transport qui</w:t>
            </w:r>
            <w:r w:rsidR="00806ABC" w:rsidRPr="008C563A">
              <w:rPr>
                <w:lang w:val="fr-FR"/>
              </w:rPr>
              <w:t xml:space="preserve">, </w:t>
            </w:r>
            <w:r w:rsidR="0099356F" w:rsidRPr="008C563A">
              <w:rPr>
                <w:lang w:val="fr-FR"/>
              </w:rPr>
              <w:t>dans la version française</w:t>
            </w:r>
            <w:r w:rsidR="00806ABC" w:rsidRPr="008C563A">
              <w:rPr>
                <w:lang w:val="fr-FR"/>
              </w:rPr>
              <w:t>,</w:t>
            </w:r>
            <w:r w:rsidR="0099356F" w:rsidRPr="008C563A">
              <w:rPr>
                <w:lang w:val="fr-FR"/>
              </w:rPr>
              <w:t xml:space="preserve"> sont </w:t>
            </w:r>
            <w:r w:rsidR="000F4E9C" w:rsidRPr="008C563A">
              <w:rPr>
                <w:lang w:val="fr-FR"/>
              </w:rPr>
              <w:t>déjà entièrement exemptés par le 1.1.1.2 a). Il s’</w:t>
            </w:r>
            <w:r w:rsidR="001E4367" w:rsidRPr="008C563A">
              <w:rPr>
                <w:lang w:val="fr-FR"/>
              </w:rPr>
              <w:t>agit d’utiliser au 1.1.1.2 a) et dans le Nota 3 d</w:t>
            </w:r>
            <w:r w:rsidR="00590209" w:rsidRPr="008C563A">
              <w:rPr>
                <w:lang w:val="fr-FR"/>
              </w:rPr>
              <w:t>u</w:t>
            </w:r>
            <w:r w:rsidR="001E4367" w:rsidRPr="008C563A">
              <w:rPr>
                <w:lang w:val="fr-FR"/>
              </w:rPr>
              <w:t xml:space="preserve"> 1.1.1.2 dans le texte anglais le terme « </w:t>
            </w:r>
            <w:proofErr w:type="spellStart"/>
            <w:r w:rsidR="001E4367" w:rsidRPr="008C563A">
              <w:rPr>
                <w:lang w:val="fr-FR"/>
              </w:rPr>
              <w:t>conveyance</w:t>
            </w:r>
            <w:proofErr w:type="spellEnd"/>
            <w:r w:rsidR="001E4367" w:rsidRPr="008C563A">
              <w:rPr>
                <w:lang w:val="fr-FR"/>
              </w:rPr>
              <w:t> » et dans le texte français le terme « moyen de transport »</w:t>
            </w:r>
            <w:r w:rsidR="000F4E9C" w:rsidRPr="008C563A">
              <w:rPr>
                <w:lang w:val="fr-FR"/>
              </w:rPr>
              <w:t>.</w:t>
            </w:r>
            <w:r w:rsidR="001E4367" w:rsidRPr="008C563A">
              <w:rPr>
                <w:lang w:val="fr-FR"/>
              </w:rPr>
              <w:t xml:space="preserve"> Afin d’éviter que des exigences supplémentaires impossibles de mettre en œuvre ne soient </w:t>
            </w:r>
            <w:r w:rsidR="00590209" w:rsidRPr="008C563A">
              <w:rPr>
                <w:lang w:val="fr-FR"/>
              </w:rPr>
              <w:t>imposées</w:t>
            </w:r>
            <w:r w:rsidR="001E4367" w:rsidRPr="008C563A">
              <w:rPr>
                <w:lang w:val="fr-FR"/>
              </w:rPr>
              <w:t xml:space="preserve"> aux utilisateurs de moyens de transports </w:t>
            </w:r>
            <w:r w:rsidR="00590209" w:rsidRPr="008C563A">
              <w:rPr>
                <w:lang w:val="fr-FR"/>
              </w:rPr>
              <w:t>qui ne sont pas</w:t>
            </w:r>
            <w:r w:rsidR="001E4367" w:rsidRPr="008C563A">
              <w:rPr>
                <w:lang w:val="fr-FR"/>
              </w:rPr>
              <w:t xml:space="preserve"> concernés par le transport de marchandises dangereuses</w:t>
            </w:r>
            <w:r w:rsidR="00590209" w:rsidRPr="008C563A">
              <w:rPr>
                <w:lang w:val="fr-FR"/>
              </w:rPr>
              <w:t>,</w:t>
            </w:r>
            <w:r w:rsidR="001E4367" w:rsidRPr="008C563A">
              <w:rPr>
                <w:lang w:val="fr-FR"/>
              </w:rPr>
              <w:t xml:space="preserve"> le texte du 1.1.1.2 c) doit être déplacé dans les définitions de colis, suremballage et engin de transport du 1.2.1.</w:t>
            </w:r>
          </w:p>
        </w:tc>
      </w:tr>
      <w:tr w:rsidR="00734DB1" w:rsidRPr="008C563A" w:rsidTr="00E6328D">
        <w:trPr>
          <w:jc w:val="center"/>
        </w:trPr>
        <w:tc>
          <w:tcPr>
            <w:tcW w:w="9637" w:type="dxa"/>
          </w:tcPr>
          <w:p w:rsidR="00490C26" w:rsidRPr="008C563A" w:rsidRDefault="008A0233" w:rsidP="008C563A">
            <w:pPr>
              <w:pStyle w:val="SingleTxtG"/>
              <w:spacing w:line="216" w:lineRule="auto"/>
              <w:ind w:left="2499" w:hanging="2248"/>
              <w:rPr>
                <w:lang w:val="fr-FR"/>
              </w:rPr>
            </w:pPr>
            <w:r w:rsidRPr="008C563A">
              <w:rPr>
                <w:b/>
                <w:lang w:val="fr-FR"/>
              </w:rPr>
              <w:t xml:space="preserve">Mesures à </w:t>
            </w:r>
            <w:proofErr w:type="gramStart"/>
            <w:r w:rsidRPr="008C563A">
              <w:rPr>
                <w:b/>
                <w:lang w:val="fr-FR"/>
              </w:rPr>
              <w:t>prendre</w:t>
            </w:r>
            <w:r w:rsidR="00490C26" w:rsidRPr="008C563A">
              <w:rPr>
                <w:b/>
                <w:lang w:val="fr-FR"/>
              </w:rPr>
              <w:t>:</w:t>
            </w:r>
            <w:proofErr w:type="gramEnd"/>
            <w:r w:rsidR="00490C26" w:rsidRPr="008C563A">
              <w:rPr>
                <w:b/>
                <w:lang w:val="fr-FR"/>
              </w:rPr>
              <w:t xml:space="preserve"> </w:t>
            </w:r>
            <w:r w:rsidR="00490C26" w:rsidRPr="008C563A">
              <w:rPr>
                <w:b/>
                <w:lang w:val="fr-FR"/>
              </w:rPr>
              <w:tab/>
            </w:r>
            <w:r w:rsidR="00AE43F0" w:rsidRPr="008C563A">
              <w:rPr>
                <w:lang w:val="fr-FR"/>
              </w:rPr>
              <w:t>Modifier le 1.1.1.2</w:t>
            </w:r>
          </w:p>
          <w:p w:rsidR="00734DB1" w:rsidRPr="008C563A" w:rsidRDefault="008A0233" w:rsidP="008C563A">
            <w:pPr>
              <w:pStyle w:val="SingleTxtG"/>
              <w:spacing w:line="216" w:lineRule="auto"/>
              <w:ind w:left="2499" w:hanging="2248"/>
              <w:jc w:val="left"/>
              <w:rPr>
                <w:lang w:val="fr-FR"/>
              </w:rPr>
            </w:pPr>
            <w:r w:rsidRPr="008C563A">
              <w:rPr>
                <w:b/>
                <w:lang w:val="fr-FR"/>
              </w:rPr>
              <w:t xml:space="preserve">Documents de </w:t>
            </w:r>
            <w:proofErr w:type="gramStart"/>
            <w:r w:rsidRPr="008C563A">
              <w:rPr>
                <w:b/>
                <w:lang w:val="fr-FR"/>
              </w:rPr>
              <w:t>référence</w:t>
            </w:r>
            <w:r w:rsidR="005343BA" w:rsidRPr="008C563A">
              <w:rPr>
                <w:b/>
                <w:lang w:val="fr-FR"/>
              </w:rPr>
              <w:t>:</w:t>
            </w:r>
            <w:proofErr w:type="gramEnd"/>
            <w:r w:rsidR="005343BA" w:rsidRPr="008C563A">
              <w:rPr>
                <w:b/>
                <w:lang w:val="fr-FR"/>
              </w:rPr>
              <w:t xml:space="preserve"> </w:t>
            </w:r>
            <w:r w:rsidR="005343BA" w:rsidRPr="008C563A">
              <w:rPr>
                <w:b/>
                <w:lang w:val="fr-FR"/>
              </w:rPr>
              <w:tab/>
            </w:r>
            <w:r w:rsidR="000F4E9C" w:rsidRPr="008C563A">
              <w:t xml:space="preserve">ST/SG/AC.10/C.3/2018/40, </w:t>
            </w:r>
            <w:r w:rsidR="0003570C" w:rsidRPr="008C563A">
              <w:rPr>
                <w:bCs/>
                <w:lang w:val="fr-FR"/>
              </w:rPr>
              <w:t>ST/SG/AC.10/C.3/2017/13,</w:t>
            </w:r>
            <w:r w:rsidR="0003570C" w:rsidRPr="008C563A">
              <w:rPr>
                <w:bCs/>
                <w:i/>
                <w:lang w:val="fr-FR"/>
              </w:rPr>
              <w:t xml:space="preserve"> </w:t>
            </w:r>
            <w:r w:rsidR="0003570C" w:rsidRPr="008C563A">
              <w:t xml:space="preserve">ST/SG/AC.10/C.3/102 et /Add.1, </w:t>
            </w:r>
            <w:r w:rsidR="008C563A" w:rsidRPr="008C563A">
              <w:t>ST/SG/AC.10/C.3/104 et ST/SG/AC.10/C.3/106</w:t>
            </w:r>
            <w:r w:rsidR="00EF20B6">
              <w:t>.</w:t>
            </w:r>
            <w:r w:rsidR="000F4E9C" w:rsidRPr="008C563A">
              <w:t xml:space="preserve"> </w:t>
            </w:r>
          </w:p>
        </w:tc>
      </w:tr>
    </w:tbl>
    <w:p w:rsidR="00B31474" w:rsidRDefault="00B31474" w:rsidP="00734DB1">
      <w:pPr>
        <w:pStyle w:val="HChG"/>
        <w:keepNext w:val="0"/>
        <w:keepLines w:val="0"/>
        <w:tabs>
          <w:tab w:val="left" w:pos="1500"/>
        </w:tabs>
        <w:ind w:left="1100" w:firstLine="0"/>
        <w:rPr>
          <w:lang w:val="fr-FR"/>
        </w:rPr>
      </w:pPr>
      <w:r>
        <w:rPr>
          <w:lang w:val="fr-FR"/>
        </w:rPr>
        <w:lastRenderedPageBreak/>
        <w:t>Introduction</w:t>
      </w:r>
    </w:p>
    <w:p w:rsidR="008B49DB" w:rsidRDefault="00AA54DF" w:rsidP="00A32EAF">
      <w:pPr>
        <w:pStyle w:val="SingleTxtG"/>
        <w:rPr>
          <w:lang w:val="fr-FR"/>
        </w:rPr>
      </w:pPr>
      <w:r>
        <w:rPr>
          <w:lang w:val="fr-FR"/>
        </w:rPr>
        <w:t>1.</w:t>
      </w:r>
      <w:r>
        <w:rPr>
          <w:lang w:val="fr-FR"/>
        </w:rPr>
        <w:tab/>
      </w:r>
      <w:r w:rsidR="008B49DB">
        <w:rPr>
          <w:lang w:val="fr-FR"/>
        </w:rPr>
        <w:t>Au cours de la cinquante et unième session le Sous-comité a adopté le texte suivant</w:t>
      </w:r>
      <w:r w:rsidR="000260C2">
        <w:rPr>
          <w:lang w:val="fr-FR"/>
        </w:rPr>
        <w:t xml:space="preserve"> entre crochets en relation avec les dispositi</w:t>
      </w:r>
      <w:r w:rsidR="008B49DB">
        <w:rPr>
          <w:lang w:val="fr-FR"/>
        </w:rPr>
        <w:t>fs de</w:t>
      </w:r>
      <w:r w:rsidR="00181D2E">
        <w:rPr>
          <w:lang w:val="fr-FR"/>
        </w:rPr>
        <w:t xml:space="preserve"> </w:t>
      </w:r>
      <w:r w:rsidR="008B49DB">
        <w:rPr>
          <w:lang w:val="fr-FR"/>
        </w:rPr>
        <w:t>localisation des marchandises dangereuses et les enregist</w:t>
      </w:r>
      <w:r w:rsidR="0003570C">
        <w:rPr>
          <w:lang w:val="fr-FR"/>
        </w:rPr>
        <w:t>r</w:t>
      </w:r>
      <w:r w:rsidR="008B49DB">
        <w:rPr>
          <w:lang w:val="fr-FR"/>
        </w:rPr>
        <w:t xml:space="preserve">eurs de données alimentés par batterie au lithium. </w:t>
      </w:r>
    </w:p>
    <w:p w:rsidR="008B49DB" w:rsidRPr="006B0E45" w:rsidRDefault="000260C2" w:rsidP="00D072BB">
      <w:pPr>
        <w:pStyle w:val="SingleTxtG"/>
        <w:ind w:firstLine="567"/>
        <w:rPr>
          <w:lang w:val="fr-FR"/>
        </w:rPr>
      </w:pPr>
      <w:r>
        <w:rPr>
          <w:lang w:val="fr-FR"/>
        </w:rPr>
        <w:t>« </w:t>
      </w:r>
      <w:r w:rsidR="008B49DB" w:rsidRPr="006B0E45">
        <w:rPr>
          <w:lang w:val="fr-FR"/>
        </w:rPr>
        <w:t>[1.1.1.2</w:t>
      </w:r>
      <w:r w:rsidR="008B49DB" w:rsidRPr="006B0E45">
        <w:rPr>
          <w:lang w:val="fr-FR"/>
        </w:rPr>
        <w:tab/>
        <w:t>Modifier le paragraphe c) pour lire comme suit :</w:t>
      </w:r>
    </w:p>
    <w:p w:rsidR="008B49DB" w:rsidRPr="006B0E45" w:rsidRDefault="008B49DB" w:rsidP="00D072BB">
      <w:pPr>
        <w:pStyle w:val="SingleTxtG"/>
        <w:ind w:left="1701"/>
        <w:rPr>
          <w:lang w:val="fr-FR"/>
        </w:rPr>
      </w:pPr>
      <w:r w:rsidRPr="006B0E45">
        <w:rPr>
          <w:lang w:val="fr-FR"/>
        </w:rPr>
        <w:t>« </w:t>
      </w:r>
      <w:proofErr w:type="gramStart"/>
      <w:r w:rsidRPr="006B0E45">
        <w:rPr>
          <w:lang w:val="fr-FR"/>
        </w:rPr>
        <w:t>c</w:t>
      </w:r>
      <w:proofErr w:type="gramEnd"/>
      <w:r w:rsidRPr="006B0E45">
        <w:rPr>
          <w:lang w:val="fr-FR"/>
        </w:rPr>
        <w:t>)</w:t>
      </w:r>
      <w:r w:rsidRPr="006B0E45">
        <w:rPr>
          <w:lang w:val="fr-FR"/>
        </w:rPr>
        <w:tab/>
        <w:t>des dispositifs de localisation des marchandises et enregistreurs de données, alimentés par pile ou batterie au lithium, fixés aux colis, suremballages ou engins de transport si ces dispositifs remplissent les conditions suivantes :</w:t>
      </w:r>
    </w:p>
    <w:p w:rsidR="008B49DB" w:rsidRPr="006B0E45" w:rsidRDefault="008B49DB" w:rsidP="00EF20B6">
      <w:pPr>
        <w:pStyle w:val="SingleTxtG"/>
        <w:ind w:left="2835" w:hanging="567"/>
        <w:rPr>
          <w:lang w:val="fr-FR"/>
        </w:rPr>
      </w:pPr>
      <w:r w:rsidRPr="006B0E45">
        <w:rPr>
          <w:lang w:val="fr-FR"/>
        </w:rPr>
        <w:t>i)</w:t>
      </w:r>
      <w:r w:rsidRPr="006B0E45">
        <w:rPr>
          <w:lang w:val="fr-FR"/>
        </w:rPr>
        <w:tab/>
        <w:t>chaque pile ou batterie doit satisfaire aux dispositions applicables du 2.9.4 ;</w:t>
      </w:r>
    </w:p>
    <w:p w:rsidR="008B49DB" w:rsidRPr="006B0E45" w:rsidRDefault="008B49DB" w:rsidP="00EF20B6">
      <w:pPr>
        <w:pStyle w:val="SingleTxtG"/>
        <w:ind w:left="2835" w:hanging="567"/>
        <w:rPr>
          <w:lang w:val="fr-FR"/>
        </w:rPr>
      </w:pPr>
      <w:r w:rsidRPr="006B0E45">
        <w:rPr>
          <w:lang w:val="fr-FR"/>
        </w:rPr>
        <w:t>ii)</w:t>
      </w:r>
      <w:r w:rsidRPr="006B0E45">
        <w:rPr>
          <w:lang w:val="fr-FR"/>
        </w:rPr>
        <w:tab/>
        <w:t>les batteries et les piles doivent être protégées par une enveloppe extérieure présentant une résistance suffisante et d’une conception adaptée ou par le dispositif qui les contient, afin d’empêcher tout endommagement dans des conditions normales de transport.]</w:t>
      </w:r>
    </w:p>
    <w:p w:rsidR="008B49DB" w:rsidRPr="006B0E45" w:rsidRDefault="008B49DB" w:rsidP="008B49DB">
      <w:pPr>
        <w:pStyle w:val="H23G"/>
        <w:rPr>
          <w:b w:val="0"/>
          <w:bCs/>
          <w:i/>
          <w:lang w:val="fr-FR"/>
        </w:rPr>
      </w:pPr>
      <w:r w:rsidRPr="006B0E45">
        <w:rPr>
          <w:i/>
          <w:lang w:val="fr-FR"/>
        </w:rPr>
        <w:tab/>
      </w:r>
      <w:r w:rsidRPr="006B0E45">
        <w:rPr>
          <w:i/>
          <w:lang w:val="fr-FR"/>
        </w:rPr>
        <w:tab/>
      </w:r>
      <w:r w:rsidRPr="006B0E45">
        <w:rPr>
          <w:b w:val="0"/>
          <w:bCs/>
          <w:i/>
          <w:lang w:val="fr-FR"/>
        </w:rPr>
        <w:t>(Document de référence : ST/SG/AC.10/C.3/</w:t>
      </w:r>
      <w:r w:rsidR="008C563A">
        <w:rPr>
          <w:b w:val="0"/>
          <w:bCs/>
          <w:i/>
          <w:lang w:val="fr-FR"/>
        </w:rPr>
        <w:t>102/Add.1, annexe II)</w:t>
      </w:r>
      <w:r w:rsidR="000260C2">
        <w:rPr>
          <w:b w:val="0"/>
          <w:bCs/>
          <w:i/>
          <w:lang w:val="fr-FR"/>
        </w:rPr>
        <w:t> »</w:t>
      </w:r>
    </w:p>
    <w:p w:rsidR="00590209" w:rsidRDefault="006C05D8" w:rsidP="00A32EAF">
      <w:pPr>
        <w:pStyle w:val="SingleTxtG"/>
        <w:rPr>
          <w:lang w:val="fr-FR"/>
        </w:rPr>
      </w:pPr>
      <w:r>
        <w:rPr>
          <w:lang w:val="fr-FR"/>
        </w:rPr>
        <w:t>2.</w:t>
      </w:r>
      <w:r>
        <w:rPr>
          <w:lang w:val="fr-FR"/>
        </w:rPr>
        <w:tab/>
      </w:r>
      <w:r w:rsidR="00D033F4">
        <w:rPr>
          <w:lang w:val="fr-FR"/>
        </w:rPr>
        <w:t>Pour la version française, l</w:t>
      </w:r>
      <w:r w:rsidR="00872325">
        <w:rPr>
          <w:lang w:val="fr-FR"/>
        </w:rPr>
        <w:t xml:space="preserve">e </w:t>
      </w:r>
      <w:r w:rsidR="00794A65">
        <w:rPr>
          <w:lang w:val="fr-FR"/>
        </w:rPr>
        <w:t xml:space="preserve">1.1.1.2 a) exempte déjà les engins de transport d’une manière générale. </w:t>
      </w:r>
      <w:r w:rsidR="00590209">
        <w:rPr>
          <w:lang w:val="fr-FR"/>
        </w:rPr>
        <w:t>Ce qui entre en contradiction avec l’exigence introduite au 1.1.1.2 c).</w:t>
      </w:r>
    </w:p>
    <w:p w:rsidR="004D1EE1" w:rsidRDefault="00590209" w:rsidP="00A32EAF">
      <w:pPr>
        <w:pStyle w:val="SingleTxtG"/>
        <w:rPr>
          <w:lang w:val="fr-FR"/>
        </w:rPr>
      </w:pPr>
      <w:r>
        <w:rPr>
          <w:lang w:val="fr-FR"/>
        </w:rPr>
        <w:t>3.</w:t>
      </w:r>
      <w:r>
        <w:rPr>
          <w:lang w:val="fr-FR"/>
        </w:rPr>
        <w:tab/>
      </w:r>
      <w:r w:rsidR="00D033F4">
        <w:rPr>
          <w:lang w:val="fr-FR"/>
        </w:rPr>
        <w:t xml:space="preserve">Pour la version anglaise au 1.1.1.2 a) c’est le terme « means of transport » qui est employé. Bien que non définit dans la réglementation </w:t>
      </w:r>
      <w:r>
        <w:rPr>
          <w:lang w:val="fr-FR"/>
        </w:rPr>
        <w:t>ce dernier</w:t>
      </w:r>
      <w:r w:rsidR="00D033F4">
        <w:rPr>
          <w:lang w:val="fr-FR"/>
        </w:rPr>
        <w:t xml:space="preserve"> est utilisé à différents endroits du Règlement type et aucune de ces utilisations ne correspond à la définition d’engin de transport</w:t>
      </w:r>
      <w:r w:rsidR="00A8698B">
        <w:rPr>
          <w:lang w:val="fr-FR"/>
        </w:rPr>
        <w:t>. D</w:t>
      </w:r>
      <w:r w:rsidR="00A57DD9">
        <w:rPr>
          <w:lang w:val="fr-FR"/>
        </w:rPr>
        <w:t xml:space="preserve">e fait </w:t>
      </w:r>
      <w:r>
        <w:rPr>
          <w:lang w:val="fr-FR"/>
        </w:rPr>
        <w:t>l</w:t>
      </w:r>
      <w:r w:rsidR="00D033F4">
        <w:rPr>
          <w:lang w:val="fr-FR"/>
        </w:rPr>
        <w:t xml:space="preserve">e terme </w:t>
      </w:r>
      <w:r>
        <w:rPr>
          <w:lang w:val="fr-FR"/>
        </w:rPr>
        <w:t>« </w:t>
      </w:r>
      <w:proofErr w:type="spellStart"/>
      <w:r>
        <w:rPr>
          <w:lang w:val="fr-FR"/>
        </w:rPr>
        <w:t>means</w:t>
      </w:r>
      <w:proofErr w:type="spellEnd"/>
      <w:r>
        <w:rPr>
          <w:lang w:val="fr-FR"/>
        </w:rPr>
        <w:t xml:space="preserve"> of transport » </w:t>
      </w:r>
      <w:r w:rsidR="00D033F4">
        <w:rPr>
          <w:lang w:val="fr-FR"/>
        </w:rPr>
        <w:t>se rencontr</w:t>
      </w:r>
      <w:r w:rsidR="00A57DD9">
        <w:rPr>
          <w:lang w:val="fr-FR"/>
        </w:rPr>
        <w:t>e</w:t>
      </w:r>
      <w:r w:rsidR="00D033F4">
        <w:rPr>
          <w:lang w:val="fr-FR"/>
        </w:rPr>
        <w:t xml:space="preserve"> rarement dans le Règlement type et nous avons trouvé </w:t>
      </w:r>
      <w:r w:rsidR="00A8698B">
        <w:rPr>
          <w:lang w:val="fr-FR"/>
        </w:rPr>
        <w:t xml:space="preserve">les </w:t>
      </w:r>
      <w:r w:rsidR="00D033F4">
        <w:rPr>
          <w:lang w:val="fr-FR"/>
        </w:rPr>
        <w:t>significations</w:t>
      </w:r>
      <w:r w:rsidR="004D1EE1">
        <w:rPr>
          <w:lang w:val="fr-FR"/>
        </w:rPr>
        <w:t xml:space="preserve"> </w:t>
      </w:r>
      <w:r w:rsidR="00A8698B">
        <w:rPr>
          <w:lang w:val="fr-FR"/>
        </w:rPr>
        <w:t xml:space="preserve">suivantes </w:t>
      </w:r>
      <w:r w:rsidR="00A57DD9">
        <w:rPr>
          <w:lang w:val="fr-FR"/>
        </w:rPr>
        <w:t xml:space="preserve">dont </w:t>
      </w:r>
      <w:r w:rsidR="00A8698B">
        <w:rPr>
          <w:lang w:val="fr-FR"/>
        </w:rPr>
        <w:t>aucune ne</w:t>
      </w:r>
      <w:r w:rsidR="00A57DD9">
        <w:rPr>
          <w:lang w:val="fr-FR"/>
        </w:rPr>
        <w:t xml:space="preserve"> correspond au </w:t>
      </w:r>
      <w:r w:rsidR="00A8698B">
        <w:rPr>
          <w:lang w:val="fr-FR"/>
        </w:rPr>
        <w:t>term</w:t>
      </w:r>
      <w:r w:rsidR="00B31C7F">
        <w:rPr>
          <w:lang w:val="fr-FR"/>
        </w:rPr>
        <w:t>e</w:t>
      </w:r>
      <w:r w:rsidR="00A57DD9">
        <w:rPr>
          <w:lang w:val="fr-FR"/>
        </w:rPr>
        <w:t xml:space="preserve"> </w:t>
      </w:r>
      <w:r w:rsidR="00A8698B">
        <w:rPr>
          <w:lang w:val="fr-FR"/>
        </w:rPr>
        <w:t>« </w:t>
      </w:r>
      <w:r w:rsidR="00A57DD9">
        <w:rPr>
          <w:lang w:val="fr-FR"/>
        </w:rPr>
        <w:t>engin de transport</w:t>
      </w:r>
      <w:r w:rsidR="00A8698B">
        <w:rPr>
          <w:lang w:val="fr-FR"/>
        </w:rPr>
        <w:t> »</w:t>
      </w:r>
      <w:r w:rsidR="00A57DD9">
        <w:rPr>
          <w:lang w:val="fr-FR"/>
        </w:rPr>
        <w:t> </w:t>
      </w:r>
      <w:r w:rsidR="00AA781A">
        <w:rPr>
          <w:lang w:val="fr-FR"/>
        </w:rPr>
        <w:t>/ « cargo transport unit »</w:t>
      </w:r>
      <w:r w:rsidR="00A57DD9">
        <w:rPr>
          <w:lang w:val="fr-FR"/>
        </w:rPr>
        <w:t>:</w:t>
      </w:r>
    </w:p>
    <w:p w:rsidR="007E6055" w:rsidRDefault="007E6055" w:rsidP="008C563A">
      <w:pPr>
        <w:pStyle w:val="SingleTxtG"/>
        <w:ind w:left="1701"/>
        <w:rPr>
          <w:lang w:val="fr-FR"/>
        </w:rPr>
      </w:pPr>
      <w:r w:rsidRPr="00D03D57">
        <w:rPr>
          <w:b/>
          <w:lang w:val="fr-FR"/>
        </w:rPr>
        <w:t>« </w:t>
      </w:r>
      <w:r w:rsidR="004D1EE1" w:rsidRPr="00D03D57">
        <w:rPr>
          <w:b/>
          <w:lang w:val="fr-FR"/>
        </w:rPr>
        <w:t>M</w:t>
      </w:r>
      <w:r w:rsidRPr="00D03D57">
        <w:rPr>
          <w:b/>
          <w:lang w:val="fr-FR"/>
        </w:rPr>
        <w:t>ode de transport »</w:t>
      </w:r>
      <w:r>
        <w:rPr>
          <w:lang w:val="fr-FR"/>
        </w:rPr>
        <w:t xml:space="preserve"> dans les cas suivants :</w:t>
      </w:r>
    </w:p>
    <w:p w:rsidR="007E6055" w:rsidRDefault="001E4367" w:rsidP="008C563A">
      <w:pPr>
        <w:pStyle w:val="SingleTxtG"/>
        <w:ind w:left="1701"/>
        <w:rPr>
          <w:lang w:val="fr-FR"/>
        </w:rPr>
      </w:pPr>
      <w:r>
        <w:rPr>
          <w:lang w:val="fr-FR"/>
        </w:rPr>
        <w:t>Au</w:t>
      </w:r>
      <w:r w:rsidR="007E6055">
        <w:rPr>
          <w:lang w:val="fr-FR"/>
        </w:rPr>
        <w:t xml:space="preserve"> 1.2.1 dans les définitions suivantes</w:t>
      </w:r>
    </w:p>
    <w:p w:rsidR="007E6055" w:rsidRDefault="007E6055" w:rsidP="00D072BB">
      <w:pPr>
        <w:pStyle w:val="SingleTxtG"/>
        <w:ind w:left="1843" w:hanging="142"/>
        <w:rPr>
          <w:lang w:val="fr-FR"/>
        </w:rPr>
      </w:pPr>
      <w:proofErr w:type="gramStart"/>
      <w:r>
        <w:rPr>
          <w:lang w:val="fr-FR"/>
        </w:rPr>
        <w:t>«Bulk</w:t>
      </w:r>
      <w:proofErr w:type="gramEnd"/>
      <w:r>
        <w:rPr>
          <w:lang w:val="fr-FR"/>
        </w:rPr>
        <w:t xml:space="preserve"> container » </w:t>
      </w:r>
    </w:p>
    <w:p w:rsidR="007E6055" w:rsidRPr="007E6055" w:rsidRDefault="007E6055" w:rsidP="00D072BB">
      <w:pPr>
        <w:pStyle w:val="SingleTxtG"/>
        <w:ind w:left="1701"/>
        <w:rPr>
          <w:lang w:val="en-US"/>
        </w:rPr>
      </w:pPr>
      <w:r w:rsidRPr="007E6055">
        <w:rPr>
          <w:lang w:val="en-US"/>
        </w:rPr>
        <w:t xml:space="preserve">A bulk container </w:t>
      </w:r>
      <w:proofErr w:type="gramStart"/>
      <w:r w:rsidRPr="007E6055">
        <w:rPr>
          <w:lang w:val="en-US"/>
        </w:rPr>
        <w:t>is :</w:t>
      </w:r>
      <w:proofErr w:type="gramEnd"/>
      <w:r w:rsidRPr="007E6055">
        <w:rPr>
          <w:lang w:val="en-US"/>
        </w:rPr>
        <w:t xml:space="preserve"> … - sp</w:t>
      </w:r>
      <w:r>
        <w:rPr>
          <w:lang w:val="en-US"/>
        </w:rPr>
        <w:t>e</w:t>
      </w:r>
      <w:r w:rsidRPr="007E6055">
        <w:rPr>
          <w:lang w:val="en-US"/>
        </w:rPr>
        <w:t xml:space="preserve">cially designed to facilitate the transport of goods by one or more </w:t>
      </w:r>
      <w:r w:rsidRPr="007E6055">
        <w:rPr>
          <w:b/>
          <w:lang w:val="en-US"/>
        </w:rPr>
        <w:t>means of transport</w:t>
      </w:r>
      <w:r w:rsidRPr="007E6055">
        <w:rPr>
          <w:lang w:val="en-US"/>
        </w:rPr>
        <w:t xml:space="preserve"> without intermediate reloading</w:t>
      </w:r>
    </w:p>
    <w:p w:rsidR="007E6055" w:rsidRDefault="007E6055" w:rsidP="00D072BB">
      <w:pPr>
        <w:pStyle w:val="SingleTxtG"/>
        <w:ind w:left="1701"/>
      </w:pPr>
      <w:r w:rsidRPr="007E6055">
        <w:t>(</w:t>
      </w:r>
      <w:proofErr w:type="gramStart"/>
      <w:r w:rsidRPr="007E6055">
        <w:t>Remarque:</w:t>
      </w:r>
      <w:proofErr w:type="gramEnd"/>
      <w:r w:rsidRPr="007E6055">
        <w:t xml:space="preserve"> le français utili</w:t>
      </w:r>
      <w:r>
        <w:t>s</w:t>
      </w:r>
      <w:r w:rsidRPr="007E6055">
        <w:t>e le terme “mode de transport” qui correspondrait à “transport mode” en anglais).</w:t>
      </w:r>
    </w:p>
    <w:p w:rsidR="007E6055" w:rsidRPr="007E6055" w:rsidRDefault="007E6055" w:rsidP="00D072BB">
      <w:pPr>
        <w:pStyle w:val="SingleTxtG"/>
        <w:ind w:left="1843" w:hanging="142"/>
        <w:rPr>
          <w:lang w:val="en-US"/>
        </w:rPr>
      </w:pPr>
      <w:r w:rsidRPr="007E6055">
        <w:rPr>
          <w:i/>
          <w:iCs/>
          <w:lang w:val="en-US"/>
        </w:rPr>
        <w:t xml:space="preserve">Carrier </w:t>
      </w:r>
      <w:r w:rsidRPr="007E6055">
        <w:rPr>
          <w:lang w:val="en-US"/>
        </w:rPr>
        <w:t xml:space="preserve">means any person, organization or government undertaking the transport of dangerous goods by any </w:t>
      </w:r>
      <w:r w:rsidRPr="007E6055">
        <w:rPr>
          <w:b/>
          <w:lang w:val="en-US"/>
        </w:rPr>
        <w:t>means of transport</w:t>
      </w:r>
      <w:r w:rsidRPr="007E6055">
        <w:rPr>
          <w:lang w:val="en-US"/>
        </w:rPr>
        <w:t>.</w:t>
      </w:r>
    </w:p>
    <w:p w:rsidR="004D1EE1" w:rsidRPr="00D033F4" w:rsidRDefault="004D1EE1" w:rsidP="008C563A">
      <w:pPr>
        <w:pStyle w:val="SingleTxtG"/>
        <w:ind w:firstLine="567"/>
        <w:rPr>
          <w:b/>
          <w:lang w:val="fr-FR"/>
        </w:rPr>
      </w:pPr>
      <w:r w:rsidRPr="00D033F4">
        <w:rPr>
          <w:b/>
          <w:lang w:val="fr-FR"/>
        </w:rPr>
        <w:t>« </w:t>
      </w:r>
      <w:proofErr w:type="gramStart"/>
      <w:r w:rsidR="005E1400">
        <w:rPr>
          <w:b/>
          <w:lang w:val="fr-FR"/>
        </w:rPr>
        <w:t>moyen</w:t>
      </w:r>
      <w:proofErr w:type="gramEnd"/>
      <w:r w:rsidR="005E1400">
        <w:rPr>
          <w:b/>
          <w:lang w:val="fr-FR"/>
        </w:rPr>
        <w:t xml:space="preserve"> </w:t>
      </w:r>
      <w:r w:rsidRPr="00D033F4">
        <w:rPr>
          <w:b/>
          <w:lang w:val="fr-FR"/>
        </w:rPr>
        <w:t xml:space="preserve">de transport » </w:t>
      </w:r>
    </w:p>
    <w:p w:rsidR="004D1EE1" w:rsidRDefault="004D1EE1" w:rsidP="004D1EE1">
      <w:pPr>
        <w:pStyle w:val="SingleTxtG"/>
        <w:ind w:left="1701"/>
        <w:rPr>
          <w:lang w:val="fr-FR"/>
        </w:rPr>
      </w:pPr>
      <w:r>
        <w:rPr>
          <w:lang w:val="fr-FR"/>
        </w:rPr>
        <w:t>Au 1.5.1.4 p</w:t>
      </w:r>
      <w:r w:rsidR="007E6055">
        <w:rPr>
          <w:lang w:val="fr-FR"/>
        </w:rPr>
        <w:t xml:space="preserve">our les marchandises radioactives au 1.5.1.4 dans le sens </w:t>
      </w:r>
      <w:r w:rsidR="005E1400">
        <w:rPr>
          <w:lang w:val="fr-FR"/>
        </w:rPr>
        <w:t xml:space="preserve">de </w:t>
      </w:r>
      <w:r w:rsidR="007E6055">
        <w:rPr>
          <w:lang w:val="fr-FR"/>
        </w:rPr>
        <w:t>« co</w:t>
      </w:r>
      <w:r>
        <w:rPr>
          <w:lang w:val="fr-FR"/>
        </w:rPr>
        <w:t>n</w:t>
      </w:r>
      <w:r w:rsidR="007E6055">
        <w:rPr>
          <w:lang w:val="fr-FR"/>
        </w:rPr>
        <w:t>veyance »</w:t>
      </w:r>
      <w:r w:rsidR="005E1400">
        <w:rPr>
          <w:lang w:val="fr-FR"/>
        </w:rPr>
        <w:t xml:space="preserve"> en anglais</w:t>
      </w:r>
      <w:r>
        <w:rPr>
          <w:lang w:val="fr-FR"/>
        </w:rPr>
        <w:t>.</w:t>
      </w:r>
    </w:p>
    <w:p w:rsidR="004D1EE1" w:rsidRPr="004D1EE1" w:rsidRDefault="004D1EE1" w:rsidP="00D072BB">
      <w:pPr>
        <w:pStyle w:val="Default"/>
        <w:ind w:left="1701"/>
        <w:rPr>
          <w:sz w:val="20"/>
          <w:szCs w:val="20"/>
        </w:rPr>
      </w:pPr>
      <w:r w:rsidRPr="004D1EE1">
        <w:rPr>
          <w:sz w:val="20"/>
          <w:szCs w:val="20"/>
        </w:rPr>
        <w:t xml:space="preserve">« 1.5.1.4 These Regulations do not apply to any of the following: </w:t>
      </w:r>
    </w:p>
    <w:p w:rsidR="004D1EE1" w:rsidRPr="004D1EE1" w:rsidRDefault="004D1EE1" w:rsidP="00D072BB">
      <w:pPr>
        <w:pStyle w:val="SingleTxtG"/>
        <w:ind w:left="2268" w:hanging="567"/>
        <w:rPr>
          <w:lang w:val="en-US"/>
        </w:rPr>
      </w:pPr>
      <w:r w:rsidRPr="004D1EE1">
        <w:rPr>
          <w:lang w:val="en-US"/>
        </w:rPr>
        <w:t xml:space="preserve">(a) Radioactive material that is an integral part of the </w:t>
      </w:r>
      <w:r w:rsidRPr="004D1EE1">
        <w:rPr>
          <w:b/>
          <w:lang w:val="en-US"/>
        </w:rPr>
        <w:t>means of transport</w:t>
      </w:r>
      <w:r w:rsidRPr="004D1EE1">
        <w:rPr>
          <w:lang w:val="en-US"/>
        </w:rPr>
        <w:t>; »</w:t>
      </w:r>
    </w:p>
    <w:p w:rsidR="004D1EE1" w:rsidRPr="00B324E0" w:rsidRDefault="004D1EE1" w:rsidP="008C563A">
      <w:pPr>
        <w:pStyle w:val="SingleTxtG"/>
        <w:ind w:firstLine="567"/>
      </w:pPr>
      <w:r w:rsidRPr="00B324E0">
        <w:rPr>
          <w:b/>
        </w:rPr>
        <w:t>« </w:t>
      </w:r>
      <w:proofErr w:type="gramStart"/>
      <w:r w:rsidR="00D03D57" w:rsidRPr="00B324E0">
        <w:rPr>
          <w:b/>
        </w:rPr>
        <w:t>enceinte</w:t>
      </w:r>
      <w:proofErr w:type="gramEnd"/>
      <w:r w:rsidR="00D03D57" w:rsidRPr="00B324E0">
        <w:rPr>
          <w:b/>
        </w:rPr>
        <w:t xml:space="preserve"> de rétention/containme</w:t>
      </w:r>
      <w:r w:rsidR="00304A18" w:rsidRPr="00B324E0">
        <w:rPr>
          <w:b/>
        </w:rPr>
        <w:t>nt</w:t>
      </w:r>
      <w:r w:rsidR="00D03D57" w:rsidRPr="00B324E0">
        <w:rPr>
          <w:b/>
        </w:rPr>
        <w:t xml:space="preserve"> system</w:t>
      </w:r>
      <w:r w:rsidRPr="00B324E0">
        <w:rPr>
          <w:b/>
        </w:rPr>
        <w:t> »</w:t>
      </w:r>
      <w:r w:rsidRPr="00B324E0">
        <w:t xml:space="preserve">  :</w:t>
      </w:r>
    </w:p>
    <w:p w:rsidR="004D1EE1" w:rsidRPr="00B324E0" w:rsidRDefault="004D1EE1" w:rsidP="00D072BB">
      <w:pPr>
        <w:pStyle w:val="SingleTxtG"/>
        <w:numPr>
          <w:ilvl w:val="0"/>
          <w:numId w:val="28"/>
        </w:numPr>
        <w:ind w:left="2268" w:hanging="567"/>
      </w:pPr>
      <w:proofErr w:type="gramStart"/>
      <w:r w:rsidRPr="00B324E0">
        <w:t>au</w:t>
      </w:r>
      <w:proofErr w:type="gramEnd"/>
      <w:r w:rsidRPr="00B324E0">
        <w:t xml:space="preserve"> 2.8.1.1</w:t>
      </w:r>
    </w:p>
    <w:p w:rsidR="004D1EE1" w:rsidRPr="00B324E0" w:rsidRDefault="004D1EE1" w:rsidP="00D072BB">
      <w:pPr>
        <w:pStyle w:val="SingleTxtG"/>
        <w:ind w:left="1701"/>
      </w:pPr>
      <w:r w:rsidRPr="00B324E0">
        <w:t xml:space="preserve">« 2.8.1.1 </w:t>
      </w:r>
      <w:r w:rsidRPr="00B324E0">
        <w:rPr>
          <w:i/>
          <w:iCs/>
        </w:rPr>
        <w:t xml:space="preserve">Corrosive substances </w:t>
      </w:r>
      <w:r w:rsidRPr="00B324E0">
        <w:t xml:space="preserve">are substances which, by chemical action, will cause irreversible damage to the skin, or, in the case of leakage, will materially damage, or even destroy, other goods or the </w:t>
      </w:r>
      <w:r w:rsidRPr="00B324E0">
        <w:rPr>
          <w:b/>
        </w:rPr>
        <w:t>means of transport</w:t>
      </w:r>
      <w:r w:rsidRPr="00B324E0">
        <w:t xml:space="preserve">. » </w:t>
      </w:r>
    </w:p>
    <w:p w:rsidR="004D1EE1" w:rsidRPr="00B324E0" w:rsidRDefault="004D1EE1" w:rsidP="00D072BB">
      <w:pPr>
        <w:pStyle w:val="Default"/>
        <w:numPr>
          <w:ilvl w:val="0"/>
          <w:numId w:val="28"/>
        </w:numPr>
        <w:ind w:left="2268" w:right="1134" w:hanging="567"/>
        <w:rPr>
          <w:sz w:val="20"/>
          <w:szCs w:val="20"/>
        </w:rPr>
      </w:pPr>
      <w:r w:rsidRPr="00B324E0">
        <w:rPr>
          <w:sz w:val="20"/>
          <w:szCs w:val="20"/>
        </w:rPr>
        <w:lastRenderedPageBreak/>
        <w:t xml:space="preserve">au point 4 </w:t>
      </w:r>
      <w:r w:rsidRPr="00B324E0">
        <w:rPr>
          <w:b/>
          <w:bCs/>
          <w:sz w:val="20"/>
          <w:szCs w:val="20"/>
        </w:rPr>
        <w:t xml:space="preserve">PRINCIPLES UNDERLYING THE REGULATION OF THE </w:t>
      </w:r>
      <w:r w:rsidR="00A8698B" w:rsidRPr="00B324E0">
        <w:rPr>
          <w:b/>
          <w:bCs/>
          <w:sz w:val="20"/>
          <w:szCs w:val="20"/>
        </w:rPr>
        <w:t xml:space="preserve">TRANSPORT OF DANGEROUS GOODS </w:t>
      </w:r>
      <w:r w:rsidR="00A8698B" w:rsidRPr="00B324E0">
        <w:rPr>
          <w:sz w:val="20"/>
          <w:szCs w:val="20"/>
          <w:lang w:val="fr-CH"/>
        </w:rPr>
        <w:t>de la présentation du Règlement type</w:t>
      </w:r>
    </w:p>
    <w:p w:rsidR="004D1EE1" w:rsidRPr="00B324E0" w:rsidRDefault="004D1EE1" w:rsidP="00D072BB">
      <w:pPr>
        <w:pStyle w:val="SingleTxtG"/>
        <w:spacing w:before="120"/>
        <w:ind w:left="2268"/>
        <w:rPr>
          <w:lang w:val="en-US"/>
        </w:rPr>
      </w:pPr>
      <w:r w:rsidRPr="00B324E0">
        <w:rPr>
          <w:lang w:val="en-US"/>
        </w:rPr>
        <w:t>« 4.</w:t>
      </w:r>
      <w:r w:rsidRPr="00B324E0">
        <w:rPr>
          <w:lang w:val="en-US"/>
        </w:rPr>
        <w:tab/>
        <w:t xml:space="preserve">Transport of dangerous goods is regulated </w:t>
      </w:r>
      <w:proofErr w:type="gramStart"/>
      <w:r w:rsidRPr="00B324E0">
        <w:rPr>
          <w:lang w:val="en-US"/>
        </w:rPr>
        <w:t>in order to</w:t>
      </w:r>
      <w:proofErr w:type="gramEnd"/>
      <w:r w:rsidRPr="00B324E0">
        <w:rPr>
          <w:lang w:val="en-US"/>
        </w:rPr>
        <w:t xml:space="preserve"> prevent, as far as possible, accidents to persons or property and damage to the environment, </w:t>
      </w:r>
      <w:r w:rsidRPr="00B324E0">
        <w:rPr>
          <w:b/>
          <w:lang w:val="en-US"/>
        </w:rPr>
        <w:t>the means of transport</w:t>
      </w:r>
      <w:r w:rsidRPr="00B324E0">
        <w:rPr>
          <w:lang w:val="en-US"/>
        </w:rPr>
        <w:t xml:space="preserve"> employed or to other goods.</w:t>
      </w:r>
      <w:r w:rsidR="00A8698B" w:rsidRPr="00A8698B">
        <w:rPr>
          <w:lang w:val="en-US"/>
        </w:rPr>
        <w:t xml:space="preserve"> </w:t>
      </w:r>
      <w:r w:rsidR="00A8698B" w:rsidRPr="00B324E0">
        <w:rPr>
          <w:lang w:val="en-US"/>
        </w:rPr>
        <w:t>»</w:t>
      </w:r>
    </w:p>
    <w:p w:rsidR="00D20631" w:rsidRDefault="00A82118" w:rsidP="004D1EE1">
      <w:pPr>
        <w:pStyle w:val="SingleTxtG"/>
      </w:pPr>
      <w:r>
        <w:rPr>
          <w:sz w:val="22"/>
          <w:szCs w:val="22"/>
        </w:rPr>
        <w:t>4</w:t>
      </w:r>
      <w:r w:rsidR="005E1400">
        <w:rPr>
          <w:sz w:val="22"/>
          <w:szCs w:val="22"/>
        </w:rPr>
        <w:t>.</w:t>
      </w:r>
      <w:r w:rsidR="005E1400">
        <w:rPr>
          <w:sz w:val="22"/>
          <w:szCs w:val="22"/>
        </w:rPr>
        <w:tab/>
      </w:r>
      <w:r w:rsidR="005C174B">
        <w:rPr>
          <w:sz w:val="22"/>
          <w:szCs w:val="22"/>
        </w:rPr>
        <w:t>É</w:t>
      </w:r>
      <w:r w:rsidR="005E1400" w:rsidRPr="00B324E0">
        <w:t>tant donné</w:t>
      </w:r>
      <w:r w:rsidR="00296C01">
        <w:t xml:space="preserve"> </w:t>
      </w:r>
      <w:r w:rsidR="005E1400" w:rsidRPr="00B324E0">
        <w:t>qu’aucun des exemples d</w:t>
      </w:r>
      <w:r w:rsidR="00B31C7F">
        <w:t>’utilisation d</w:t>
      </w:r>
      <w:r w:rsidR="005E1400" w:rsidRPr="00B324E0">
        <w:t>u terme « </w:t>
      </w:r>
      <w:proofErr w:type="spellStart"/>
      <w:r w:rsidR="005E1400" w:rsidRPr="00B324E0">
        <w:t>means</w:t>
      </w:r>
      <w:proofErr w:type="spellEnd"/>
      <w:r w:rsidR="005E1400" w:rsidRPr="00B324E0">
        <w:t xml:space="preserve"> of transport » rencontrés dans </w:t>
      </w:r>
      <w:r w:rsidR="005E1400" w:rsidRPr="005C174B">
        <w:t xml:space="preserve">le Règlement type ne concerne un </w:t>
      </w:r>
      <w:r w:rsidR="003B0A73" w:rsidRPr="005C174B">
        <w:t>« </w:t>
      </w:r>
      <w:r w:rsidR="005E1400" w:rsidRPr="005C174B">
        <w:t>engin de transport / cargo transport unit</w:t>
      </w:r>
      <w:r w:rsidR="003B0A73" w:rsidRPr="005C174B">
        <w:t> »</w:t>
      </w:r>
      <w:r w:rsidR="00DC6577">
        <w:t xml:space="preserve">, </w:t>
      </w:r>
      <w:r w:rsidR="00296C01">
        <w:t xml:space="preserve">et </w:t>
      </w:r>
      <w:r w:rsidR="005C174B" w:rsidRPr="005C174B">
        <w:t>qu’il n’existe pas de définition d</w:t>
      </w:r>
      <w:r w:rsidR="00D20631">
        <w:t xml:space="preserve">u </w:t>
      </w:r>
      <w:r w:rsidR="005C174B" w:rsidRPr="005C174B">
        <w:t xml:space="preserve">terme </w:t>
      </w:r>
      <w:r w:rsidR="00D20631" w:rsidRPr="00B324E0">
        <w:t>« </w:t>
      </w:r>
      <w:proofErr w:type="spellStart"/>
      <w:r w:rsidR="00D20631" w:rsidRPr="00B324E0">
        <w:t>means</w:t>
      </w:r>
      <w:proofErr w:type="spellEnd"/>
      <w:r w:rsidR="00D20631" w:rsidRPr="00B324E0">
        <w:t xml:space="preserve"> of transport » </w:t>
      </w:r>
      <w:r w:rsidR="005C174B" w:rsidRPr="005C174B">
        <w:t xml:space="preserve">dans la réglementation, </w:t>
      </w:r>
      <w:r w:rsidR="005E1400" w:rsidRPr="005C174B">
        <w:t xml:space="preserve">il faut conclure que le </w:t>
      </w:r>
      <w:r w:rsidR="005E1400" w:rsidRPr="00EC0ED1">
        <w:t>terme anglais « </w:t>
      </w:r>
      <w:proofErr w:type="spellStart"/>
      <w:r w:rsidR="005E1400" w:rsidRPr="00EC0ED1">
        <w:t>means</w:t>
      </w:r>
      <w:proofErr w:type="spellEnd"/>
      <w:r w:rsidR="005E1400" w:rsidRPr="00EC0ED1">
        <w:t xml:space="preserve"> of transport » ne peut pas concerner un engin de transport</w:t>
      </w:r>
      <w:r w:rsidR="005C174B" w:rsidRPr="00EC0ED1">
        <w:t>, c.à.d. q</w:t>
      </w:r>
      <w:r w:rsidR="00D20631">
        <w:t>u’en anglais</w:t>
      </w:r>
      <w:r w:rsidR="005C174B" w:rsidRPr="00EC0ED1">
        <w:t xml:space="preserve"> </w:t>
      </w:r>
      <w:r w:rsidR="00EC0ED1" w:rsidRPr="00EC0ED1">
        <w:t xml:space="preserve">le terme </w:t>
      </w:r>
      <w:r w:rsidR="005C174B" w:rsidRPr="00EC0ED1">
        <w:t>« </w:t>
      </w:r>
      <w:proofErr w:type="spellStart"/>
      <w:r w:rsidR="005C174B" w:rsidRPr="00EC0ED1">
        <w:t>means</w:t>
      </w:r>
      <w:proofErr w:type="spellEnd"/>
      <w:r w:rsidR="005C174B" w:rsidRPr="00EC0ED1">
        <w:t xml:space="preserve"> of transport » </w:t>
      </w:r>
      <w:r w:rsidR="00EC0ED1" w:rsidRPr="00EC0ED1">
        <w:t xml:space="preserve">et l’exemption du 1.1.1.2 a) </w:t>
      </w:r>
      <w:r w:rsidR="005C174B" w:rsidRPr="00EC0ED1">
        <w:t>ne concerne</w:t>
      </w:r>
      <w:r w:rsidR="00D20631">
        <w:t>nt</w:t>
      </w:r>
      <w:r w:rsidR="005C174B" w:rsidRPr="00EC0ED1">
        <w:t xml:space="preserve"> pas </w:t>
      </w:r>
      <w:r w:rsidR="00EC0ED1" w:rsidRPr="00EC0ED1">
        <w:t xml:space="preserve">un véhicule citerne ou véhicule routier de transport de marchandises, un wagon citerne ou wagon de marchandises, un conteneur multimodal ou une citerne mobile multimodale, ou un </w:t>
      </w:r>
      <w:r w:rsidR="008C563A">
        <w:t>conteneur à gaz à éléments multiples (</w:t>
      </w:r>
      <w:r w:rsidR="00EC0ED1" w:rsidRPr="00EC0ED1">
        <w:t>CGEM</w:t>
      </w:r>
      <w:r w:rsidR="008C563A">
        <w:t>)</w:t>
      </w:r>
      <w:r w:rsidR="005E1400" w:rsidRPr="00EC0ED1">
        <w:t xml:space="preserve">. </w:t>
      </w:r>
      <w:r w:rsidR="00EC0ED1">
        <w:t xml:space="preserve">Ceci uniquement </w:t>
      </w:r>
      <w:r w:rsidR="005E1400" w:rsidRPr="00B324E0">
        <w:t>dans la version en anglais du Règlement type</w:t>
      </w:r>
      <w:r w:rsidR="00D20631">
        <w:t>.</w:t>
      </w:r>
    </w:p>
    <w:p w:rsidR="00806ABC" w:rsidRDefault="00D20631" w:rsidP="004D1EE1">
      <w:pPr>
        <w:pStyle w:val="SingleTxtG"/>
      </w:pPr>
      <w:r>
        <w:t>5.</w:t>
      </w:r>
      <w:r>
        <w:tab/>
      </w:r>
      <w:r w:rsidR="00EC0ED1">
        <w:t xml:space="preserve">Indépendamment de la question de savoir quels sont </w:t>
      </w:r>
      <w:r>
        <w:t xml:space="preserve">en fin de compte </w:t>
      </w:r>
      <w:r w:rsidR="00EC0ED1">
        <w:t>les objets concernés en anglais par l’exemption du 1.1.1.2 a), on peut conclure qu’il</w:t>
      </w:r>
      <w:r w:rsidR="00806ABC">
        <w:t xml:space="preserve"> est </w:t>
      </w:r>
      <w:r>
        <w:t>envisageable</w:t>
      </w:r>
      <w:r w:rsidR="00806ABC">
        <w:t xml:space="preserve"> en anglais d’exempter les « </w:t>
      </w:r>
      <w:proofErr w:type="spellStart"/>
      <w:r w:rsidR="00806ABC">
        <w:t>means</w:t>
      </w:r>
      <w:proofErr w:type="spellEnd"/>
      <w:r w:rsidR="00806ABC">
        <w:t xml:space="preserve"> of transport »</w:t>
      </w:r>
      <w:r w:rsidR="00EC0ED1">
        <w:t xml:space="preserve"> </w:t>
      </w:r>
      <w:r w:rsidR="00806ABC">
        <w:t xml:space="preserve">au 1.1.1.2 a) et </w:t>
      </w:r>
      <w:r>
        <w:t xml:space="preserve">en plus d’exempter </w:t>
      </w:r>
      <w:r w:rsidR="00806ABC">
        <w:t xml:space="preserve">les « cargo transport </w:t>
      </w:r>
      <w:proofErr w:type="spellStart"/>
      <w:r w:rsidR="00806ABC">
        <w:t>units</w:t>
      </w:r>
      <w:proofErr w:type="spellEnd"/>
      <w:r w:rsidR="00806ABC">
        <w:t xml:space="preserve"> » </w:t>
      </w:r>
      <w:r w:rsidR="00590209">
        <w:t xml:space="preserve">(en français « engins de transport ») </w:t>
      </w:r>
      <w:r w:rsidR="00806ABC">
        <w:t>cités au 1.1.1.2 c)</w:t>
      </w:r>
      <w:r w:rsidR="00DC6577">
        <w:t>,</w:t>
      </w:r>
      <w:r>
        <w:t xml:space="preserve"> </w:t>
      </w:r>
      <w:r w:rsidR="00354F20">
        <w:t>tout en les soumettant à des exigences supplémentaires concernant les piles et batteries au lithium qui s’y trouvent installées</w:t>
      </w:r>
      <w:r w:rsidR="00AA781A">
        <w:t>. En fait en anglais l’ajout de l’exemption envisagée au 1.1.1.2 c) serait impératif</w:t>
      </w:r>
      <w:r w:rsidR="00354F20">
        <w:t xml:space="preserve">, </w:t>
      </w:r>
      <w:r w:rsidR="00296C01">
        <w:t xml:space="preserve">car </w:t>
      </w:r>
      <w:r>
        <w:t xml:space="preserve">en anglais </w:t>
      </w:r>
      <w:r w:rsidR="00AA781A">
        <w:t xml:space="preserve">« engins de transport » (les </w:t>
      </w:r>
      <w:r w:rsidR="00AA781A" w:rsidRPr="00EC0ED1">
        <w:t>véhicule</w:t>
      </w:r>
      <w:r w:rsidR="00AA781A">
        <w:t>s</w:t>
      </w:r>
      <w:r w:rsidR="00AA781A" w:rsidRPr="00EC0ED1">
        <w:t xml:space="preserve"> citerne</w:t>
      </w:r>
      <w:r w:rsidR="00AA781A">
        <w:t>s</w:t>
      </w:r>
      <w:r w:rsidR="00AA781A" w:rsidRPr="00EC0ED1">
        <w:t xml:space="preserve"> ou véhicule</w:t>
      </w:r>
      <w:r w:rsidR="00AA781A">
        <w:t>s</w:t>
      </w:r>
      <w:r w:rsidR="00AA781A" w:rsidRPr="00EC0ED1">
        <w:t xml:space="preserve"> routier</w:t>
      </w:r>
      <w:r w:rsidR="00AA781A">
        <w:t>s</w:t>
      </w:r>
      <w:r w:rsidR="00AA781A" w:rsidRPr="00EC0ED1">
        <w:t xml:space="preserve"> de transport de marchandises, wagon</w:t>
      </w:r>
      <w:r w:rsidR="00AA781A">
        <w:t>s</w:t>
      </w:r>
      <w:r w:rsidR="00AA781A" w:rsidRPr="00EC0ED1">
        <w:t xml:space="preserve"> citerne</w:t>
      </w:r>
      <w:r w:rsidR="00AA781A">
        <w:t>s</w:t>
      </w:r>
      <w:r w:rsidR="00AA781A" w:rsidRPr="00EC0ED1">
        <w:t xml:space="preserve"> ou wagon</w:t>
      </w:r>
      <w:r w:rsidR="00AA781A">
        <w:t>s</w:t>
      </w:r>
      <w:r w:rsidR="00AA781A" w:rsidRPr="00EC0ED1">
        <w:t xml:space="preserve"> de marchandises, conteneur</w:t>
      </w:r>
      <w:r w:rsidR="00AA781A">
        <w:t>s multimodaux</w:t>
      </w:r>
      <w:r w:rsidR="00AA781A" w:rsidRPr="00EC0ED1">
        <w:t xml:space="preserve"> ou citerne</w:t>
      </w:r>
      <w:r w:rsidR="00AA781A">
        <w:t>s</w:t>
      </w:r>
      <w:r w:rsidR="00AA781A" w:rsidRPr="00EC0ED1">
        <w:t xml:space="preserve"> mobile</w:t>
      </w:r>
      <w:r w:rsidR="00AA781A">
        <w:t>s</w:t>
      </w:r>
      <w:r w:rsidR="00AA781A" w:rsidRPr="00EC0ED1">
        <w:t xml:space="preserve"> multimodale</w:t>
      </w:r>
      <w:r w:rsidR="00AA781A">
        <w:t>s</w:t>
      </w:r>
      <w:r w:rsidR="00AA781A" w:rsidRPr="00EC0ED1">
        <w:t xml:space="preserve">, ou </w:t>
      </w:r>
      <w:proofErr w:type="spellStart"/>
      <w:r w:rsidR="00AA781A" w:rsidRPr="00EC0ED1">
        <w:t>CGEM</w:t>
      </w:r>
      <w:r w:rsidR="00AA781A">
        <w:t>s</w:t>
      </w:r>
      <w:proofErr w:type="spellEnd"/>
      <w:r w:rsidR="00AA781A">
        <w:t xml:space="preserve">) </w:t>
      </w:r>
      <w:r>
        <w:t xml:space="preserve">n’étaient </w:t>
      </w:r>
      <w:r w:rsidR="00296C01">
        <w:t xml:space="preserve">jusqu’à présent </w:t>
      </w:r>
      <w:r>
        <w:t>pas encore exempt</w:t>
      </w:r>
      <w:r w:rsidR="00DC6577">
        <w:t>és</w:t>
      </w:r>
      <w:r>
        <w:t>. La même exemption</w:t>
      </w:r>
      <w:r w:rsidR="00590209">
        <w:t xml:space="preserve"> ne peut pas être envisagée en français </w:t>
      </w:r>
      <w:r>
        <w:t>à cause de</w:t>
      </w:r>
      <w:r w:rsidR="00A82118">
        <w:t xml:space="preserve"> l’utilisation au 1.1.1.2 a) et au 1.1.1.2 c) du même terme « engin de transport »</w:t>
      </w:r>
      <w:r>
        <w:t xml:space="preserve"> qui</w:t>
      </w:r>
      <w:r w:rsidR="00A82118">
        <w:t xml:space="preserve"> rend superflue la mention des engins de transport au 1.1.1.2 c) </w:t>
      </w:r>
      <w:r>
        <w:t>vu qu’ils sont</w:t>
      </w:r>
      <w:r w:rsidR="00A82118">
        <w:t xml:space="preserve"> déjà exemptés par le 1.1.1.2 a)</w:t>
      </w:r>
      <w:r>
        <w:t>. Il</w:t>
      </w:r>
      <w:r w:rsidR="00A82118">
        <w:t xml:space="preserve"> n’est </w:t>
      </w:r>
      <w:r w:rsidR="00354F20">
        <w:t xml:space="preserve">en effet </w:t>
      </w:r>
      <w:r w:rsidR="00A82118">
        <w:t>pas logique de les soumettre à des exigences concernant les piles et batteries au lithium quelques lignes plus bas.</w:t>
      </w:r>
      <w:r w:rsidR="00806ABC">
        <w:t xml:space="preserve"> </w:t>
      </w:r>
      <w:r w:rsidR="0004775C">
        <w:t xml:space="preserve">Nous reviendrons plus tard </w:t>
      </w:r>
      <w:r w:rsidR="00590209">
        <w:t>s</w:t>
      </w:r>
      <w:r w:rsidR="001E4367">
        <w:t>ur cette question.</w:t>
      </w:r>
      <w:r w:rsidR="00DC6577">
        <w:t xml:space="preserve"> Notons en passant qu’en français, contrairement à l’anglais, les « engins de transport »/ « cargo transport </w:t>
      </w:r>
      <w:proofErr w:type="spellStart"/>
      <w:r w:rsidR="00DC6577">
        <w:t>units</w:t>
      </w:r>
      <w:proofErr w:type="spellEnd"/>
      <w:r w:rsidR="00354F20">
        <w:t> »</w:t>
      </w:r>
      <w:r w:rsidR="00DC6577">
        <w:t xml:space="preserve"> ont toujours été exemptés par le 1.1.1.2 a).</w:t>
      </w:r>
    </w:p>
    <w:p w:rsidR="0018484E" w:rsidRDefault="004B71CB" w:rsidP="004D1EE1">
      <w:pPr>
        <w:pStyle w:val="SingleTxtG"/>
      </w:pPr>
      <w:r>
        <w:t>6</w:t>
      </w:r>
      <w:r w:rsidR="005E1400" w:rsidRPr="00B324E0">
        <w:t>.</w:t>
      </w:r>
      <w:r w:rsidR="005E1400" w:rsidRPr="00B324E0">
        <w:tab/>
      </w:r>
      <w:r w:rsidR="0018484E" w:rsidRPr="0018484E">
        <w:t xml:space="preserve">Lors de la </w:t>
      </w:r>
      <w:r w:rsidR="008C563A">
        <w:t>cinquante-troisième</w:t>
      </w:r>
      <w:r w:rsidR="0018484E" w:rsidRPr="0018484E">
        <w:t xml:space="preserve"> session, l’expert</w:t>
      </w:r>
      <w:r w:rsidR="00B31C7F">
        <w:t>e</w:t>
      </w:r>
      <w:r w:rsidR="0018484E" w:rsidRPr="0018484E">
        <w:t xml:space="preserve"> des Pays-Bas </w:t>
      </w:r>
      <w:r w:rsidR="0099356F">
        <w:t xml:space="preserve">avait déjà relevé </w:t>
      </w:r>
      <w:r w:rsidR="00A82118" w:rsidRPr="0018484E">
        <w:t>dans le document ST/SG/AC.10/C.3/2018/40</w:t>
      </w:r>
      <w:r w:rsidR="00A82118">
        <w:t xml:space="preserve"> l’incohérence entre l’anglais et le français dans la traduction du terme « </w:t>
      </w:r>
      <w:proofErr w:type="spellStart"/>
      <w:r w:rsidR="00A82118">
        <w:t>means</w:t>
      </w:r>
      <w:proofErr w:type="spellEnd"/>
      <w:r w:rsidR="00A82118">
        <w:t xml:space="preserve"> of transport » </w:t>
      </w:r>
      <w:r w:rsidR="00A82118" w:rsidRPr="00B324E0">
        <w:t xml:space="preserve">au 1.1.1.2 a) </w:t>
      </w:r>
      <w:r w:rsidR="00A82118">
        <w:t xml:space="preserve">par </w:t>
      </w:r>
      <w:r w:rsidR="00A82118" w:rsidRPr="00B324E0">
        <w:t>« engin de transport »</w:t>
      </w:r>
      <w:r w:rsidR="00A82118">
        <w:t xml:space="preserve"> en français</w:t>
      </w:r>
      <w:r w:rsidR="00A82118" w:rsidRPr="00B324E0">
        <w:t>.</w:t>
      </w:r>
      <w:r w:rsidR="0018484E" w:rsidRPr="0018484E">
        <w:t xml:space="preserve"> </w:t>
      </w:r>
    </w:p>
    <w:p w:rsidR="0018484E" w:rsidRDefault="004B71CB" w:rsidP="004D1EE1">
      <w:pPr>
        <w:pStyle w:val="SingleTxtG"/>
      </w:pPr>
      <w:r>
        <w:t>7</w:t>
      </w:r>
      <w:r w:rsidR="0018484E" w:rsidRPr="0018484E">
        <w:t>.</w:t>
      </w:r>
      <w:r w:rsidR="0018484E">
        <w:tab/>
        <w:t>L</w:t>
      </w:r>
      <w:r w:rsidR="00B31C7F">
        <w:t>e S</w:t>
      </w:r>
      <w:r w:rsidR="0018484E" w:rsidRPr="0018484E">
        <w:t xml:space="preserve">ous-comité a </w:t>
      </w:r>
      <w:r w:rsidR="0018484E">
        <w:t xml:space="preserve">cependant </w:t>
      </w:r>
      <w:r w:rsidR="0018484E" w:rsidRPr="0018484E">
        <w:t>confirmé que le</w:t>
      </w:r>
      <w:r w:rsidR="0018484E">
        <w:t xml:space="preserve"> terme </w:t>
      </w:r>
      <w:r w:rsidR="0018484E" w:rsidRPr="0018484E">
        <w:t>« </w:t>
      </w:r>
      <w:proofErr w:type="spellStart"/>
      <w:r w:rsidR="0018484E" w:rsidRPr="0018484E">
        <w:t>m</w:t>
      </w:r>
      <w:r w:rsidR="0018484E">
        <w:t>eans</w:t>
      </w:r>
      <w:proofErr w:type="spellEnd"/>
      <w:r w:rsidR="0018484E">
        <w:t xml:space="preserve"> of transport</w:t>
      </w:r>
      <w:r w:rsidR="0018484E" w:rsidRPr="0018484E">
        <w:t xml:space="preserve"> » </w:t>
      </w:r>
      <w:r w:rsidR="0018484E">
        <w:t xml:space="preserve">était le terme approprié et </w:t>
      </w:r>
      <w:r w:rsidR="0018484E" w:rsidRPr="0018484E">
        <w:t xml:space="preserve">a </w:t>
      </w:r>
      <w:r w:rsidR="0018484E">
        <w:t>in</w:t>
      </w:r>
      <w:r w:rsidR="0018484E" w:rsidRPr="0018484E">
        <w:t>vité l’exp</w:t>
      </w:r>
      <w:r w:rsidR="0018484E">
        <w:t>ert</w:t>
      </w:r>
      <w:r w:rsidR="004D7553">
        <w:t>e</w:t>
      </w:r>
      <w:r w:rsidR="0018484E">
        <w:t xml:space="preserve"> des P</w:t>
      </w:r>
      <w:r w:rsidR="0018484E" w:rsidRPr="0018484E">
        <w:t xml:space="preserve">ays-bas </w:t>
      </w:r>
      <w:r w:rsidR="0018484E">
        <w:t xml:space="preserve">à </w:t>
      </w:r>
      <w:r w:rsidR="0018484E" w:rsidRPr="0018484E">
        <w:t xml:space="preserve">travailler avec les autres délégations intéressées </w:t>
      </w:r>
      <w:r w:rsidR="0018484E">
        <w:t xml:space="preserve">pour </w:t>
      </w:r>
      <w:r w:rsidR="0018484E" w:rsidRPr="0018484E">
        <w:t>trouver une traduct</w:t>
      </w:r>
      <w:r w:rsidR="004D7553">
        <w:t>ion appropriée pour la version f</w:t>
      </w:r>
      <w:r w:rsidR="0018484E" w:rsidRPr="0018484E">
        <w:t>rançais</w:t>
      </w:r>
      <w:r w:rsidR="004D7553">
        <w:t>e.</w:t>
      </w:r>
    </w:p>
    <w:p w:rsidR="004D7553" w:rsidRDefault="004B71CB" w:rsidP="004D1EE1">
      <w:pPr>
        <w:pStyle w:val="SingleTxtG"/>
      </w:pPr>
      <w:r>
        <w:t>8</w:t>
      </w:r>
      <w:r w:rsidR="0018484E" w:rsidRPr="0018484E">
        <w:t>.</w:t>
      </w:r>
      <w:r w:rsidR="0018484E">
        <w:tab/>
      </w:r>
      <w:r w:rsidR="004D7553">
        <w:t xml:space="preserve">L’experte des Pays-Bas </w:t>
      </w:r>
      <w:r w:rsidR="0018484E">
        <w:t xml:space="preserve">a présenté aux délégués intéressés durant l’été </w:t>
      </w:r>
      <w:r w:rsidR="00B31C7F">
        <w:t xml:space="preserve">2018 </w:t>
      </w:r>
      <w:r w:rsidR="0018484E" w:rsidRPr="0018484E">
        <w:t xml:space="preserve">une comparaison </w:t>
      </w:r>
      <w:r w:rsidR="00CF7EA4">
        <w:t xml:space="preserve">détaillée </w:t>
      </w:r>
      <w:r w:rsidR="0018484E" w:rsidRPr="0018484E">
        <w:t>des versions linguistiques</w:t>
      </w:r>
      <w:r w:rsidR="0018484E">
        <w:t>. Celle-ci montrait</w:t>
      </w:r>
      <w:r w:rsidR="0018484E" w:rsidRPr="0018484E">
        <w:t xml:space="preserve"> que le terme anglais « </w:t>
      </w:r>
      <w:proofErr w:type="spellStart"/>
      <w:r w:rsidR="0018484E" w:rsidRPr="0018484E">
        <w:t>m</w:t>
      </w:r>
      <w:r w:rsidR="0018484E">
        <w:t>eans</w:t>
      </w:r>
      <w:proofErr w:type="spellEnd"/>
      <w:r w:rsidR="0018484E">
        <w:t xml:space="preserve"> of transport</w:t>
      </w:r>
      <w:r w:rsidR="0018484E" w:rsidRPr="0018484E">
        <w:t xml:space="preserve"> » </w:t>
      </w:r>
      <w:r w:rsidR="0018484E">
        <w:t xml:space="preserve">est </w:t>
      </w:r>
      <w:r w:rsidR="0018484E" w:rsidRPr="0018484E">
        <w:t xml:space="preserve">traduit en </w:t>
      </w:r>
      <w:r w:rsidR="00CF7EA4">
        <w:t>f</w:t>
      </w:r>
      <w:r w:rsidR="0018484E" w:rsidRPr="0018484E">
        <w:t>rançais à l’aide de quatre termes, « engin de transport », « moyen de transport », « modes de transport » et « </w:t>
      </w:r>
      <w:r w:rsidR="0018484E">
        <w:t xml:space="preserve">matériel de </w:t>
      </w:r>
      <w:r w:rsidR="0018484E" w:rsidRPr="0018484E">
        <w:t xml:space="preserve">transport ». </w:t>
      </w:r>
      <w:r w:rsidR="00E14A7E">
        <w:t xml:space="preserve">Les Pays-bas proposaient en conséquence de changer au 1.1.1.2 a) le terme « engin de transport » par le terme « matériel de transport ». </w:t>
      </w:r>
    </w:p>
    <w:p w:rsidR="0004775C" w:rsidRDefault="004B71CB" w:rsidP="004D1EE1">
      <w:pPr>
        <w:pStyle w:val="SingleTxtG"/>
      </w:pPr>
      <w:r>
        <w:t>9</w:t>
      </w:r>
      <w:r w:rsidR="004D7553">
        <w:t>.</w:t>
      </w:r>
      <w:r w:rsidR="004D7553">
        <w:tab/>
      </w:r>
      <w:r w:rsidR="00B31C7F" w:rsidRPr="00C11F5F">
        <w:t>L</w:t>
      </w:r>
      <w:r w:rsidR="00E14A7E" w:rsidRPr="00C11F5F">
        <w:t xml:space="preserve">e terme </w:t>
      </w:r>
      <w:r w:rsidR="004D7553" w:rsidRPr="00C11F5F">
        <w:t>« </w:t>
      </w:r>
      <w:r w:rsidR="00E14A7E" w:rsidRPr="00C11F5F">
        <w:t>matériel de transport</w:t>
      </w:r>
      <w:r w:rsidR="004D7553" w:rsidRPr="00C11F5F">
        <w:t> »</w:t>
      </w:r>
      <w:r w:rsidR="00E14A7E" w:rsidRPr="00C11F5F">
        <w:t xml:space="preserve"> est </w:t>
      </w:r>
      <w:r w:rsidR="00B31C7F" w:rsidRPr="00C11F5F">
        <w:t xml:space="preserve">en effet </w:t>
      </w:r>
      <w:r w:rsidR="00E14A7E" w:rsidRPr="00C11F5F">
        <w:t>traduit par « </w:t>
      </w:r>
      <w:proofErr w:type="spellStart"/>
      <w:r w:rsidR="00E14A7E" w:rsidRPr="00C11F5F">
        <w:t>means</w:t>
      </w:r>
      <w:proofErr w:type="spellEnd"/>
      <w:r w:rsidR="00E14A7E" w:rsidRPr="00C11F5F">
        <w:t xml:space="preserve"> of transport » au paragraph</w:t>
      </w:r>
      <w:r w:rsidR="00274A36" w:rsidRPr="00C11F5F">
        <w:t>e</w:t>
      </w:r>
      <w:r w:rsidR="00E14A7E" w:rsidRPr="00C11F5F">
        <w:t xml:space="preserve"> 4. </w:t>
      </w:r>
      <w:r w:rsidR="00E14A7E" w:rsidRPr="00C11F5F">
        <w:rPr>
          <w:b/>
          <w:bCs/>
        </w:rPr>
        <w:t>PRINCIPES FONDAMENTAUX DE LA RÉGLEMENTATION DU TRANSPORT DES MARCHANDISES DANGEREUSES</w:t>
      </w:r>
      <w:r w:rsidR="00E14A7E" w:rsidRPr="00C11F5F">
        <w:t xml:space="preserve"> de l’introduction au Règlement type </w:t>
      </w:r>
      <w:r w:rsidR="00B31C7F" w:rsidRPr="00C11F5F">
        <w:t>mais il es</w:t>
      </w:r>
      <w:r w:rsidR="001477C2" w:rsidRPr="00C11F5F">
        <w:t>t</w:t>
      </w:r>
      <w:r w:rsidR="00B31C7F" w:rsidRPr="00C11F5F">
        <w:t xml:space="preserve"> par contre traduit</w:t>
      </w:r>
      <w:r w:rsidR="0004775C">
        <w:t xml:space="preserve"> en anglais</w:t>
      </w:r>
      <w:r w:rsidR="00B31C7F" w:rsidRPr="00C11F5F">
        <w:t xml:space="preserve"> </w:t>
      </w:r>
      <w:r w:rsidR="005C571D" w:rsidRPr="00C11F5F">
        <w:t xml:space="preserve">par </w:t>
      </w:r>
      <w:r w:rsidR="00E14A7E" w:rsidRPr="00C11F5F">
        <w:t xml:space="preserve">« transport </w:t>
      </w:r>
      <w:proofErr w:type="spellStart"/>
      <w:r w:rsidR="00E14A7E" w:rsidRPr="00C11F5F">
        <w:t>equipment</w:t>
      </w:r>
      <w:proofErr w:type="spellEnd"/>
      <w:r w:rsidR="00E14A7E" w:rsidRPr="00C11F5F">
        <w:t> » dans le NOTA 1 d</w:t>
      </w:r>
      <w:r w:rsidR="004D7553" w:rsidRPr="00C11F5F">
        <w:t>u chapitre 1.1 pour la Quatrième Partie : Méthodes d’épreuves applicables au matériel de transport du Manuel d’épreuves et de critères</w:t>
      </w:r>
      <w:r w:rsidR="00C40847">
        <w:t xml:space="preserve"> et donc également dans ledit </w:t>
      </w:r>
      <w:r w:rsidR="00C40847">
        <w:lastRenderedPageBreak/>
        <w:t>Manuel lui-même</w:t>
      </w:r>
      <w:r w:rsidR="004D7553" w:rsidRPr="00C11F5F">
        <w:t xml:space="preserve">. </w:t>
      </w:r>
      <w:r w:rsidR="0004775C">
        <w:t>Il existe donc en anglais deux termes différents pour le terme français « matériel de transport » : « </w:t>
      </w:r>
      <w:proofErr w:type="spellStart"/>
      <w:r w:rsidR="0004775C">
        <w:t>maeans</w:t>
      </w:r>
      <w:proofErr w:type="spellEnd"/>
      <w:r w:rsidR="0004775C">
        <w:t xml:space="preserve"> of transport » et « tra</w:t>
      </w:r>
      <w:r w:rsidR="00C40847">
        <w:t>ns</w:t>
      </w:r>
      <w:r w:rsidR="0004775C">
        <w:t xml:space="preserve">port </w:t>
      </w:r>
      <w:proofErr w:type="spellStart"/>
      <w:r w:rsidR="0004775C">
        <w:t>equipment</w:t>
      </w:r>
      <w:proofErr w:type="spellEnd"/>
      <w:r w:rsidR="0004775C">
        <w:t xml:space="preserve"> ». </w:t>
      </w:r>
    </w:p>
    <w:p w:rsidR="008E7DEF" w:rsidRPr="00C11F5F" w:rsidRDefault="004B71CB" w:rsidP="004D1EE1">
      <w:pPr>
        <w:pStyle w:val="SingleTxtG"/>
      </w:pPr>
      <w:r>
        <w:t>10.</w:t>
      </w:r>
      <w:r>
        <w:tab/>
      </w:r>
      <w:r w:rsidR="004D7553" w:rsidRPr="00C11F5F">
        <w:t>L’utilisation au 1.1.1.2 a) du terme en français « matériel de transport »</w:t>
      </w:r>
      <w:r w:rsidR="00B31C7F" w:rsidRPr="00C11F5F">
        <w:t xml:space="preserve"> </w:t>
      </w:r>
      <w:r w:rsidR="004D7553" w:rsidRPr="00C11F5F">
        <w:t xml:space="preserve">impliquerait que l’exemption ne concernerait que les citernes mobiles et les </w:t>
      </w:r>
      <w:proofErr w:type="spellStart"/>
      <w:r w:rsidR="008C563A">
        <w:t>CGEMs</w:t>
      </w:r>
      <w:proofErr w:type="spellEnd"/>
      <w:r w:rsidR="004D7553" w:rsidRPr="00C11F5F">
        <w:t xml:space="preserve">, matériel </w:t>
      </w:r>
      <w:r w:rsidR="001477C2" w:rsidRPr="00C11F5F">
        <w:t xml:space="preserve">qui est </w:t>
      </w:r>
      <w:r w:rsidR="004D7553" w:rsidRPr="00C11F5F">
        <w:t>concerné par la Quatrième Partie d</w:t>
      </w:r>
      <w:r w:rsidR="008C563A">
        <w:t>u</w:t>
      </w:r>
      <w:r w:rsidR="004D7553" w:rsidRPr="00C11F5F">
        <w:t xml:space="preserve"> Manuel</w:t>
      </w:r>
      <w:r w:rsidR="00C11F5F">
        <w:t xml:space="preserve"> d’épreuves et de critè</w:t>
      </w:r>
      <w:r w:rsidR="004D7553" w:rsidRPr="00C11F5F">
        <w:t>res, ce qui n’est sûrement pas le champ d’application prévu pour le 1.1.1.2 a).</w:t>
      </w:r>
      <w:r w:rsidR="00354F20">
        <w:t xml:space="preserve"> Une telle restriction du champ d’application du 1.1.1.2 a) ne semble pas pertinente.</w:t>
      </w:r>
    </w:p>
    <w:p w:rsidR="00A51837" w:rsidRDefault="0004775C" w:rsidP="00CF7EA4">
      <w:pPr>
        <w:pStyle w:val="SingleTxtG"/>
      </w:pPr>
      <w:r>
        <w:t>1</w:t>
      </w:r>
      <w:r w:rsidR="004B71CB">
        <w:t>1</w:t>
      </w:r>
      <w:r w:rsidR="008E7DEF">
        <w:t>.</w:t>
      </w:r>
      <w:r w:rsidR="008E7DEF">
        <w:tab/>
      </w:r>
      <w:r w:rsidR="008E7DEF" w:rsidRPr="00662980">
        <w:t xml:space="preserve">La proposition de l’expert de la Suisse à la </w:t>
      </w:r>
      <w:r w:rsidR="008C563A">
        <w:t>cinquante-troisième</w:t>
      </w:r>
      <w:r w:rsidR="008E7DEF" w:rsidRPr="00662980">
        <w:t xml:space="preserve"> session de modifier le terme anglais « </w:t>
      </w:r>
      <w:proofErr w:type="spellStart"/>
      <w:r w:rsidR="008E7DEF" w:rsidRPr="00662980">
        <w:t>means</w:t>
      </w:r>
      <w:proofErr w:type="spellEnd"/>
      <w:r w:rsidR="008E7DEF" w:rsidRPr="00662980">
        <w:t xml:space="preserve"> of transport » par « </w:t>
      </w:r>
      <w:proofErr w:type="spellStart"/>
      <w:r w:rsidR="008E7DEF" w:rsidRPr="00662980">
        <w:t>conveyance</w:t>
      </w:r>
      <w:proofErr w:type="spellEnd"/>
      <w:r w:rsidR="008E7DEF" w:rsidRPr="00662980">
        <w:t> »</w:t>
      </w:r>
      <w:r w:rsidR="00CF7EA4" w:rsidRPr="00662980">
        <w:t xml:space="preserve"> n’avait pas été acceptée par le Sous-comité</w:t>
      </w:r>
      <w:r w:rsidR="008E7DEF" w:rsidRPr="00662980">
        <w:t xml:space="preserve"> d’une part parce que ce terme n’est utilisé que dans le contexte des matières radioactives (cet argument n’est pas exact car on le retrouve aussi au 7.1.1.11 pour les conteneurs </w:t>
      </w:r>
      <w:r>
        <w:t>pour vrac souples</w:t>
      </w:r>
      <w:r w:rsidR="008E7DEF" w:rsidRPr="00662980">
        <w:t>)</w:t>
      </w:r>
      <w:r w:rsidR="00CF7EA4" w:rsidRPr="00662980">
        <w:t xml:space="preserve">. </w:t>
      </w:r>
      <w:r w:rsidR="00463F9D" w:rsidRPr="00662980">
        <w:t xml:space="preserve">D’autre part </w:t>
      </w:r>
      <w:r w:rsidR="00C40847">
        <w:t xml:space="preserve">parce que </w:t>
      </w:r>
      <w:r w:rsidR="00463F9D" w:rsidRPr="00662980">
        <w:t xml:space="preserve">certains </w:t>
      </w:r>
      <w:r w:rsidR="00662980" w:rsidRPr="00662980">
        <w:t>estiment qu’</w:t>
      </w:r>
      <w:r w:rsidR="00463F9D" w:rsidRPr="00662980">
        <w:t xml:space="preserve">une cale, un compartiment ou un pont de </w:t>
      </w:r>
      <w:r w:rsidR="00A51837">
        <w:t xml:space="preserve">bateau </w:t>
      </w:r>
      <w:r w:rsidR="00C40847">
        <w:t>(qui apparaissent dans la définition de « </w:t>
      </w:r>
      <w:proofErr w:type="spellStart"/>
      <w:r w:rsidR="00C40847">
        <w:t>conveyance</w:t>
      </w:r>
      <w:proofErr w:type="spellEnd"/>
      <w:r w:rsidR="00C40847">
        <w:t> »</w:t>
      </w:r>
      <w:r w:rsidR="00354F20">
        <w:t>/ « </w:t>
      </w:r>
      <w:r w:rsidR="00C40847">
        <w:t xml:space="preserve">moyen de transport ») </w:t>
      </w:r>
      <w:r w:rsidR="00463F9D" w:rsidRPr="00662980">
        <w:t>n’est pas un équipement utilisant des marchandises dangereuses</w:t>
      </w:r>
      <w:r w:rsidR="00A51837">
        <w:t xml:space="preserve"> durant le transport</w:t>
      </w:r>
      <w:r w:rsidR="00463F9D" w:rsidRPr="00662980">
        <w:t xml:space="preserve">. </w:t>
      </w:r>
      <w:r w:rsidR="008A3D78" w:rsidRPr="00662980">
        <w:t xml:space="preserve">Ce dernier argument nous semble faible car </w:t>
      </w:r>
      <w:r w:rsidR="00463F9D" w:rsidRPr="00662980">
        <w:t xml:space="preserve">on peut </w:t>
      </w:r>
      <w:r w:rsidR="00A51837">
        <w:t xml:space="preserve">facilement concevoir </w:t>
      </w:r>
      <w:r w:rsidR="00A51837" w:rsidRPr="00662980">
        <w:t xml:space="preserve">qu’une cale, un compartiment ou un pont de </w:t>
      </w:r>
      <w:r w:rsidR="00A51837">
        <w:t xml:space="preserve">bateau disposent d’un équipement spécialisé contenant des marchandises dangereuses </w:t>
      </w:r>
      <w:r w:rsidR="00A51837" w:rsidRPr="00662980">
        <w:t xml:space="preserve">qui sont nécessaires </w:t>
      </w:r>
      <w:r w:rsidR="00A51837">
        <w:t xml:space="preserve">à son </w:t>
      </w:r>
      <w:r w:rsidR="00A51837" w:rsidRPr="00662980">
        <w:t xml:space="preserve">fonctionnement </w:t>
      </w:r>
      <w:r w:rsidR="00A51837">
        <w:t>durant le transport par exemple des g</w:t>
      </w:r>
      <w:r w:rsidR="008A3D78" w:rsidRPr="00662980">
        <w:t>roupes frigorifiques</w:t>
      </w:r>
      <w:r w:rsidR="00A51837">
        <w:t xml:space="preserve">, </w:t>
      </w:r>
      <w:r w:rsidR="008A3D78" w:rsidRPr="00662980">
        <w:t xml:space="preserve">ou qui sont requises du fait des règlements </w:t>
      </w:r>
      <w:r w:rsidR="00A51837">
        <w:t>d’e</w:t>
      </w:r>
      <w:r w:rsidR="008A3D78" w:rsidRPr="00662980">
        <w:t xml:space="preserve">xploitation (extincteurs par exemple). </w:t>
      </w:r>
      <w:r w:rsidR="00A51837">
        <w:t xml:space="preserve">Comment pourrait-on exempter ces équipements sur les bateaux si le 1.1.1.2 a) ne couvre pas ces cas ? </w:t>
      </w:r>
    </w:p>
    <w:p w:rsidR="004B71CB" w:rsidRDefault="004B71CB" w:rsidP="00CF7EA4">
      <w:pPr>
        <w:pStyle w:val="SingleTxtG"/>
      </w:pPr>
      <w:r>
        <w:t>12.</w:t>
      </w:r>
      <w:r>
        <w:tab/>
      </w:r>
      <w:r w:rsidR="007E5750">
        <w:t xml:space="preserve">Dans le Règlement type </w:t>
      </w:r>
      <w:r w:rsidRPr="00662980">
        <w:t>le terme anglais « </w:t>
      </w:r>
      <w:proofErr w:type="spellStart"/>
      <w:r w:rsidRPr="00662980">
        <w:t>means</w:t>
      </w:r>
      <w:proofErr w:type="spellEnd"/>
      <w:r w:rsidRPr="00662980">
        <w:t xml:space="preserve"> of transport » </w:t>
      </w:r>
      <w:r w:rsidR="007E5750">
        <w:t xml:space="preserve">n’est pas appliqué à </w:t>
      </w:r>
      <w:proofErr w:type="spellStart"/>
      <w:r w:rsidRPr="00662980">
        <w:t>à</w:t>
      </w:r>
      <w:proofErr w:type="spellEnd"/>
      <w:r w:rsidRPr="00662980">
        <w:t xml:space="preserve"> une cale, un compartiment ou un pont d’un bateau. </w:t>
      </w:r>
      <w:r>
        <w:t>Il convient donc bien de le changer si l’on ne veut pas soumettre aux dispositions du Règlement type ces équipements qui se trouvent sur tout bateau, même s’il ne réalise aucun transport.</w:t>
      </w:r>
    </w:p>
    <w:p w:rsidR="00A51837" w:rsidRDefault="004B71CB" w:rsidP="00CF7EA4">
      <w:pPr>
        <w:pStyle w:val="SingleTxtG"/>
      </w:pPr>
      <w:r>
        <w:t>13.</w:t>
      </w:r>
      <w:r>
        <w:tab/>
      </w:r>
      <w:r w:rsidR="00A51837">
        <w:t>Vu ce qui précède</w:t>
      </w:r>
      <w:r w:rsidR="00354F20">
        <w:t>,</w:t>
      </w:r>
      <w:r w:rsidR="00A51837">
        <w:t xml:space="preserve"> il apparaît que </w:t>
      </w:r>
      <w:r w:rsidR="008A3D78" w:rsidRPr="00662980">
        <w:t xml:space="preserve">le terme </w:t>
      </w:r>
      <w:r w:rsidR="00A51837">
        <w:t xml:space="preserve">déjà utilisé en français au Nota 3 du 1.1.1.2 </w:t>
      </w:r>
      <w:r w:rsidR="008A3D78" w:rsidRPr="00662980">
        <w:t xml:space="preserve">« moyen de transport » </w:t>
      </w:r>
      <w:r w:rsidR="00C40847">
        <w:t>(</w:t>
      </w:r>
      <w:r w:rsidR="008A3D78" w:rsidRPr="00662980">
        <w:t>anglais « </w:t>
      </w:r>
      <w:proofErr w:type="spellStart"/>
      <w:r w:rsidR="008A3D78" w:rsidRPr="00662980">
        <w:t>conveyance</w:t>
      </w:r>
      <w:proofErr w:type="spellEnd"/>
      <w:r w:rsidR="008A3D78" w:rsidRPr="00662980">
        <w:t> »</w:t>
      </w:r>
      <w:r w:rsidR="00C40847">
        <w:t>)</w:t>
      </w:r>
      <w:r w:rsidR="008A3D78" w:rsidRPr="00662980">
        <w:t xml:space="preserve"> semble parfaitement approprié</w:t>
      </w:r>
      <w:r w:rsidR="00354F20">
        <w:t>.</w:t>
      </w:r>
      <w:r w:rsidR="008A3D78" w:rsidRPr="00662980">
        <w:t xml:space="preserve"> </w:t>
      </w:r>
    </w:p>
    <w:p w:rsidR="00CF7EA4" w:rsidRDefault="00A51837" w:rsidP="00CF7EA4">
      <w:pPr>
        <w:pStyle w:val="SingleTxtG"/>
      </w:pPr>
      <w:r>
        <w:t>1</w:t>
      </w:r>
      <w:r w:rsidR="004B71CB">
        <w:t>4</w:t>
      </w:r>
      <w:r>
        <w:t>.</w:t>
      </w:r>
      <w:r w:rsidR="00053F13">
        <w:tab/>
      </w:r>
      <w:r w:rsidR="000A4E5F">
        <w:t>En conclusion, mis à part l’argument que le terme « </w:t>
      </w:r>
      <w:proofErr w:type="spellStart"/>
      <w:r w:rsidR="000A4E5F">
        <w:t>conveyance</w:t>
      </w:r>
      <w:proofErr w:type="spellEnd"/>
      <w:r w:rsidR="000A4E5F">
        <w:t xml:space="preserve"> » ne serait utilisé que pour les marchandises radioactives, argument qui est contredit par le fait que ce terme existe également pour les conteneurs pour vrac souples du 7.1.1.11, </w:t>
      </w:r>
      <w:r w:rsidR="00053F13">
        <w:t xml:space="preserve">nous ne voyons que des </w:t>
      </w:r>
      <w:r w:rsidR="00354F20">
        <w:t xml:space="preserve">avantages pour les utilisateurs de moyens de transports, qu’ils réalisent ou non un transport, </w:t>
      </w:r>
      <w:r w:rsidR="00053F13">
        <w:t xml:space="preserve">à employer </w:t>
      </w:r>
      <w:r w:rsidR="000A4E5F">
        <w:t xml:space="preserve">le terme </w:t>
      </w:r>
      <w:r w:rsidR="00053F13">
        <w:t>« moyen de transport »/</w:t>
      </w:r>
      <w:r w:rsidR="000A4E5F">
        <w:t>« </w:t>
      </w:r>
      <w:proofErr w:type="spellStart"/>
      <w:r w:rsidR="000A4E5F">
        <w:t>conveyance</w:t>
      </w:r>
      <w:proofErr w:type="spellEnd"/>
      <w:r w:rsidR="000A4E5F">
        <w:t> » au 1.1.1.2 a) et dans le Nota 3 du 1.1.1.2 a).</w:t>
      </w:r>
    </w:p>
    <w:p w:rsidR="000A4E5F" w:rsidRPr="0072378C" w:rsidRDefault="002C3314" w:rsidP="002C3314">
      <w:pPr>
        <w:pStyle w:val="HChG"/>
      </w:pPr>
      <w:r>
        <w:tab/>
      </w:r>
      <w:r>
        <w:tab/>
      </w:r>
      <w:r w:rsidR="000A4E5F" w:rsidRPr="002C3314">
        <w:t>Proposition</w:t>
      </w:r>
      <w:r w:rsidR="000A4E5F">
        <w:t xml:space="preserve"> 1</w:t>
      </w:r>
    </w:p>
    <w:p w:rsidR="0053752F" w:rsidRDefault="00806ABC" w:rsidP="004D1EE1">
      <w:pPr>
        <w:pStyle w:val="SingleTxtG"/>
      </w:pPr>
      <w:r>
        <w:t>1</w:t>
      </w:r>
      <w:r w:rsidR="004B71CB">
        <w:t>5</w:t>
      </w:r>
      <w:r w:rsidR="00810122">
        <w:t>.</w:t>
      </w:r>
      <w:r w:rsidR="00810122">
        <w:tab/>
      </w:r>
      <w:r w:rsidR="000A4E5F">
        <w:t xml:space="preserve">Dans le texte anglais au 1.1.1.2 a) </w:t>
      </w:r>
      <w:r w:rsidR="00662980">
        <w:t xml:space="preserve">et dans le Nota 3 du 1.1.1.2 </w:t>
      </w:r>
      <w:r w:rsidR="000A4E5F">
        <w:t>remplacer « </w:t>
      </w:r>
      <w:proofErr w:type="spellStart"/>
      <w:r w:rsidR="000A4E5F">
        <w:t>means</w:t>
      </w:r>
      <w:proofErr w:type="spellEnd"/>
      <w:r w:rsidR="000A4E5F">
        <w:t xml:space="preserve"> of transport » par « </w:t>
      </w:r>
      <w:proofErr w:type="spellStart"/>
      <w:r w:rsidR="000A4E5F">
        <w:t>conveyance</w:t>
      </w:r>
      <w:proofErr w:type="spellEnd"/>
      <w:r w:rsidR="000A4E5F">
        <w:t> »</w:t>
      </w:r>
      <w:r w:rsidR="0053752F">
        <w:t>.</w:t>
      </w:r>
    </w:p>
    <w:p w:rsidR="00662980" w:rsidRDefault="00662980" w:rsidP="004D1EE1">
      <w:pPr>
        <w:pStyle w:val="SingleTxtG"/>
      </w:pPr>
      <w:r>
        <w:t>1</w:t>
      </w:r>
      <w:r w:rsidR="004B71CB">
        <w:t>6</w:t>
      </w:r>
      <w:r>
        <w:t>.</w:t>
      </w:r>
      <w:r>
        <w:tab/>
        <w:t xml:space="preserve">Dans le texte français au 1.1.1.2 a) remplacer « engin de transport » par « moyen de transport ». </w:t>
      </w:r>
    </w:p>
    <w:p w:rsidR="00662980" w:rsidRDefault="00662980" w:rsidP="004D1EE1">
      <w:pPr>
        <w:pStyle w:val="SingleTxtG"/>
      </w:pPr>
      <w:r>
        <w:t xml:space="preserve">(Le Nota 3 </w:t>
      </w:r>
      <w:r w:rsidR="00053F13">
        <w:t xml:space="preserve">du 1.1.1.2 en français </w:t>
      </w:r>
      <w:r>
        <w:t>utilise déjà le terme approprié « moyen de transport »)</w:t>
      </w:r>
    </w:p>
    <w:p w:rsidR="0053752F" w:rsidRDefault="0053752F" w:rsidP="004D1EE1">
      <w:pPr>
        <w:pStyle w:val="SingleTxtG"/>
      </w:pPr>
      <w:r>
        <w:t>1</w:t>
      </w:r>
      <w:r w:rsidR="0067577C">
        <w:t>7</w:t>
      </w:r>
      <w:r>
        <w:t>.</w:t>
      </w:r>
      <w:r>
        <w:tab/>
        <w:t>Si cette proposition est adoptée</w:t>
      </w:r>
      <w:r w:rsidR="00053F13">
        <w:t>,</w:t>
      </w:r>
      <w:r>
        <w:t xml:space="preserve"> il fau</w:t>
      </w:r>
      <w:r w:rsidR="00C11F5F">
        <w:t xml:space="preserve">dra </w:t>
      </w:r>
      <w:r>
        <w:t xml:space="preserve">se pencher </w:t>
      </w:r>
      <w:r w:rsidR="004B71CB">
        <w:t>ensuite</w:t>
      </w:r>
      <w:r>
        <w:t xml:space="preserve"> sur les termes énumérés au 1.1.1.2 c) : les deux langues utilisent le terme « engin de transport / cargo transport </w:t>
      </w:r>
      <w:proofErr w:type="gramStart"/>
      <w:r>
        <w:t>unit»</w:t>
      </w:r>
      <w:proofErr w:type="gramEnd"/>
      <w:r>
        <w:t>, terme identique au 1.1.1.2 a) en français</w:t>
      </w:r>
      <w:r w:rsidR="00A7629B">
        <w:t xml:space="preserve"> avant la modification </w:t>
      </w:r>
      <w:r w:rsidR="00053F13">
        <w:t xml:space="preserve">proposée au </w:t>
      </w:r>
      <w:r w:rsidR="008C563A">
        <w:t>paragraphe</w:t>
      </w:r>
      <w:r w:rsidR="00A7629B">
        <w:t xml:space="preserve"> 1</w:t>
      </w:r>
      <w:r w:rsidR="004B71CB">
        <w:t>6</w:t>
      </w:r>
      <w:r w:rsidR="00A7629B">
        <w:t xml:space="preserve">. </w:t>
      </w:r>
      <w:r>
        <w:t>Comme indiqué précédemment on ne peut exempter entièrement un élément au 1.1.1.2 a) et quelques lignes plus bas le soumettre à des exigences supplémentaires au 1.1.1.2 c).</w:t>
      </w:r>
      <w:r w:rsidR="00A7629B">
        <w:t xml:space="preserve"> La modification proposée aux </w:t>
      </w:r>
      <w:proofErr w:type="spellStart"/>
      <w:r w:rsidR="008C563A">
        <w:t>pagraphes</w:t>
      </w:r>
      <w:proofErr w:type="spellEnd"/>
      <w:r w:rsidR="00A7629B">
        <w:t xml:space="preserve"> 1</w:t>
      </w:r>
      <w:r w:rsidR="004B71CB">
        <w:t>5</w:t>
      </w:r>
      <w:r w:rsidR="00A7629B">
        <w:t xml:space="preserve"> et 1</w:t>
      </w:r>
      <w:r w:rsidR="004B71CB">
        <w:t>6</w:t>
      </w:r>
      <w:r w:rsidR="00A7629B">
        <w:t xml:space="preserve"> ne réso</w:t>
      </w:r>
      <w:r w:rsidR="00C40847">
        <w:t>ut</w:t>
      </w:r>
      <w:r w:rsidR="00A7629B">
        <w:t xml:space="preserve"> pas entièrement cette contradiction car la plupart des objets visés dans le concept d’engin de transport font également partie du concept « moyen de transport</w:t>
      </w:r>
      <w:proofErr w:type="gramStart"/>
      <w:r w:rsidR="00A7629B">
        <w:t> »/</w:t>
      </w:r>
      <w:proofErr w:type="gramEnd"/>
      <w:r w:rsidR="00A7629B">
        <w:t xml:space="preserve"> « </w:t>
      </w:r>
      <w:proofErr w:type="spellStart"/>
      <w:r w:rsidR="00A7629B">
        <w:t>conveyance</w:t>
      </w:r>
      <w:proofErr w:type="spellEnd"/>
      <w:r w:rsidR="00A7629B">
        <w:t> »</w:t>
      </w:r>
      <w:r w:rsidR="00C40847">
        <w:t xml:space="preserve"> mais d’autres éléments manquent</w:t>
      </w:r>
      <w:r w:rsidR="00A7629B">
        <w:t>.</w:t>
      </w:r>
    </w:p>
    <w:p w:rsidR="00C11F5F" w:rsidRDefault="0053752F" w:rsidP="004D1EE1">
      <w:pPr>
        <w:pStyle w:val="SingleTxtG"/>
        <w:rPr>
          <w:lang w:val="fr-FR"/>
        </w:rPr>
      </w:pPr>
      <w:r>
        <w:rPr>
          <w:lang w:val="fr-FR"/>
        </w:rPr>
        <w:lastRenderedPageBreak/>
        <w:t>1</w:t>
      </w:r>
      <w:r w:rsidR="0067577C">
        <w:rPr>
          <w:lang w:val="fr-FR"/>
        </w:rPr>
        <w:t>8</w:t>
      </w:r>
      <w:r>
        <w:rPr>
          <w:lang w:val="fr-FR"/>
        </w:rPr>
        <w:t>.</w:t>
      </w:r>
      <w:r>
        <w:rPr>
          <w:lang w:val="fr-FR"/>
        </w:rPr>
        <w:tab/>
      </w:r>
      <w:r w:rsidR="00650121">
        <w:rPr>
          <w:lang w:val="fr-FR"/>
        </w:rPr>
        <w:t xml:space="preserve">Pour lever </w:t>
      </w:r>
      <w:r w:rsidR="00A7629B">
        <w:rPr>
          <w:lang w:val="fr-FR"/>
        </w:rPr>
        <w:t xml:space="preserve">définitivement </w:t>
      </w:r>
      <w:r w:rsidR="00650121">
        <w:rPr>
          <w:lang w:val="fr-FR"/>
        </w:rPr>
        <w:t>cette contradiction</w:t>
      </w:r>
      <w:r w:rsidR="004B71CB">
        <w:rPr>
          <w:lang w:val="fr-FR"/>
        </w:rPr>
        <w:t>,</w:t>
      </w:r>
      <w:r w:rsidR="00650121">
        <w:rPr>
          <w:lang w:val="fr-FR"/>
        </w:rPr>
        <w:t xml:space="preserve"> il faut </w:t>
      </w:r>
      <w:r w:rsidR="00053F13">
        <w:rPr>
          <w:lang w:val="fr-FR"/>
        </w:rPr>
        <w:t>considérer</w:t>
      </w:r>
      <w:r w:rsidR="00650121">
        <w:rPr>
          <w:lang w:val="fr-FR"/>
        </w:rPr>
        <w:t xml:space="preserve"> que l’exemption du 1.1.1.2 n’est pas destinée uniquement au transport de marchandises dangereuses mais également à tout moyen de transport et son équipement </w:t>
      </w:r>
      <w:r w:rsidR="00C11F5F">
        <w:rPr>
          <w:lang w:val="fr-FR"/>
        </w:rPr>
        <w:t xml:space="preserve">utilisé </w:t>
      </w:r>
      <w:r w:rsidR="00A7629B">
        <w:rPr>
          <w:lang w:val="fr-FR"/>
        </w:rPr>
        <w:t>lors du déplacement dudit moyen de transport, qu’il s’agissent d’</w:t>
      </w:r>
      <w:r w:rsidR="00C11F5F">
        <w:rPr>
          <w:lang w:val="fr-FR"/>
        </w:rPr>
        <w:t xml:space="preserve">un transport de marchandise dangereuse ou non ou </w:t>
      </w:r>
      <w:r w:rsidR="00A7629B">
        <w:rPr>
          <w:lang w:val="fr-FR"/>
        </w:rPr>
        <w:t>d’un déplacement à d’autres fins</w:t>
      </w:r>
      <w:r w:rsidR="00C11F5F">
        <w:rPr>
          <w:lang w:val="fr-FR"/>
        </w:rPr>
        <w:t xml:space="preserve"> que le transport de marchandises.</w:t>
      </w:r>
      <w:r w:rsidR="00650121">
        <w:rPr>
          <w:lang w:val="fr-FR"/>
        </w:rPr>
        <w:t xml:space="preserve"> Le</w:t>
      </w:r>
      <w:r w:rsidR="00C11F5F">
        <w:rPr>
          <w:lang w:val="fr-FR"/>
        </w:rPr>
        <w:t xml:space="preserve"> </w:t>
      </w:r>
      <w:r w:rsidR="00650121">
        <w:rPr>
          <w:lang w:val="fr-FR"/>
        </w:rPr>
        <w:t xml:space="preserve">Règlement type ne peut </w:t>
      </w:r>
      <w:r w:rsidR="00C11F5F">
        <w:rPr>
          <w:lang w:val="fr-FR"/>
        </w:rPr>
        <w:t xml:space="preserve">établir des exigences aux </w:t>
      </w:r>
      <w:r w:rsidR="00650121">
        <w:rPr>
          <w:lang w:val="fr-FR"/>
        </w:rPr>
        <w:t>utilisateurs d’engins de transport</w:t>
      </w:r>
      <w:r w:rsidR="00053F13">
        <w:rPr>
          <w:lang w:val="fr-FR"/>
        </w:rPr>
        <w:t>, colis et suremballages</w:t>
      </w:r>
      <w:r w:rsidR="00650121">
        <w:rPr>
          <w:lang w:val="fr-FR"/>
        </w:rPr>
        <w:t xml:space="preserve"> qui ne réalisent pas un transport de marchandises dangereuses. Or, le texte adopté au 1.1.1.2 c) soumet ces utilisateurs </w:t>
      </w:r>
      <w:r w:rsidR="00053F13">
        <w:rPr>
          <w:lang w:val="fr-FR"/>
        </w:rPr>
        <w:t xml:space="preserve">non spécialisés </w:t>
      </w:r>
      <w:r w:rsidR="00650121">
        <w:rPr>
          <w:lang w:val="fr-FR"/>
        </w:rPr>
        <w:t xml:space="preserve">à des exigences qu’ils sont incapables de connaître. </w:t>
      </w:r>
      <w:r w:rsidR="00C11F5F">
        <w:rPr>
          <w:lang w:val="fr-FR"/>
        </w:rPr>
        <w:t>Par conséquent</w:t>
      </w:r>
      <w:r w:rsidR="00053F13">
        <w:rPr>
          <w:lang w:val="fr-FR"/>
        </w:rPr>
        <w:t>,</w:t>
      </w:r>
      <w:r w:rsidR="00C11F5F">
        <w:rPr>
          <w:lang w:val="fr-FR"/>
        </w:rPr>
        <w:t xml:space="preserve"> l’exigence de conformité au 2.9.4 </w:t>
      </w:r>
      <w:r w:rsidR="00053F13">
        <w:rPr>
          <w:lang w:val="fr-FR"/>
        </w:rPr>
        <w:t xml:space="preserve">pour les piles et batteries au lithium </w:t>
      </w:r>
      <w:r w:rsidR="00C11F5F">
        <w:rPr>
          <w:lang w:val="fr-FR"/>
        </w:rPr>
        <w:t xml:space="preserve">placée au 1.1.1.2 </w:t>
      </w:r>
      <w:r w:rsidR="00650121">
        <w:rPr>
          <w:lang w:val="fr-FR"/>
        </w:rPr>
        <w:t xml:space="preserve">dépasse le champ d’application du Règlement type. </w:t>
      </w:r>
      <w:r>
        <w:rPr>
          <w:lang w:val="fr-FR"/>
        </w:rPr>
        <w:t>Ce</w:t>
      </w:r>
      <w:r w:rsidR="00C11F5F">
        <w:rPr>
          <w:lang w:val="fr-FR"/>
        </w:rPr>
        <w:t xml:space="preserve"> problème </w:t>
      </w:r>
      <w:r w:rsidR="00A7629B">
        <w:rPr>
          <w:lang w:val="fr-FR"/>
        </w:rPr>
        <w:t xml:space="preserve">serait </w:t>
      </w:r>
      <w:r w:rsidR="00C11F5F">
        <w:rPr>
          <w:lang w:val="fr-FR"/>
        </w:rPr>
        <w:t xml:space="preserve">évité </w:t>
      </w:r>
      <w:r>
        <w:rPr>
          <w:lang w:val="fr-FR"/>
        </w:rPr>
        <w:t xml:space="preserve">si le texte adopté au 1.1.1.2 c) était placé dans une partie du Règlement type où figurent des exigences aux objets qui sont susceptibles d’être équipés de ces </w:t>
      </w:r>
      <w:r w:rsidRPr="006B0E45">
        <w:rPr>
          <w:lang w:val="fr-FR"/>
        </w:rPr>
        <w:t>dispositifs de localisation des marchandises et enregistreurs de données</w:t>
      </w:r>
      <w:r>
        <w:rPr>
          <w:lang w:val="fr-FR"/>
        </w:rPr>
        <w:t xml:space="preserve"> (colis, suremballage et engin de transport)</w:t>
      </w:r>
      <w:r w:rsidR="004B71CB">
        <w:rPr>
          <w:lang w:val="fr-FR"/>
        </w:rPr>
        <w:t xml:space="preserve"> et qui sont utilisés dans le transport de marchandises dangereuses</w:t>
      </w:r>
      <w:r>
        <w:rPr>
          <w:lang w:val="fr-FR"/>
        </w:rPr>
        <w:t>.</w:t>
      </w:r>
      <w:r w:rsidR="004B71CB">
        <w:rPr>
          <w:lang w:val="fr-FR"/>
        </w:rPr>
        <w:t xml:space="preserve"> S’il existe des problèmes avec ces équipements pour d’autres types de transports, ce n’est pas à travers le Règlement type que ceux-ci doivent être réglés car les utilisateurs de moyens de transport ne sont pas tous tenus de connaître cette réglementation.</w:t>
      </w:r>
    </w:p>
    <w:p w:rsidR="0053752F" w:rsidRDefault="00C11F5F" w:rsidP="004D1EE1">
      <w:pPr>
        <w:pStyle w:val="SingleTxtG"/>
      </w:pPr>
      <w:r>
        <w:rPr>
          <w:lang w:val="fr-FR"/>
        </w:rPr>
        <w:t>1</w:t>
      </w:r>
      <w:r w:rsidR="0067577C">
        <w:rPr>
          <w:lang w:val="fr-FR"/>
        </w:rPr>
        <w:t>9</w:t>
      </w:r>
      <w:r w:rsidR="007E5750">
        <w:rPr>
          <w:lang w:val="fr-FR"/>
        </w:rPr>
        <w:t>.</w:t>
      </w:r>
      <w:r w:rsidR="007E5750">
        <w:rPr>
          <w:lang w:val="fr-FR"/>
        </w:rPr>
        <w:tab/>
      </w:r>
      <w:r>
        <w:rPr>
          <w:lang w:val="fr-FR"/>
        </w:rPr>
        <w:t xml:space="preserve">Nous proposons au lieu du 1.1.1.2 c) d’introduire le texte en question au 1.2.1 dans les définitions de colis, suremballage et engin de transport. </w:t>
      </w:r>
      <w:r w:rsidR="00A7629B">
        <w:rPr>
          <w:lang w:val="fr-FR"/>
        </w:rPr>
        <w:t xml:space="preserve">Ainsi seuls les transporteurs qui réalisent des transports de marchandises dangereuses seront soumis à l’exigence de conformité des piles </w:t>
      </w:r>
      <w:r w:rsidR="000D57BA">
        <w:rPr>
          <w:lang w:val="fr-FR"/>
        </w:rPr>
        <w:t xml:space="preserve">et batteries </w:t>
      </w:r>
      <w:r w:rsidR="00A7629B">
        <w:rPr>
          <w:lang w:val="fr-FR"/>
        </w:rPr>
        <w:t xml:space="preserve">au lithium au 2.9.4. Les autres transports ou déplacements </w:t>
      </w:r>
      <w:r w:rsidR="0067577C">
        <w:rPr>
          <w:lang w:val="fr-FR"/>
        </w:rPr>
        <w:t xml:space="preserve">de colis, suremballages ou engins de transport </w:t>
      </w:r>
      <w:r w:rsidR="007E5750">
        <w:rPr>
          <w:lang w:val="fr-FR"/>
        </w:rPr>
        <w:t xml:space="preserve">ou moyens de transport </w:t>
      </w:r>
      <w:r w:rsidR="0067577C">
        <w:rPr>
          <w:lang w:val="fr-FR"/>
        </w:rPr>
        <w:t xml:space="preserve">qui ne contiennent pas des marchandises dangereuses </w:t>
      </w:r>
      <w:r w:rsidR="00A7629B">
        <w:rPr>
          <w:lang w:val="fr-FR"/>
        </w:rPr>
        <w:t xml:space="preserve">sont exonérés par le texte du 1.1.1.2 </w:t>
      </w:r>
      <w:r w:rsidR="0067577C">
        <w:rPr>
          <w:lang w:val="fr-FR"/>
        </w:rPr>
        <w:t xml:space="preserve">tel que modifié aux </w:t>
      </w:r>
      <w:r w:rsidR="008C563A">
        <w:rPr>
          <w:lang w:val="fr-FR"/>
        </w:rPr>
        <w:t>paragraphes</w:t>
      </w:r>
      <w:r w:rsidR="0067577C">
        <w:rPr>
          <w:lang w:val="fr-FR"/>
        </w:rPr>
        <w:t xml:space="preserve"> 1</w:t>
      </w:r>
      <w:r w:rsidR="000D57BA">
        <w:rPr>
          <w:lang w:val="fr-FR"/>
        </w:rPr>
        <w:t>5</w:t>
      </w:r>
      <w:r w:rsidR="0067577C">
        <w:rPr>
          <w:lang w:val="fr-FR"/>
        </w:rPr>
        <w:t xml:space="preserve"> et 1</w:t>
      </w:r>
      <w:r w:rsidR="000D57BA">
        <w:rPr>
          <w:lang w:val="fr-FR"/>
        </w:rPr>
        <w:t>6</w:t>
      </w:r>
      <w:r w:rsidR="0067577C">
        <w:rPr>
          <w:lang w:val="fr-FR"/>
        </w:rPr>
        <w:t xml:space="preserve"> </w:t>
      </w:r>
      <w:r w:rsidR="00A7629B">
        <w:rPr>
          <w:lang w:val="fr-FR"/>
        </w:rPr>
        <w:t xml:space="preserve">sans la lettre c) qui avait été proposée et adoptée entre crochets dans le rapport </w:t>
      </w:r>
      <w:r w:rsidR="00A7629B">
        <w:t>ST/SG/AC.10/C.3/102/Add.1</w:t>
      </w:r>
      <w:r w:rsidR="00A7629B">
        <w:rPr>
          <w:lang w:val="fr-FR"/>
        </w:rPr>
        <w:t>.</w:t>
      </w:r>
    </w:p>
    <w:p w:rsidR="00C11F5F" w:rsidRPr="0072378C" w:rsidRDefault="002C3314" w:rsidP="00C11F5F">
      <w:pPr>
        <w:pStyle w:val="HChG"/>
      </w:pPr>
      <w:r>
        <w:tab/>
      </w:r>
      <w:r>
        <w:tab/>
      </w:r>
      <w:r w:rsidR="00C11F5F" w:rsidRPr="008A0233">
        <w:t>Proposition</w:t>
      </w:r>
      <w:r w:rsidR="00C11F5F">
        <w:t xml:space="preserve"> 2</w:t>
      </w:r>
    </w:p>
    <w:p w:rsidR="00C11F5F" w:rsidRDefault="002C3314" w:rsidP="00C11F5F">
      <w:pPr>
        <w:pStyle w:val="SingleTxtG"/>
        <w:rPr>
          <w:lang w:val="fr-FR"/>
        </w:rPr>
      </w:pPr>
      <w:r>
        <w:rPr>
          <w:lang w:val="fr-FR"/>
        </w:rPr>
        <w:t>20</w:t>
      </w:r>
      <w:r w:rsidR="00C11F5F">
        <w:rPr>
          <w:lang w:val="fr-FR"/>
        </w:rPr>
        <w:t>.</w:t>
      </w:r>
      <w:r w:rsidR="00C11F5F">
        <w:rPr>
          <w:lang w:val="fr-FR"/>
        </w:rPr>
        <w:tab/>
        <w:t xml:space="preserve">Biffer le </w:t>
      </w:r>
      <w:r w:rsidR="00C11F5F">
        <w:t xml:space="preserve">texte prévu au 1.1.1.2 c) </w:t>
      </w:r>
      <w:r w:rsidR="00A7629B">
        <w:t xml:space="preserve">dans le document ST/SG/AC.10/C.3/102/Add.1 </w:t>
      </w:r>
      <w:r w:rsidR="00C11F5F">
        <w:t xml:space="preserve">et </w:t>
      </w:r>
      <w:r w:rsidR="00C11F5F">
        <w:rPr>
          <w:lang w:val="fr-FR"/>
        </w:rPr>
        <w:t>ajouter au 1.2.1 le texte suivant à la fin des définitions de colis, sur</w:t>
      </w:r>
      <w:r w:rsidR="007565C2">
        <w:rPr>
          <w:lang w:val="fr-FR"/>
        </w:rPr>
        <w:t>emballage et engin de transport :</w:t>
      </w:r>
    </w:p>
    <w:p w:rsidR="007565C2" w:rsidRDefault="007565C2" w:rsidP="007565C2">
      <w:pPr>
        <w:pStyle w:val="SingleTxtG"/>
      </w:pPr>
      <w:proofErr w:type="gramStart"/>
      <w:r>
        <w:rPr>
          <w:lang w:eastAsia="en-GB"/>
        </w:rPr>
        <w:t>«L</w:t>
      </w:r>
      <w:r>
        <w:rPr>
          <w:lang w:val="fr-FR"/>
        </w:rPr>
        <w:t>es</w:t>
      </w:r>
      <w:proofErr w:type="gramEnd"/>
      <w:r>
        <w:rPr>
          <w:lang w:val="fr-FR"/>
        </w:rPr>
        <w:t xml:space="preserve"> dispositifs de localisation des marchandises et enregistreurs de données, alimentés par pile ou batterie au lithium, fixés aux colis/suremballages/engins de transport doivent remplir les conditions suivantes :</w:t>
      </w:r>
    </w:p>
    <w:p w:rsidR="007565C2" w:rsidRDefault="007565C2" w:rsidP="00245F15">
      <w:pPr>
        <w:pStyle w:val="SingleTxtG"/>
        <w:numPr>
          <w:ilvl w:val="0"/>
          <w:numId w:val="29"/>
        </w:numPr>
        <w:ind w:left="2268" w:hanging="567"/>
      </w:pPr>
      <w:proofErr w:type="gramStart"/>
      <w:r>
        <w:rPr>
          <w:lang w:val="fr-FR"/>
        </w:rPr>
        <w:t>chaque</w:t>
      </w:r>
      <w:proofErr w:type="gramEnd"/>
      <w:r>
        <w:rPr>
          <w:lang w:val="fr-FR"/>
        </w:rPr>
        <w:t xml:space="preserve"> pile ou batterie doit satisfaire aux dispositions applicables du 2.9.4 ;</w:t>
      </w:r>
    </w:p>
    <w:p w:rsidR="007565C2" w:rsidRDefault="007565C2" w:rsidP="00245F15">
      <w:pPr>
        <w:pStyle w:val="SingleTxtG"/>
        <w:numPr>
          <w:ilvl w:val="0"/>
          <w:numId w:val="29"/>
        </w:numPr>
        <w:ind w:left="2268" w:hanging="567"/>
      </w:pPr>
      <w:proofErr w:type="gramStart"/>
      <w:r>
        <w:rPr>
          <w:lang w:val="fr-FR"/>
        </w:rPr>
        <w:t>les</w:t>
      </w:r>
      <w:proofErr w:type="gramEnd"/>
      <w:r>
        <w:rPr>
          <w:lang w:val="fr-FR"/>
        </w:rPr>
        <w:t xml:space="preserve"> batteries et les piles doivent être protégées par une enveloppe extérieure présentant une résistance suffisante et d’une conception adaptée ou par le dispositif qui les contient, afin d’empêcher tout endommagement dans des conditions normales de transport. ».</w:t>
      </w:r>
    </w:p>
    <w:p w:rsidR="00B31474" w:rsidRDefault="00B31474">
      <w:pPr>
        <w:pStyle w:val="SingleTxtG"/>
        <w:spacing w:before="240" w:after="0"/>
        <w:jc w:val="center"/>
        <w:rPr>
          <w:u w:val="single"/>
        </w:rPr>
      </w:pPr>
      <w:r>
        <w:rPr>
          <w:rFonts w:eastAsia="Arial"/>
          <w:u w:val="single"/>
        </w:rPr>
        <w:tab/>
      </w:r>
      <w:r>
        <w:rPr>
          <w:rFonts w:eastAsia="Arial"/>
          <w:u w:val="single"/>
        </w:rPr>
        <w:tab/>
      </w:r>
      <w:r>
        <w:rPr>
          <w:rFonts w:eastAsia="Arial"/>
          <w:u w:val="single"/>
        </w:rPr>
        <w:tab/>
      </w:r>
    </w:p>
    <w:sectPr w:rsidR="00B31474">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D15" w:rsidRDefault="00921D15"/>
  </w:endnote>
  <w:endnote w:type="continuationSeparator" w:id="0">
    <w:p w:rsidR="00921D15" w:rsidRDefault="00921D15"/>
  </w:endnote>
  <w:endnote w:type="continuationNotice" w:id="1">
    <w:p w:rsidR="00921D15" w:rsidRDefault="0092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921D1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E5750">
      <w:rPr>
        <w:b/>
        <w:noProof/>
        <w:sz w:val="18"/>
      </w:rPr>
      <w:t>4</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921D15">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7E5750">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D15" w:rsidRDefault="00921D15">
      <w:pPr>
        <w:tabs>
          <w:tab w:val="right" w:pos="2155"/>
        </w:tabs>
        <w:spacing w:after="80"/>
        <w:ind w:left="680"/>
        <w:rPr>
          <w:u w:val="single"/>
        </w:rPr>
      </w:pPr>
      <w:r>
        <w:rPr>
          <w:u w:val="single"/>
        </w:rPr>
        <w:tab/>
      </w:r>
    </w:p>
  </w:footnote>
  <w:footnote w:type="continuationSeparator" w:id="0">
    <w:p w:rsidR="00921D15" w:rsidRDefault="00921D15">
      <w:pPr>
        <w:tabs>
          <w:tab w:val="left" w:pos="2155"/>
        </w:tabs>
        <w:spacing w:after="80"/>
        <w:ind w:left="680"/>
        <w:rPr>
          <w:u w:val="single"/>
        </w:rPr>
      </w:pPr>
      <w:r>
        <w:rPr>
          <w:u w:val="single"/>
        </w:rPr>
        <w:tab/>
      </w:r>
    </w:p>
  </w:footnote>
  <w:footnote w:type="continuationNotice" w:id="1">
    <w:p w:rsidR="00921D15" w:rsidRDefault="00921D15"/>
  </w:footnote>
  <w:footnote w:id="2">
    <w:p w:rsidR="00921D15" w:rsidRDefault="00921D15" w:rsidP="00D072BB">
      <w:pPr>
        <w:pStyle w:val="FootnoteText"/>
        <w:tabs>
          <w:tab w:val="left" w:pos="1418"/>
        </w:tabs>
        <w:ind w:firstLine="0"/>
      </w:pPr>
      <w:r>
        <w:rPr>
          <w:rStyle w:val="FootnoteReference"/>
        </w:rPr>
        <w:footnoteRef/>
      </w:r>
      <w:r>
        <w:t xml:space="preserve"> </w:t>
      </w:r>
      <w:r w:rsidR="00D072BB">
        <w:tab/>
      </w:r>
      <w:r>
        <w:rPr>
          <w:spacing w:val="-2"/>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921D15">
    <w:pPr>
      <w:pStyle w:val="Header"/>
      <w:rPr>
        <w:lang w:val="en-US"/>
      </w:rPr>
    </w:pPr>
    <w:r>
      <w:rPr>
        <w:lang w:val="en-US"/>
      </w:rPr>
      <w:t>ST/SG/AC.10/C.3/201</w:t>
    </w:r>
    <w:r w:rsidR="000D57BA">
      <w:rPr>
        <w:lang w:val="en-US"/>
      </w:rPr>
      <w:t>8</w:t>
    </w:r>
    <w:r w:rsidR="002C3314">
      <w:rPr>
        <w:lang w:val="en-US"/>
      </w:rPr>
      <w:t>/118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15" w:rsidRDefault="002C3314">
    <w:pPr>
      <w:pStyle w:val="Header"/>
      <w:jc w:val="right"/>
      <w:rPr>
        <w:lang w:val="en-US"/>
      </w:rPr>
    </w:pPr>
    <w:r>
      <w:rPr>
        <w:lang w:val="en-US"/>
      </w:rPr>
      <w:t>ST/SG/AC.10/C.3/2018/118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15:restartNumberingAfterBreak="0">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4F02451"/>
    <w:multiLevelType w:val="hybridMultilevel"/>
    <w:tmpl w:val="DB946D3A"/>
    <w:lvl w:ilvl="0" w:tplc="0409001B">
      <w:start w:val="1"/>
      <w:numFmt w:val="lowerRoman"/>
      <w:lvlText w:val="%1."/>
      <w:lvlJc w:val="right"/>
      <w:pPr>
        <w:ind w:left="3555" w:hanging="360"/>
      </w:pPr>
    </w:lvl>
    <w:lvl w:ilvl="1" w:tplc="100C0019" w:tentative="1">
      <w:start w:val="1"/>
      <w:numFmt w:val="lowerLetter"/>
      <w:lvlText w:val="%2."/>
      <w:lvlJc w:val="left"/>
      <w:pPr>
        <w:ind w:left="4275" w:hanging="360"/>
      </w:pPr>
    </w:lvl>
    <w:lvl w:ilvl="2" w:tplc="100C001B" w:tentative="1">
      <w:start w:val="1"/>
      <w:numFmt w:val="lowerRoman"/>
      <w:lvlText w:val="%3."/>
      <w:lvlJc w:val="right"/>
      <w:pPr>
        <w:ind w:left="4995" w:hanging="180"/>
      </w:pPr>
    </w:lvl>
    <w:lvl w:ilvl="3" w:tplc="100C000F" w:tentative="1">
      <w:start w:val="1"/>
      <w:numFmt w:val="decimal"/>
      <w:lvlText w:val="%4."/>
      <w:lvlJc w:val="left"/>
      <w:pPr>
        <w:ind w:left="5715" w:hanging="360"/>
      </w:pPr>
    </w:lvl>
    <w:lvl w:ilvl="4" w:tplc="100C0019" w:tentative="1">
      <w:start w:val="1"/>
      <w:numFmt w:val="lowerLetter"/>
      <w:lvlText w:val="%5."/>
      <w:lvlJc w:val="left"/>
      <w:pPr>
        <w:ind w:left="6435" w:hanging="360"/>
      </w:pPr>
    </w:lvl>
    <w:lvl w:ilvl="5" w:tplc="100C001B" w:tentative="1">
      <w:start w:val="1"/>
      <w:numFmt w:val="lowerRoman"/>
      <w:lvlText w:val="%6."/>
      <w:lvlJc w:val="right"/>
      <w:pPr>
        <w:ind w:left="7155" w:hanging="180"/>
      </w:pPr>
    </w:lvl>
    <w:lvl w:ilvl="6" w:tplc="100C000F" w:tentative="1">
      <w:start w:val="1"/>
      <w:numFmt w:val="decimal"/>
      <w:lvlText w:val="%7."/>
      <w:lvlJc w:val="left"/>
      <w:pPr>
        <w:ind w:left="7875" w:hanging="360"/>
      </w:pPr>
    </w:lvl>
    <w:lvl w:ilvl="7" w:tplc="100C0019" w:tentative="1">
      <w:start w:val="1"/>
      <w:numFmt w:val="lowerLetter"/>
      <w:lvlText w:val="%8."/>
      <w:lvlJc w:val="left"/>
      <w:pPr>
        <w:ind w:left="8595" w:hanging="360"/>
      </w:pPr>
    </w:lvl>
    <w:lvl w:ilvl="8" w:tplc="100C001B" w:tentative="1">
      <w:start w:val="1"/>
      <w:numFmt w:val="lowerRoman"/>
      <w:lvlText w:val="%9."/>
      <w:lvlJc w:val="right"/>
      <w:pPr>
        <w:ind w:left="9315"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7"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5F2700F"/>
    <w:multiLevelType w:val="hybridMultilevel"/>
    <w:tmpl w:val="911E923A"/>
    <w:lvl w:ilvl="0" w:tplc="E16C95DC">
      <w:start w:val="2"/>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15:restartNumberingAfterBreak="0">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0" w15:restartNumberingAfterBreak="0">
    <w:nsid w:val="2E202DAC"/>
    <w:multiLevelType w:val="hybridMultilevel"/>
    <w:tmpl w:val="AE86BF6E"/>
    <w:lvl w:ilvl="0" w:tplc="014E6ECA">
      <w:start w:val="5"/>
      <w:numFmt w:val="decimal"/>
      <w:lvlText w:val="%1."/>
      <w:lvlJc w:val="left"/>
      <w:pPr>
        <w:ind w:left="2070" w:hanging="360"/>
      </w:pPr>
      <w:rPr>
        <w:rFonts w:hint="default"/>
      </w:rPr>
    </w:lvl>
    <w:lvl w:ilvl="1" w:tplc="100C0019" w:tentative="1">
      <w:start w:val="1"/>
      <w:numFmt w:val="lowerLetter"/>
      <w:lvlText w:val="%2."/>
      <w:lvlJc w:val="left"/>
      <w:pPr>
        <w:ind w:left="2790" w:hanging="360"/>
      </w:pPr>
    </w:lvl>
    <w:lvl w:ilvl="2" w:tplc="100C001B" w:tentative="1">
      <w:start w:val="1"/>
      <w:numFmt w:val="lowerRoman"/>
      <w:lvlText w:val="%3."/>
      <w:lvlJc w:val="right"/>
      <w:pPr>
        <w:ind w:left="3510" w:hanging="180"/>
      </w:pPr>
    </w:lvl>
    <w:lvl w:ilvl="3" w:tplc="100C000F" w:tentative="1">
      <w:start w:val="1"/>
      <w:numFmt w:val="decimal"/>
      <w:lvlText w:val="%4."/>
      <w:lvlJc w:val="left"/>
      <w:pPr>
        <w:ind w:left="4230" w:hanging="360"/>
      </w:pPr>
    </w:lvl>
    <w:lvl w:ilvl="4" w:tplc="100C0019" w:tentative="1">
      <w:start w:val="1"/>
      <w:numFmt w:val="lowerLetter"/>
      <w:lvlText w:val="%5."/>
      <w:lvlJc w:val="left"/>
      <w:pPr>
        <w:ind w:left="4950" w:hanging="360"/>
      </w:pPr>
    </w:lvl>
    <w:lvl w:ilvl="5" w:tplc="100C001B" w:tentative="1">
      <w:start w:val="1"/>
      <w:numFmt w:val="lowerRoman"/>
      <w:lvlText w:val="%6."/>
      <w:lvlJc w:val="right"/>
      <w:pPr>
        <w:ind w:left="5670" w:hanging="180"/>
      </w:pPr>
    </w:lvl>
    <w:lvl w:ilvl="6" w:tplc="100C000F" w:tentative="1">
      <w:start w:val="1"/>
      <w:numFmt w:val="decimal"/>
      <w:lvlText w:val="%7."/>
      <w:lvlJc w:val="left"/>
      <w:pPr>
        <w:ind w:left="6390" w:hanging="360"/>
      </w:pPr>
    </w:lvl>
    <w:lvl w:ilvl="7" w:tplc="100C0019" w:tentative="1">
      <w:start w:val="1"/>
      <w:numFmt w:val="lowerLetter"/>
      <w:lvlText w:val="%8."/>
      <w:lvlJc w:val="left"/>
      <w:pPr>
        <w:ind w:left="7110" w:hanging="360"/>
      </w:pPr>
    </w:lvl>
    <w:lvl w:ilvl="8" w:tplc="100C001B" w:tentative="1">
      <w:start w:val="1"/>
      <w:numFmt w:val="lowerRoman"/>
      <w:lvlText w:val="%9."/>
      <w:lvlJc w:val="right"/>
      <w:pPr>
        <w:ind w:left="7830" w:hanging="180"/>
      </w:pPr>
    </w:lvl>
  </w:abstractNum>
  <w:abstractNum w:abstractNumId="11" w15:restartNumberingAfterBreak="0">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5" w15:restartNumberingAfterBreak="0">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519F78CC"/>
    <w:multiLevelType w:val="hybridMultilevel"/>
    <w:tmpl w:val="711E2BFC"/>
    <w:lvl w:ilvl="0" w:tplc="FD544CA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9" w15:restartNumberingAfterBreak="0">
    <w:nsid w:val="5FB56B02"/>
    <w:multiLevelType w:val="hybridMultilevel"/>
    <w:tmpl w:val="CAE409D4"/>
    <w:lvl w:ilvl="0" w:tplc="0AD86D84">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663E3725"/>
    <w:multiLevelType w:val="hybridMultilevel"/>
    <w:tmpl w:val="312A7FF2"/>
    <w:lvl w:ilvl="0" w:tplc="44C23748">
      <w:start w:val="1"/>
      <w:numFmt w:val="decimal"/>
      <w:lvlText w:val="%1."/>
      <w:lvlJc w:val="left"/>
      <w:pPr>
        <w:ind w:left="1710" w:hanging="576"/>
      </w:pPr>
      <w:rPr>
        <w:rFonts w:hint="default"/>
      </w:rPr>
    </w:lvl>
    <w:lvl w:ilvl="1" w:tplc="100C0019">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1" w15:restartNumberingAfterBreak="0">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E271474"/>
    <w:multiLevelType w:val="hybridMultilevel"/>
    <w:tmpl w:val="244E17FE"/>
    <w:lvl w:ilvl="0" w:tplc="2AB6DCE6">
      <w:start w:val="1"/>
      <w:numFmt w:val="lowerLetter"/>
      <w:lvlText w:val="%1)"/>
      <w:lvlJc w:val="left"/>
      <w:pPr>
        <w:ind w:left="3411" w:hanging="576"/>
      </w:pPr>
      <w:rPr>
        <w:rFonts w:hint="default"/>
      </w:rPr>
    </w:lvl>
    <w:lvl w:ilvl="1" w:tplc="100C0019" w:tentative="1">
      <w:start w:val="1"/>
      <w:numFmt w:val="lowerLetter"/>
      <w:lvlText w:val="%2."/>
      <w:lvlJc w:val="left"/>
      <w:pPr>
        <w:ind w:left="3915" w:hanging="360"/>
      </w:pPr>
    </w:lvl>
    <w:lvl w:ilvl="2" w:tplc="100C001B" w:tentative="1">
      <w:start w:val="1"/>
      <w:numFmt w:val="lowerRoman"/>
      <w:lvlText w:val="%3."/>
      <w:lvlJc w:val="right"/>
      <w:pPr>
        <w:ind w:left="4635" w:hanging="180"/>
      </w:pPr>
    </w:lvl>
    <w:lvl w:ilvl="3" w:tplc="100C000F" w:tentative="1">
      <w:start w:val="1"/>
      <w:numFmt w:val="decimal"/>
      <w:lvlText w:val="%4."/>
      <w:lvlJc w:val="left"/>
      <w:pPr>
        <w:ind w:left="5355" w:hanging="360"/>
      </w:pPr>
    </w:lvl>
    <w:lvl w:ilvl="4" w:tplc="100C0019" w:tentative="1">
      <w:start w:val="1"/>
      <w:numFmt w:val="lowerLetter"/>
      <w:lvlText w:val="%5."/>
      <w:lvlJc w:val="left"/>
      <w:pPr>
        <w:ind w:left="6075" w:hanging="360"/>
      </w:pPr>
    </w:lvl>
    <w:lvl w:ilvl="5" w:tplc="100C001B" w:tentative="1">
      <w:start w:val="1"/>
      <w:numFmt w:val="lowerRoman"/>
      <w:lvlText w:val="%6."/>
      <w:lvlJc w:val="right"/>
      <w:pPr>
        <w:ind w:left="6795" w:hanging="180"/>
      </w:pPr>
    </w:lvl>
    <w:lvl w:ilvl="6" w:tplc="100C000F" w:tentative="1">
      <w:start w:val="1"/>
      <w:numFmt w:val="decimal"/>
      <w:lvlText w:val="%7."/>
      <w:lvlJc w:val="left"/>
      <w:pPr>
        <w:ind w:left="7515" w:hanging="360"/>
      </w:pPr>
    </w:lvl>
    <w:lvl w:ilvl="7" w:tplc="100C0019" w:tentative="1">
      <w:start w:val="1"/>
      <w:numFmt w:val="lowerLetter"/>
      <w:lvlText w:val="%8."/>
      <w:lvlJc w:val="left"/>
      <w:pPr>
        <w:ind w:left="8235" w:hanging="360"/>
      </w:pPr>
    </w:lvl>
    <w:lvl w:ilvl="8" w:tplc="100C001B" w:tentative="1">
      <w:start w:val="1"/>
      <w:numFmt w:val="lowerRoman"/>
      <w:lvlText w:val="%9."/>
      <w:lvlJc w:val="right"/>
      <w:pPr>
        <w:ind w:left="8955" w:hanging="180"/>
      </w:pPr>
    </w:lvl>
  </w:abstractNum>
  <w:abstractNum w:abstractNumId="23" w15:restartNumberingAfterBreak="0">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4" w15:restartNumberingAfterBreak="0">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0"/>
  </w:num>
  <w:num w:numId="4">
    <w:abstractNumId w:val="1"/>
  </w:num>
  <w:num w:numId="5">
    <w:abstractNumId w:val="2"/>
  </w:num>
  <w:num w:numId="6">
    <w:abstractNumId w:val="11"/>
  </w:num>
  <w:num w:numId="7">
    <w:abstractNumId w:val="18"/>
  </w:num>
  <w:num w:numId="8">
    <w:abstractNumId w:val="24"/>
  </w:num>
  <w:num w:numId="9">
    <w:abstractNumId w:val="14"/>
  </w:num>
  <w:num w:numId="10">
    <w:abstractNumId w:val="25"/>
  </w:num>
  <w:num w:numId="11">
    <w:abstractNumId w:val="13"/>
  </w:num>
  <w:num w:numId="12">
    <w:abstractNumId w:val="21"/>
  </w:num>
  <w:num w:numId="13">
    <w:abstractNumId w:val="21"/>
  </w:num>
  <w:num w:numId="14">
    <w:abstractNumId w:val="21"/>
  </w:num>
  <w:num w:numId="15">
    <w:abstractNumId w:val="5"/>
  </w:num>
  <w:num w:numId="16">
    <w:abstractNumId w:val="7"/>
  </w:num>
  <w:num w:numId="17">
    <w:abstractNumId w:val="16"/>
  </w:num>
  <w:num w:numId="18">
    <w:abstractNumId w:val="4"/>
  </w:num>
  <w:num w:numId="19">
    <w:abstractNumId w:val="23"/>
  </w:num>
  <w:num w:numId="20">
    <w:abstractNumId w:val="9"/>
  </w:num>
  <w:num w:numId="21">
    <w:abstractNumId w:val="6"/>
  </w:num>
  <w:num w:numId="22">
    <w:abstractNumId w:val="15"/>
  </w:num>
  <w:num w:numId="23">
    <w:abstractNumId w:val="20"/>
  </w:num>
  <w:num w:numId="24">
    <w:abstractNumId w:val="8"/>
  </w:num>
  <w:num w:numId="25">
    <w:abstractNumId w:val="10"/>
  </w:num>
  <w:num w:numId="26">
    <w:abstractNumId w:val="3"/>
  </w:num>
  <w:num w:numId="27">
    <w:abstractNumId w:val="22"/>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99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02"/>
    <w:rsid w:val="00011173"/>
    <w:rsid w:val="00012DAC"/>
    <w:rsid w:val="00013866"/>
    <w:rsid w:val="00014AEA"/>
    <w:rsid w:val="000260C2"/>
    <w:rsid w:val="0003570C"/>
    <w:rsid w:val="00042CFB"/>
    <w:rsid w:val="00046BFA"/>
    <w:rsid w:val="0004775C"/>
    <w:rsid w:val="00051069"/>
    <w:rsid w:val="00051400"/>
    <w:rsid w:val="00053F13"/>
    <w:rsid w:val="00054394"/>
    <w:rsid w:val="0005650A"/>
    <w:rsid w:val="000578AF"/>
    <w:rsid w:val="000659E4"/>
    <w:rsid w:val="0007777B"/>
    <w:rsid w:val="000806FE"/>
    <w:rsid w:val="000A4E5F"/>
    <w:rsid w:val="000B1A91"/>
    <w:rsid w:val="000B3266"/>
    <w:rsid w:val="000C06F0"/>
    <w:rsid w:val="000D57BA"/>
    <w:rsid w:val="000E5CC0"/>
    <w:rsid w:val="000F1361"/>
    <w:rsid w:val="000F4E9C"/>
    <w:rsid w:val="000F7333"/>
    <w:rsid w:val="00103B80"/>
    <w:rsid w:val="001058BC"/>
    <w:rsid w:val="00116B92"/>
    <w:rsid w:val="001300FA"/>
    <w:rsid w:val="00142FBC"/>
    <w:rsid w:val="00145AFF"/>
    <w:rsid w:val="001477C2"/>
    <w:rsid w:val="00181D2E"/>
    <w:rsid w:val="0018484E"/>
    <w:rsid w:val="00186A81"/>
    <w:rsid w:val="001919BB"/>
    <w:rsid w:val="001A44AF"/>
    <w:rsid w:val="001C6A24"/>
    <w:rsid w:val="001E0915"/>
    <w:rsid w:val="001E36A9"/>
    <w:rsid w:val="001E4367"/>
    <w:rsid w:val="00203D55"/>
    <w:rsid w:val="00205DCB"/>
    <w:rsid w:val="00210222"/>
    <w:rsid w:val="0023481B"/>
    <w:rsid w:val="00236B05"/>
    <w:rsid w:val="00237CAF"/>
    <w:rsid w:val="00242278"/>
    <w:rsid w:val="00245F15"/>
    <w:rsid w:val="002475A5"/>
    <w:rsid w:val="00253A00"/>
    <w:rsid w:val="0026107C"/>
    <w:rsid w:val="00274A36"/>
    <w:rsid w:val="00296C01"/>
    <w:rsid w:val="002A7E67"/>
    <w:rsid w:val="002B2A54"/>
    <w:rsid w:val="002C3314"/>
    <w:rsid w:val="002D0389"/>
    <w:rsid w:val="002D3C26"/>
    <w:rsid w:val="002E2543"/>
    <w:rsid w:val="00303746"/>
    <w:rsid w:val="00304A18"/>
    <w:rsid w:val="00321DA8"/>
    <w:rsid w:val="00354F20"/>
    <w:rsid w:val="00366908"/>
    <w:rsid w:val="00377958"/>
    <w:rsid w:val="003A46D3"/>
    <w:rsid w:val="003B0A73"/>
    <w:rsid w:val="003C1D73"/>
    <w:rsid w:val="003E3088"/>
    <w:rsid w:val="003F76C3"/>
    <w:rsid w:val="004033DA"/>
    <w:rsid w:val="00403C69"/>
    <w:rsid w:val="00410486"/>
    <w:rsid w:val="00411A60"/>
    <w:rsid w:val="004133DE"/>
    <w:rsid w:val="004362EC"/>
    <w:rsid w:val="00454DF9"/>
    <w:rsid w:val="00460828"/>
    <w:rsid w:val="00460FB7"/>
    <w:rsid w:val="00463F9D"/>
    <w:rsid w:val="00472BFF"/>
    <w:rsid w:val="004909C7"/>
    <w:rsid w:val="00490C26"/>
    <w:rsid w:val="00493EEB"/>
    <w:rsid w:val="00494212"/>
    <w:rsid w:val="004969DF"/>
    <w:rsid w:val="004B6935"/>
    <w:rsid w:val="004B71CB"/>
    <w:rsid w:val="004C7AF3"/>
    <w:rsid w:val="004D1EE1"/>
    <w:rsid w:val="004D406E"/>
    <w:rsid w:val="004D7553"/>
    <w:rsid w:val="004E16BC"/>
    <w:rsid w:val="00513126"/>
    <w:rsid w:val="005257E8"/>
    <w:rsid w:val="005343BA"/>
    <w:rsid w:val="0053752F"/>
    <w:rsid w:val="00553ABF"/>
    <w:rsid w:val="00582F51"/>
    <w:rsid w:val="00590209"/>
    <w:rsid w:val="005A4236"/>
    <w:rsid w:val="005B7088"/>
    <w:rsid w:val="005C174B"/>
    <w:rsid w:val="005C571D"/>
    <w:rsid w:val="005D5FB8"/>
    <w:rsid w:val="005E1400"/>
    <w:rsid w:val="005F25FC"/>
    <w:rsid w:val="00602038"/>
    <w:rsid w:val="00637F41"/>
    <w:rsid w:val="006437EB"/>
    <w:rsid w:val="00647E09"/>
    <w:rsid w:val="00650121"/>
    <w:rsid w:val="00654BFA"/>
    <w:rsid w:val="00662980"/>
    <w:rsid w:val="006655BC"/>
    <w:rsid w:val="0067577C"/>
    <w:rsid w:val="00692206"/>
    <w:rsid w:val="00693E6C"/>
    <w:rsid w:val="006A3076"/>
    <w:rsid w:val="006B41BB"/>
    <w:rsid w:val="006C05D8"/>
    <w:rsid w:val="006C4B1E"/>
    <w:rsid w:val="006E38B9"/>
    <w:rsid w:val="006F08E6"/>
    <w:rsid w:val="00721054"/>
    <w:rsid w:val="00734DB1"/>
    <w:rsid w:val="007410F7"/>
    <w:rsid w:val="007565C2"/>
    <w:rsid w:val="00770CF5"/>
    <w:rsid w:val="007808F4"/>
    <w:rsid w:val="007848F1"/>
    <w:rsid w:val="00794A65"/>
    <w:rsid w:val="00797850"/>
    <w:rsid w:val="007B3972"/>
    <w:rsid w:val="007C2370"/>
    <w:rsid w:val="007E5750"/>
    <w:rsid w:val="007E6055"/>
    <w:rsid w:val="007E680B"/>
    <w:rsid w:val="007F25D7"/>
    <w:rsid w:val="007F44FA"/>
    <w:rsid w:val="007F5758"/>
    <w:rsid w:val="007F7FB2"/>
    <w:rsid w:val="00806ABC"/>
    <w:rsid w:val="00810122"/>
    <w:rsid w:val="0081437B"/>
    <w:rsid w:val="008172A1"/>
    <w:rsid w:val="00872325"/>
    <w:rsid w:val="0088239A"/>
    <w:rsid w:val="008A0233"/>
    <w:rsid w:val="008A3D78"/>
    <w:rsid w:val="008B49DB"/>
    <w:rsid w:val="008C563A"/>
    <w:rsid w:val="008C758B"/>
    <w:rsid w:val="008E21CE"/>
    <w:rsid w:val="008E2998"/>
    <w:rsid w:val="008E603E"/>
    <w:rsid w:val="008E7DEF"/>
    <w:rsid w:val="00921D15"/>
    <w:rsid w:val="00936806"/>
    <w:rsid w:val="00942D74"/>
    <w:rsid w:val="00963ABD"/>
    <w:rsid w:val="009706CC"/>
    <w:rsid w:val="009809C7"/>
    <w:rsid w:val="0099356F"/>
    <w:rsid w:val="009C65A4"/>
    <w:rsid w:val="009F1D42"/>
    <w:rsid w:val="00A12E4C"/>
    <w:rsid w:val="00A32EAF"/>
    <w:rsid w:val="00A33E02"/>
    <w:rsid w:val="00A40394"/>
    <w:rsid w:val="00A40D5B"/>
    <w:rsid w:val="00A427F1"/>
    <w:rsid w:val="00A47DAE"/>
    <w:rsid w:val="00A500A9"/>
    <w:rsid w:val="00A51837"/>
    <w:rsid w:val="00A57DD9"/>
    <w:rsid w:val="00A64AD8"/>
    <w:rsid w:val="00A64E61"/>
    <w:rsid w:val="00A702DC"/>
    <w:rsid w:val="00A7629B"/>
    <w:rsid w:val="00A82118"/>
    <w:rsid w:val="00A8698B"/>
    <w:rsid w:val="00A953BC"/>
    <w:rsid w:val="00AA54DF"/>
    <w:rsid w:val="00AA781A"/>
    <w:rsid w:val="00AD6337"/>
    <w:rsid w:val="00AE43F0"/>
    <w:rsid w:val="00B31474"/>
    <w:rsid w:val="00B31C7F"/>
    <w:rsid w:val="00B31F3F"/>
    <w:rsid w:val="00B324E0"/>
    <w:rsid w:val="00B529FB"/>
    <w:rsid w:val="00B535AB"/>
    <w:rsid w:val="00B53AEB"/>
    <w:rsid w:val="00B87401"/>
    <w:rsid w:val="00B90BC5"/>
    <w:rsid w:val="00B96B24"/>
    <w:rsid w:val="00BA24A5"/>
    <w:rsid w:val="00BC3265"/>
    <w:rsid w:val="00BC4EEA"/>
    <w:rsid w:val="00BF5491"/>
    <w:rsid w:val="00C11F5F"/>
    <w:rsid w:val="00C246B6"/>
    <w:rsid w:val="00C25565"/>
    <w:rsid w:val="00C33B80"/>
    <w:rsid w:val="00C3691C"/>
    <w:rsid w:val="00C40847"/>
    <w:rsid w:val="00C45B63"/>
    <w:rsid w:val="00C557B3"/>
    <w:rsid w:val="00C55D8F"/>
    <w:rsid w:val="00C77778"/>
    <w:rsid w:val="00CA6F0F"/>
    <w:rsid w:val="00CB75C1"/>
    <w:rsid w:val="00CD093A"/>
    <w:rsid w:val="00CE7102"/>
    <w:rsid w:val="00CF15C4"/>
    <w:rsid w:val="00CF7EA4"/>
    <w:rsid w:val="00D033F4"/>
    <w:rsid w:val="00D03D57"/>
    <w:rsid w:val="00D072BB"/>
    <w:rsid w:val="00D13709"/>
    <w:rsid w:val="00D20631"/>
    <w:rsid w:val="00D71359"/>
    <w:rsid w:val="00D80310"/>
    <w:rsid w:val="00D96C4D"/>
    <w:rsid w:val="00DA422B"/>
    <w:rsid w:val="00DC01FD"/>
    <w:rsid w:val="00DC30DA"/>
    <w:rsid w:val="00DC3E98"/>
    <w:rsid w:val="00DC6577"/>
    <w:rsid w:val="00DC7C47"/>
    <w:rsid w:val="00DF0BF7"/>
    <w:rsid w:val="00E14A7E"/>
    <w:rsid w:val="00E342C8"/>
    <w:rsid w:val="00E60D87"/>
    <w:rsid w:val="00E6328D"/>
    <w:rsid w:val="00E72C4C"/>
    <w:rsid w:val="00E82D1D"/>
    <w:rsid w:val="00E8311F"/>
    <w:rsid w:val="00E912C8"/>
    <w:rsid w:val="00EA7E36"/>
    <w:rsid w:val="00EC0ED1"/>
    <w:rsid w:val="00EC3EB2"/>
    <w:rsid w:val="00EC5142"/>
    <w:rsid w:val="00EC76DD"/>
    <w:rsid w:val="00ED14EB"/>
    <w:rsid w:val="00ED6661"/>
    <w:rsid w:val="00EE3058"/>
    <w:rsid w:val="00EF20B6"/>
    <w:rsid w:val="00F032BF"/>
    <w:rsid w:val="00F2424A"/>
    <w:rsid w:val="00F24FAC"/>
    <w:rsid w:val="00F33B92"/>
    <w:rsid w:val="00F433B8"/>
    <w:rsid w:val="00F43B95"/>
    <w:rsid w:val="00F43BCB"/>
    <w:rsid w:val="00F46AFD"/>
    <w:rsid w:val="00F54520"/>
    <w:rsid w:val="00F62ED1"/>
    <w:rsid w:val="00F71F61"/>
    <w:rsid w:val="00FA4A4F"/>
    <w:rsid w:val="00FB00F6"/>
    <w:rsid w:val="00FB722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6D72797D-C803-48FB-8D62-24F7526C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qFormat/>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 w:type="paragraph" w:styleId="ListParagraph">
    <w:name w:val="List Paragraph"/>
    <w:basedOn w:val="Normal"/>
    <w:uiPriority w:val="34"/>
    <w:qFormat/>
    <w:rsid w:val="00FB7229"/>
    <w:pPr>
      <w:ind w:left="720"/>
      <w:contextualSpacing/>
    </w:pPr>
  </w:style>
  <w:style w:type="paragraph" w:customStyle="1" w:styleId="Default">
    <w:name w:val="Default"/>
    <w:rsid w:val="004D1EE1"/>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563979625">
      <w:bodyDiv w:val="1"/>
      <w:marLeft w:val="0"/>
      <w:marRight w:val="0"/>
      <w:marTop w:val="0"/>
      <w:marBottom w:val="0"/>
      <w:divBdr>
        <w:top w:val="none" w:sz="0" w:space="0" w:color="auto"/>
        <w:left w:val="none" w:sz="0" w:space="0" w:color="auto"/>
        <w:bottom w:val="none" w:sz="0" w:space="0" w:color="auto"/>
        <w:right w:val="none" w:sz="0" w:space="0" w:color="auto"/>
      </w:divBdr>
    </w:div>
    <w:div w:id="1747456530">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BEBB-5CC6-46E8-A4FA-916E865E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2473</Words>
  <Characters>12931</Characters>
  <Application>Microsoft Office Word</Application>
  <DocSecurity>0</DocSecurity>
  <Lines>216</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8</cp:revision>
  <cp:lastPrinted>2018-09-11T14:32:00Z</cp:lastPrinted>
  <dcterms:created xsi:type="dcterms:W3CDTF">2018-09-11T14:21:00Z</dcterms:created>
  <dcterms:modified xsi:type="dcterms:W3CDTF">2018-09-12T08:16:00Z</dcterms:modified>
</cp:coreProperties>
</file>