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C9696D">
            <w:pPr>
              <w:jc w:val="right"/>
              <w:rPr>
                <w:lang w:val="en-US"/>
              </w:rPr>
            </w:pPr>
            <w:r w:rsidRPr="007E25DA">
              <w:rPr>
                <w:sz w:val="40"/>
              </w:rPr>
              <w:t>ST</w:t>
            </w:r>
            <w:r w:rsidR="00CB75C1">
              <w:t>/SG/AC.10/C.3/</w:t>
            </w:r>
            <w:r w:rsidR="00C9696D">
              <w:t>2018</w:t>
            </w:r>
            <w:r w:rsidR="00C05BD6">
              <w:t>/1</w:t>
            </w:r>
            <w:r w:rsidR="00546F80">
              <w:t>17</w:t>
            </w:r>
          </w:p>
        </w:tc>
      </w:tr>
      <w:tr w:rsidR="00B31474">
        <w:trPr>
          <w:trHeight w:hRule="exact" w:val="2835"/>
        </w:trPr>
        <w:tc>
          <w:tcPr>
            <w:tcW w:w="1276" w:type="dxa"/>
            <w:tcBorders>
              <w:top w:val="single" w:sz="4" w:space="0" w:color="auto"/>
              <w:bottom w:val="single" w:sz="12" w:space="0" w:color="auto"/>
            </w:tcBorders>
          </w:tcPr>
          <w:p w:rsidR="00B31474" w:rsidRDefault="002475A5">
            <w:pPr>
              <w:spacing w:before="120"/>
              <w:jc w:val="center"/>
            </w:pPr>
            <w:r>
              <w:rPr>
                <w:noProof/>
                <w:lang w:val="en-US"/>
              </w:rPr>
              <w:drawing>
                <wp:inline distT="0" distB="0" distL="0" distR="0">
                  <wp:extent cx="71120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B31474" w:rsidRDefault="00B31474">
            <w:pPr>
              <w:spacing w:before="240" w:line="240" w:lineRule="exact"/>
            </w:pPr>
            <w:proofErr w:type="spellStart"/>
            <w:r>
              <w:t>Distr</w:t>
            </w:r>
            <w:proofErr w:type="spellEnd"/>
            <w:r>
              <w:t>. générale</w:t>
            </w:r>
          </w:p>
          <w:p w:rsidR="00B31474" w:rsidRDefault="00DA25FF">
            <w:pPr>
              <w:spacing w:line="240" w:lineRule="exact"/>
            </w:pPr>
            <w:r>
              <w:t>5 septembre</w:t>
            </w:r>
            <w:r w:rsidR="00C05BD6">
              <w:t xml:space="preserve"> 2018</w:t>
            </w:r>
            <w:r w:rsidR="008A0233">
              <w:br/>
            </w:r>
          </w:p>
          <w:p w:rsidR="00B31474" w:rsidRDefault="00B31474">
            <w:pPr>
              <w:spacing w:line="240" w:lineRule="exact"/>
            </w:pPr>
            <w:r>
              <w:t>Original: français</w:t>
            </w:r>
            <w:r w:rsidR="00FE6A6C">
              <w:t xml:space="preserve"> </w:t>
            </w:r>
          </w:p>
        </w:tc>
      </w:tr>
    </w:tbl>
    <w:p w:rsidR="00F24FAC" w:rsidRDefault="00F24FAC" w:rsidP="00F24FAC">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F24FAC" w:rsidRDefault="00F24FAC" w:rsidP="00F24FAC">
      <w:pPr>
        <w:spacing w:before="120"/>
        <w:rPr>
          <w:b/>
        </w:rPr>
      </w:pPr>
      <w:r>
        <w:rPr>
          <w:b/>
        </w:rPr>
        <w:t>Sous-Comité d’experts du transport des marchandises dangereuses</w:t>
      </w:r>
    </w:p>
    <w:p w:rsidR="00C05BD6" w:rsidRPr="00C559D6" w:rsidRDefault="00C05BD6" w:rsidP="00C05BD6">
      <w:pPr>
        <w:spacing w:before="120"/>
        <w:rPr>
          <w:b/>
        </w:rPr>
      </w:pPr>
      <w:proofErr w:type="gramStart"/>
      <w:r>
        <w:rPr>
          <w:b/>
          <w:bCs/>
          <w:lang w:val="fr-FR"/>
        </w:rPr>
        <w:t>Cinquante quatrième</w:t>
      </w:r>
      <w:r w:rsidRPr="00C559D6">
        <w:rPr>
          <w:b/>
        </w:rPr>
        <w:t xml:space="preserve"> session</w:t>
      </w:r>
      <w:proofErr w:type="gramEnd"/>
    </w:p>
    <w:p w:rsidR="00C05BD6" w:rsidRDefault="00C05BD6" w:rsidP="00C05BD6">
      <w:r w:rsidRPr="00C559D6">
        <w:t>Genève, 2</w:t>
      </w:r>
      <w:r>
        <w:t>6 novembre-4</w:t>
      </w:r>
      <w:r w:rsidR="00DA25FF">
        <w:t xml:space="preserve"> </w:t>
      </w:r>
      <w:r>
        <w:t>décembre 2018</w:t>
      </w:r>
    </w:p>
    <w:p w:rsidR="00C05BD6" w:rsidRPr="00C559D6" w:rsidRDefault="00C05BD6" w:rsidP="00C05BD6">
      <w:r w:rsidRPr="00C559D6">
        <w:t xml:space="preserve">Point </w:t>
      </w:r>
      <w:r>
        <w:t>2 d)</w:t>
      </w:r>
      <w:r w:rsidRPr="00C559D6">
        <w:t xml:space="preserve"> de l</w:t>
      </w:r>
      <w:r>
        <w:t>’</w:t>
      </w:r>
      <w:r w:rsidRPr="00C559D6">
        <w:t>ordre du jour provisoire</w:t>
      </w:r>
    </w:p>
    <w:p w:rsidR="00C05BD6" w:rsidRPr="00C05BD6" w:rsidRDefault="00C05BD6" w:rsidP="00C05BD6">
      <w:pPr>
        <w:rPr>
          <w:b/>
          <w:bCs/>
          <w:sz w:val="28"/>
          <w:szCs w:val="28"/>
        </w:rPr>
      </w:pPr>
      <w:r w:rsidRPr="00C05BD6">
        <w:rPr>
          <w:b/>
          <w:bCs/>
          <w:lang w:val="fr-FR"/>
        </w:rPr>
        <w:t xml:space="preserve">Recommandations du Sous-Comité formulées à ses cinquante et unième, </w:t>
      </w:r>
      <w:r w:rsidRPr="00C05BD6">
        <w:rPr>
          <w:b/>
          <w:bCs/>
          <w:lang w:val="fr-FR"/>
        </w:rPr>
        <w:br/>
        <w:t>cinquante deuxième et cinquante troisième sessions et questions en suspens:</w:t>
      </w:r>
      <w:r w:rsidRPr="00C05BD6">
        <w:rPr>
          <w:b/>
          <w:bCs/>
          <w:lang w:val="fr-FR"/>
        </w:rPr>
        <w:br/>
        <w:t>systèmes de stockage de l’électricité</w:t>
      </w:r>
    </w:p>
    <w:p w:rsidR="004969DF" w:rsidRDefault="00B90BC5" w:rsidP="00C05BD6">
      <w:pPr>
        <w:pStyle w:val="HChG"/>
        <w:rPr>
          <w:lang w:val="fr-FR"/>
        </w:rPr>
      </w:pPr>
      <w:r>
        <w:rPr>
          <w:lang w:val="fr-FR"/>
        </w:rPr>
        <w:tab/>
      </w:r>
      <w:r>
        <w:rPr>
          <w:lang w:val="fr-FR"/>
        </w:rPr>
        <w:tab/>
      </w:r>
      <w:r w:rsidR="00C9696D">
        <w:rPr>
          <w:lang w:val="fr-FR"/>
        </w:rPr>
        <w:t>Exemption au 1.1.1.2 des s</w:t>
      </w:r>
      <w:r w:rsidR="00C9696D" w:rsidRPr="00D71359">
        <w:rPr>
          <w:lang w:val="fr-FR"/>
        </w:rPr>
        <w:t>ystèmes de stockage de l’électricité</w:t>
      </w:r>
    </w:p>
    <w:p w:rsidR="00E72C4C" w:rsidRDefault="00E72C4C" w:rsidP="00734DB1">
      <w:pPr>
        <w:pStyle w:val="H1G"/>
        <w:keepNext w:val="0"/>
        <w:keepLines w:val="0"/>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8A0233">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34DB1" w:rsidTr="00E6328D">
        <w:trPr>
          <w:jc w:val="center"/>
        </w:trPr>
        <w:tc>
          <w:tcPr>
            <w:tcW w:w="9637" w:type="dxa"/>
          </w:tcPr>
          <w:p w:rsidR="00734DB1" w:rsidRDefault="00734DB1" w:rsidP="00E6328D">
            <w:pPr>
              <w:spacing w:before="240" w:after="120"/>
              <w:ind w:left="255"/>
              <w:rPr>
                <w:rFonts w:eastAsia="Arial"/>
                <w:i/>
                <w:sz w:val="24"/>
                <w:lang w:val="fr-FR"/>
              </w:rPr>
            </w:pPr>
            <w:r>
              <w:rPr>
                <w:rFonts w:eastAsia="Arial"/>
                <w:i/>
                <w:sz w:val="24"/>
                <w:lang w:val="fr-FR"/>
              </w:rPr>
              <w:t xml:space="preserve">Résumé </w:t>
            </w:r>
          </w:p>
        </w:tc>
      </w:tr>
      <w:tr w:rsidR="00734DB1" w:rsidTr="00E6328D">
        <w:trPr>
          <w:jc w:val="center"/>
        </w:trPr>
        <w:tc>
          <w:tcPr>
            <w:tcW w:w="9637" w:type="dxa"/>
          </w:tcPr>
          <w:p w:rsidR="00734DB1" w:rsidRDefault="00734DB1" w:rsidP="00AE43F0">
            <w:pPr>
              <w:pStyle w:val="SingleTxtG"/>
              <w:ind w:left="2499" w:hanging="2248"/>
              <w:rPr>
                <w:rFonts w:eastAsia="Arial"/>
                <w:b/>
                <w:lang w:val="fr-FR"/>
              </w:rPr>
            </w:pPr>
            <w:r>
              <w:rPr>
                <w:b/>
                <w:lang w:val="fr-FR"/>
              </w:rPr>
              <w:t>Résumé analytique:</w:t>
            </w:r>
            <w:r>
              <w:rPr>
                <w:b/>
                <w:sz w:val="24"/>
                <w:szCs w:val="24"/>
                <w:lang w:val="fr-FR"/>
              </w:rPr>
              <w:tab/>
            </w:r>
            <w:r w:rsidR="00AE43F0">
              <w:rPr>
                <w:lang w:val="fr-FR"/>
              </w:rPr>
              <w:t xml:space="preserve">L’exemption du Règlement du 1.1.1.2 devrait être précisée et s’étendre aux équipements nécessaires durant le transport qui ne font pas partie du moyen de transport tels qu’ordinateurs portables, horloges, radios, systèmes de guidage (GPS) ou </w:t>
            </w:r>
            <w:r w:rsidR="000D5C3E" w:rsidRPr="000D5C3E">
              <w:rPr>
                <w:lang w:val="fr-FR"/>
              </w:rPr>
              <w:t>dispositifs de localisation des marchandises et enregistreurs de données</w:t>
            </w:r>
            <w:r w:rsidR="004969DF">
              <w:t>.</w:t>
            </w:r>
          </w:p>
        </w:tc>
      </w:tr>
      <w:tr w:rsidR="00734DB1" w:rsidTr="00E6328D">
        <w:trPr>
          <w:jc w:val="center"/>
        </w:trPr>
        <w:tc>
          <w:tcPr>
            <w:tcW w:w="9637" w:type="dxa"/>
          </w:tcPr>
          <w:p w:rsidR="00490C26" w:rsidRDefault="008A0233" w:rsidP="00490C26">
            <w:pPr>
              <w:pStyle w:val="SingleTxtG"/>
              <w:ind w:left="2499" w:hanging="2248"/>
              <w:rPr>
                <w:lang w:val="fr-FR"/>
              </w:rPr>
            </w:pPr>
            <w:r>
              <w:rPr>
                <w:b/>
                <w:lang w:val="fr-FR"/>
              </w:rPr>
              <w:t>Mesures à prendre</w:t>
            </w:r>
            <w:r w:rsidR="00490C26" w:rsidRPr="004C4820">
              <w:rPr>
                <w:b/>
                <w:lang w:val="fr-FR"/>
              </w:rPr>
              <w:t xml:space="preserve">: </w:t>
            </w:r>
            <w:r w:rsidR="00490C26" w:rsidRPr="004C4820">
              <w:rPr>
                <w:b/>
                <w:lang w:val="fr-FR"/>
              </w:rPr>
              <w:tab/>
            </w:r>
            <w:r w:rsidR="00AE43F0">
              <w:rPr>
                <w:lang w:val="fr-FR"/>
              </w:rPr>
              <w:t>Modifier le 1.1.1.2</w:t>
            </w:r>
          </w:p>
          <w:p w:rsidR="00734DB1" w:rsidRPr="00734DB1" w:rsidRDefault="008A0233" w:rsidP="000D5C3E">
            <w:pPr>
              <w:pStyle w:val="SingleTxtG"/>
              <w:ind w:left="2499" w:hanging="2248"/>
              <w:jc w:val="left"/>
              <w:rPr>
                <w:lang w:val="fr-FR"/>
              </w:rPr>
            </w:pPr>
            <w:r>
              <w:rPr>
                <w:b/>
                <w:lang w:val="fr-FR"/>
              </w:rPr>
              <w:t>Documents de référence</w:t>
            </w:r>
            <w:r w:rsidR="005343BA" w:rsidRPr="004C4820">
              <w:rPr>
                <w:b/>
                <w:lang w:val="fr-FR"/>
              </w:rPr>
              <w:t xml:space="preserve">: </w:t>
            </w:r>
            <w:r w:rsidR="005343BA" w:rsidRPr="004C4820">
              <w:rPr>
                <w:b/>
                <w:lang w:val="fr-FR"/>
              </w:rPr>
              <w:tab/>
            </w:r>
            <w:r w:rsidR="000D5C3E" w:rsidRPr="000D5C3E">
              <w:rPr>
                <w:lang w:val="fr-FR"/>
              </w:rPr>
              <w:t>ST/S</w:t>
            </w:r>
            <w:r w:rsidR="000D5C3E">
              <w:rPr>
                <w:lang w:val="fr-FR"/>
              </w:rPr>
              <w:t>G/AC.10/C.3/2016/56</w:t>
            </w:r>
            <w:r w:rsidR="000D5C3E" w:rsidRPr="000D5C3E">
              <w:rPr>
                <w:lang w:val="fr-FR"/>
              </w:rPr>
              <w:t xml:space="preserve">, </w:t>
            </w:r>
            <w:r w:rsidR="000D5C3E" w:rsidRPr="000D5C3E">
              <w:rPr>
                <w:bCs/>
                <w:lang w:val="fr-FR"/>
              </w:rPr>
              <w:t xml:space="preserve">ST/SG/AC.10/C.3/2017/13, </w:t>
            </w:r>
            <w:r w:rsidR="00C05BD6">
              <w:rPr>
                <w:bCs/>
                <w:lang w:val="fr-FR"/>
              </w:rPr>
              <w:br/>
              <w:t xml:space="preserve">document informel </w:t>
            </w:r>
            <w:r w:rsidR="000D5C3E" w:rsidRPr="000D5C3E">
              <w:t>INF.27</w:t>
            </w:r>
            <w:r w:rsidR="00DA25FF">
              <w:t xml:space="preserve"> (51è</w:t>
            </w:r>
            <w:r w:rsidR="00C05BD6">
              <w:t>me session)</w:t>
            </w:r>
            <w:r w:rsidR="000D5C3E" w:rsidRPr="000D5C3E">
              <w:t xml:space="preserve">, </w:t>
            </w:r>
            <w:r w:rsidR="000D5C3E" w:rsidRPr="000D5C3E">
              <w:rPr>
                <w:lang w:val="fr-FR"/>
              </w:rPr>
              <w:t xml:space="preserve">ST/SG/AC.10/C.3/2017/22, </w:t>
            </w:r>
            <w:r w:rsidR="00C05BD6">
              <w:rPr>
                <w:lang w:val="fr-FR"/>
              </w:rPr>
              <w:t xml:space="preserve">document informel </w:t>
            </w:r>
            <w:r w:rsidR="000D5C3E" w:rsidRPr="000D5C3E">
              <w:rPr>
                <w:lang w:val="fr-FR"/>
              </w:rPr>
              <w:t>INF.30</w:t>
            </w:r>
            <w:r w:rsidR="00DA25FF">
              <w:rPr>
                <w:lang w:val="fr-FR"/>
              </w:rPr>
              <w:t xml:space="preserve"> (53è</w:t>
            </w:r>
            <w:r w:rsidR="00C05BD6">
              <w:rPr>
                <w:lang w:val="fr-FR"/>
              </w:rPr>
              <w:t>me session)</w:t>
            </w:r>
          </w:p>
        </w:tc>
      </w:tr>
    </w:tbl>
    <w:p w:rsidR="00C05BD6" w:rsidRDefault="00C05BD6" w:rsidP="00734DB1">
      <w:pPr>
        <w:pStyle w:val="HChG"/>
        <w:keepNext w:val="0"/>
        <w:keepLines w:val="0"/>
        <w:tabs>
          <w:tab w:val="left" w:pos="1500"/>
        </w:tabs>
        <w:ind w:left="1100" w:firstLine="0"/>
        <w:rPr>
          <w:lang w:val="fr-FR"/>
        </w:rPr>
      </w:pPr>
    </w:p>
    <w:p w:rsidR="00C05BD6" w:rsidRDefault="00C05BD6">
      <w:pPr>
        <w:suppressAutoHyphens w:val="0"/>
        <w:spacing w:line="240" w:lineRule="auto"/>
        <w:rPr>
          <w:b/>
          <w:sz w:val="28"/>
          <w:lang w:val="fr-FR" w:eastAsia="x-none"/>
        </w:rPr>
      </w:pPr>
      <w:r>
        <w:rPr>
          <w:lang w:val="fr-FR"/>
        </w:rPr>
        <w:br w:type="page"/>
      </w:r>
    </w:p>
    <w:p w:rsidR="00B31474" w:rsidRDefault="00B31474" w:rsidP="00734DB1">
      <w:pPr>
        <w:pStyle w:val="HChG"/>
        <w:keepNext w:val="0"/>
        <w:keepLines w:val="0"/>
        <w:tabs>
          <w:tab w:val="left" w:pos="1500"/>
        </w:tabs>
        <w:ind w:left="1100" w:firstLine="0"/>
        <w:rPr>
          <w:lang w:val="fr-FR"/>
        </w:rPr>
      </w:pPr>
      <w:r>
        <w:rPr>
          <w:lang w:val="fr-FR"/>
        </w:rPr>
        <w:lastRenderedPageBreak/>
        <w:t>Introduction</w:t>
      </w:r>
    </w:p>
    <w:p w:rsidR="008B49DB" w:rsidRDefault="00AA54DF" w:rsidP="00A32EAF">
      <w:pPr>
        <w:pStyle w:val="SingleTxtG"/>
        <w:rPr>
          <w:lang w:val="fr-FR"/>
        </w:rPr>
      </w:pPr>
      <w:r>
        <w:rPr>
          <w:lang w:val="fr-FR"/>
        </w:rPr>
        <w:t>1.</w:t>
      </w:r>
      <w:r>
        <w:rPr>
          <w:lang w:val="fr-FR"/>
        </w:rPr>
        <w:tab/>
      </w:r>
      <w:r w:rsidR="008B49DB">
        <w:rPr>
          <w:lang w:val="fr-FR"/>
        </w:rPr>
        <w:t>Au cours de la cinquant</w:t>
      </w:r>
      <w:r w:rsidR="00C9696D">
        <w:rPr>
          <w:lang w:val="fr-FR"/>
        </w:rPr>
        <w:t>e et unième session le Sous-com</w:t>
      </w:r>
      <w:r w:rsidR="008B49DB">
        <w:rPr>
          <w:lang w:val="fr-FR"/>
        </w:rPr>
        <w:t>ité a adopté le texte suivant</w:t>
      </w:r>
      <w:r w:rsidR="000260C2">
        <w:rPr>
          <w:lang w:val="fr-FR"/>
        </w:rPr>
        <w:t xml:space="preserve"> entre crochets en relation avec les dispositi</w:t>
      </w:r>
      <w:r w:rsidR="008B49DB">
        <w:rPr>
          <w:lang w:val="fr-FR"/>
        </w:rPr>
        <w:t>fs de</w:t>
      </w:r>
      <w:r w:rsidR="00181D2E">
        <w:rPr>
          <w:lang w:val="fr-FR"/>
        </w:rPr>
        <w:t xml:space="preserve"> </w:t>
      </w:r>
      <w:r w:rsidR="008B49DB">
        <w:rPr>
          <w:lang w:val="fr-FR"/>
        </w:rPr>
        <w:t xml:space="preserve">localisation des marchandises dangereuses et les </w:t>
      </w:r>
      <w:proofErr w:type="spellStart"/>
      <w:r w:rsidR="008B49DB">
        <w:rPr>
          <w:lang w:val="fr-FR"/>
        </w:rPr>
        <w:t>enregisteurs</w:t>
      </w:r>
      <w:proofErr w:type="spellEnd"/>
      <w:r w:rsidR="008B49DB">
        <w:rPr>
          <w:lang w:val="fr-FR"/>
        </w:rPr>
        <w:t xml:space="preserve"> de données alimentés par batterie au lithium. </w:t>
      </w:r>
    </w:p>
    <w:p w:rsidR="008B49DB" w:rsidRPr="006B0E45" w:rsidRDefault="000260C2" w:rsidP="0056250A">
      <w:pPr>
        <w:pStyle w:val="SingleTxtG"/>
        <w:ind w:left="1701"/>
        <w:rPr>
          <w:lang w:val="fr-FR"/>
        </w:rPr>
      </w:pPr>
      <w:r>
        <w:rPr>
          <w:lang w:val="fr-FR"/>
        </w:rPr>
        <w:t>« </w:t>
      </w:r>
      <w:r w:rsidR="008B49DB" w:rsidRPr="006B0E45">
        <w:rPr>
          <w:lang w:val="fr-FR"/>
        </w:rPr>
        <w:t>[1.1.1.2</w:t>
      </w:r>
      <w:r w:rsidR="008B49DB" w:rsidRPr="006B0E45">
        <w:rPr>
          <w:lang w:val="fr-FR"/>
        </w:rPr>
        <w:tab/>
        <w:t>Modifier le paragraphe c) pour lire comme suit :</w:t>
      </w:r>
    </w:p>
    <w:p w:rsidR="008B49DB" w:rsidRPr="006B0E45" w:rsidRDefault="008B49DB" w:rsidP="0056250A">
      <w:pPr>
        <w:pStyle w:val="SingleTxtG"/>
        <w:ind w:left="1701"/>
        <w:rPr>
          <w:lang w:val="fr-FR"/>
        </w:rPr>
      </w:pPr>
      <w:r w:rsidRPr="006B0E45">
        <w:rPr>
          <w:lang w:val="fr-FR"/>
        </w:rPr>
        <w:t>« c)</w:t>
      </w:r>
      <w:r w:rsidRPr="006B0E45">
        <w:rPr>
          <w:lang w:val="fr-FR"/>
        </w:rPr>
        <w:tab/>
      </w:r>
      <w:r w:rsidR="0056250A">
        <w:rPr>
          <w:lang w:val="fr-FR"/>
        </w:rPr>
        <w:tab/>
      </w:r>
      <w:r w:rsidRPr="006B0E45">
        <w:rPr>
          <w:lang w:val="fr-FR"/>
        </w:rPr>
        <w:t>des dispositifs de localisation des marchandises et enregistreurs de données, alimentés par pile ou batterie au lithium, fixés aux colis, suremballages ou engins de transport si ces dispositifs remplissent les conditions suivantes :</w:t>
      </w:r>
    </w:p>
    <w:p w:rsidR="008B49DB" w:rsidRPr="006B0E45" w:rsidRDefault="008B49DB" w:rsidP="0056250A">
      <w:pPr>
        <w:pStyle w:val="SingleTxtG"/>
        <w:ind w:left="3402" w:hanging="567"/>
        <w:rPr>
          <w:lang w:val="fr-FR"/>
        </w:rPr>
      </w:pPr>
      <w:r w:rsidRPr="006B0E45">
        <w:rPr>
          <w:lang w:val="fr-FR"/>
        </w:rPr>
        <w:t>i)</w:t>
      </w:r>
      <w:r w:rsidRPr="006B0E45">
        <w:rPr>
          <w:lang w:val="fr-FR"/>
        </w:rPr>
        <w:tab/>
        <w:t>chaque pile ou batterie doit satisfaire aux dispositions applicables du 2.9.4 ;</w:t>
      </w:r>
    </w:p>
    <w:p w:rsidR="008B49DB" w:rsidRPr="006B0E45" w:rsidRDefault="008B49DB" w:rsidP="0056250A">
      <w:pPr>
        <w:pStyle w:val="SingleTxtG"/>
        <w:ind w:left="3402" w:hanging="567"/>
        <w:rPr>
          <w:lang w:val="fr-FR"/>
        </w:rPr>
      </w:pPr>
      <w:r w:rsidRPr="006B0E45">
        <w:rPr>
          <w:lang w:val="fr-FR"/>
        </w:rPr>
        <w:t>ii)</w:t>
      </w:r>
      <w:r w:rsidRPr="006B0E45">
        <w:rPr>
          <w:lang w:val="fr-FR"/>
        </w:rPr>
        <w:tab/>
        <w:t>les batteries et les piles doivent être protégées par une enveloppe extérieure présentant une résistance suffisante et d’une conception adaptée ou par le dispositif qui les contient, afin d’empêcher tout endommagement dans des conditions normales de transport.]</w:t>
      </w:r>
    </w:p>
    <w:p w:rsidR="008B49DB" w:rsidRPr="006B0E45" w:rsidRDefault="008B49DB" w:rsidP="008B49DB">
      <w:pPr>
        <w:pStyle w:val="H23G"/>
        <w:rPr>
          <w:b w:val="0"/>
          <w:bCs/>
          <w:i/>
          <w:lang w:val="fr-FR"/>
        </w:rPr>
      </w:pPr>
      <w:r w:rsidRPr="006B0E45">
        <w:rPr>
          <w:i/>
          <w:lang w:val="fr-FR"/>
        </w:rPr>
        <w:tab/>
      </w:r>
      <w:r w:rsidRPr="006B0E45">
        <w:rPr>
          <w:i/>
          <w:lang w:val="fr-FR"/>
        </w:rPr>
        <w:tab/>
      </w:r>
      <w:r w:rsidRPr="006B0E45">
        <w:rPr>
          <w:b w:val="0"/>
          <w:bCs/>
          <w:i/>
          <w:lang w:val="fr-FR"/>
        </w:rPr>
        <w:t>(Document de référence : ST/SG/AC.10/C.3/</w:t>
      </w:r>
      <w:r w:rsidR="00DA25FF">
        <w:rPr>
          <w:b w:val="0"/>
          <w:bCs/>
          <w:i/>
          <w:lang w:val="fr-FR"/>
        </w:rPr>
        <w:t>102/Add.1, annexe II</w:t>
      </w:r>
      <w:r w:rsidRPr="006B0E45">
        <w:rPr>
          <w:b w:val="0"/>
          <w:bCs/>
          <w:i/>
          <w:lang w:val="fr-FR"/>
        </w:rPr>
        <w:t>)</w:t>
      </w:r>
      <w:r w:rsidR="000260C2">
        <w:rPr>
          <w:b w:val="0"/>
          <w:bCs/>
          <w:i/>
          <w:lang w:val="fr-FR"/>
        </w:rPr>
        <w:t> »</w:t>
      </w:r>
    </w:p>
    <w:p w:rsidR="008B49DB" w:rsidRDefault="0056250A" w:rsidP="00A32EAF">
      <w:pPr>
        <w:pStyle w:val="SingleTxtG"/>
        <w:rPr>
          <w:lang w:val="fr-FR"/>
        </w:rPr>
      </w:pPr>
      <w:r>
        <w:rPr>
          <w:lang w:val="fr-FR"/>
        </w:rPr>
        <w:t>2.</w:t>
      </w:r>
      <w:r>
        <w:rPr>
          <w:lang w:val="fr-FR"/>
        </w:rPr>
        <w:tab/>
      </w:r>
      <w:r w:rsidR="008B49DB" w:rsidRPr="00E45670">
        <w:rPr>
          <w:lang w:val="fr-FR"/>
        </w:rPr>
        <w:t xml:space="preserve">Le Sous-Comité a </w:t>
      </w:r>
      <w:r w:rsidR="008B49DB">
        <w:rPr>
          <w:lang w:val="fr-FR"/>
        </w:rPr>
        <w:t xml:space="preserve">également </w:t>
      </w:r>
      <w:r w:rsidR="008B49DB" w:rsidRPr="00E45670">
        <w:rPr>
          <w:lang w:val="fr-FR"/>
        </w:rPr>
        <w:t xml:space="preserve">convenu que les questions soulevées par les Pays-Bas </w:t>
      </w:r>
      <w:r w:rsidR="00D80C94">
        <w:rPr>
          <w:lang w:val="fr-FR"/>
        </w:rPr>
        <w:t xml:space="preserve">dans le document </w:t>
      </w:r>
      <w:r>
        <w:rPr>
          <w:lang w:val="fr-FR"/>
        </w:rPr>
        <w:t xml:space="preserve">informel </w:t>
      </w:r>
      <w:r w:rsidR="00D80C94" w:rsidRPr="001157EC">
        <w:t>INF.27</w:t>
      </w:r>
      <w:r w:rsidR="00D80C94" w:rsidRPr="00D80C94">
        <w:t xml:space="preserve"> </w:t>
      </w:r>
      <w:r w:rsidR="00DA25FF">
        <w:t>(51è</w:t>
      </w:r>
      <w:r>
        <w:t xml:space="preserve">me session) </w:t>
      </w:r>
      <w:r w:rsidR="008B49DB" w:rsidRPr="00E45670">
        <w:rPr>
          <w:lang w:val="fr-FR"/>
        </w:rPr>
        <w:t>au sujet du champ d</w:t>
      </w:r>
      <w:r w:rsidR="008B49DB">
        <w:rPr>
          <w:lang w:val="fr-FR"/>
        </w:rPr>
        <w:t>’</w:t>
      </w:r>
      <w:r w:rsidR="008B49DB" w:rsidRPr="00E45670">
        <w:rPr>
          <w:lang w:val="fr-FR"/>
        </w:rPr>
        <w:t>application du 1.1.1.2 pouvaient être examinées entre deux sessions, de façon à élargir la démarche, et que la proposition faite par l</w:t>
      </w:r>
      <w:r w:rsidR="008B49DB">
        <w:rPr>
          <w:lang w:val="fr-FR"/>
        </w:rPr>
        <w:t>’</w:t>
      </w:r>
      <w:r w:rsidR="008B49DB" w:rsidRPr="00E45670">
        <w:rPr>
          <w:lang w:val="fr-FR"/>
        </w:rPr>
        <w:t>expert de la Suisse dans le document ST/SG/AC.10/C.3/2017/22 pouvait être abordée dans ce même contexte.</w:t>
      </w:r>
    </w:p>
    <w:p w:rsidR="00181D2E" w:rsidRDefault="0056250A" w:rsidP="00A32EAF">
      <w:pPr>
        <w:pStyle w:val="SingleTxtG"/>
        <w:rPr>
          <w:lang w:val="fr-FR"/>
        </w:rPr>
      </w:pPr>
      <w:r>
        <w:rPr>
          <w:lang w:val="fr-FR"/>
        </w:rPr>
        <w:t>3</w:t>
      </w:r>
      <w:r w:rsidR="006C05D8">
        <w:rPr>
          <w:lang w:val="fr-FR"/>
        </w:rPr>
        <w:t>.</w:t>
      </w:r>
      <w:r w:rsidR="006C05D8">
        <w:rPr>
          <w:lang w:val="fr-FR"/>
        </w:rPr>
        <w:tab/>
        <w:t>Les Pays-</w:t>
      </w:r>
      <w:r w:rsidR="00921D15">
        <w:rPr>
          <w:lang w:val="fr-FR"/>
        </w:rPr>
        <w:t>B</w:t>
      </w:r>
      <w:r w:rsidR="006C05D8">
        <w:rPr>
          <w:lang w:val="fr-FR"/>
        </w:rPr>
        <w:t>as ont tenté</w:t>
      </w:r>
      <w:r w:rsidR="00921D15">
        <w:rPr>
          <w:lang w:val="fr-FR"/>
        </w:rPr>
        <w:t xml:space="preserve"> </w:t>
      </w:r>
      <w:r w:rsidR="006C05D8">
        <w:rPr>
          <w:lang w:val="fr-FR"/>
        </w:rPr>
        <w:t xml:space="preserve">de trouver un consensus sur ces questions dans un groupe de travail </w:t>
      </w:r>
      <w:r w:rsidR="00D80C94">
        <w:rPr>
          <w:lang w:val="fr-FR"/>
        </w:rPr>
        <w:t xml:space="preserve">par courriels </w:t>
      </w:r>
      <w:r w:rsidR="006C05D8">
        <w:rPr>
          <w:lang w:val="fr-FR"/>
        </w:rPr>
        <w:t>intersession</w:t>
      </w:r>
      <w:r w:rsidR="00D80C94" w:rsidRPr="00D80C94">
        <w:rPr>
          <w:lang w:val="fr-FR"/>
        </w:rPr>
        <w:t xml:space="preserve"> </w:t>
      </w:r>
      <w:r w:rsidR="00D80C94">
        <w:rPr>
          <w:lang w:val="fr-FR"/>
        </w:rPr>
        <w:t>sans y arriver encore</w:t>
      </w:r>
      <w:r w:rsidR="00721054">
        <w:rPr>
          <w:lang w:val="fr-FR"/>
        </w:rPr>
        <w:t xml:space="preserve">. </w:t>
      </w:r>
      <w:r w:rsidR="00181D2E">
        <w:rPr>
          <w:lang w:val="fr-FR"/>
        </w:rPr>
        <w:t xml:space="preserve">Lors de la cinquante-troisième session </w:t>
      </w:r>
      <w:r w:rsidR="00DA25FF">
        <w:rPr>
          <w:lang w:val="fr-FR"/>
        </w:rPr>
        <w:t>(</w:t>
      </w:r>
      <w:r w:rsidR="00181D2E">
        <w:rPr>
          <w:lang w:val="fr-FR"/>
        </w:rPr>
        <w:t>juillet 2018</w:t>
      </w:r>
      <w:r w:rsidR="00DA25FF">
        <w:rPr>
          <w:lang w:val="fr-FR"/>
        </w:rPr>
        <w:t>)</w:t>
      </w:r>
      <w:r w:rsidR="00181D2E">
        <w:rPr>
          <w:lang w:val="fr-FR"/>
        </w:rPr>
        <w:t xml:space="preserve"> l</w:t>
      </w:r>
      <w:r w:rsidR="00721054">
        <w:rPr>
          <w:lang w:val="fr-FR"/>
        </w:rPr>
        <w:t>es expert</w:t>
      </w:r>
      <w:r w:rsidR="00921D15">
        <w:rPr>
          <w:lang w:val="fr-FR"/>
        </w:rPr>
        <w:t>s ont exprimé le souhait de disposer de prescriptions applicables sur une bas</w:t>
      </w:r>
      <w:r w:rsidR="00721054">
        <w:rPr>
          <w:lang w:val="fr-FR"/>
        </w:rPr>
        <w:t>e</w:t>
      </w:r>
      <w:r w:rsidR="00921D15">
        <w:rPr>
          <w:lang w:val="fr-FR"/>
        </w:rPr>
        <w:t xml:space="preserve"> plus générale et ont expri</w:t>
      </w:r>
      <w:r w:rsidR="00721054">
        <w:rPr>
          <w:lang w:val="fr-FR"/>
        </w:rPr>
        <w:t>mé</w:t>
      </w:r>
      <w:r w:rsidR="00921D15">
        <w:rPr>
          <w:lang w:val="fr-FR"/>
        </w:rPr>
        <w:t xml:space="preserve"> le</w:t>
      </w:r>
      <w:r w:rsidR="00181D2E">
        <w:rPr>
          <w:lang w:val="fr-FR"/>
        </w:rPr>
        <w:t>ur</w:t>
      </w:r>
      <w:r w:rsidR="00921D15">
        <w:rPr>
          <w:lang w:val="fr-FR"/>
        </w:rPr>
        <w:t xml:space="preserve"> volonté de confirmer </w:t>
      </w:r>
      <w:r w:rsidR="00181D2E">
        <w:rPr>
          <w:lang w:val="fr-FR"/>
        </w:rPr>
        <w:t xml:space="preserve">entre temps </w:t>
      </w:r>
      <w:r w:rsidR="00921D15">
        <w:rPr>
          <w:lang w:val="fr-FR"/>
        </w:rPr>
        <w:t xml:space="preserve">les textes adoptés </w:t>
      </w:r>
      <w:r w:rsidR="00C9696D">
        <w:rPr>
          <w:lang w:val="fr-FR"/>
        </w:rPr>
        <w:t xml:space="preserve">au 1.1.1.2 c) </w:t>
      </w:r>
      <w:r w:rsidR="00921D15">
        <w:rPr>
          <w:lang w:val="fr-FR"/>
        </w:rPr>
        <w:t>lors de la cinquante et unième session.</w:t>
      </w:r>
      <w:r w:rsidR="006C05D8">
        <w:rPr>
          <w:lang w:val="fr-FR"/>
        </w:rPr>
        <w:t xml:space="preserve"> </w:t>
      </w:r>
    </w:p>
    <w:p w:rsidR="00F032BF" w:rsidRDefault="0056250A" w:rsidP="00A32EAF">
      <w:pPr>
        <w:pStyle w:val="SingleTxtG"/>
        <w:rPr>
          <w:lang w:val="fr-FR"/>
        </w:rPr>
      </w:pPr>
      <w:r>
        <w:rPr>
          <w:lang w:val="fr-FR"/>
        </w:rPr>
        <w:t>4</w:t>
      </w:r>
      <w:r w:rsidR="00181D2E">
        <w:rPr>
          <w:lang w:val="fr-FR"/>
        </w:rPr>
        <w:t>.</w:t>
      </w:r>
      <w:r w:rsidR="00181D2E">
        <w:rPr>
          <w:lang w:val="fr-FR"/>
        </w:rPr>
        <w:tab/>
        <w:t xml:space="preserve">Etant donné que pour l’instant aucun texte provenant des efforts des Pays-Bas n’a pu être adopté et que pour ce motif l’approche plus générale qui était contenue dans notre document d’origine </w:t>
      </w:r>
      <w:r w:rsidR="00D80C94">
        <w:rPr>
          <w:lang w:val="fr-FR"/>
        </w:rPr>
        <w:t xml:space="preserve">ST/SG/AC.10/C.3/2017/22 </w:t>
      </w:r>
      <w:r w:rsidR="00181D2E">
        <w:rPr>
          <w:lang w:val="fr-FR"/>
        </w:rPr>
        <w:t xml:space="preserve">n’a pas encore été discutée dans les propositions étudiées par le groupe intersession et vu qu’une approche plus </w:t>
      </w:r>
      <w:r w:rsidR="00DA25FF">
        <w:rPr>
          <w:lang w:val="fr-FR"/>
        </w:rPr>
        <w:t>générale est souhaitée par les e</w:t>
      </w:r>
      <w:r w:rsidR="00181D2E">
        <w:rPr>
          <w:lang w:val="fr-FR"/>
        </w:rPr>
        <w:t>xperts</w:t>
      </w:r>
      <w:r w:rsidR="00D80C94">
        <w:rPr>
          <w:lang w:val="fr-FR"/>
        </w:rPr>
        <w:t>,</w:t>
      </w:r>
      <w:r w:rsidR="00181D2E">
        <w:rPr>
          <w:lang w:val="fr-FR"/>
        </w:rPr>
        <w:t xml:space="preserve"> il semble que le moment est venu de prendre en considération la proposition contenue dans le document </w:t>
      </w:r>
      <w:r w:rsidR="00F032BF">
        <w:rPr>
          <w:lang w:val="fr-FR"/>
        </w:rPr>
        <w:t>ST/SG/AC.10/C.3/2017/22 que nous reproduisons ci-après.</w:t>
      </w:r>
      <w:r w:rsidR="000260C2">
        <w:rPr>
          <w:lang w:val="fr-FR"/>
        </w:rPr>
        <w:t xml:space="preserve"> Cette proposition </w:t>
      </w:r>
      <w:r w:rsidR="00205DCB">
        <w:rPr>
          <w:lang w:val="fr-FR"/>
        </w:rPr>
        <w:t xml:space="preserve">n’a pas pour but de résoudre toutes les questions soulevées par le Groupe de travail intersession présentées par les Pays-Bas dans le document </w:t>
      </w:r>
      <w:r>
        <w:rPr>
          <w:lang w:val="fr-FR"/>
        </w:rPr>
        <w:t xml:space="preserve">informel </w:t>
      </w:r>
      <w:r w:rsidR="00205DCB">
        <w:rPr>
          <w:lang w:val="fr-FR"/>
        </w:rPr>
        <w:t xml:space="preserve">INF.30 </w:t>
      </w:r>
      <w:r>
        <w:rPr>
          <w:lang w:val="fr-FR"/>
        </w:rPr>
        <w:t xml:space="preserve">(53eme session) </w:t>
      </w:r>
      <w:r w:rsidR="00205DCB">
        <w:rPr>
          <w:lang w:val="fr-FR"/>
        </w:rPr>
        <w:t>de la session de juin</w:t>
      </w:r>
      <w:r w:rsidR="00D80C94">
        <w:rPr>
          <w:lang w:val="fr-FR"/>
        </w:rPr>
        <w:t>-</w:t>
      </w:r>
      <w:r w:rsidR="00205DCB">
        <w:rPr>
          <w:lang w:val="fr-FR"/>
        </w:rPr>
        <w:t xml:space="preserve">juillet 2018. Elle s’inscrit néanmoins parfaitement dans le </w:t>
      </w:r>
      <w:r w:rsidR="00A40394">
        <w:rPr>
          <w:lang w:val="fr-FR"/>
        </w:rPr>
        <w:t xml:space="preserve">résumé présenté </w:t>
      </w:r>
      <w:r w:rsidR="00205DCB">
        <w:rPr>
          <w:lang w:val="fr-FR"/>
        </w:rPr>
        <w:t xml:space="preserve">dans </w:t>
      </w:r>
      <w:r w:rsidR="00051069">
        <w:rPr>
          <w:lang w:val="fr-FR"/>
        </w:rPr>
        <w:t xml:space="preserve">ce document </w:t>
      </w:r>
      <w:r w:rsidR="00DA25FF">
        <w:rPr>
          <w:lang w:val="fr-FR"/>
        </w:rPr>
        <w:t>informel</w:t>
      </w:r>
      <w:r w:rsidR="00051069">
        <w:rPr>
          <w:lang w:val="fr-FR"/>
        </w:rPr>
        <w:t xml:space="preserve"> </w:t>
      </w:r>
      <w:r w:rsidR="000260C2">
        <w:rPr>
          <w:lang w:val="fr-FR"/>
        </w:rPr>
        <w:t xml:space="preserve">et </w:t>
      </w:r>
      <w:r w:rsidR="00A40394">
        <w:rPr>
          <w:lang w:val="fr-FR"/>
        </w:rPr>
        <w:t>c</w:t>
      </w:r>
      <w:r w:rsidR="00205DCB">
        <w:rPr>
          <w:lang w:val="fr-FR"/>
        </w:rPr>
        <w:t>oncré</w:t>
      </w:r>
      <w:r w:rsidR="00A40394">
        <w:rPr>
          <w:lang w:val="fr-FR"/>
        </w:rPr>
        <w:t xml:space="preserve">tise </w:t>
      </w:r>
      <w:r w:rsidR="000260C2">
        <w:rPr>
          <w:lang w:val="fr-FR"/>
        </w:rPr>
        <w:t xml:space="preserve">ce qui </w:t>
      </w:r>
      <w:r w:rsidR="00051069">
        <w:rPr>
          <w:lang w:val="fr-FR"/>
        </w:rPr>
        <w:t xml:space="preserve">y </w:t>
      </w:r>
      <w:r w:rsidR="000260C2">
        <w:rPr>
          <w:lang w:val="fr-FR"/>
        </w:rPr>
        <w:t xml:space="preserve">est décrit dans les cases </w:t>
      </w:r>
      <w:r w:rsidR="00A40394">
        <w:rPr>
          <w:lang w:val="fr-FR"/>
        </w:rPr>
        <w:t>6 et 9 du Schéma 1 de l’annexe I.</w:t>
      </w:r>
      <w:r w:rsidR="00205DCB">
        <w:rPr>
          <w:lang w:val="fr-FR"/>
        </w:rPr>
        <w:t xml:space="preserve"> </w:t>
      </w:r>
    </w:p>
    <w:p w:rsidR="00186A81" w:rsidRDefault="0056250A" w:rsidP="00F032BF">
      <w:pPr>
        <w:pStyle w:val="SingleTxtG"/>
        <w:rPr>
          <w:lang w:val="fr-FR"/>
        </w:rPr>
      </w:pPr>
      <w:r>
        <w:rPr>
          <w:lang w:val="fr-FR"/>
        </w:rPr>
        <w:t>5.</w:t>
      </w:r>
      <w:r w:rsidR="00F032BF">
        <w:rPr>
          <w:lang w:val="fr-FR"/>
        </w:rPr>
        <w:tab/>
        <w:t xml:space="preserve">Selon </w:t>
      </w:r>
      <w:r w:rsidR="005257E8">
        <w:rPr>
          <w:lang w:val="fr-FR"/>
        </w:rPr>
        <w:t>le Nota 3 du 1.1.1.2 l</w:t>
      </w:r>
      <w:r w:rsidR="00186A81">
        <w:rPr>
          <w:lang w:val="fr-FR"/>
        </w:rPr>
        <w:t xml:space="preserve">’exemption du 1.1.1.2 a) ne s’applique qu’au </w:t>
      </w:r>
      <w:r w:rsidR="00F032BF">
        <w:rPr>
          <w:lang w:val="fr-FR"/>
        </w:rPr>
        <w:t>« </w:t>
      </w:r>
      <w:r w:rsidR="00186A81">
        <w:rPr>
          <w:lang w:val="fr-FR"/>
        </w:rPr>
        <w:t>moyen de transport</w:t>
      </w:r>
      <w:r w:rsidR="00F032BF">
        <w:rPr>
          <w:lang w:val="fr-FR"/>
        </w:rPr>
        <w:t> » (français) / « </w:t>
      </w:r>
      <w:proofErr w:type="spellStart"/>
      <w:r w:rsidR="00F032BF">
        <w:rPr>
          <w:lang w:val="fr-FR"/>
        </w:rPr>
        <w:t>means</w:t>
      </w:r>
      <w:proofErr w:type="spellEnd"/>
      <w:r w:rsidR="00F032BF">
        <w:rPr>
          <w:lang w:val="fr-FR"/>
        </w:rPr>
        <w:t xml:space="preserve"> of transport »</w:t>
      </w:r>
      <w:r w:rsidR="00186A81">
        <w:rPr>
          <w:lang w:val="fr-FR"/>
        </w:rPr>
        <w:t xml:space="preserve"> </w:t>
      </w:r>
      <w:r w:rsidR="00F032BF">
        <w:rPr>
          <w:lang w:val="fr-FR"/>
        </w:rPr>
        <w:t xml:space="preserve">(anglais) </w:t>
      </w:r>
      <w:r w:rsidR="00186A81">
        <w:rPr>
          <w:lang w:val="fr-FR"/>
        </w:rPr>
        <w:t>effectuant l’opération de transport</w:t>
      </w:r>
      <w:r w:rsidR="005257E8">
        <w:rPr>
          <w:lang w:val="fr-FR"/>
        </w:rPr>
        <w:t>.</w:t>
      </w:r>
      <w:r w:rsidR="00A32EAF">
        <w:rPr>
          <w:lang w:val="fr-FR"/>
        </w:rPr>
        <w:t xml:space="preserve"> Le texte </w:t>
      </w:r>
      <w:r w:rsidR="00F032BF">
        <w:rPr>
          <w:lang w:val="fr-FR"/>
        </w:rPr>
        <w:t xml:space="preserve">du 1.1.1.2 a) </w:t>
      </w:r>
      <w:r w:rsidR="00A32EAF">
        <w:rPr>
          <w:lang w:val="fr-FR"/>
        </w:rPr>
        <w:t>parle de «</w:t>
      </w:r>
      <w:r w:rsidR="00186A81">
        <w:rPr>
          <w:lang w:val="fr-FR"/>
        </w:rPr>
        <w:t xml:space="preserve">marchandises dangereuses qui sont nécessaires au fonctionnement de leur équipement </w:t>
      </w:r>
      <w:r w:rsidR="00A32EAF">
        <w:rPr>
          <w:lang w:val="fr-FR"/>
        </w:rPr>
        <w:t>spécialisé pendant le transport</w:t>
      </w:r>
      <w:r w:rsidR="00186A81">
        <w:rPr>
          <w:lang w:val="fr-FR"/>
        </w:rPr>
        <w:t xml:space="preserve">» </w:t>
      </w:r>
      <w:r w:rsidR="005257E8">
        <w:rPr>
          <w:lang w:val="fr-FR"/>
        </w:rPr>
        <w:t>et ne donne comme exemple d’équipement spécialisé que les groupes frigorifiques</w:t>
      </w:r>
      <w:r w:rsidR="00186A81">
        <w:rPr>
          <w:lang w:val="fr-FR"/>
        </w:rPr>
        <w:t xml:space="preserve">. On pourrait ainsi y inclure aussi bien des carburants liquides ou gazeux que </w:t>
      </w:r>
      <w:r w:rsidR="00C77778">
        <w:rPr>
          <w:lang w:val="fr-FR"/>
        </w:rPr>
        <w:t>de</w:t>
      </w:r>
      <w:r w:rsidR="003E3088">
        <w:rPr>
          <w:lang w:val="fr-FR"/>
        </w:rPr>
        <w:t>s</w:t>
      </w:r>
      <w:r w:rsidR="00C77778">
        <w:rPr>
          <w:lang w:val="fr-FR"/>
        </w:rPr>
        <w:t xml:space="preserve"> </w:t>
      </w:r>
      <w:r w:rsidR="00C77778" w:rsidRPr="007702F2">
        <w:t xml:space="preserve">dispositifs de stockage et de production d’énergie électrique </w:t>
      </w:r>
      <w:r w:rsidR="00186A81">
        <w:rPr>
          <w:lang w:val="fr-FR"/>
        </w:rPr>
        <w:t xml:space="preserve">comme les piles au lithium, piles et batteries à électrolyte liquide, les condensateurs électriques ou asymétriques, </w:t>
      </w:r>
      <w:r w:rsidR="00493EEB">
        <w:rPr>
          <w:lang w:val="fr-FR"/>
        </w:rPr>
        <w:t xml:space="preserve">les </w:t>
      </w:r>
      <w:r w:rsidR="00186A81">
        <w:rPr>
          <w:lang w:val="fr-FR"/>
        </w:rPr>
        <w:t xml:space="preserve">dispositifs de stockage à hydrure métallique ou </w:t>
      </w:r>
      <w:r w:rsidR="00493EEB">
        <w:rPr>
          <w:lang w:val="fr-FR"/>
        </w:rPr>
        <w:t xml:space="preserve">les </w:t>
      </w:r>
      <w:r w:rsidR="00186A81">
        <w:rPr>
          <w:lang w:val="fr-FR"/>
        </w:rPr>
        <w:t xml:space="preserve">piles à combustibles. </w:t>
      </w:r>
      <w:r w:rsidR="005257E8">
        <w:rPr>
          <w:lang w:val="fr-FR"/>
        </w:rPr>
        <w:t xml:space="preserve">Toutes ces sources d’énergie électrique ne figurent cependant </w:t>
      </w:r>
      <w:bookmarkStart w:id="0" w:name="_GoBack"/>
      <w:bookmarkEnd w:id="0"/>
      <w:r w:rsidR="005257E8">
        <w:rPr>
          <w:lang w:val="fr-FR"/>
        </w:rPr>
        <w:lastRenderedPageBreak/>
        <w:t>pas dans le texte du 1.1.1.2 de sorte que le champ d’application de ce texte reste sujet à interprétation.</w:t>
      </w:r>
    </w:p>
    <w:p w:rsidR="00AA54DF" w:rsidRPr="008A0233" w:rsidRDefault="0056250A" w:rsidP="00513126">
      <w:pPr>
        <w:pStyle w:val="SingleTxtG"/>
      </w:pPr>
      <w:r>
        <w:rPr>
          <w:lang w:val="fr-FR"/>
        </w:rPr>
        <w:t>6</w:t>
      </w:r>
      <w:r w:rsidR="008A0233">
        <w:rPr>
          <w:lang w:val="fr-FR"/>
        </w:rPr>
        <w:t>.</w:t>
      </w:r>
      <w:r w:rsidR="008A0233">
        <w:rPr>
          <w:lang w:val="fr-FR"/>
        </w:rPr>
        <w:tab/>
      </w:r>
      <w:r w:rsidR="00493EEB">
        <w:rPr>
          <w:lang w:val="fr-FR"/>
        </w:rPr>
        <w:t>Par ailleurs d’autres dispositifs tels qu’ordinateurs porta</w:t>
      </w:r>
      <w:r w:rsidR="00513126">
        <w:rPr>
          <w:lang w:val="fr-FR"/>
        </w:rPr>
        <w:t>bles, horloges, radios, systèmes de guidage (GPS)</w:t>
      </w:r>
      <w:r w:rsidR="00493EEB">
        <w:rPr>
          <w:lang w:val="fr-FR"/>
        </w:rPr>
        <w:t xml:space="preserve"> ou </w:t>
      </w:r>
      <w:r w:rsidR="00513126">
        <w:rPr>
          <w:lang w:val="fr-FR"/>
        </w:rPr>
        <w:t xml:space="preserve">les </w:t>
      </w:r>
      <w:r w:rsidR="00493EEB">
        <w:t xml:space="preserve">dispositifs de localisation de conteneur contenant des batteries au lithium </w:t>
      </w:r>
      <w:r w:rsidR="00493EEB">
        <w:rPr>
          <w:lang w:val="fr-FR"/>
        </w:rPr>
        <w:t>mentionnés dans le document ST/</w:t>
      </w:r>
      <w:r w:rsidR="00B529FB">
        <w:rPr>
          <w:lang w:val="fr-FR"/>
        </w:rPr>
        <w:t>S</w:t>
      </w:r>
      <w:r w:rsidR="00493EEB">
        <w:rPr>
          <w:lang w:val="fr-FR"/>
        </w:rPr>
        <w:t>G/AC.10/C.3/2016/56 ne font pas partie à proprement parlé du moyen de transport mais sont également utilisé</w:t>
      </w:r>
      <w:r w:rsidR="00513126">
        <w:rPr>
          <w:lang w:val="fr-FR"/>
        </w:rPr>
        <w:t>s</w:t>
      </w:r>
      <w:r w:rsidR="00493EEB">
        <w:rPr>
          <w:lang w:val="fr-FR"/>
        </w:rPr>
        <w:t xml:space="preserve"> durant le transport sans pour autant qu’il s’agisse de marchandises dangereuses destinées à être livrée</w:t>
      </w:r>
      <w:r w:rsidR="00513126">
        <w:rPr>
          <w:lang w:val="fr-FR"/>
        </w:rPr>
        <w:t>s</w:t>
      </w:r>
      <w:r w:rsidR="00493EEB">
        <w:rPr>
          <w:lang w:val="fr-FR"/>
        </w:rPr>
        <w:t xml:space="preserve"> à destination. </w:t>
      </w:r>
    </w:p>
    <w:p w:rsidR="00513126" w:rsidRDefault="0056250A" w:rsidP="008A0233">
      <w:pPr>
        <w:pStyle w:val="SingleTxtG"/>
        <w:rPr>
          <w:lang w:val="fr-FR"/>
        </w:rPr>
      </w:pPr>
      <w:r>
        <w:t>7</w:t>
      </w:r>
      <w:r w:rsidR="00AA54DF">
        <w:rPr>
          <w:lang w:val="fr-FR"/>
        </w:rPr>
        <w:t>.</w:t>
      </w:r>
      <w:r w:rsidR="00AA54DF">
        <w:rPr>
          <w:lang w:val="fr-FR"/>
        </w:rPr>
        <w:tab/>
      </w:r>
      <w:r w:rsidR="00513126">
        <w:rPr>
          <w:lang w:val="fr-FR"/>
        </w:rPr>
        <w:t xml:space="preserve">Pour tenir compte de tels équipements utilisés durant le transport et afin de rendre plus </w:t>
      </w:r>
      <w:r w:rsidR="00FB7229">
        <w:rPr>
          <w:lang w:val="fr-FR"/>
        </w:rPr>
        <w:t>transparent</w:t>
      </w:r>
      <w:r w:rsidR="00513126">
        <w:rPr>
          <w:lang w:val="fr-FR"/>
        </w:rPr>
        <w:t xml:space="preserve"> le champ d’application du 1.1.1.2 nous proposons les modifications de texte suivantes.</w:t>
      </w:r>
    </w:p>
    <w:p w:rsidR="00490C26" w:rsidRPr="0072378C" w:rsidRDefault="008A0233" w:rsidP="008A0233">
      <w:pPr>
        <w:pStyle w:val="HChG"/>
      </w:pPr>
      <w:r>
        <w:tab/>
      </w:r>
      <w:r>
        <w:tab/>
      </w:r>
      <w:r w:rsidR="00490C26" w:rsidRPr="008A0233">
        <w:t>Proposition</w:t>
      </w:r>
    </w:p>
    <w:p w:rsidR="00513126" w:rsidRDefault="0056250A" w:rsidP="008A0233">
      <w:pPr>
        <w:pStyle w:val="SingleTxtG"/>
        <w:rPr>
          <w:lang w:val="fr-FR"/>
        </w:rPr>
      </w:pPr>
      <w:r>
        <w:rPr>
          <w:lang w:val="fr-FR"/>
        </w:rPr>
        <w:t>8</w:t>
      </w:r>
      <w:r w:rsidR="00A953BC">
        <w:rPr>
          <w:lang w:val="fr-FR"/>
        </w:rPr>
        <w:t>.</w:t>
      </w:r>
      <w:r w:rsidR="00A953BC">
        <w:rPr>
          <w:lang w:val="fr-FR"/>
        </w:rPr>
        <w:tab/>
      </w:r>
      <w:r w:rsidR="00513126">
        <w:rPr>
          <w:lang w:val="fr-FR"/>
        </w:rPr>
        <w:t>Modifier le 1.1.1.2</w:t>
      </w:r>
      <w:r w:rsidR="00DA25FF">
        <w:rPr>
          <w:lang w:val="fr-FR"/>
        </w:rPr>
        <w:t xml:space="preserve"> </w:t>
      </w:r>
      <w:r w:rsidR="00513126">
        <w:rPr>
          <w:lang w:val="fr-FR"/>
        </w:rPr>
        <w:t>comme suit (texte nouveau en</w:t>
      </w:r>
      <w:r w:rsidR="00FB7229">
        <w:rPr>
          <w:lang w:val="fr-FR"/>
        </w:rPr>
        <w:t xml:space="preserve"> </w:t>
      </w:r>
      <w:r w:rsidR="00513126">
        <w:rPr>
          <w:lang w:val="fr-FR"/>
        </w:rPr>
        <w:t>gras et</w:t>
      </w:r>
      <w:r w:rsidR="00A32EAF">
        <w:rPr>
          <w:lang w:val="fr-FR"/>
        </w:rPr>
        <w:t xml:space="preserve"> souligné, texte éliminé biffé</w:t>
      </w:r>
      <w:proofErr w:type="gramStart"/>
      <w:r w:rsidR="00A32EAF">
        <w:rPr>
          <w:lang w:val="fr-FR"/>
        </w:rPr>
        <w:t>)</w:t>
      </w:r>
      <w:r w:rsidR="00513126">
        <w:rPr>
          <w:lang w:val="fr-FR"/>
        </w:rPr>
        <w:t>:</w:t>
      </w:r>
      <w:proofErr w:type="gramEnd"/>
    </w:p>
    <w:p w:rsidR="00513126" w:rsidRPr="00513126" w:rsidRDefault="00A32EAF" w:rsidP="0056250A">
      <w:pPr>
        <w:pStyle w:val="SingleTxtG"/>
        <w:ind w:firstLine="567"/>
        <w:rPr>
          <w:lang w:val="fr-FR"/>
        </w:rPr>
      </w:pPr>
      <w:r>
        <w:rPr>
          <w:lang w:eastAsia="en-GB"/>
        </w:rPr>
        <w:t>«</w:t>
      </w:r>
      <w:r w:rsidR="00513126" w:rsidRPr="00513126">
        <w:rPr>
          <w:lang w:eastAsia="en-GB"/>
        </w:rPr>
        <w:t>1.1.1.2</w:t>
      </w:r>
      <w:r w:rsidR="00513126" w:rsidRPr="00513126">
        <w:rPr>
          <w:lang w:eastAsia="en-GB"/>
        </w:rPr>
        <w:tab/>
        <w:t xml:space="preserve">Les dispositions du présent Règlement ne s'appliquent pas au </w:t>
      </w:r>
      <w:proofErr w:type="gramStart"/>
      <w:r w:rsidR="00513126" w:rsidRPr="00513126">
        <w:rPr>
          <w:lang w:eastAsia="en-GB"/>
        </w:rPr>
        <w:t>transport:</w:t>
      </w:r>
      <w:proofErr w:type="gramEnd"/>
      <w:r w:rsidR="00513126" w:rsidRPr="00513126">
        <w:rPr>
          <w:lang w:val="fr-FR"/>
        </w:rPr>
        <w:t xml:space="preserve"> </w:t>
      </w:r>
    </w:p>
    <w:p w:rsidR="00513126" w:rsidRPr="00513126" w:rsidRDefault="00513126" w:rsidP="00DA25FF">
      <w:pPr>
        <w:pStyle w:val="SingleTxtG"/>
        <w:ind w:left="1701"/>
        <w:rPr>
          <w:lang w:eastAsia="en-GB"/>
        </w:rPr>
      </w:pPr>
      <w:r w:rsidRPr="00513126">
        <w:rPr>
          <w:lang w:eastAsia="en-GB"/>
        </w:rPr>
        <w:t xml:space="preserve">a) </w:t>
      </w:r>
      <w:r w:rsidR="0056250A">
        <w:rPr>
          <w:lang w:eastAsia="en-GB"/>
        </w:rPr>
        <w:tab/>
      </w:r>
      <w:r w:rsidRPr="00513126">
        <w:rPr>
          <w:lang w:eastAsia="en-GB"/>
        </w:rPr>
        <w:t>de marchandises dangereuses qui sont nécessaires à la propulsion des engins de transport ou au fonctionnement de leur équipement spécialisé pendant le transport (</w:t>
      </w:r>
      <w:r w:rsidR="00C77778" w:rsidRPr="00513126">
        <w:rPr>
          <w:lang w:eastAsia="en-GB"/>
        </w:rPr>
        <w:t>par exemple</w:t>
      </w:r>
      <w:r w:rsidR="00C77778" w:rsidRPr="00C77778">
        <w:t xml:space="preserve"> </w:t>
      </w:r>
      <w:r w:rsidR="00C77778" w:rsidRPr="00513126">
        <w:rPr>
          <w:lang w:eastAsia="en-GB"/>
        </w:rPr>
        <w:t>groupes frigorifiques</w:t>
      </w:r>
      <w:r w:rsidR="00C77778" w:rsidRPr="00FB7229">
        <w:rPr>
          <w:b/>
          <w:u w:val="single"/>
        </w:rPr>
        <w:t xml:space="preserve"> </w:t>
      </w:r>
      <w:r w:rsidR="00C77778">
        <w:rPr>
          <w:b/>
          <w:u w:val="single"/>
        </w:rPr>
        <w:t xml:space="preserve">ou </w:t>
      </w:r>
      <w:r w:rsidR="00FB7229" w:rsidRPr="00FB7229">
        <w:rPr>
          <w:b/>
          <w:u w:val="single"/>
        </w:rPr>
        <w:t xml:space="preserve">dispositifs de stockage et de production d’énergie électrique tels que piles au lithium, </w:t>
      </w:r>
      <w:r w:rsidR="00472BFF" w:rsidRPr="00472BFF">
        <w:rPr>
          <w:b/>
          <w:u w:val="single"/>
          <w:lang w:val="fr-FR"/>
        </w:rPr>
        <w:t>piles et batteries à électrolyte liquide</w:t>
      </w:r>
      <w:r w:rsidR="00472BFF">
        <w:rPr>
          <w:b/>
          <w:u w:val="single"/>
          <w:lang w:val="fr-FR"/>
        </w:rPr>
        <w:t>,</w:t>
      </w:r>
      <w:r w:rsidR="00472BFF" w:rsidRPr="00472BFF">
        <w:rPr>
          <w:b/>
          <w:u w:val="single"/>
        </w:rPr>
        <w:t xml:space="preserve"> </w:t>
      </w:r>
      <w:r w:rsidR="00FB7229" w:rsidRPr="00472BFF">
        <w:rPr>
          <w:b/>
          <w:u w:val="single"/>
        </w:rPr>
        <w:t>condensateurs électriques, condensateurs</w:t>
      </w:r>
      <w:r w:rsidR="00FB7229" w:rsidRPr="00FB7229">
        <w:rPr>
          <w:b/>
          <w:u w:val="single"/>
        </w:rPr>
        <w:t xml:space="preserve"> asymétriques, dispositif de stockage à hydrure métallique et piles à combustible</w:t>
      </w:r>
      <w:r w:rsidRPr="00513126">
        <w:rPr>
          <w:lang w:eastAsia="en-GB"/>
        </w:rPr>
        <w:t xml:space="preserve">) ou qui sont requises du fait des règlements d'exploitation (extincteurs par exemple); </w:t>
      </w:r>
    </w:p>
    <w:p w:rsidR="00FB7229" w:rsidRPr="00AE43F0" w:rsidRDefault="00AE43F0" w:rsidP="00DA25FF">
      <w:pPr>
        <w:pStyle w:val="SingleTxtG"/>
        <w:tabs>
          <w:tab w:val="left" w:pos="2268"/>
          <w:tab w:val="left" w:pos="3402"/>
        </w:tabs>
        <w:ind w:left="1701"/>
        <w:rPr>
          <w:b/>
          <w:u w:val="single"/>
          <w:lang w:eastAsia="en-GB"/>
        </w:rPr>
      </w:pPr>
      <w:r>
        <w:rPr>
          <w:b/>
          <w:u w:val="single"/>
          <w:lang w:eastAsia="en-GB"/>
        </w:rPr>
        <w:t>b</w:t>
      </w:r>
      <w:r w:rsidR="00FB7229" w:rsidRPr="00AE43F0">
        <w:rPr>
          <w:b/>
          <w:u w:val="single"/>
          <w:lang w:eastAsia="en-GB"/>
        </w:rPr>
        <w:t xml:space="preserve">) </w:t>
      </w:r>
      <w:r w:rsidR="00DA25FF">
        <w:rPr>
          <w:b/>
          <w:u w:val="single"/>
          <w:lang w:eastAsia="en-GB"/>
        </w:rPr>
        <w:tab/>
      </w:r>
      <w:r w:rsidR="00FB7229" w:rsidRPr="00AE43F0">
        <w:rPr>
          <w:b/>
          <w:u w:val="single"/>
          <w:lang w:eastAsia="en-GB"/>
        </w:rPr>
        <w:t>de</w:t>
      </w:r>
      <w:r w:rsidR="00FB7229" w:rsidRPr="00AE43F0">
        <w:rPr>
          <w:b/>
          <w:u w:val="single"/>
        </w:rPr>
        <w:t xml:space="preserve"> dispositifs de stockage et de production d’énergie électrique (par exemple, piles au lithium, condensateurs électriques</w:t>
      </w:r>
      <w:r w:rsidR="00FB7229" w:rsidRPr="00472BFF">
        <w:rPr>
          <w:b/>
          <w:u w:val="single"/>
        </w:rPr>
        <w:t xml:space="preserve">, </w:t>
      </w:r>
      <w:r w:rsidR="00472BFF" w:rsidRPr="00472BFF">
        <w:rPr>
          <w:b/>
          <w:u w:val="single"/>
          <w:lang w:val="fr-FR"/>
        </w:rPr>
        <w:t>piles et batteries à électrolyte liquide</w:t>
      </w:r>
      <w:r w:rsidR="00472BFF">
        <w:rPr>
          <w:b/>
          <w:u w:val="single"/>
          <w:lang w:val="fr-FR"/>
        </w:rPr>
        <w:t>,</w:t>
      </w:r>
      <w:r w:rsidR="00472BFF" w:rsidRPr="00472BFF">
        <w:rPr>
          <w:b/>
          <w:u w:val="single"/>
        </w:rPr>
        <w:t xml:space="preserve"> </w:t>
      </w:r>
      <w:r w:rsidR="00FB7229" w:rsidRPr="00472BFF">
        <w:rPr>
          <w:b/>
          <w:u w:val="single"/>
        </w:rPr>
        <w:t>condensateurs asymétriques, dispositif</w:t>
      </w:r>
      <w:r w:rsidR="00FB7229" w:rsidRPr="00AE43F0">
        <w:rPr>
          <w:b/>
          <w:u w:val="single"/>
        </w:rPr>
        <w:t xml:space="preserve"> de stockage à hydrure métallique</w:t>
      </w:r>
      <w:r w:rsidRPr="00AE43F0">
        <w:rPr>
          <w:b/>
          <w:u w:val="single"/>
        </w:rPr>
        <w:t>,</w:t>
      </w:r>
      <w:r w:rsidR="00FB7229" w:rsidRPr="00AE43F0">
        <w:rPr>
          <w:b/>
          <w:u w:val="single"/>
        </w:rPr>
        <w:t xml:space="preserve"> piles à combustible)</w:t>
      </w:r>
      <w:r w:rsidR="00FB7229" w:rsidRPr="00AE43F0">
        <w:rPr>
          <w:b/>
          <w:u w:val="single"/>
          <w:lang w:eastAsia="en-GB"/>
        </w:rPr>
        <w:t xml:space="preserve"> </w:t>
      </w:r>
      <w:r w:rsidR="00FB7229" w:rsidRPr="00AE43F0">
        <w:rPr>
          <w:b/>
          <w:u w:val="single"/>
          <w:lang w:val="fr-FR"/>
        </w:rPr>
        <w:t xml:space="preserve">contenus dans un équipement pour le fonctionnement de cet équipement utilisé ou destiné à une utilisation durant le transport (par exemple, un ordinateur portable ou </w:t>
      </w:r>
      <w:r>
        <w:rPr>
          <w:b/>
          <w:u w:val="single"/>
          <w:lang w:val="fr-FR"/>
        </w:rPr>
        <w:t xml:space="preserve">des </w:t>
      </w:r>
      <w:r w:rsidR="00C9696D" w:rsidRPr="00C9696D">
        <w:rPr>
          <w:b/>
          <w:u w:val="single"/>
          <w:lang w:val="fr-FR"/>
        </w:rPr>
        <w:t>dispositifs de localisation des marchandises et enregistreurs de données</w:t>
      </w:r>
      <w:r w:rsidRPr="00AE43F0">
        <w:rPr>
          <w:b/>
          <w:u w:val="single"/>
        </w:rPr>
        <w:t xml:space="preserve">). </w:t>
      </w:r>
    </w:p>
    <w:p w:rsidR="003E3088" w:rsidRDefault="003E3088" w:rsidP="00DA25FF">
      <w:pPr>
        <w:pStyle w:val="SingleTxtG"/>
        <w:tabs>
          <w:tab w:val="left" w:pos="2268"/>
          <w:tab w:val="left" w:pos="3402"/>
        </w:tabs>
        <w:ind w:left="1701"/>
        <w:rPr>
          <w:lang w:eastAsia="en-GB"/>
        </w:rPr>
      </w:pPr>
      <w:proofErr w:type="gramStart"/>
      <w:r w:rsidRPr="003E3088">
        <w:rPr>
          <w:b/>
          <w:u w:val="single"/>
          <w:lang w:eastAsia="en-GB"/>
        </w:rPr>
        <w:t>c</w:t>
      </w:r>
      <w:r w:rsidRPr="003E3088">
        <w:rPr>
          <w:strike/>
          <w:lang w:eastAsia="en-GB"/>
        </w:rPr>
        <w:t>b</w:t>
      </w:r>
      <w:proofErr w:type="gramEnd"/>
      <w:r w:rsidRPr="00513126">
        <w:rPr>
          <w:lang w:eastAsia="en-GB"/>
        </w:rPr>
        <w:t xml:space="preserve">) </w:t>
      </w:r>
      <w:r w:rsidR="0056250A">
        <w:rPr>
          <w:lang w:eastAsia="en-GB"/>
        </w:rPr>
        <w:tab/>
      </w:r>
      <w:r w:rsidRPr="00513126">
        <w:rPr>
          <w:lang w:eastAsia="en-GB"/>
        </w:rPr>
        <w:t>de marchandises dangereuses dans leur emballage de vente au détail, qui sont transportées par des particuliers pour leur usage personnel.</w:t>
      </w:r>
    </w:p>
    <w:p w:rsidR="00513126" w:rsidRPr="00513126" w:rsidRDefault="00513126" w:rsidP="00DA25FF">
      <w:pPr>
        <w:pStyle w:val="SingleTxtG"/>
        <w:ind w:left="1701"/>
        <w:rPr>
          <w:lang w:eastAsia="en-GB"/>
        </w:rPr>
      </w:pPr>
      <w:r w:rsidRPr="00A32EAF">
        <w:rPr>
          <w:b/>
          <w:bCs/>
          <w:i/>
          <w:lang w:eastAsia="en-GB"/>
        </w:rPr>
        <w:t xml:space="preserve">NOTA </w:t>
      </w:r>
      <w:proofErr w:type="gramStart"/>
      <w:r w:rsidRPr="00A32EAF">
        <w:rPr>
          <w:b/>
          <w:bCs/>
          <w:i/>
          <w:lang w:eastAsia="en-GB"/>
        </w:rPr>
        <w:t>1</w:t>
      </w:r>
      <w:r w:rsidRPr="00513126">
        <w:rPr>
          <w:b/>
          <w:bCs/>
          <w:lang w:eastAsia="en-GB"/>
        </w:rPr>
        <w:t>:</w:t>
      </w:r>
      <w:proofErr w:type="gramEnd"/>
      <w:r w:rsidRPr="00513126">
        <w:rPr>
          <w:b/>
          <w:bCs/>
          <w:lang w:eastAsia="en-GB"/>
        </w:rPr>
        <w:t xml:space="preserve"> </w:t>
      </w:r>
      <w:r w:rsidRPr="00513126">
        <w:rPr>
          <w:lang w:eastAsia="en-GB"/>
        </w:rPr>
        <w:t>On peut trouver dans la réglementation par mode de transport des dispositions modales</w:t>
      </w:r>
      <w:r>
        <w:rPr>
          <w:lang w:eastAsia="en-GB"/>
        </w:rPr>
        <w:t xml:space="preserve"> </w:t>
      </w:r>
      <w:r w:rsidRPr="00513126">
        <w:rPr>
          <w:lang w:eastAsia="en-GB"/>
        </w:rPr>
        <w:t>spéciales relatives au transport des marchandises dangereuses ainsi que des dérogations par rapport à ces</w:t>
      </w:r>
      <w:r w:rsidR="00E82D1D">
        <w:rPr>
          <w:lang w:eastAsia="en-GB"/>
        </w:rPr>
        <w:t xml:space="preserve"> </w:t>
      </w:r>
      <w:r w:rsidRPr="00513126">
        <w:rPr>
          <w:lang w:eastAsia="en-GB"/>
        </w:rPr>
        <w:t>prescriptions générales.</w:t>
      </w:r>
    </w:p>
    <w:p w:rsidR="00513126" w:rsidRPr="00A32EAF" w:rsidRDefault="00B529FB" w:rsidP="00DA25FF">
      <w:pPr>
        <w:pStyle w:val="SingleTxtG"/>
        <w:ind w:left="1701"/>
        <w:rPr>
          <w:iCs/>
          <w:lang w:eastAsia="en-GB"/>
        </w:rPr>
      </w:pPr>
      <w:r w:rsidRPr="00B529FB">
        <w:rPr>
          <w:b/>
          <w:lang w:eastAsia="en-GB"/>
        </w:rPr>
        <w:t>2.</w:t>
      </w:r>
      <w:r>
        <w:rPr>
          <w:lang w:eastAsia="en-GB"/>
        </w:rPr>
        <w:tab/>
      </w:r>
      <w:r w:rsidR="00513126" w:rsidRPr="00513126">
        <w:rPr>
          <w:lang w:eastAsia="en-GB"/>
        </w:rPr>
        <w:t>Certaines dispositions spéciales du chapitre 3.3 mentionnent également des matières et</w:t>
      </w:r>
      <w:r w:rsidR="00A32EAF">
        <w:rPr>
          <w:lang w:eastAsia="en-GB"/>
        </w:rPr>
        <w:t xml:space="preserve"> </w:t>
      </w:r>
      <w:r w:rsidR="00513126" w:rsidRPr="00A32EAF">
        <w:rPr>
          <w:iCs/>
          <w:lang w:eastAsia="en-GB"/>
        </w:rPr>
        <w:t>objets qui ne sont pas soumis au présent Règlement.</w:t>
      </w:r>
    </w:p>
    <w:p w:rsidR="00513126" w:rsidRDefault="00B529FB" w:rsidP="00DA25FF">
      <w:pPr>
        <w:pStyle w:val="SingleTxtG"/>
        <w:ind w:left="1701"/>
      </w:pPr>
      <w:r w:rsidRPr="00B529FB">
        <w:rPr>
          <w:b/>
          <w:lang w:eastAsia="en-GB"/>
        </w:rPr>
        <w:t>3.</w:t>
      </w:r>
      <w:r>
        <w:rPr>
          <w:lang w:eastAsia="en-GB"/>
        </w:rPr>
        <w:tab/>
      </w:r>
      <w:r w:rsidR="00513126" w:rsidRPr="00A32EAF">
        <w:rPr>
          <w:lang w:eastAsia="en-GB"/>
        </w:rPr>
        <w:t>Les dispositions du 1.1.1.2 a) ci-dessus s’appliquent uniquement au moyen de transport</w:t>
      </w:r>
      <w:r w:rsidR="00A32EAF" w:rsidRPr="00A32EAF">
        <w:rPr>
          <w:lang w:eastAsia="en-GB"/>
        </w:rPr>
        <w:t xml:space="preserve"> </w:t>
      </w:r>
      <w:r w:rsidR="00513126" w:rsidRPr="00A32EAF">
        <w:rPr>
          <w:iCs/>
          <w:lang w:eastAsia="en-GB"/>
        </w:rPr>
        <w:t>effectuant l’opération de transport.</w:t>
      </w:r>
      <w:r w:rsidR="00C9696D">
        <w:t> »</w:t>
      </w:r>
    </w:p>
    <w:p w:rsidR="00D80C94" w:rsidRPr="0072378C" w:rsidRDefault="0056250A" w:rsidP="0056250A">
      <w:pPr>
        <w:pStyle w:val="HChG"/>
      </w:pPr>
      <w:r>
        <w:tab/>
      </w:r>
      <w:r>
        <w:tab/>
      </w:r>
      <w:r w:rsidR="00D80C94">
        <w:t xml:space="preserve">Amendements de </w:t>
      </w:r>
      <w:r w:rsidR="00D80C94" w:rsidRPr="0056250A">
        <w:t>conséquence</w:t>
      </w:r>
    </w:p>
    <w:p w:rsidR="00B31474" w:rsidRDefault="00E5084B" w:rsidP="00E5084B">
      <w:pPr>
        <w:pStyle w:val="SingleTxtG"/>
        <w:rPr>
          <w:u w:val="single"/>
        </w:rPr>
      </w:pPr>
      <w:r w:rsidRPr="00E5084B">
        <w:rPr>
          <w:noProof/>
          <w:lang w:val="fr-FR"/>
        </w:rPr>
        <mc:AlternateContent>
          <mc:Choice Requires="wps">
            <w:drawing>
              <wp:anchor distT="45720" distB="45720" distL="114300" distR="114300" simplePos="0" relativeHeight="251659264" behindDoc="0" locked="0" layoutInCell="1" allowOverlap="1">
                <wp:simplePos x="0" y="0"/>
                <wp:positionH relativeFrom="column">
                  <wp:posOffset>2437815</wp:posOffset>
                </wp:positionH>
                <wp:positionV relativeFrom="page">
                  <wp:posOffset>9362647</wp:posOffset>
                </wp:positionV>
                <wp:extent cx="1256030" cy="25273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52730"/>
                        </a:xfrm>
                        <a:prstGeom prst="rect">
                          <a:avLst/>
                        </a:prstGeom>
                        <a:solidFill>
                          <a:srgbClr val="FFFFFF"/>
                        </a:solidFill>
                        <a:ln w="9525">
                          <a:solidFill>
                            <a:schemeClr val="bg1"/>
                          </a:solidFill>
                          <a:miter lim="800000"/>
                          <a:headEnd/>
                          <a:tailEnd/>
                        </a:ln>
                      </wps:spPr>
                      <wps:txbx>
                        <w:txbxContent>
                          <w:p w:rsidR="00E5084B" w:rsidRDefault="00E5084B">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95pt;margin-top:737.2pt;width:98.9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8JgIAAEUEAAAOAAAAZHJzL2Uyb0RvYy54bWysU9tu2zAMfR+wfxD0vtjxkl6MOEWXLsOA&#10;7gK0+wBZlm1hkqhJSuzs60fJaZp2b8P0IJAidUgekqubUSuyF85LMBWdz3JKhOHQSNNV9Mfj9t0V&#10;JT4w0zAFRlT0IDy9Wb99sxpsKQroQTXCEQQxvhxsRfsQbJllnvdCMz8DKwwaW3CaBVRdlzWODYiu&#10;VVbk+UU2gGusAy68x9e7yUjXCb9tBQ/f2taLQFRFMbeQbpfuOt7ZesXKzjHbS35Mg/1DFppJg0FP&#10;UHcsMLJz8i8oLbkDD22YcdAZtK3kItWA1czzV9U89MyKVAuS4+2JJv//YPnX/XdHZFPRYn5JiWEa&#10;m/QoxkA+wEiKyM9gfYluDxYdw4jP2OdUq7f3wH96YmDTM9OJW+dg6AVrML95/JmdfZ1wfASphy/Q&#10;YBi2C5CAxtbpSB7SQRAd+3Q49SamwmPIYnmRv0cTR1uxLC5RjiFY+fTbOh8+CdAkChV12PuEzvb3&#10;PkyuTy4xmAclm61UKimuqzfKkT3DOdmmc0R/4aYMGSp6vSyWEwEvIOLIihNI3U0UvAqkZcB5V1JX&#10;9CqPJ4ZhZWTto2mSHJhUk4zFKXOkMTI3cRjGekTHyG0NzQEJdTDNNe4hCj2435QMONMV9b92zAlK&#10;1GeDTbmeLxZxCZKyWF4WqLhzS31uYYYjVEUDJZO4CWlxEl/2Fpu3lYnX50yOueKsps4c9youw7me&#10;vJ63f/0HAAD//wMAUEsDBBQABgAIAAAAIQChWaEY4gAAAA0BAAAPAAAAZHJzL2Rvd25yZXYueG1s&#10;TI/LTsMwEEX3SPyDNUjsqJM2pSHEqQAJFixaNSDYOrHzEPY4ip00/D3DCpYz9+jOmXy/WMNmPfre&#10;oYB4FQHTWDvVYyvg/e35JgXmg0QljUMt4Ft72BeXF7nMlDvjSc9laBmVoM+kgC6EIePc15220q/c&#10;oJGyxo1WBhrHlqtRnqncGr6OoltuZY90oZODfup0/VVOVsDLI68Op/JYNZ+NmV/Nh50ORyvE9dXy&#10;cA8s6CX8wfCrT+pQkFPlJlSeGQGbdHNHKAXJLkmAEbJN4x2wilbbOFkDL3L+/4viBwAA//8DAFBL&#10;AQItABQABgAIAAAAIQC2gziS/gAAAOEBAAATAAAAAAAAAAAAAAAAAAAAAABbQ29udGVudF9UeXBl&#10;c10ueG1sUEsBAi0AFAAGAAgAAAAhADj9If/WAAAAlAEAAAsAAAAAAAAAAAAAAAAALwEAAF9yZWxz&#10;Ly5yZWxzUEsBAi0AFAAGAAgAAAAhALahT/wmAgAARQQAAA4AAAAAAAAAAAAAAAAALgIAAGRycy9l&#10;Mm9Eb2MueG1sUEsBAi0AFAAGAAgAAAAhAKFZoRjiAAAADQEAAA8AAAAAAAAAAAAAAAAAgAQAAGRy&#10;cy9kb3ducmV2LnhtbFBLBQYAAAAABAAEAPMAAACPBQAAAAA=&#10;" strokecolor="white [3212]">
                <v:textbox style="mso-fit-shape-to-text:t">
                  <w:txbxContent>
                    <w:p w:rsidR="00E5084B" w:rsidRDefault="00E5084B">
                      <w:r>
                        <w:t>______________</w:t>
                      </w:r>
                    </w:p>
                  </w:txbxContent>
                </v:textbox>
                <w10:wrap type="square" anchory="page"/>
              </v:shape>
            </w:pict>
          </mc:Fallback>
        </mc:AlternateContent>
      </w:r>
      <w:r w:rsidR="0056250A">
        <w:rPr>
          <w:lang w:val="fr-FR"/>
        </w:rPr>
        <w:t>9</w:t>
      </w:r>
      <w:r w:rsidR="00D80C94">
        <w:rPr>
          <w:lang w:val="fr-FR"/>
        </w:rPr>
        <w:t>.</w:t>
      </w:r>
      <w:r w:rsidR="00D80C94">
        <w:rPr>
          <w:lang w:val="fr-FR"/>
        </w:rPr>
        <w:tab/>
        <w:t>L’adoption de ces textes implique que le texte adopté au 1.1.1.2 c) devient redondant et contredit celui proposé au point 7. Des explications et une proposition de modification consistant à plac</w:t>
      </w:r>
      <w:r w:rsidR="00C9696D">
        <w:rPr>
          <w:lang w:val="fr-FR"/>
        </w:rPr>
        <w:t>er</w:t>
      </w:r>
      <w:r w:rsidR="00D80C94">
        <w:rPr>
          <w:lang w:val="fr-FR"/>
        </w:rPr>
        <w:t xml:space="preserve"> le texte adopté entre crochets au 1.1.1.2 c) dans les définitions des colis, suremballage et engin de transport sont traitées dans un autre document de cette même session.</w:t>
      </w:r>
    </w:p>
    <w:sectPr w:rsidR="00B31474">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15" w:rsidRDefault="00921D15"/>
  </w:endnote>
  <w:endnote w:type="continuationSeparator" w:id="0">
    <w:p w:rsidR="00921D15" w:rsidRDefault="00921D15"/>
  </w:endnote>
  <w:endnote w:type="continuationNotice" w:id="1">
    <w:p w:rsidR="00921D15" w:rsidRDefault="0092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0D5C3E">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0D5C3E">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15" w:rsidRDefault="00921D15">
      <w:pPr>
        <w:tabs>
          <w:tab w:val="right" w:pos="2155"/>
        </w:tabs>
        <w:spacing w:after="80"/>
        <w:ind w:left="680"/>
        <w:rPr>
          <w:u w:val="single"/>
        </w:rPr>
      </w:pPr>
      <w:r>
        <w:rPr>
          <w:u w:val="single"/>
        </w:rPr>
        <w:tab/>
      </w:r>
    </w:p>
  </w:footnote>
  <w:footnote w:type="continuationSeparator" w:id="0">
    <w:p w:rsidR="00921D15" w:rsidRDefault="00921D15">
      <w:pPr>
        <w:tabs>
          <w:tab w:val="left" w:pos="2155"/>
        </w:tabs>
        <w:spacing w:after="80"/>
        <w:ind w:left="680"/>
        <w:rPr>
          <w:u w:val="single"/>
        </w:rPr>
      </w:pPr>
      <w:r>
        <w:rPr>
          <w:u w:val="single"/>
        </w:rPr>
        <w:tab/>
      </w:r>
    </w:p>
  </w:footnote>
  <w:footnote w:type="continuationNotice" w:id="1">
    <w:p w:rsidR="00921D15" w:rsidRDefault="00921D15"/>
  </w:footnote>
  <w:footnote w:id="2">
    <w:p w:rsidR="00921D15" w:rsidRDefault="00921D15" w:rsidP="00C05BD6">
      <w:pPr>
        <w:pStyle w:val="FootnoteText"/>
        <w:tabs>
          <w:tab w:val="left" w:pos="1418"/>
        </w:tabs>
        <w:ind w:firstLine="0"/>
      </w:pPr>
      <w:r>
        <w:rPr>
          <w:rStyle w:val="FootnoteReference"/>
        </w:rPr>
        <w:footnoteRef/>
      </w:r>
      <w:r>
        <w:t xml:space="preserve"> </w:t>
      </w:r>
      <w:r w:rsidR="00C05BD6">
        <w:tab/>
      </w:r>
      <w:r>
        <w:rPr>
          <w:spacing w:val="-2"/>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Header"/>
      <w:rPr>
        <w:lang w:val="en-US"/>
      </w:rPr>
    </w:pPr>
    <w:r>
      <w:rPr>
        <w:lang w:val="en-US"/>
      </w:rPr>
      <w:t>S</w:t>
    </w:r>
    <w:r w:rsidR="00546F80">
      <w:rPr>
        <w:lang w:val="en-US"/>
      </w:rPr>
      <w:t>T/SG/AC.10/C.3/2018/117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56250A">
    <w:pPr>
      <w:pStyle w:val="Header"/>
      <w:jc w:val="right"/>
      <w:rPr>
        <w:lang w:val="en-US"/>
      </w:rPr>
    </w:pPr>
    <w:r>
      <w:rPr>
        <w:lang w:val="en-US"/>
      </w:rPr>
      <w:t>S</w:t>
    </w:r>
    <w:r w:rsidR="00546F80">
      <w:rPr>
        <w:lang w:val="en-US"/>
      </w:rPr>
      <w:t>T/SG/AC.10/C.3/2018/117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F02451"/>
    <w:multiLevelType w:val="hybridMultilevel"/>
    <w:tmpl w:val="DB946D3A"/>
    <w:lvl w:ilvl="0" w:tplc="0409001B">
      <w:start w:val="1"/>
      <w:numFmt w:val="lowerRoman"/>
      <w:lvlText w:val="%1."/>
      <w:lvlJc w:val="right"/>
      <w:pPr>
        <w:ind w:left="3555" w:hanging="360"/>
      </w:pPr>
    </w:lvl>
    <w:lvl w:ilvl="1" w:tplc="100C0019" w:tentative="1">
      <w:start w:val="1"/>
      <w:numFmt w:val="lowerLetter"/>
      <w:lvlText w:val="%2."/>
      <w:lvlJc w:val="left"/>
      <w:pPr>
        <w:ind w:left="4275" w:hanging="360"/>
      </w:pPr>
    </w:lvl>
    <w:lvl w:ilvl="2" w:tplc="100C001B" w:tentative="1">
      <w:start w:val="1"/>
      <w:numFmt w:val="lowerRoman"/>
      <w:lvlText w:val="%3."/>
      <w:lvlJc w:val="right"/>
      <w:pPr>
        <w:ind w:left="4995" w:hanging="180"/>
      </w:pPr>
    </w:lvl>
    <w:lvl w:ilvl="3" w:tplc="100C000F" w:tentative="1">
      <w:start w:val="1"/>
      <w:numFmt w:val="decimal"/>
      <w:lvlText w:val="%4."/>
      <w:lvlJc w:val="left"/>
      <w:pPr>
        <w:ind w:left="5715" w:hanging="360"/>
      </w:pPr>
    </w:lvl>
    <w:lvl w:ilvl="4" w:tplc="100C0019" w:tentative="1">
      <w:start w:val="1"/>
      <w:numFmt w:val="lowerLetter"/>
      <w:lvlText w:val="%5."/>
      <w:lvlJc w:val="left"/>
      <w:pPr>
        <w:ind w:left="6435" w:hanging="360"/>
      </w:pPr>
    </w:lvl>
    <w:lvl w:ilvl="5" w:tplc="100C001B" w:tentative="1">
      <w:start w:val="1"/>
      <w:numFmt w:val="lowerRoman"/>
      <w:lvlText w:val="%6."/>
      <w:lvlJc w:val="right"/>
      <w:pPr>
        <w:ind w:left="7155" w:hanging="180"/>
      </w:pPr>
    </w:lvl>
    <w:lvl w:ilvl="6" w:tplc="100C000F" w:tentative="1">
      <w:start w:val="1"/>
      <w:numFmt w:val="decimal"/>
      <w:lvlText w:val="%7."/>
      <w:lvlJc w:val="left"/>
      <w:pPr>
        <w:ind w:left="7875" w:hanging="360"/>
      </w:pPr>
    </w:lvl>
    <w:lvl w:ilvl="7" w:tplc="100C0019" w:tentative="1">
      <w:start w:val="1"/>
      <w:numFmt w:val="lowerLetter"/>
      <w:lvlText w:val="%8."/>
      <w:lvlJc w:val="left"/>
      <w:pPr>
        <w:ind w:left="8595" w:hanging="360"/>
      </w:pPr>
    </w:lvl>
    <w:lvl w:ilvl="8" w:tplc="100C001B" w:tentative="1">
      <w:start w:val="1"/>
      <w:numFmt w:val="lowerRoman"/>
      <w:lvlText w:val="%9."/>
      <w:lvlJc w:val="right"/>
      <w:pPr>
        <w:ind w:left="9315"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5F2700F"/>
    <w:multiLevelType w:val="hybridMultilevel"/>
    <w:tmpl w:val="911E923A"/>
    <w:lvl w:ilvl="0" w:tplc="E16C95DC">
      <w:start w:val="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0" w15:restartNumberingAfterBreak="0">
    <w:nsid w:val="2E202DAC"/>
    <w:multiLevelType w:val="hybridMultilevel"/>
    <w:tmpl w:val="AE86BF6E"/>
    <w:lvl w:ilvl="0" w:tplc="014E6ECA">
      <w:start w:val="5"/>
      <w:numFmt w:val="decimal"/>
      <w:lvlText w:val="%1."/>
      <w:lvlJc w:val="left"/>
      <w:pPr>
        <w:ind w:left="2070" w:hanging="360"/>
      </w:pPr>
      <w:rPr>
        <w:rFonts w:hint="default"/>
      </w:rPr>
    </w:lvl>
    <w:lvl w:ilvl="1" w:tplc="100C0019" w:tentative="1">
      <w:start w:val="1"/>
      <w:numFmt w:val="lowerLetter"/>
      <w:lvlText w:val="%2."/>
      <w:lvlJc w:val="left"/>
      <w:pPr>
        <w:ind w:left="2790" w:hanging="360"/>
      </w:pPr>
    </w:lvl>
    <w:lvl w:ilvl="2" w:tplc="100C001B" w:tentative="1">
      <w:start w:val="1"/>
      <w:numFmt w:val="lowerRoman"/>
      <w:lvlText w:val="%3."/>
      <w:lvlJc w:val="right"/>
      <w:pPr>
        <w:ind w:left="3510" w:hanging="180"/>
      </w:pPr>
    </w:lvl>
    <w:lvl w:ilvl="3" w:tplc="100C000F" w:tentative="1">
      <w:start w:val="1"/>
      <w:numFmt w:val="decimal"/>
      <w:lvlText w:val="%4."/>
      <w:lvlJc w:val="left"/>
      <w:pPr>
        <w:ind w:left="4230" w:hanging="360"/>
      </w:pPr>
    </w:lvl>
    <w:lvl w:ilvl="4" w:tplc="100C0019" w:tentative="1">
      <w:start w:val="1"/>
      <w:numFmt w:val="lowerLetter"/>
      <w:lvlText w:val="%5."/>
      <w:lvlJc w:val="left"/>
      <w:pPr>
        <w:ind w:left="4950" w:hanging="360"/>
      </w:pPr>
    </w:lvl>
    <w:lvl w:ilvl="5" w:tplc="100C001B" w:tentative="1">
      <w:start w:val="1"/>
      <w:numFmt w:val="lowerRoman"/>
      <w:lvlText w:val="%6."/>
      <w:lvlJc w:val="right"/>
      <w:pPr>
        <w:ind w:left="5670" w:hanging="180"/>
      </w:pPr>
    </w:lvl>
    <w:lvl w:ilvl="6" w:tplc="100C000F" w:tentative="1">
      <w:start w:val="1"/>
      <w:numFmt w:val="decimal"/>
      <w:lvlText w:val="%7."/>
      <w:lvlJc w:val="left"/>
      <w:pPr>
        <w:ind w:left="6390" w:hanging="360"/>
      </w:pPr>
    </w:lvl>
    <w:lvl w:ilvl="7" w:tplc="100C0019" w:tentative="1">
      <w:start w:val="1"/>
      <w:numFmt w:val="lowerLetter"/>
      <w:lvlText w:val="%8."/>
      <w:lvlJc w:val="left"/>
      <w:pPr>
        <w:ind w:left="7110" w:hanging="360"/>
      </w:pPr>
    </w:lvl>
    <w:lvl w:ilvl="8" w:tplc="100C001B" w:tentative="1">
      <w:start w:val="1"/>
      <w:numFmt w:val="lowerRoman"/>
      <w:lvlText w:val="%9."/>
      <w:lvlJc w:val="right"/>
      <w:pPr>
        <w:ind w:left="7830" w:hanging="180"/>
      </w:pPr>
    </w:lvl>
  </w:abstractNum>
  <w:abstractNum w:abstractNumId="11"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5"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15:restartNumberingAfterBreak="0">
    <w:nsid w:val="663E3725"/>
    <w:multiLevelType w:val="hybridMultilevel"/>
    <w:tmpl w:val="312A7FF2"/>
    <w:lvl w:ilvl="0" w:tplc="44C23748">
      <w:start w:val="1"/>
      <w:numFmt w:val="decimal"/>
      <w:lvlText w:val="%1."/>
      <w:lvlJc w:val="left"/>
      <w:pPr>
        <w:ind w:left="1710" w:hanging="576"/>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E271474"/>
    <w:multiLevelType w:val="hybridMultilevel"/>
    <w:tmpl w:val="244E17FE"/>
    <w:lvl w:ilvl="0" w:tplc="2AB6DCE6">
      <w:start w:val="1"/>
      <w:numFmt w:val="lowerLetter"/>
      <w:lvlText w:val="%1)"/>
      <w:lvlJc w:val="left"/>
      <w:pPr>
        <w:ind w:left="3411" w:hanging="576"/>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21"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11"/>
  </w:num>
  <w:num w:numId="7">
    <w:abstractNumId w:val="17"/>
  </w:num>
  <w:num w:numId="8">
    <w:abstractNumId w:val="22"/>
  </w:num>
  <w:num w:numId="9">
    <w:abstractNumId w:val="14"/>
  </w:num>
  <w:num w:numId="10">
    <w:abstractNumId w:val="23"/>
  </w:num>
  <w:num w:numId="11">
    <w:abstractNumId w:val="13"/>
  </w:num>
  <w:num w:numId="12">
    <w:abstractNumId w:val="19"/>
  </w:num>
  <w:num w:numId="13">
    <w:abstractNumId w:val="19"/>
  </w:num>
  <w:num w:numId="14">
    <w:abstractNumId w:val="19"/>
  </w:num>
  <w:num w:numId="15">
    <w:abstractNumId w:val="5"/>
  </w:num>
  <w:num w:numId="16">
    <w:abstractNumId w:val="7"/>
  </w:num>
  <w:num w:numId="17">
    <w:abstractNumId w:val="16"/>
  </w:num>
  <w:num w:numId="18">
    <w:abstractNumId w:val="4"/>
  </w:num>
  <w:num w:numId="19">
    <w:abstractNumId w:val="21"/>
  </w:num>
  <w:num w:numId="20">
    <w:abstractNumId w:val="9"/>
  </w:num>
  <w:num w:numId="21">
    <w:abstractNumId w:val="6"/>
  </w:num>
  <w:num w:numId="22">
    <w:abstractNumId w:val="15"/>
  </w:num>
  <w:num w:numId="23">
    <w:abstractNumId w:val="18"/>
  </w:num>
  <w:num w:numId="24">
    <w:abstractNumId w:val="8"/>
  </w:num>
  <w:num w:numId="25">
    <w:abstractNumId w:val="10"/>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2"/>
    <w:rsid w:val="00012DAC"/>
    <w:rsid w:val="00013866"/>
    <w:rsid w:val="00014AEA"/>
    <w:rsid w:val="000260C2"/>
    <w:rsid w:val="00042CFB"/>
    <w:rsid w:val="00046BFA"/>
    <w:rsid w:val="00051069"/>
    <w:rsid w:val="00051400"/>
    <w:rsid w:val="00054394"/>
    <w:rsid w:val="0005650A"/>
    <w:rsid w:val="00063939"/>
    <w:rsid w:val="000659E4"/>
    <w:rsid w:val="0007777B"/>
    <w:rsid w:val="000806FE"/>
    <w:rsid w:val="000B3266"/>
    <w:rsid w:val="000C06F0"/>
    <w:rsid w:val="000D5C3E"/>
    <w:rsid w:val="000E5CC0"/>
    <w:rsid w:val="000F1361"/>
    <w:rsid w:val="000F7333"/>
    <w:rsid w:val="001058BC"/>
    <w:rsid w:val="001300FA"/>
    <w:rsid w:val="00142FBC"/>
    <w:rsid w:val="00145AFF"/>
    <w:rsid w:val="00181D2E"/>
    <w:rsid w:val="00186A81"/>
    <w:rsid w:val="001919BB"/>
    <w:rsid w:val="001A44AF"/>
    <w:rsid w:val="001C6A24"/>
    <w:rsid w:val="001E0915"/>
    <w:rsid w:val="001E36A9"/>
    <w:rsid w:val="00203D55"/>
    <w:rsid w:val="00205DCB"/>
    <w:rsid w:val="00210222"/>
    <w:rsid w:val="0023481B"/>
    <w:rsid w:val="00236B05"/>
    <w:rsid w:val="00237CAF"/>
    <w:rsid w:val="00242278"/>
    <w:rsid w:val="002475A5"/>
    <w:rsid w:val="00253A00"/>
    <w:rsid w:val="0026107C"/>
    <w:rsid w:val="002A7E67"/>
    <w:rsid w:val="002B2A54"/>
    <w:rsid w:val="002D0389"/>
    <w:rsid w:val="002D3C26"/>
    <w:rsid w:val="002E2543"/>
    <w:rsid w:val="00303746"/>
    <w:rsid w:val="00321DA8"/>
    <w:rsid w:val="00366908"/>
    <w:rsid w:val="00377958"/>
    <w:rsid w:val="003A46D3"/>
    <w:rsid w:val="003C1D73"/>
    <w:rsid w:val="003E3088"/>
    <w:rsid w:val="003F76C3"/>
    <w:rsid w:val="004033DA"/>
    <w:rsid w:val="00403C69"/>
    <w:rsid w:val="00410486"/>
    <w:rsid w:val="00411A60"/>
    <w:rsid w:val="004133DE"/>
    <w:rsid w:val="004362EC"/>
    <w:rsid w:val="00454DF9"/>
    <w:rsid w:val="00460828"/>
    <w:rsid w:val="00460FB7"/>
    <w:rsid w:val="00472BFF"/>
    <w:rsid w:val="004909C7"/>
    <w:rsid w:val="00490C26"/>
    <w:rsid w:val="00493EEB"/>
    <w:rsid w:val="00494212"/>
    <w:rsid w:val="004969DF"/>
    <w:rsid w:val="004B6935"/>
    <w:rsid w:val="004C7AF3"/>
    <w:rsid w:val="004D406E"/>
    <w:rsid w:val="004E16BC"/>
    <w:rsid w:val="00513126"/>
    <w:rsid w:val="005257E8"/>
    <w:rsid w:val="005343BA"/>
    <w:rsid w:val="00546F80"/>
    <w:rsid w:val="00553ABF"/>
    <w:rsid w:val="0056250A"/>
    <w:rsid w:val="00582F51"/>
    <w:rsid w:val="005A4236"/>
    <w:rsid w:val="005B7088"/>
    <w:rsid w:val="005D5FB8"/>
    <w:rsid w:val="005F25FC"/>
    <w:rsid w:val="00602038"/>
    <w:rsid w:val="00637F41"/>
    <w:rsid w:val="006437EB"/>
    <w:rsid w:val="00654BFA"/>
    <w:rsid w:val="006655BC"/>
    <w:rsid w:val="00692206"/>
    <w:rsid w:val="00693E6C"/>
    <w:rsid w:val="00697C10"/>
    <w:rsid w:val="006A3076"/>
    <w:rsid w:val="006B41BB"/>
    <w:rsid w:val="006C05D8"/>
    <w:rsid w:val="006C4B1E"/>
    <w:rsid w:val="006E38B9"/>
    <w:rsid w:val="00721054"/>
    <w:rsid w:val="00734DB1"/>
    <w:rsid w:val="00770CF5"/>
    <w:rsid w:val="007808F4"/>
    <w:rsid w:val="007848F1"/>
    <w:rsid w:val="00797850"/>
    <w:rsid w:val="007B3972"/>
    <w:rsid w:val="007C2370"/>
    <w:rsid w:val="007F25D7"/>
    <w:rsid w:val="007F44FA"/>
    <w:rsid w:val="007F5758"/>
    <w:rsid w:val="007F7FB2"/>
    <w:rsid w:val="00855FF5"/>
    <w:rsid w:val="0088239A"/>
    <w:rsid w:val="008A0233"/>
    <w:rsid w:val="008B49DB"/>
    <w:rsid w:val="008E603E"/>
    <w:rsid w:val="00921D15"/>
    <w:rsid w:val="00936806"/>
    <w:rsid w:val="00942D74"/>
    <w:rsid w:val="00963ABD"/>
    <w:rsid w:val="009706CC"/>
    <w:rsid w:val="009809C7"/>
    <w:rsid w:val="009C65A4"/>
    <w:rsid w:val="009F1D42"/>
    <w:rsid w:val="00A12E4C"/>
    <w:rsid w:val="00A32EAF"/>
    <w:rsid w:val="00A33E02"/>
    <w:rsid w:val="00A40394"/>
    <w:rsid w:val="00A40D5B"/>
    <w:rsid w:val="00A47DAE"/>
    <w:rsid w:val="00A64AD8"/>
    <w:rsid w:val="00A64E61"/>
    <w:rsid w:val="00A702DC"/>
    <w:rsid w:val="00A953BC"/>
    <w:rsid w:val="00AA54DF"/>
    <w:rsid w:val="00AD6337"/>
    <w:rsid w:val="00AE43F0"/>
    <w:rsid w:val="00B31474"/>
    <w:rsid w:val="00B31F3F"/>
    <w:rsid w:val="00B529FB"/>
    <w:rsid w:val="00B535AB"/>
    <w:rsid w:val="00B87401"/>
    <w:rsid w:val="00B90BC5"/>
    <w:rsid w:val="00B96B24"/>
    <w:rsid w:val="00BA24A5"/>
    <w:rsid w:val="00BC3265"/>
    <w:rsid w:val="00BC4EEA"/>
    <w:rsid w:val="00BF5491"/>
    <w:rsid w:val="00C05BD6"/>
    <w:rsid w:val="00C25565"/>
    <w:rsid w:val="00C3691C"/>
    <w:rsid w:val="00C45B63"/>
    <w:rsid w:val="00C557B3"/>
    <w:rsid w:val="00C55D8F"/>
    <w:rsid w:val="00C77778"/>
    <w:rsid w:val="00C9696D"/>
    <w:rsid w:val="00CA6F0F"/>
    <w:rsid w:val="00CB75C1"/>
    <w:rsid w:val="00CD093A"/>
    <w:rsid w:val="00CE7102"/>
    <w:rsid w:val="00CF15C4"/>
    <w:rsid w:val="00D13709"/>
    <w:rsid w:val="00D71359"/>
    <w:rsid w:val="00D80310"/>
    <w:rsid w:val="00D80C94"/>
    <w:rsid w:val="00D96C4D"/>
    <w:rsid w:val="00DA25FF"/>
    <w:rsid w:val="00DA422B"/>
    <w:rsid w:val="00DC3E98"/>
    <w:rsid w:val="00DC7C47"/>
    <w:rsid w:val="00DF0BF7"/>
    <w:rsid w:val="00E342C8"/>
    <w:rsid w:val="00E5084B"/>
    <w:rsid w:val="00E60D87"/>
    <w:rsid w:val="00E6328D"/>
    <w:rsid w:val="00E72C4C"/>
    <w:rsid w:val="00E82D1D"/>
    <w:rsid w:val="00E8311F"/>
    <w:rsid w:val="00EA7E36"/>
    <w:rsid w:val="00EC76DD"/>
    <w:rsid w:val="00ED14EB"/>
    <w:rsid w:val="00ED6661"/>
    <w:rsid w:val="00EE3058"/>
    <w:rsid w:val="00F032BF"/>
    <w:rsid w:val="00F24FAC"/>
    <w:rsid w:val="00F433B8"/>
    <w:rsid w:val="00F43B95"/>
    <w:rsid w:val="00F43BCB"/>
    <w:rsid w:val="00F46AFD"/>
    <w:rsid w:val="00F54520"/>
    <w:rsid w:val="00F62ED1"/>
    <w:rsid w:val="00F71F61"/>
    <w:rsid w:val="00FA4A4F"/>
    <w:rsid w:val="00FB00F6"/>
    <w:rsid w:val="00FB722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6D72797D-C803-48FB-8D62-24F7526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qFormat/>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ListParagraph">
    <w:name w:val="List Paragraph"/>
    <w:basedOn w:val="Normal"/>
    <w:uiPriority w:val="34"/>
    <w:qFormat/>
    <w:rsid w:val="00FB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563979625">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218E-128B-4921-8CC9-6A1A4B3E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1136</Words>
  <Characters>6691</Characters>
  <Application>Microsoft Office Word</Application>
  <DocSecurity>0</DocSecurity>
  <Lines>122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9</cp:revision>
  <cp:lastPrinted>2018-09-05T13:39:00Z</cp:lastPrinted>
  <dcterms:created xsi:type="dcterms:W3CDTF">2018-08-31T14:42:00Z</dcterms:created>
  <dcterms:modified xsi:type="dcterms:W3CDTF">2018-09-05T13:39:00Z</dcterms:modified>
</cp:coreProperties>
</file>