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EA06C3" w:rsidRPr="00471D64" w:rsidTr="00D76673">
        <w:trPr>
          <w:trHeight w:val="851"/>
        </w:trPr>
        <w:tc>
          <w:tcPr>
            <w:tcW w:w="1260" w:type="dxa"/>
            <w:tcBorders>
              <w:top w:val="nil"/>
              <w:left w:val="nil"/>
              <w:bottom w:val="single" w:sz="4" w:space="0" w:color="auto"/>
              <w:right w:val="nil"/>
            </w:tcBorders>
          </w:tcPr>
          <w:p w:rsidR="00EA06C3" w:rsidRDefault="00EA06C3" w:rsidP="00EA06C3">
            <w:pPr>
              <w:spacing w:after="80" w:line="340" w:lineRule="exact"/>
            </w:pPr>
          </w:p>
        </w:tc>
        <w:tc>
          <w:tcPr>
            <w:tcW w:w="2237" w:type="dxa"/>
            <w:tcBorders>
              <w:top w:val="nil"/>
              <w:left w:val="nil"/>
              <w:bottom w:val="single" w:sz="4" w:space="0" w:color="auto"/>
              <w:right w:val="nil"/>
            </w:tcBorders>
            <w:vAlign w:val="bottom"/>
            <w:hideMark/>
          </w:tcPr>
          <w:p w:rsidR="00EA06C3" w:rsidRDefault="00EA06C3" w:rsidP="00EA06C3">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rsidR="00EA06C3" w:rsidRDefault="00EA06C3" w:rsidP="00EA06C3">
            <w:pPr>
              <w:suppressAutoHyphens w:val="0"/>
              <w:spacing w:after="20"/>
              <w:jc w:val="right"/>
            </w:pPr>
            <w:r>
              <w:rPr>
                <w:sz w:val="40"/>
                <w:lang w:eastAsia="en-GB"/>
              </w:rPr>
              <w:t>ST</w:t>
            </w:r>
            <w:r>
              <w:rPr>
                <w:lang w:eastAsia="en-GB"/>
              </w:rPr>
              <w:t>/SG/AC.10/C.3/2018/</w:t>
            </w:r>
            <w:r w:rsidR="009043FC">
              <w:rPr>
                <w:lang w:eastAsia="en-GB"/>
              </w:rPr>
              <w:t>1</w:t>
            </w:r>
            <w:r w:rsidR="009A518B">
              <w:rPr>
                <w:lang w:eastAsia="en-GB"/>
              </w:rPr>
              <w:t>09</w:t>
            </w:r>
          </w:p>
        </w:tc>
      </w:tr>
      <w:tr w:rsidR="005E0F7B" w:rsidRPr="005E0F7B" w:rsidTr="00D76673">
        <w:trPr>
          <w:trHeight w:val="2835"/>
        </w:trPr>
        <w:tc>
          <w:tcPr>
            <w:tcW w:w="1260" w:type="dxa"/>
            <w:tcBorders>
              <w:top w:val="single" w:sz="4" w:space="0" w:color="auto"/>
              <w:left w:val="nil"/>
              <w:bottom w:val="single" w:sz="12" w:space="0" w:color="auto"/>
              <w:right w:val="nil"/>
            </w:tcBorders>
            <w:hideMark/>
          </w:tcPr>
          <w:p w:rsidR="005E0F7B" w:rsidRDefault="00FD21A9">
            <w:pPr>
              <w:spacing w:before="120"/>
              <w:jc w:val="center"/>
            </w:pPr>
            <w:r>
              <w:rPr>
                <w:noProof/>
                <w:lang w:val="en-US"/>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rsidR="005E0F7B" w:rsidRDefault="005E0F7B">
            <w:pPr>
              <w:suppressAutoHyphens w:val="0"/>
              <w:spacing w:before="240" w:line="240" w:lineRule="exact"/>
            </w:pPr>
            <w:r>
              <w:t>Distr.: General</w:t>
            </w:r>
          </w:p>
          <w:p w:rsidR="005E0F7B" w:rsidRPr="005C67A3" w:rsidRDefault="009A518B">
            <w:pPr>
              <w:suppressAutoHyphens w:val="0"/>
            </w:pPr>
            <w:r>
              <w:t>7</w:t>
            </w:r>
            <w:r w:rsidR="009043FC">
              <w:t xml:space="preserve"> September</w:t>
            </w:r>
            <w:r w:rsidR="00A065BA">
              <w:t xml:space="preserve"> 2018</w:t>
            </w:r>
          </w:p>
          <w:p w:rsidR="005E0F7B" w:rsidRDefault="005E0F7B">
            <w:pPr>
              <w:suppressAutoHyphens w:val="0"/>
            </w:pPr>
          </w:p>
          <w:p w:rsidR="005E0F7B" w:rsidRDefault="005E0F7B">
            <w:pPr>
              <w:suppressAutoHyphens w:val="0"/>
            </w:pPr>
            <w:r>
              <w:t>Original: English</w:t>
            </w:r>
          </w:p>
        </w:tc>
      </w:tr>
    </w:tbl>
    <w:p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rsidR="00D76673" w:rsidRPr="00D76673" w:rsidRDefault="00D76673" w:rsidP="00D76673">
      <w:pPr>
        <w:spacing w:before="120"/>
        <w:rPr>
          <w:b/>
        </w:rPr>
      </w:pPr>
      <w:r w:rsidRPr="00D76673">
        <w:rPr>
          <w:b/>
        </w:rPr>
        <w:t>Sub-Committee of Experts on the Transport of Dangerous Goods</w:t>
      </w:r>
    </w:p>
    <w:p w:rsidR="00AC47CB" w:rsidRPr="00432930" w:rsidRDefault="00AC47CB" w:rsidP="00AC47CB">
      <w:pPr>
        <w:spacing w:before="120"/>
        <w:rPr>
          <w:b/>
        </w:rPr>
      </w:pPr>
      <w:r>
        <w:rPr>
          <w:b/>
        </w:rPr>
        <w:t>Fifty-</w:t>
      </w:r>
      <w:r w:rsidR="009A518B">
        <w:rPr>
          <w:b/>
        </w:rPr>
        <w:t>fourth</w:t>
      </w:r>
      <w:r>
        <w:rPr>
          <w:b/>
        </w:rPr>
        <w:t xml:space="preserve"> session</w:t>
      </w:r>
    </w:p>
    <w:p w:rsidR="00DE0613" w:rsidRPr="00BA7BB3" w:rsidRDefault="00C1320F" w:rsidP="00AC47CB">
      <w:pPr>
        <w:rPr>
          <w:b/>
          <w:bCs/>
        </w:rPr>
      </w:pPr>
      <w:r w:rsidRPr="00C1320F">
        <w:t>Geneva, 26 November-4 December 2018</w:t>
      </w:r>
      <w:r w:rsidR="00AC47CB">
        <w:rPr>
          <w:color w:val="333333"/>
        </w:rPr>
        <w:br/>
      </w:r>
      <w:r w:rsidR="00A065BA" w:rsidRPr="00C1320F">
        <w:t xml:space="preserve">Item </w:t>
      </w:r>
      <w:r w:rsidR="009A518B">
        <w:t>2 (f)</w:t>
      </w:r>
      <w:r w:rsidR="00A065BA" w:rsidRPr="009D3AC0">
        <w:t xml:space="preserve"> of the provisional agenda</w:t>
      </w:r>
      <w:r w:rsidR="00D76673" w:rsidRPr="00301F46">
        <w:rPr>
          <w:b/>
        </w:rPr>
        <w:br/>
      </w:r>
      <w:r w:rsidR="009A518B" w:rsidRPr="009A518B">
        <w:rPr>
          <w:b/>
          <w:bCs/>
        </w:rPr>
        <w:t xml:space="preserve">Recommendations made by the Sub-Committee on its fifty-first, </w:t>
      </w:r>
      <w:r w:rsidR="009A518B" w:rsidRPr="009A518B">
        <w:rPr>
          <w:b/>
          <w:bCs/>
        </w:rPr>
        <w:br/>
        <w:t>fifty-second and fifty-third sessions and pending issues:</w:t>
      </w:r>
      <w:r w:rsidR="009A518B" w:rsidRPr="009A518B">
        <w:rPr>
          <w:b/>
          <w:bCs/>
        </w:rPr>
        <w:br/>
        <w:t>miscellaneous pending issues</w:t>
      </w:r>
    </w:p>
    <w:p w:rsidR="00BA7BB3" w:rsidRPr="003C5896" w:rsidRDefault="00363CCA" w:rsidP="00BA7BB3">
      <w:pPr>
        <w:pStyle w:val="HChG"/>
      </w:pPr>
      <w:r>
        <w:tab/>
      </w:r>
      <w:r w:rsidR="00BA7BB3" w:rsidRPr="003C5896">
        <w:tab/>
      </w:r>
      <w:r w:rsidR="00BA7BB3" w:rsidRPr="003C5896">
        <w:tab/>
      </w:r>
      <w:r w:rsidR="00BA7BB3">
        <w:t>Provisions for data loggers and other equipment, containing electric energy storage and production systems, in use during transport</w:t>
      </w:r>
    </w:p>
    <w:p w:rsidR="00BA7BB3" w:rsidRPr="003C5896" w:rsidRDefault="00BA7BB3" w:rsidP="00BA7BB3">
      <w:pPr>
        <w:pStyle w:val="H1G"/>
      </w:pPr>
      <w:r w:rsidRPr="003C5896">
        <w:tab/>
      </w:r>
      <w:r w:rsidRPr="003C5896">
        <w:tab/>
        <w:t xml:space="preserve">Transmitted by the expert from the </w:t>
      </w:r>
      <w:r>
        <w:t>Netherlands</w:t>
      </w:r>
      <w:r>
        <w:rPr>
          <w:rStyle w:val="FootnoteReference"/>
        </w:rPr>
        <w:footnoteReference w:id="2"/>
      </w:r>
    </w:p>
    <w:p w:rsidR="00BA7BB3" w:rsidRPr="003C5896" w:rsidRDefault="00BA7BB3" w:rsidP="00BA7BB3">
      <w:pPr>
        <w:pStyle w:val="HChG"/>
      </w:pPr>
      <w:r w:rsidRPr="003C5896">
        <w:tab/>
      </w:r>
      <w:r w:rsidRPr="003C5896">
        <w:tab/>
        <w:t xml:space="preserve">Introduction </w:t>
      </w:r>
    </w:p>
    <w:p w:rsidR="00BA7BB3" w:rsidRPr="00217F63" w:rsidRDefault="00BA7BB3" w:rsidP="00BA7BB3">
      <w:pPr>
        <w:pStyle w:val="SingleTxtG"/>
      </w:pPr>
      <w:r w:rsidRPr="00AA072D">
        <w:t>1.</w:t>
      </w:r>
      <w:r w:rsidRPr="00AA072D">
        <w:tab/>
      </w:r>
      <w:r>
        <w:t xml:space="preserve">Over the past few sessions, the Sub-Committee has discussed the applicability of the Model Regulations </w:t>
      </w:r>
      <w:proofErr w:type="gramStart"/>
      <w:r>
        <w:t>with regard to</w:t>
      </w:r>
      <w:proofErr w:type="gramEnd"/>
      <w:r>
        <w:t xml:space="preserve"> dangerous goods which are not a part of the consignment but that are transported or are a part of the transport operation. For background information and review of the discussion, see for example </w:t>
      </w:r>
      <w:r>
        <w:rPr>
          <w:lang w:val="en-US"/>
        </w:rPr>
        <w:t xml:space="preserve">ST/SG/AC.10/C.3/2017/13, ST/SG/AC.10/C.3/2017/22, </w:t>
      </w:r>
      <w:r w:rsidR="009A518B">
        <w:rPr>
          <w:lang w:val="en-US"/>
        </w:rPr>
        <w:t xml:space="preserve">informal documents INF.27 (fifty-first session), INF.29 </w:t>
      </w:r>
      <w:r w:rsidR="008515B7">
        <w:rPr>
          <w:lang w:val="en-US"/>
        </w:rPr>
        <w:t>and INF.60 (</w:t>
      </w:r>
      <w:r w:rsidR="009A518B">
        <w:rPr>
          <w:lang w:val="en-US"/>
        </w:rPr>
        <w:t>fifty-second</w:t>
      </w:r>
      <w:r>
        <w:rPr>
          <w:lang w:val="en-US"/>
        </w:rPr>
        <w:t xml:space="preserve"> session),</w:t>
      </w:r>
      <w:r w:rsidRPr="00E22081">
        <w:t xml:space="preserve"> </w:t>
      </w:r>
      <w:r w:rsidRPr="006E6384">
        <w:t>ST/SG/AC.10/C.3/2018/57</w:t>
      </w:r>
      <w:r>
        <w:t xml:space="preserve"> and informal document </w:t>
      </w:r>
      <w:r>
        <w:rPr>
          <w:lang w:val="en-US"/>
        </w:rPr>
        <w:t>INF.30 (</w:t>
      </w:r>
      <w:r w:rsidR="009A518B">
        <w:rPr>
          <w:lang w:val="en-US"/>
        </w:rPr>
        <w:t>fifty-third</w:t>
      </w:r>
      <w:r>
        <w:rPr>
          <w:lang w:val="en-US"/>
        </w:rPr>
        <w:t xml:space="preserve"> session).</w:t>
      </w:r>
    </w:p>
    <w:p w:rsidR="00BA7BB3" w:rsidRDefault="00BA7BB3" w:rsidP="00BA7BB3">
      <w:pPr>
        <w:pStyle w:val="SingleTxtG"/>
      </w:pPr>
      <w:r>
        <w:t>2.</w:t>
      </w:r>
      <w:r>
        <w:tab/>
        <w:t xml:space="preserve">While the more fundamental discussions are ongoing, there is a need for provisions that provide regulatory clarity for data loggers and information tracking systems containing lithium batteries that </w:t>
      </w:r>
      <w:r w:rsidRPr="009F57BB">
        <w:t xml:space="preserve">are attached to or contained in packaging, large packaging, </w:t>
      </w:r>
      <w:r w:rsidR="009A518B">
        <w:t>intermediate bulk containers (</w:t>
      </w:r>
      <w:r w:rsidRPr="009F57BB">
        <w:t>IBCs</w:t>
      </w:r>
      <w:r w:rsidR="009A518B">
        <w:t>)</w:t>
      </w:r>
      <w:r w:rsidRPr="009F57BB">
        <w:t xml:space="preserve"> or cargo transport units</w:t>
      </w:r>
      <w:r>
        <w:t xml:space="preserve"> as equipment in use or intended for use during </w:t>
      </w:r>
      <w:r w:rsidRPr="00C445D6">
        <w:t xml:space="preserve">transport. </w:t>
      </w:r>
      <w:r>
        <w:t>In this document, t</w:t>
      </w:r>
      <w:r w:rsidRPr="00C445D6">
        <w:t xml:space="preserve">he expert </w:t>
      </w:r>
      <w:r w:rsidR="009A518B">
        <w:t>from</w:t>
      </w:r>
      <w:r w:rsidRPr="00C445D6">
        <w:t xml:space="preserve"> the Netherlands proposes </w:t>
      </w:r>
      <w:r>
        <w:t xml:space="preserve">an </w:t>
      </w:r>
      <w:r w:rsidRPr="00C445D6">
        <w:t xml:space="preserve">approach </w:t>
      </w:r>
      <w:r>
        <w:t xml:space="preserve">which attempt to </w:t>
      </w:r>
      <w:proofErr w:type="gramStart"/>
      <w:r>
        <w:t>take in</w:t>
      </w:r>
      <w:r w:rsidRPr="00C445D6">
        <w:t xml:space="preserve">to </w:t>
      </w:r>
      <w:r>
        <w:t>account</w:t>
      </w:r>
      <w:proofErr w:type="gramEnd"/>
      <w:r>
        <w:t xml:space="preserve"> the views expressed during the discussions.</w:t>
      </w:r>
    </w:p>
    <w:p w:rsidR="00BA7BB3" w:rsidRPr="003F2671" w:rsidRDefault="00BA7BB3" w:rsidP="00BA7BB3">
      <w:pPr>
        <w:pStyle w:val="SingleTxtG"/>
        <w:rPr>
          <w:lang w:val="en-US"/>
        </w:rPr>
      </w:pPr>
      <w:r>
        <w:lastRenderedPageBreak/>
        <w:t>3.</w:t>
      </w:r>
      <w:r>
        <w:tab/>
        <w:t>Although regulatory clarity is most urgently needed for data loggers containing lithium batteries, a broader range of products and technologies will benefit from the same regulatory clarity and reduce the need for multiple ad hoc exemptions for equipment and technologies in use during transport.</w:t>
      </w:r>
      <w:r>
        <w:rPr>
          <w:lang w:val="en-US"/>
        </w:rPr>
        <w:t>The proposals therefore contain provisions that apply to a broader range of equipment in use or intended for use during transport than data loggers, and a broader range of electric energy production and storage technologies than lithium batteries. These provisions are inspired by similar exemptions in place for European land transport in section 1.1.3.7 of RID/ADR.</w:t>
      </w:r>
    </w:p>
    <w:p w:rsidR="00BA7BB3" w:rsidRPr="00540DA7" w:rsidRDefault="00BA7BB3" w:rsidP="00BA7BB3">
      <w:pPr>
        <w:pStyle w:val="SingleTxtG"/>
        <w:rPr>
          <w:lang w:val="en-US"/>
        </w:rPr>
      </w:pPr>
      <w:r>
        <w:rPr>
          <w:lang w:val="en-US"/>
        </w:rPr>
        <w:t>4.</w:t>
      </w:r>
      <w:r>
        <w:rPr>
          <w:lang w:val="en-US"/>
        </w:rPr>
        <w:tab/>
        <w:t>During the discussions, it was broadly agreed</w:t>
      </w:r>
      <w:r w:rsidRPr="00540DA7">
        <w:rPr>
          <w:lang w:val="en-US"/>
        </w:rPr>
        <w:t xml:space="preserve"> that</w:t>
      </w:r>
      <w:r>
        <w:rPr>
          <w:lang w:val="en-US"/>
        </w:rPr>
        <w:t xml:space="preserve"> data loggers and other</w:t>
      </w:r>
      <w:r w:rsidRPr="00540DA7">
        <w:rPr>
          <w:lang w:val="en-US"/>
        </w:rPr>
        <w:t xml:space="preserve"> </w:t>
      </w:r>
      <w:r>
        <w:rPr>
          <w:lang w:val="en-US"/>
        </w:rPr>
        <w:t xml:space="preserve">equipment containing </w:t>
      </w:r>
      <w:r w:rsidRPr="00540DA7">
        <w:rPr>
          <w:lang w:val="en-US"/>
        </w:rPr>
        <w:t xml:space="preserve">electric energy storage and production systems installed in the means of transport </w:t>
      </w:r>
      <w:r>
        <w:rPr>
          <w:lang w:val="en-US"/>
        </w:rPr>
        <w:t xml:space="preserve">performing the transport operation fall under the existing exemptions of </w:t>
      </w:r>
      <w:r w:rsidRPr="00540DA7">
        <w:rPr>
          <w:lang w:val="en-US"/>
        </w:rPr>
        <w:t>section 1.1.1.2 (a</w:t>
      </w:r>
      <w:r>
        <w:rPr>
          <w:lang w:val="en-US"/>
        </w:rPr>
        <w:t>). These specify</w:t>
      </w:r>
      <w:r w:rsidRPr="00540DA7">
        <w:rPr>
          <w:lang w:val="en-US"/>
        </w:rPr>
        <w:t xml:space="preserve"> that the Model Regulations do not apply to dangerous goods required for the operation of specialized equipment of the means of transport </w:t>
      </w:r>
      <w:r>
        <w:rPr>
          <w:lang w:val="en-US"/>
        </w:rPr>
        <w:t>performing the</w:t>
      </w:r>
      <w:r w:rsidRPr="00540DA7">
        <w:rPr>
          <w:lang w:val="en-US"/>
        </w:rPr>
        <w:t xml:space="preserve"> transport </w:t>
      </w:r>
      <w:r>
        <w:rPr>
          <w:lang w:val="en-US"/>
        </w:rPr>
        <w:t>operation</w:t>
      </w:r>
      <w:r w:rsidRPr="00540DA7">
        <w:rPr>
          <w:lang w:val="en-US"/>
        </w:rPr>
        <w:t>.</w:t>
      </w:r>
      <w:r>
        <w:rPr>
          <w:lang w:val="en-US"/>
        </w:rPr>
        <w:t xml:space="preserve"> For clarification, proposal 1 in paragraph 10 adds</w:t>
      </w:r>
      <w:r w:rsidRPr="00540DA7">
        <w:rPr>
          <w:lang w:val="en-US"/>
        </w:rPr>
        <w:t xml:space="preserve"> electric energy storage and production systems to the list of the examples in 1.1.1.2 (a). </w:t>
      </w:r>
    </w:p>
    <w:p w:rsidR="00BA7BB3" w:rsidRDefault="00BA7BB3" w:rsidP="00BA7BB3">
      <w:pPr>
        <w:pStyle w:val="SingleTxtG"/>
      </w:pPr>
      <w:r>
        <w:rPr>
          <w:lang w:val="en-US"/>
        </w:rPr>
        <w:t>5.</w:t>
      </w:r>
      <w:r>
        <w:rPr>
          <w:lang w:val="en-US"/>
        </w:rPr>
        <w:tab/>
        <w:t>For data loggers and other equipment</w:t>
      </w:r>
      <w:r>
        <w:t xml:space="preserve"> in use </w:t>
      </w:r>
      <w:r w:rsidRPr="004B5DF7">
        <w:t>or intended for use during transport</w:t>
      </w:r>
      <w:r>
        <w:t xml:space="preserve"> </w:t>
      </w:r>
      <w:r w:rsidRPr="000549D5">
        <w:t>attached to or contained in packaging, large packaging, IBCs or cargo transport units</w:t>
      </w:r>
      <w:r>
        <w:t xml:space="preserve"> etc., there were varying views on which</w:t>
      </w:r>
      <w:r w:rsidR="009A518B">
        <w:t>,</w:t>
      </w:r>
      <w:r>
        <w:t xml:space="preserve"> if any</w:t>
      </w:r>
      <w:r w:rsidR="009A518B">
        <w:t>,</w:t>
      </w:r>
      <w:r>
        <w:t xml:space="preserve"> provisions were needed in the Model Regulations. It was generally agreed that they should not and could not be required to comply with all the provisions that are applicable for consignments, such as marking, labelling and packaging. </w:t>
      </w:r>
    </w:p>
    <w:p w:rsidR="00BA7BB3" w:rsidRDefault="00BA7BB3" w:rsidP="00BA7BB3">
      <w:pPr>
        <w:pStyle w:val="SingleTxtG"/>
      </w:pPr>
      <w:r>
        <w:t>6.</w:t>
      </w:r>
      <w:r>
        <w:tab/>
        <w:t xml:space="preserve">With regard to construction and test performance requirements for data loggers and other equipment in use </w:t>
      </w:r>
      <w:r w:rsidRPr="004B5DF7">
        <w:t>during transport</w:t>
      </w:r>
      <w:r>
        <w:t xml:space="preserve"> </w:t>
      </w:r>
      <w:r w:rsidRPr="000549D5">
        <w:t>attached to or contained in packaging, large packaging, IBCs or cargo transport units</w:t>
      </w:r>
      <w:r>
        <w:t xml:space="preserve"> etc., some considered that no additional provisions</w:t>
      </w:r>
      <w:r w:rsidDel="00CA4A28">
        <w:t xml:space="preserve"> </w:t>
      </w:r>
      <w:r>
        <w:t xml:space="preserve">are needed in the Model Regulations since the requirements of the Model Regulations must already be complied with when </w:t>
      </w:r>
      <w:proofErr w:type="gramStart"/>
      <w:r>
        <w:t>these equipment</w:t>
      </w:r>
      <w:proofErr w:type="gramEnd"/>
      <w:r>
        <w:t xml:space="preserve"> are transported as a consignment. However, others </w:t>
      </w:r>
      <w:proofErr w:type="gramStart"/>
      <w:r>
        <w:t>were of the opinion that</w:t>
      </w:r>
      <w:proofErr w:type="gramEnd"/>
      <w:r>
        <w:t xml:space="preserve"> basic construction and performance requirements are necessary for safety and multimodal harmonisation. </w:t>
      </w:r>
    </w:p>
    <w:p w:rsidR="00BA7BB3" w:rsidRPr="000E04CB" w:rsidRDefault="00BA7BB3" w:rsidP="00BA7BB3">
      <w:pPr>
        <w:pStyle w:val="SingleTxtG"/>
        <w:rPr>
          <w:bCs/>
        </w:rPr>
      </w:pPr>
      <w:r>
        <w:t>7.</w:t>
      </w:r>
      <w:r>
        <w:tab/>
        <w:t>While more fundamental discussion is needed to accommodate all the views expressed, t</w:t>
      </w:r>
      <w:r>
        <w:rPr>
          <w:lang w:val="en-US"/>
        </w:rPr>
        <w:t xml:space="preserve">he expert </w:t>
      </w:r>
      <w:r w:rsidR="009A518B">
        <w:rPr>
          <w:lang w:val="en-US"/>
        </w:rPr>
        <w:t>from</w:t>
      </w:r>
      <w:r>
        <w:rPr>
          <w:lang w:val="en-US"/>
        </w:rPr>
        <w:t xml:space="preserve"> the Netherlands proposes as a constructive </w:t>
      </w:r>
      <w:r w:rsidRPr="00E61CAB">
        <w:rPr>
          <w:lang w:val="en-US"/>
        </w:rPr>
        <w:t>compromise</w:t>
      </w:r>
      <w:r>
        <w:rPr>
          <w:lang w:val="en-US"/>
        </w:rPr>
        <w:t xml:space="preserve"> to introduce a new paragraph 1.1.1.10 and a new section 5.5.4 as shown in proposal 2 in paragraph 10 of this </w:t>
      </w:r>
      <w:r w:rsidR="009A518B">
        <w:rPr>
          <w:lang w:val="en-US"/>
        </w:rPr>
        <w:t>document</w:t>
      </w:r>
      <w:r>
        <w:rPr>
          <w:lang w:val="en-US"/>
        </w:rPr>
        <w:t xml:space="preserve">. </w:t>
      </w:r>
    </w:p>
    <w:p w:rsidR="00BA7BB3" w:rsidRDefault="00BA7BB3" w:rsidP="00BA7BB3">
      <w:pPr>
        <w:pStyle w:val="SingleTxtG"/>
        <w:rPr>
          <w:lang w:val="en-US"/>
        </w:rPr>
      </w:pPr>
      <w:r>
        <w:rPr>
          <w:lang w:val="en-US"/>
        </w:rPr>
        <w:t>8.</w:t>
      </w:r>
      <w:r>
        <w:rPr>
          <w:lang w:val="en-US"/>
        </w:rPr>
        <w:tab/>
      </w:r>
      <w:r>
        <w:t xml:space="preserve">The new paragraph 1.1.1.10 specifies that </w:t>
      </w:r>
      <w:r w:rsidRPr="00526145">
        <w:rPr>
          <w:lang w:val="en-US"/>
        </w:rPr>
        <w:t xml:space="preserve">electric energy storage and production systems </w:t>
      </w:r>
      <w:r>
        <w:rPr>
          <w:lang w:val="en-US"/>
        </w:rPr>
        <w:t xml:space="preserve">and equipment containing such systems </w:t>
      </w:r>
      <w:r w:rsidRPr="00526145">
        <w:t>attached to or contained in packaging, large packaging, IBCs or cargo transport units</w:t>
      </w:r>
      <w:r>
        <w:t xml:space="preserve"> in use or intended for use</w:t>
      </w:r>
      <w:r w:rsidR="009A518B">
        <w:t>,</w:t>
      </w:r>
      <w:r>
        <w:t xml:space="preserve"> are only subject to the provisions of the new section 5.5.4. Section 5.5.4 specifies that they must comply with the same construction and test performance requirements as are required when they are transported as a consignment. These provisions provide basic </w:t>
      </w:r>
      <w:r w:rsidRPr="00DD477D">
        <w:t xml:space="preserve">requirements </w:t>
      </w:r>
      <w:r>
        <w:rPr>
          <w:bCs/>
        </w:rPr>
        <w:t xml:space="preserve">to facilitate multimodal harmonisation and safety. </w:t>
      </w:r>
      <w:r>
        <w:rPr>
          <w:lang w:val="en-US"/>
        </w:rPr>
        <w:t>Further provisions</w:t>
      </w:r>
      <w:r w:rsidRPr="00083B67">
        <w:rPr>
          <w:lang w:val="en-US"/>
        </w:rPr>
        <w:t xml:space="preserve"> </w:t>
      </w:r>
      <w:r>
        <w:rPr>
          <w:lang w:val="en-US"/>
        </w:rPr>
        <w:t xml:space="preserve">needed for </w:t>
      </w:r>
      <w:r w:rsidRPr="00083B67">
        <w:rPr>
          <w:lang w:val="en-US"/>
        </w:rPr>
        <w:t>operational safety</w:t>
      </w:r>
      <w:r>
        <w:rPr>
          <w:lang w:val="en-US"/>
        </w:rPr>
        <w:t xml:space="preserve"> by the modal bodies may be left to the consideration of each mode. </w:t>
      </w:r>
    </w:p>
    <w:p w:rsidR="00BA7BB3" w:rsidRPr="00BF7605" w:rsidRDefault="00BA7BB3" w:rsidP="00BA7BB3">
      <w:pPr>
        <w:pStyle w:val="SingleTxtG"/>
        <w:rPr>
          <w:bCs/>
        </w:rPr>
      </w:pPr>
      <w:r>
        <w:rPr>
          <w:lang w:val="en-US"/>
        </w:rPr>
        <w:t>9.</w:t>
      </w:r>
      <w:r>
        <w:rPr>
          <w:lang w:val="en-US"/>
        </w:rPr>
        <w:tab/>
        <w:t>These provisions would come in place of the provisions for a new 1.1.1.2 (c) that were adopted within square brackets during the fifty-first session of the Sub-Committee. This is the subject of proposal 3 in paragraph 12.</w:t>
      </w:r>
    </w:p>
    <w:p w:rsidR="00BA7BB3" w:rsidRPr="00A57654" w:rsidRDefault="00BA7BB3" w:rsidP="00BA7BB3">
      <w:pPr>
        <w:pStyle w:val="HChG"/>
      </w:pPr>
      <w:r>
        <w:tab/>
      </w:r>
      <w:r>
        <w:tab/>
      </w:r>
      <w:r w:rsidRPr="00A57654">
        <w:t>Proposal</w:t>
      </w:r>
      <w:r>
        <w:t xml:space="preserve"> 1</w:t>
      </w:r>
      <w:r w:rsidRPr="00A57654">
        <w:t xml:space="preserve"> </w:t>
      </w:r>
    </w:p>
    <w:p w:rsidR="00BA7BB3" w:rsidRDefault="00BA7BB3" w:rsidP="00BA7BB3">
      <w:pPr>
        <w:pStyle w:val="SingleTxtG"/>
      </w:pPr>
      <w:r>
        <w:t>10.</w:t>
      </w:r>
      <w:r>
        <w:tab/>
        <w:t xml:space="preserve">For electric energy production and storage systems installed in the means of transport, modify 1.1.1.2 (a) by adding electric energy storage and production systems to the list of examples as shown below with additions in </w:t>
      </w:r>
      <w:r>
        <w:rPr>
          <w:u w:val="single"/>
        </w:rPr>
        <w:t>underlined</w:t>
      </w:r>
      <w:r>
        <w:t xml:space="preserve"> font:</w:t>
      </w:r>
    </w:p>
    <w:p w:rsidR="00BA7BB3" w:rsidRPr="00597FAD" w:rsidRDefault="00BA7BB3" w:rsidP="00BA7BB3">
      <w:pPr>
        <w:pStyle w:val="SingleTxtG"/>
        <w:ind w:firstLine="567"/>
      </w:pPr>
      <w:r>
        <w:t>“</w:t>
      </w:r>
      <w:r w:rsidRPr="00597FAD">
        <w:t>1.1.1.2</w:t>
      </w:r>
      <w:r w:rsidRPr="00597FAD">
        <w:tab/>
      </w:r>
      <w:r>
        <w:t xml:space="preserve"> </w:t>
      </w:r>
      <w:r w:rsidRPr="00597FAD">
        <w:t xml:space="preserve">These regulations do not apply to the transport of </w:t>
      </w:r>
    </w:p>
    <w:p w:rsidR="00BA7BB3" w:rsidRDefault="00BA7BB3" w:rsidP="00BA7BB3">
      <w:pPr>
        <w:pStyle w:val="SingleTxtG"/>
        <w:ind w:left="1701"/>
      </w:pPr>
      <w:r w:rsidRPr="00597FAD">
        <w:lastRenderedPageBreak/>
        <w:t>(a)</w:t>
      </w:r>
      <w:r w:rsidRPr="00597FAD">
        <w:tab/>
        <w:t xml:space="preserve">Dangerous goods that are required for the propulsion of the means of transport or the operation of its specialized equipment during transport (e.g. refrigeration units, </w:t>
      </w:r>
      <w:r w:rsidRPr="00F31755">
        <w:rPr>
          <w:u w:val="single"/>
        </w:rPr>
        <w:t>electric energy storage and production systems</w:t>
      </w:r>
      <w:r w:rsidRPr="008F092A">
        <w:t>)</w:t>
      </w:r>
      <w:r w:rsidRPr="00597FAD">
        <w:t xml:space="preserve"> or that are required in accordance with the operating regulations (e.g. fire extinguishers);</w:t>
      </w:r>
      <w:r>
        <w:t xml:space="preserve">” </w:t>
      </w:r>
    </w:p>
    <w:p w:rsidR="00BA7BB3" w:rsidRPr="00526145" w:rsidRDefault="00BA7BB3" w:rsidP="00BA7BB3">
      <w:pPr>
        <w:pStyle w:val="HChG"/>
      </w:pPr>
      <w:r>
        <w:tab/>
      </w:r>
      <w:r>
        <w:tab/>
      </w:r>
      <w:r w:rsidRPr="00526145">
        <w:t>Proposal 2</w:t>
      </w:r>
    </w:p>
    <w:p w:rsidR="00BA7BB3" w:rsidRDefault="00BA7BB3" w:rsidP="00BA7BB3">
      <w:pPr>
        <w:pStyle w:val="SingleTxtG"/>
      </w:pPr>
      <w:r>
        <w:t>11.</w:t>
      </w:r>
      <w:r>
        <w:tab/>
        <w:t xml:space="preserve">For </w:t>
      </w:r>
      <w:r w:rsidRPr="00526145">
        <w:rPr>
          <w:lang w:val="en-US"/>
        </w:rPr>
        <w:t xml:space="preserve">electric energy storage and production systems </w:t>
      </w:r>
      <w:r>
        <w:rPr>
          <w:lang w:val="en-US"/>
        </w:rPr>
        <w:t xml:space="preserve">and equipment containing such systems </w:t>
      </w:r>
      <w:r w:rsidRPr="00526145">
        <w:t>attached to or contained in packaging, large packaging, IBCs or cargo transport units</w:t>
      </w:r>
      <w:r>
        <w:t xml:space="preserve">, add a new paragraph 1.1.1.10 </w:t>
      </w:r>
      <w:r w:rsidR="009A518B">
        <w:t xml:space="preserve">in Chapter 11 </w:t>
      </w:r>
      <w:r>
        <w:t>and a new section 5.5.4</w:t>
      </w:r>
      <w:r w:rsidR="009A518B">
        <w:t xml:space="preserve"> in Chapter 5.5</w:t>
      </w:r>
      <w:r>
        <w:t xml:space="preserve">. Additions are shown in </w:t>
      </w:r>
      <w:r>
        <w:rPr>
          <w:u w:val="single"/>
        </w:rPr>
        <w:t>underlined</w:t>
      </w:r>
      <w:r>
        <w:t xml:space="preserve"> font:</w:t>
      </w:r>
    </w:p>
    <w:p w:rsidR="00BA7BB3" w:rsidRPr="00BA7BB3" w:rsidRDefault="00BA7BB3" w:rsidP="00BA7BB3">
      <w:pPr>
        <w:pStyle w:val="SingleTxtG"/>
        <w:ind w:left="1701"/>
        <w:rPr>
          <w:u w:val="single"/>
        </w:rPr>
      </w:pPr>
      <w:r w:rsidRPr="00BA7BB3">
        <w:rPr>
          <w:u w:val="single"/>
        </w:rPr>
        <w:t>“1.1.1.10</w:t>
      </w:r>
      <w:r w:rsidRPr="00BA7BB3">
        <w:rPr>
          <w:u w:val="single"/>
        </w:rPr>
        <w:tab/>
        <w:t>Electric energy storage and production systems and equipment containing such systems in use or intended for use during transport.</w:t>
      </w:r>
    </w:p>
    <w:p w:rsidR="00BA7BB3" w:rsidRPr="00BA7BB3" w:rsidRDefault="00BA7BB3" w:rsidP="00BA7BB3">
      <w:pPr>
        <w:pStyle w:val="SingleTxtG"/>
        <w:ind w:left="1701"/>
        <w:rPr>
          <w:u w:val="single"/>
        </w:rPr>
      </w:pPr>
      <w:r w:rsidRPr="00BA7BB3">
        <w:rPr>
          <w:u w:val="single"/>
        </w:rPr>
        <w:t>Electric energy storage and production systems (e.g. lithium batteries, electric capacitors, asymmetric capacitors, metal hydride storage systems, and fuel cells) and equipment containing such systems attached to or contained in packaging, large packaging, IBCs or cargo transport units in use or intended for use during transport are only subject to the provisions of section 5.5.4.”</w:t>
      </w:r>
    </w:p>
    <w:p w:rsidR="00BA7BB3" w:rsidRPr="00BA7BB3" w:rsidRDefault="00BA7BB3" w:rsidP="00BA7BB3">
      <w:pPr>
        <w:pStyle w:val="H23G"/>
        <w:tabs>
          <w:tab w:val="clear" w:pos="851"/>
        </w:tabs>
        <w:ind w:left="1701" w:firstLine="0"/>
        <w:rPr>
          <w:u w:val="single"/>
        </w:rPr>
      </w:pPr>
      <w:r w:rsidRPr="00BA7BB3">
        <w:rPr>
          <w:u w:val="single"/>
        </w:rPr>
        <w:t xml:space="preserve"> “5.5.4</w:t>
      </w:r>
      <w:r w:rsidRPr="00BA7BB3">
        <w:rPr>
          <w:u w:val="single"/>
        </w:rPr>
        <w:tab/>
      </w:r>
      <w:r w:rsidRPr="00BA7BB3">
        <w:rPr>
          <w:u w:val="single"/>
        </w:rPr>
        <w:tab/>
        <w:t>Special provisions applicable to electric energy storage and production systems in use or intended for use during transport.</w:t>
      </w:r>
    </w:p>
    <w:p w:rsidR="00BA7BB3" w:rsidRPr="00F31755" w:rsidRDefault="00BA7BB3" w:rsidP="00BA7BB3">
      <w:pPr>
        <w:tabs>
          <w:tab w:val="left" w:pos="851"/>
        </w:tabs>
        <w:spacing w:after="120"/>
        <w:ind w:left="1701" w:right="1134"/>
        <w:jc w:val="both"/>
        <w:rPr>
          <w:u w:val="single"/>
          <w:lang w:val="en-US"/>
        </w:rPr>
      </w:pPr>
      <w:r w:rsidRPr="00F31755">
        <w:rPr>
          <w:u w:val="single"/>
        </w:rPr>
        <w:t>5.5.4.1</w:t>
      </w:r>
      <w:r w:rsidRPr="00F31755">
        <w:rPr>
          <w:u w:val="single"/>
        </w:rPr>
        <w:tab/>
      </w:r>
      <w:r w:rsidRPr="00F31755">
        <w:rPr>
          <w:u w:val="single"/>
        </w:rPr>
        <w:tab/>
      </w:r>
      <w:r w:rsidRPr="00F31755">
        <w:rPr>
          <w:u w:val="single"/>
          <w:lang w:val="en-US"/>
        </w:rPr>
        <w:t xml:space="preserve">This section is not applicable to electric storage and production systems </w:t>
      </w:r>
      <w:r>
        <w:rPr>
          <w:u w:val="single"/>
        </w:rPr>
        <w:t xml:space="preserve">(e.g. lithium batteries, electric capacitors, asymmetric capacitors, metal hydride storage systems and fuel cells) and equipment containing such systems </w:t>
      </w:r>
      <w:r w:rsidRPr="00F31755">
        <w:rPr>
          <w:u w:val="single"/>
          <w:lang w:val="en-US"/>
        </w:rPr>
        <w:t xml:space="preserve">when transported as a consignment. When transported as a consignment, </w:t>
      </w:r>
      <w:r>
        <w:rPr>
          <w:u w:val="single"/>
          <w:lang w:val="en-US"/>
        </w:rPr>
        <w:t>they</w:t>
      </w:r>
      <w:r w:rsidRPr="00F31755">
        <w:rPr>
          <w:u w:val="single"/>
          <w:lang w:val="en-US"/>
        </w:rPr>
        <w:t xml:space="preserve"> shall be transported under the relevant entry of the Dangerous Goods List in Chapter 3.2 in accordance with the associated conditions of transport. </w:t>
      </w:r>
    </w:p>
    <w:p w:rsidR="00BA7BB3" w:rsidRPr="00F31755" w:rsidRDefault="00BA7BB3" w:rsidP="00BA7BB3">
      <w:pPr>
        <w:tabs>
          <w:tab w:val="left" w:pos="851"/>
        </w:tabs>
        <w:spacing w:after="120"/>
        <w:ind w:left="1701" w:right="1134"/>
        <w:jc w:val="both"/>
        <w:rPr>
          <w:u w:val="single"/>
        </w:rPr>
      </w:pPr>
      <w:r w:rsidRPr="00F31755">
        <w:rPr>
          <w:u w:val="single"/>
          <w:lang w:val="en-US"/>
        </w:rPr>
        <w:t>5.5.4.2</w:t>
      </w:r>
      <w:r w:rsidRPr="00F31755">
        <w:rPr>
          <w:u w:val="single"/>
          <w:lang w:val="en-US"/>
        </w:rPr>
        <w:tab/>
      </w:r>
      <w:r w:rsidRPr="00F31755">
        <w:rPr>
          <w:u w:val="single"/>
          <w:lang w:val="en-US"/>
        </w:rPr>
        <w:tab/>
      </w:r>
      <w:r>
        <w:rPr>
          <w:u w:val="single"/>
          <w:lang w:val="en-US"/>
        </w:rPr>
        <w:t>Electric</w:t>
      </w:r>
      <w:r w:rsidRPr="00F31755">
        <w:rPr>
          <w:u w:val="single"/>
        </w:rPr>
        <w:t xml:space="preserve"> energy storage and production systems</w:t>
      </w:r>
      <w:r>
        <w:rPr>
          <w:u w:val="single"/>
        </w:rPr>
        <w:t xml:space="preserve"> and equipment containing such systems</w:t>
      </w:r>
      <w:r w:rsidRPr="00F31755">
        <w:rPr>
          <w:u w:val="single"/>
        </w:rPr>
        <w:t xml:space="preserve"> in use or intended for use during transport attached to or contained in packaging, large packaging, IBC</w:t>
      </w:r>
      <w:r>
        <w:rPr>
          <w:u w:val="single"/>
        </w:rPr>
        <w:t>s or cargo transport units,</w:t>
      </w:r>
      <w:r w:rsidRPr="00F31755">
        <w:rPr>
          <w:u w:val="single"/>
        </w:rPr>
        <w:t xml:space="preserve"> are not subject to any other provisions of these Regulations than those of this section.</w:t>
      </w:r>
    </w:p>
    <w:p w:rsidR="00BA7BB3" w:rsidRDefault="00BA7BB3" w:rsidP="00BA7BB3">
      <w:pPr>
        <w:tabs>
          <w:tab w:val="left" w:pos="851"/>
        </w:tabs>
        <w:spacing w:after="120"/>
        <w:ind w:left="1701" w:right="1134"/>
        <w:jc w:val="both"/>
        <w:rPr>
          <w:u w:val="single"/>
        </w:rPr>
      </w:pPr>
      <w:r w:rsidRPr="00F31755">
        <w:rPr>
          <w:u w:val="single"/>
        </w:rPr>
        <w:t>5.5.4.</w:t>
      </w:r>
      <w:r>
        <w:rPr>
          <w:u w:val="single"/>
        </w:rPr>
        <w:t>3</w:t>
      </w:r>
      <w:r w:rsidRPr="00F31755">
        <w:rPr>
          <w:u w:val="single"/>
        </w:rPr>
        <w:tab/>
      </w:r>
      <w:r w:rsidRPr="00F31755">
        <w:rPr>
          <w:u w:val="single"/>
        </w:rPr>
        <w:tab/>
        <w:t xml:space="preserve">The electric energy storage and production systems shall meet the </w:t>
      </w:r>
      <w:r w:rsidRPr="006A192B">
        <w:rPr>
          <w:u w:val="single"/>
        </w:rPr>
        <w:t>construction</w:t>
      </w:r>
      <w:r>
        <w:rPr>
          <w:u w:val="single"/>
        </w:rPr>
        <w:t xml:space="preserve"> and test performance</w:t>
      </w:r>
      <w:r w:rsidRPr="006A192B">
        <w:rPr>
          <w:u w:val="single"/>
        </w:rPr>
        <w:t xml:space="preserve"> criteria specified in these Regulations </w:t>
      </w:r>
      <w:r>
        <w:rPr>
          <w:u w:val="single"/>
        </w:rPr>
        <w:t>in 2.9.4 (a)-(g) or in the relevant special provisions such as 328, 339, 361 or 372 as applicable.</w:t>
      </w:r>
    </w:p>
    <w:p w:rsidR="00BA7BB3" w:rsidRPr="00F31755" w:rsidRDefault="00BA7BB3" w:rsidP="00BA7BB3">
      <w:pPr>
        <w:tabs>
          <w:tab w:val="left" w:pos="851"/>
        </w:tabs>
        <w:spacing w:after="120"/>
        <w:ind w:left="1701" w:right="1134"/>
        <w:jc w:val="both"/>
        <w:rPr>
          <w:u w:val="single"/>
        </w:rPr>
      </w:pPr>
      <w:r w:rsidRPr="00F31755">
        <w:rPr>
          <w:u w:val="single"/>
        </w:rPr>
        <w:t>5.5.4.</w:t>
      </w:r>
      <w:r>
        <w:rPr>
          <w:u w:val="single"/>
        </w:rPr>
        <w:t>4</w:t>
      </w:r>
      <w:r w:rsidRPr="00F31755">
        <w:rPr>
          <w:u w:val="single"/>
        </w:rPr>
        <w:tab/>
      </w:r>
      <w:r w:rsidRPr="00F31755">
        <w:rPr>
          <w:u w:val="single"/>
        </w:rPr>
        <w:tab/>
      </w:r>
      <w:r>
        <w:rPr>
          <w:u w:val="single"/>
        </w:rPr>
        <w:t>Equipment containing electric energy and storage systems</w:t>
      </w:r>
      <w:r w:rsidRPr="00F31755">
        <w:rPr>
          <w:u w:val="single"/>
        </w:rPr>
        <w:t xml:space="preserve"> shall be strong enough to withstand the shocks and loadings normally encountered during transport. </w:t>
      </w:r>
    </w:p>
    <w:p w:rsidR="00BA7BB3" w:rsidRPr="000717B8" w:rsidRDefault="00BA7BB3" w:rsidP="00BA7BB3">
      <w:pPr>
        <w:pStyle w:val="HChG"/>
      </w:pPr>
      <w:r>
        <w:tab/>
      </w:r>
      <w:r>
        <w:tab/>
      </w:r>
      <w:r w:rsidRPr="00526145">
        <w:t xml:space="preserve">Proposal </w:t>
      </w:r>
      <w:r>
        <w:t>3</w:t>
      </w:r>
      <w:bookmarkStart w:id="0" w:name="_GoBack"/>
      <w:bookmarkEnd w:id="0"/>
    </w:p>
    <w:p w:rsidR="00BA7BB3" w:rsidRPr="000717B8" w:rsidRDefault="00BA7BB3" w:rsidP="00BA7BB3">
      <w:pPr>
        <w:pStyle w:val="SingleTxtG"/>
      </w:pPr>
      <w:r>
        <w:t>12.</w:t>
      </w:r>
      <w:r>
        <w:tab/>
        <w:t xml:space="preserve">Delete the text for a new paragraph 1.1.1.2 (c) </w:t>
      </w:r>
      <w:r w:rsidR="009A518B">
        <w:t xml:space="preserve">adopted </w:t>
      </w:r>
      <w:r>
        <w:t xml:space="preserve">within square brackets at the </w:t>
      </w:r>
      <w:r w:rsidR="009A518B">
        <w:t>fifty-first</w:t>
      </w:r>
      <w:r>
        <w:t xml:space="preserve"> session</w:t>
      </w:r>
      <w:r w:rsidR="009A518B">
        <w:t xml:space="preserve"> (see ST/SG/AC.10/C.3/2018/65)</w:t>
      </w:r>
      <w:r>
        <w:t>.</w:t>
      </w:r>
    </w:p>
    <w:p w:rsidR="00BA7BB3" w:rsidRPr="00702DB4" w:rsidRDefault="00BA7BB3" w:rsidP="00BA7BB3">
      <w:pPr>
        <w:pStyle w:val="SingleTxtG"/>
        <w:spacing w:before="240" w:after="0"/>
        <w:jc w:val="center"/>
        <w:rPr>
          <w:u w:val="single"/>
        </w:rPr>
      </w:pPr>
      <w:r>
        <w:rPr>
          <w:u w:val="single"/>
        </w:rPr>
        <w:tab/>
      </w:r>
      <w:r>
        <w:rPr>
          <w:u w:val="single"/>
        </w:rPr>
        <w:tab/>
      </w:r>
      <w:r>
        <w:rPr>
          <w:u w:val="single"/>
        </w:rPr>
        <w:tab/>
      </w:r>
      <w:r>
        <w:rPr>
          <w:u w:val="single"/>
        </w:rPr>
        <w:tab/>
      </w:r>
    </w:p>
    <w:p w:rsidR="0078270D" w:rsidRDefault="0078270D" w:rsidP="00E41283"/>
    <w:sectPr w:rsidR="0078270D" w:rsidSect="00D86516">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36F" w:rsidRDefault="00DF236F"/>
  </w:endnote>
  <w:endnote w:type="continuationSeparator" w:id="0">
    <w:p w:rsidR="00DF236F" w:rsidRDefault="00DF236F"/>
  </w:endnote>
  <w:endnote w:type="continuationNotice" w:id="1">
    <w:p w:rsidR="00DF236F" w:rsidRDefault="00DF2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9C67CC" w:rsidRDefault="00100242">
    <w:pPr>
      <w:pStyle w:val="Footer"/>
      <w:rPr>
        <w:b/>
      </w:rPr>
    </w:pPr>
    <w:r w:rsidRPr="009C67CC">
      <w:rPr>
        <w:b/>
      </w:rPr>
      <w:fldChar w:fldCharType="begin"/>
    </w:r>
    <w:r w:rsidRPr="009C67CC">
      <w:rPr>
        <w:b/>
      </w:rPr>
      <w:instrText xml:space="preserve"> PAGE   \* MERGEFORMAT </w:instrText>
    </w:r>
    <w:r w:rsidRPr="009C67CC">
      <w:rPr>
        <w:b/>
      </w:rPr>
      <w:fldChar w:fldCharType="separate"/>
    </w:r>
    <w:r w:rsidR="0027776D">
      <w:rPr>
        <w:b/>
        <w:noProof/>
      </w:rPr>
      <w:t>2</w:t>
    </w:r>
    <w:r w:rsidRPr="009C67CC">
      <w:rPr>
        <w:b/>
        <w:noProof/>
      </w:rPr>
      <w:fldChar w:fldCharType="end"/>
    </w:r>
  </w:p>
  <w:p w:rsidR="00100242" w:rsidRDefault="0010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9D58C1" w:rsidRDefault="0010024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27776D">
      <w:rPr>
        <w:b/>
        <w:noProof/>
        <w:sz w:val="18"/>
        <w:szCs w:val="18"/>
      </w:rPr>
      <w:t>3</w:t>
    </w:r>
    <w:r w:rsidRPr="009D58C1">
      <w:rPr>
        <w:b/>
        <w:noProof/>
        <w:sz w:val="18"/>
        <w:szCs w:val="18"/>
      </w:rPr>
      <w:fldChar w:fldCharType="end"/>
    </w:r>
  </w:p>
  <w:p w:rsidR="00100242" w:rsidRPr="00432CFD" w:rsidRDefault="00100242" w:rsidP="009D5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36F" w:rsidRPr="000B175B" w:rsidRDefault="00DF236F" w:rsidP="000B175B">
      <w:pPr>
        <w:tabs>
          <w:tab w:val="right" w:pos="2155"/>
        </w:tabs>
        <w:spacing w:after="80"/>
        <w:ind w:left="680"/>
        <w:rPr>
          <w:u w:val="single"/>
        </w:rPr>
      </w:pPr>
      <w:r>
        <w:rPr>
          <w:u w:val="single"/>
        </w:rPr>
        <w:tab/>
      </w:r>
    </w:p>
  </w:footnote>
  <w:footnote w:type="continuationSeparator" w:id="0">
    <w:p w:rsidR="00DF236F" w:rsidRPr="00FC68B7" w:rsidRDefault="00DF236F" w:rsidP="00FC68B7">
      <w:pPr>
        <w:tabs>
          <w:tab w:val="left" w:pos="2155"/>
        </w:tabs>
        <w:spacing w:after="80"/>
        <w:ind w:left="680"/>
        <w:rPr>
          <w:u w:val="single"/>
        </w:rPr>
      </w:pPr>
      <w:r>
        <w:rPr>
          <w:u w:val="single"/>
        </w:rPr>
        <w:tab/>
      </w:r>
    </w:p>
  </w:footnote>
  <w:footnote w:type="continuationNotice" w:id="1">
    <w:p w:rsidR="00DF236F" w:rsidRDefault="00DF236F"/>
  </w:footnote>
  <w:footnote w:id="2">
    <w:p w:rsidR="00BA7BB3" w:rsidRPr="00702DB4" w:rsidRDefault="00BA7BB3" w:rsidP="00BA7BB3">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432CFD" w:rsidRDefault="008515B7">
    <w:pPr>
      <w:pStyle w:val="Header"/>
      <w:rPr>
        <w:lang w:val="fr-CH"/>
      </w:rPr>
    </w:pPr>
    <w:r>
      <w:rPr>
        <w:lang w:val="fr-CH"/>
      </w:rPr>
      <w:t>ST/SG/AC.10/C.3/2018/109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9D58C1" w:rsidRDefault="00100242" w:rsidP="009D58C1">
    <w:pPr>
      <w:pStyle w:val="Header"/>
      <w:pBdr>
        <w:bottom w:val="single" w:sz="4" w:space="1" w:color="auto"/>
      </w:pBdr>
      <w:jc w:val="right"/>
      <w:rPr>
        <w:lang w:val="fr-CH"/>
      </w:rPr>
    </w:pPr>
    <w:r>
      <w:rPr>
        <w:lang w:val="fr-CH"/>
      </w:rPr>
      <w:t>ST/SG/AC.10/C.3/201</w:t>
    </w:r>
    <w:r w:rsidR="008129F0">
      <w:rPr>
        <w:lang w:val="fr-CH"/>
      </w:rPr>
      <w:t>8</w:t>
    </w:r>
    <w:r>
      <w:rPr>
        <w:lang w:val="fr-CH"/>
      </w:rPr>
      <w:t>/</w:t>
    </w:r>
    <w:r w:rsidR="008515B7">
      <w:rPr>
        <w:lang w:val="fr-CH"/>
      </w:rPr>
      <w:t>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242" w:rsidRPr="002E10DE" w:rsidRDefault="00100242" w:rsidP="001C21A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426A6"/>
    <w:multiLevelType w:val="hybridMultilevel"/>
    <w:tmpl w:val="4A0C0424"/>
    <w:lvl w:ilvl="0" w:tplc="2DFC7C98">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499791C"/>
    <w:multiLevelType w:val="hybridMultilevel"/>
    <w:tmpl w:val="02502E46"/>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25526916"/>
    <w:multiLevelType w:val="hybridMultilevel"/>
    <w:tmpl w:val="32507890"/>
    <w:lvl w:ilvl="0" w:tplc="0464AD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A766E"/>
    <w:multiLevelType w:val="hybridMultilevel"/>
    <w:tmpl w:val="93CA590C"/>
    <w:lvl w:ilvl="0" w:tplc="779C2722">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CD2CC9"/>
    <w:multiLevelType w:val="hybridMultilevel"/>
    <w:tmpl w:val="038687F8"/>
    <w:lvl w:ilvl="0" w:tplc="371A32E0">
      <w:start w:val="10"/>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6"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C092866"/>
    <w:multiLevelType w:val="hybridMultilevel"/>
    <w:tmpl w:val="1A50EEF4"/>
    <w:lvl w:ilvl="0" w:tplc="6D4A0AEA">
      <w:start w:val="10"/>
      <w:numFmt w:val="decimal"/>
      <w:lvlText w:val="%1."/>
      <w:lvlJc w:val="left"/>
      <w:pPr>
        <w:ind w:left="180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1845D74"/>
    <w:multiLevelType w:val="hybridMultilevel"/>
    <w:tmpl w:val="171A844C"/>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8"/>
  </w:num>
  <w:num w:numId="13">
    <w:abstractNumId w:val="12"/>
  </w:num>
  <w:num w:numId="14">
    <w:abstractNumId w:val="42"/>
  </w:num>
  <w:num w:numId="15">
    <w:abstractNumId w:val="46"/>
  </w:num>
  <w:num w:numId="16">
    <w:abstractNumId w:val="28"/>
  </w:num>
  <w:num w:numId="17">
    <w:abstractNumId w:val="26"/>
  </w:num>
  <w:num w:numId="18">
    <w:abstractNumId w:val="45"/>
  </w:num>
  <w:num w:numId="19">
    <w:abstractNumId w:val="19"/>
  </w:num>
  <w:num w:numId="20">
    <w:abstractNumId w:val="15"/>
  </w:num>
  <w:num w:numId="21">
    <w:abstractNumId w:val="27"/>
  </w:num>
  <w:num w:numId="22">
    <w:abstractNumId w:val="11"/>
  </w:num>
  <w:num w:numId="23">
    <w:abstractNumId w:val="32"/>
  </w:num>
  <w:num w:numId="24">
    <w:abstractNumId w:val="16"/>
  </w:num>
  <w:num w:numId="25">
    <w:abstractNumId w:val="21"/>
  </w:num>
  <w:num w:numId="26">
    <w:abstractNumId w:val="36"/>
  </w:num>
  <w:num w:numId="27">
    <w:abstractNumId w:val="43"/>
  </w:num>
  <w:num w:numId="28">
    <w:abstractNumId w:val="22"/>
  </w:num>
  <w:num w:numId="29">
    <w:abstractNumId w:val="25"/>
  </w:num>
  <w:num w:numId="30">
    <w:abstractNumId w:val="38"/>
  </w:num>
  <w:num w:numId="31">
    <w:abstractNumId w:val="20"/>
  </w:num>
  <w:num w:numId="32">
    <w:abstractNumId w:val="24"/>
  </w:num>
  <w:num w:numId="33">
    <w:abstractNumId w:val="35"/>
  </w:num>
  <w:num w:numId="34">
    <w:abstractNumId w:val="47"/>
  </w:num>
  <w:num w:numId="35">
    <w:abstractNumId w:val="44"/>
  </w:num>
  <w:num w:numId="36">
    <w:abstractNumId w:val="39"/>
  </w:num>
  <w:num w:numId="37">
    <w:abstractNumId w:val="14"/>
  </w:num>
  <w:num w:numId="38">
    <w:abstractNumId w:val="29"/>
  </w:num>
  <w:num w:numId="39">
    <w:abstractNumId w:val="33"/>
  </w:num>
  <w:num w:numId="40">
    <w:abstractNumId w:val="31"/>
  </w:num>
  <w:num w:numId="41">
    <w:abstractNumId w:val="10"/>
  </w:num>
  <w:num w:numId="42">
    <w:abstractNumId w:val="17"/>
  </w:num>
  <w:num w:numId="43">
    <w:abstractNumId w:val="41"/>
  </w:num>
  <w:num w:numId="44">
    <w:abstractNumId w:val="34"/>
  </w:num>
  <w:num w:numId="45">
    <w:abstractNumId w:val="37"/>
  </w:num>
  <w:num w:numId="46">
    <w:abstractNumId w:val="30"/>
  </w:num>
  <w:num w:numId="47">
    <w:abstractNumId w:val="13"/>
  </w:num>
  <w:num w:numId="4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34CF"/>
    <w:rsid w:val="00014BA7"/>
    <w:rsid w:val="00021A34"/>
    <w:rsid w:val="000230A1"/>
    <w:rsid w:val="00025E4D"/>
    <w:rsid w:val="00026046"/>
    <w:rsid w:val="0002626C"/>
    <w:rsid w:val="00027FBE"/>
    <w:rsid w:val="00031FF3"/>
    <w:rsid w:val="00034B57"/>
    <w:rsid w:val="00037FD8"/>
    <w:rsid w:val="00044B65"/>
    <w:rsid w:val="00044DE9"/>
    <w:rsid w:val="00050F6B"/>
    <w:rsid w:val="00051062"/>
    <w:rsid w:val="000540AC"/>
    <w:rsid w:val="00056542"/>
    <w:rsid w:val="00060E74"/>
    <w:rsid w:val="00062F47"/>
    <w:rsid w:val="00064A74"/>
    <w:rsid w:val="000675CC"/>
    <w:rsid w:val="00071BCB"/>
    <w:rsid w:val="00072C8C"/>
    <w:rsid w:val="0007360D"/>
    <w:rsid w:val="00074065"/>
    <w:rsid w:val="00086FBE"/>
    <w:rsid w:val="000900D2"/>
    <w:rsid w:val="00091419"/>
    <w:rsid w:val="000931C0"/>
    <w:rsid w:val="000A25EF"/>
    <w:rsid w:val="000A47C9"/>
    <w:rsid w:val="000A57F2"/>
    <w:rsid w:val="000B0A3E"/>
    <w:rsid w:val="000B175B"/>
    <w:rsid w:val="000B3A0F"/>
    <w:rsid w:val="000C0BD8"/>
    <w:rsid w:val="000C52A3"/>
    <w:rsid w:val="000D21CE"/>
    <w:rsid w:val="000D2DB2"/>
    <w:rsid w:val="000E0415"/>
    <w:rsid w:val="000E2643"/>
    <w:rsid w:val="000E3BAD"/>
    <w:rsid w:val="000F2380"/>
    <w:rsid w:val="000F5031"/>
    <w:rsid w:val="00100242"/>
    <w:rsid w:val="00105D5C"/>
    <w:rsid w:val="0010735D"/>
    <w:rsid w:val="00115198"/>
    <w:rsid w:val="00117787"/>
    <w:rsid w:val="00130B2B"/>
    <w:rsid w:val="00131714"/>
    <w:rsid w:val="00131767"/>
    <w:rsid w:val="00131D42"/>
    <w:rsid w:val="001329B7"/>
    <w:rsid w:val="001359E2"/>
    <w:rsid w:val="001415AC"/>
    <w:rsid w:val="00141AC5"/>
    <w:rsid w:val="0014274C"/>
    <w:rsid w:val="001472C9"/>
    <w:rsid w:val="0014749F"/>
    <w:rsid w:val="00147BFD"/>
    <w:rsid w:val="00150A37"/>
    <w:rsid w:val="0015390C"/>
    <w:rsid w:val="001559C5"/>
    <w:rsid w:val="00155A9F"/>
    <w:rsid w:val="0016239A"/>
    <w:rsid w:val="001633FB"/>
    <w:rsid w:val="001649AD"/>
    <w:rsid w:val="001832E7"/>
    <w:rsid w:val="00186AE8"/>
    <w:rsid w:val="0018709C"/>
    <w:rsid w:val="00191FC2"/>
    <w:rsid w:val="001A0D51"/>
    <w:rsid w:val="001B1A57"/>
    <w:rsid w:val="001B4B04"/>
    <w:rsid w:val="001C08BC"/>
    <w:rsid w:val="001C21AD"/>
    <w:rsid w:val="001C3F03"/>
    <w:rsid w:val="001C4992"/>
    <w:rsid w:val="001C6663"/>
    <w:rsid w:val="001C70FB"/>
    <w:rsid w:val="001C7895"/>
    <w:rsid w:val="001D26DF"/>
    <w:rsid w:val="001D2FDC"/>
    <w:rsid w:val="001D510E"/>
    <w:rsid w:val="001E5B82"/>
    <w:rsid w:val="001F7DAC"/>
    <w:rsid w:val="00204D75"/>
    <w:rsid w:val="002054BE"/>
    <w:rsid w:val="0020640F"/>
    <w:rsid w:val="00211BD8"/>
    <w:rsid w:val="00211E0B"/>
    <w:rsid w:val="00212046"/>
    <w:rsid w:val="00213254"/>
    <w:rsid w:val="002213FA"/>
    <w:rsid w:val="0022446F"/>
    <w:rsid w:val="002262D3"/>
    <w:rsid w:val="002309A7"/>
    <w:rsid w:val="00230CED"/>
    <w:rsid w:val="00230F2E"/>
    <w:rsid w:val="00235937"/>
    <w:rsid w:val="002370FA"/>
    <w:rsid w:val="00237785"/>
    <w:rsid w:val="00241466"/>
    <w:rsid w:val="00244BA0"/>
    <w:rsid w:val="00253374"/>
    <w:rsid w:val="002642BC"/>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F8"/>
    <w:rsid w:val="002A6E0B"/>
    <w:rsid w:val="002A7BC0"/>
    <w:rsid w:val="002B1A41"/>
    <w:rsid w:val="002B1CDA"/>
    <w:rsid w:val="002B26CF"/>
    <w:rsid w:val="002C56EC"/>
    <w:rsid w:val="002C638D"/>
    <w:rsid w:val="002D1830"/>
    <w:rsid w:val="002D30CC"/>
    <w:rsid w:val="002D767C"/>
    <w:rsid w:val="002E0A46"/>
    <w:rsid w:val="002E10DE"/>
    <w:rsid w:val="002F0ACF"/>
    <w:rsid w:val="002F7AAF"/>
    <w:rsid w:val="002F7F51"/>
    <w:rsid w:val="00301F46"/>
    <w:rsid w:val="003107FA"/>
    <w:rsid w:val="00316CDE"/>
    <w:rsid w:val="003229D8"/>
    <w:rsid w:val="00323B8F"/>
    <w:rsid w:val="00350C40"/>
    <w:rsid w:val="00363CCA"/>
    <w:rsid w:val="00364DED"/>
    <w:rsid w:val="00376216"/>
    <w:rsid w:val="0037785D"/>
    <w:rsid w:val="00381151"/>
    <w:rsid w:val="00383CC3"/>
    <w:rsid w:val="0039277A"/>
    <w:rsid w:val="003972E0"/>
    <w:rsid w:val="003A2736"/>
    <w:rsid w:val="003A4A7A"/>
    <w:rsid w:val="003B5E83"/>
    <w:rsid w:val="003C247C"/>
    <w:rsid w:val="003C2CC4"/>
    <w:rsid w:val="003D4B23"/>
    <w:rsid w:val="003E1CED"/>
    <w:rsid w:val="003E5E81"/>
    <w:rsid w:val="003F347E"/>
    <w:rsid w:val="003F66B7"/>
    <w:rsid w:val="004028F0"/>
    <w:rsid w:val="00412C82"/>
    <w:rsid w:val="0041748B"/>
    <w:rsid w:val="004230C6"/>
    <w:rsid w:val="004325CB"/>
    <w:rsid w:val="00432CFD"/>
    <w:rsid w:val="0043358E"/>
    <w:rsid w:val="00434D54"/>
    <w:rsid w:val="00436E22"/>
    <w:rsid w:val="00437F3F"/>
    <w:rsid w:val="00443E7D"/>
    <w:rsid w:val="004444D3"/>
    <w:rsid w:val="00445784"/>
    <w:rsid w:val="00446DE4"/>
    <w:rsid w:val="00447A01"/>
    <w:rsid w:val="00454036"/>
    <w:rsid w:val="00457ED8"/>
    <w:rsid w:val="00462EB7"/>
    <w:rsid w:val="00463344"/>
    <w:rsid w:val="00471D64"/>
    <w:rsid w:val="00474B1C"/>
    <w:rsid w:val="0048040E"/>
    <w:rsid w:val="004815BC"/>
    <w:rsid w:val="00486F0C"/>
    <w:rsid w:val="004906B4"/>
    <w:rsid w:val="00495374"/>
    <w:rsid w:val="004A411D"/>
    <w:rsid w:val="004A57CE"/>
    <w:rsid w:val="004A72B1"/>
    <w:rsid w:val="004B2C9D"/>
    <w:rsid w:val="004B4C10"/>
    <w:rsid w:val="004C008C"/>
    <w:rsid w:val="004C3287"/>
    <w:rsid w:val="004C5AF0"/>
    <w:rsid w:val="004C6CF4"/>
    <w:rsid w:val="004D0FBF"/>
    <w:rsid w:val="004E2C23"/>
    <w:rsid w:val="004E795A"/>
    <w:rsid w:val="004F44DC"/>
    <w:rsid w:val="00503B9C"/>
    <w:rsid w:val="005123DA"/>
    <w:rsid w:val="00515F83"/>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74827"/>
    <w:rsid w:val="005872A8"/>
    <w:rsid w:val="00590144"/>
    <w:rsid w:val="005962B5"/>
    <w:rsid w:val="00596AFB"/>
    <w:rsid w:val="005A4D8F"/>
    <w:rsid w:val="005A585F"/>
    <w:rsid w:val="005A58DB"/>
    <w:rsid w:val="005B3DB3"/>
    <w:rsid w:val="005C00DF"/>
    <w:rsid w:val="005C5058"/>
    <w:rsid w:val="005C67A3"/>
    <w:rsid w:val="005D1CA6"/>
    <w:rsid w:val="005D476B"/>
    <w:rsid w:val="005D5296"/>
    <w:rsid w:val="005D5E45"/>
    <w:rsid w:val="005E0F7B"/>
    <w:rsid w:val="005E482E"/>
    <w:rsid w:val="005E5BFE"/>
    <w:rsid w:val="00601025"/>
    <w:rsid w:val="006014D2"/>
    <w:rsid w:val="00606BD8"/>
    <w:rsid w:val="006119AE"/>
    <w:rsid w:val="00611FC4"/>
    <w:rsid w:val="0061691B"/>
    <w:rsid w:val="006176FB"/>
    <w:rsid w:val="0063419C"/>
    <w:rsid w:val="00640B26"/>
    <w:rsid w:val="006420B1"/>
    <w:rsid w:val="006500BA"/>
    <w:rsid w:val="00650DBA"/>
    <w:rsid w:val="006612FE"/>
    <w:rsid w:val="00663B47"/>
    <w:rsid w:val="006804E7"/>
    <w:rsid w:val="00680EC5"/>
    <w:rsid w:val="00681546"/>
    <w:rsid w:val="00681628"/>
    <w:rsid w:val="00681744"/>
    <w:rsid w:val="0068403D"/>
    <w:rsid w:val="00684E8C"/>
    <w:rsid w:val="0069492F"/>
    <w:rsid w:val="00696595"/>
    <w:rsid w:val="00697525"/>
    <w:rsid w:val="006A7392"/>
    <w:rsid w:val="006B7933"/>
    <w:rsid w:val="006C0D34"/>
    <w:rsid w:val="006C1CA0"/>
    <w:rsid w:val="006C54A0"/>
    <w:rsid w:val="006C7E11"/>
    <w:rsid w:val="006D0AF8"/>
    <w:rsid w:val="006D247B"/>
    <w:rsid w:val="006D5191"/>
    <w:rsid w:val="006E564B"/>
    <w:rsid w:val="006E6FBD"/>
    <w:rsid w:val="006F3E52"/>
    <w:rsid w:val="006F4D74"/>
    <w:rsid w:val="007012C4"/>
    <w:rsid w:val="0070311F"/>
    <w:rsid w:val="00704A7F"/>
    <w:rsid w:val="007102D9"/>
    <w:rsid w:val="007227B6"/>
    <w:rsid w:val="00725848"/>
    <w:rsid w:val="0072632A"/>
    <w:rsid w:val="0073039D"/>
    <w:rsid w:val="007319D5"/>
    <w:rsid w:val="00731BEA"/>
    <w:rsid w:val="00741915"/>
    <w:rsid w:val="00745352"/>
    <w:rsid w:val="0075116C"/>
    <w:rsid w:val="00753201"/>
    <w:rsid w:val="007548D5"/>
    <w:rsid w:val="007553DC"/>
    <w:rsid w:val="007612E0"/>
    <w:rsid w:val="00761389"/>
    <w:rsid w:val="00762706"/>
    <w:rsid w:val="007665DE"/>
    <w:rsid w:val="00771113"/>
    <w:rsid w:val="007713F2"/>
    <w:rsid w:val="00776CA4"/>
    <w:rsid w:val="00777356"/>
    <w:rsid w:val="00780921"/>
    <w:rsid w:val="0078270D"/>
    <w:rsid w:val="007857CD"/>
    <w:rsid w:val="00790791"/>
    <w:rsid w:val="00791404"/>
    <w:rsid w:val="007A23EF"/>
    <w:rsid w:val="007A66B2"/>
    <w:rsid w:val="007B6BA5"/>
    <w:rsid w:val="007B6FE6"/>
    <w:rsid w:val="007C3390"/>
    <w:rsid w:val="007C4F4B"/>
    <w:rsid w:val="007E3A92"/>
    <w:rsid w:val="007E51DE"/>
    <w:rsid w:val="007E7937"/>
    <w:rsid w:val="007F25B3"/>
    <w:rsid w:val="007F28CB"/>
    <w:rsid w:val="007F6611"/>
    <w:rsid w:val="00800138"/>
    <w:rsid w:val="0080387F"/>
    <w:rsid w:val="008041BA"/>
    <w:rsid w:val="008124A5"/>
    <w:rsid w:val="008129F0"/>
    <w:rsid w:val="008175E9"/>
    <w:rsid w:val="008213BB"/>
    <w:rsid w:val="00822225"/>
    <w:rsid w:val="008242D7"/>
    <w:rsid w:val="0083337A"/>
    <w:rsid w:val="00841AB4"/>
    <w:rsid w:val="00846136"/>
    <w:rsid w:val="008515B7"/>
    <w:rsid w:val="00853FAE"/>
    <w:rsid w:val="008548B3"/>
    <w:rsid w:val="008554E7"/>
    <w:rsid w:val="00855967"/>
    <w:rsid w:val="00861ACC"/>
    <w:rsid w:val="00866523"/>
    <w:rsid w:val="00871FD5"/>
    <w:rsid w:val="00874782"/>
    <w:rsid w:val="00874C3C"/>
    <w:rsid w:val="00880DE7"/>
    <w:rsid w:val="008828E0"/>
    <w:rsid w:val="00884B25"/>
    <w:rsid w:val="00885E87"/>
    <w:rsid w:val="00893828"/>
    <w:rsid w:val="008947E2"/>
    <w:rsid w:val="00894C13"/>
    <w:rsid w:val="008979B1"/>
    <w:rsid w:val="008A1350"/>
    <w:rsid w:val="008A29F7"/>
    <w:rsid w:val="008A5C06"/>
    <w:rsid w:val="008A6B25"/>
    <w:rsid w:val="008A6B52"/>
    <w:rsid w:val="008A6C4F"/>
    <w:rsid w:val="008B174F"/>
    <w:rsid w:val="008C0C4E"/>
    <w:rsid w:val="008C3133"/>
    <w:rsid w:val="008C4A16"/>
    <w:rsid w:val="008C518D"/>
    <w:rsid w:val="008C7398"/>
    <w:rsid w:val="008D16E8"/>
    <w:rsid w:val="008D16EF"/>
    <w:rsid w:val="008D5AB6"/>
    <w:rsid w:val="008D6FE1"/>
    <w:rsid w:val="008D7973"/>
    <w:rsid w:val="008D7AB3"/>
    <w:rsid w:val="008E0E46"/>
    <w:rsid w:val="008E3B3C"/>
    <w:rsid w:val="008F596C"/>
    <w:rsid w:val="008F671F"/>
    <w:rsid w:val="009019F7"/>
    <w:rsid w:val="009043FC"/>
    <w:rsid w:val="00904592"/>
    <w:rsid w:val="00910F3B"/>
    <w:rsid w:val="009128F8"/>
    <w:rsid w:val="00915A89"/>
    <w:rsid w:val="00916F49"/>
    <w:rsid w:val="009213A3"/>
    <w:rsid w:val="0092169C"/>
    <w:rsid w:val="00921A36"/>
    <w:rsid w:val="00921FDE"/>
    <w:rsid w:val="00924C9C"/>
    <w:rsid w:val="0093272D"/>
    <w:rsid w:val="009338EE"/>
    <w:rsid w:val="009346DE"/>
    <w:rsid w:val="00940320"/>
    <w:rsid w:val="00940479"/>
    <w:rsid w:val="0094213D"/>
    <w:rsid w:val="00943B65"/>
    <w:rsid w:val="00945553"/>
    <w:rsid w:val="00945A5D"/>
    <w:rsid w:val="009502B6"/>
    <w:rsid w:val="00953FD3"/>
    <w:rsid w:val="00956CAD"/>
    <w:rsid w:val="00957C6D"/>
    <w:rsid w:val="00963CBA"/>
    <w:rsid w:val="00964B10"/>
    <w:rsid w:val="00967AC9"/>
    <w:rsid w:val="00971136"/>
    <w:rsid w:val="00973555"/>
    <w:rsid w:val="009815DF"/>
    <w:rsid w:val="009848AB"/>
    <w:rsid w:val="00987E8A"/>
    <w:rsid w:val="00987EBF"/>
    <w:rsid w:val="0099124E"/>
    <w:rsid w:val="00991261"/>
    <w:rsid w:val="00992985"/>
    <w:rsid w:val="0099483C"/>
    <w:rsid w:val="009967A1"/>
    <w:rsid w:val="009A3CB7"/>
    <w:rsid w:val="009A518B"/>
    <w:rsid w:val="009A681A"/>
    <w:rsid w:val="009B007F"/>
    <w:rsid w:val="009B0ED1"/>
    <w:rsid w:val="009C25D5"/>
    <w:rsid w:val="009C2953"/>
    <w:rsid w:val="009C3671"/>
    <w:rsid w:val="009C46C7"/>
    <w:rsid w:val="009C67CC"/>
    <w:rsid w:val="009D58C1"/>
    <w:rsid w:val="009E140E"/>
    <w:rsid w:val="009F0F06"/>
    <w:rsid w:val="009F60DB"/>
    <w:rsid w:val="00A04323"/>
    <w:rsid w:val="00A065BA"/>
    <w:rsid w:val="00A120B4"/>
    <w:rsid w:val="00A1427D"/>
    <w:rsid w:val="00A176C2"/>
    <w:rsid w:val="00A23A0D"/>
    <w:rsid w:val="00A250A4"/>
    <w:rsid w:val="00A27434"/>
    <w:rsid w:val="00A27707"/>
    <w:rsid w:val="00A328AA"/>
    <w:rsid w:val="00A40024"/>
    <w:rsid w:val="00A47B65"/>
    <w:rsid w:val="00A60EB5"/>
    <w:rsid w:val="00A67BA6"/>
    <w:rsid w:val="00A72F22"/>
    <w:rsid w:val="00A7341F"/>
    <w:rsid w:val="00A748A6"/>
    <w:rsid w:val="00A74F3D"/>
    <w:rsid w:val="00A75EC9"/>
    <w:rsid w:val="00A879A4"/>
    <w:rsid w:val="00AA479F"/>
    <w:rsid w:val="00AA7910"/>
    <w:rsid w:val="00AB48E3"/>
    <w:rsid w:val="00AB521F"/>
    <w:rsid w:val="00AB79D3"/>
    <w:rsid w:val="00AC1947"/>
    <w:rsid w:val="00AC3EB6"/>
    <w:rsid w:val="00AC47CB"/>
    <w:rsid w:val="00AC71C1"/>
    <w:rsid w:val="00AD29A4"/>
    <w:rsid w:val="00AD6445"/>
    <w:rsid w:val="00AE5607"/>
    <w:rsid w:val="00AE71B9"/>
    <w:rsid w:val="00AF2A45"/>
    <w:rsid w:val="00AF2B6B"/>
    <w:rsid w:val="00AF3B55"/>
    <w:rsid w:val="00B045D1"/>
    <w:rsid w:val="00B062A6"/>
    <w:rsid w:val="00B07928"/>
    <w:rsid w:val="00B27DFF"/>
    <w:rsid w:val="00B30179"/>
    <w:rsid w:val="00B32C5C"/>
    <w:rsid w:val="00B3317B"/>
    <w:rsid w:val="00B355CF"/>
    <w:rsid w:val="00B3750B"/>
    <w:rsid w:val="00B41EB4"/>
    <w:rsid w:val="00B43E15"/>
    <w:rsid w:val="00B44874"/>
    <w:rsid w:val="00B44D1E"/>
    <w:rsid w:val="00B501B7"/>
    <w:rsid w:val="00B50F43"/>
    <w:rsid w:val="00B57FBF"/>
    <w:rsid w:val="00B6429F"/>
    <w:rsid w:val="00B656F0"/>
    <w:rsid w:val="00B725B8"/>
    <w:rsid w:val="00B73FEA"/>
    <w:rsid w:val="00B74841"/>
    <w:rsid w:val="00B77F38"/>
    <w:rsid w:val="00B81E12"/>
    <w:rsid w:val="00B83CFE"/>
    <w:rsid w:val="00B85580"/>
    <w:rsid w:val="00B91DEF"/>
    <w:rsid w:val="00B920A4"/>
    <w:rsid w:val="00B93068"/>
    <w:rsid w:val="00B95070"/>
    <w:rsid w:val="00BA7BB3"/>
    <w:rsid w:val="00BB0818"/>
    <w:rsid w:val="00BB3143"/>
    <w:rsid w:val="00BB418D"/>
    <w:rsid w:val="00BC193A"/>
    <w:rsid w:val="00BC1C5D"/>
    <w:rsid w:val="00BC46ED"/>
    <w:rsid w:val="00BC498D"/>
    <w:rsid w:val="00BC5429"/>
    <w:rsid w:val="00BC6F35"/>
    <w:rsid w:val="00BC74E9"/>
    <w:rsid w:val="00BC7EFB"/>
    <w:rsid w:val="00BD011C"/>
    <w:rsid w:val="00BD58AB"/>
    <w:rsid w:val="00BE3C13"/>
    <w:rsid w:val="00BE447C"/>
    <w:rsid w:val="00BE5B7F"/>
    <w:rsid w:val="00BE618E"/>
    <w:rsid w:val="00BF5F47"/>
    <w:rsid w:val="00BF6D59"/>
    <w:rsid w:val="00BF7A1A"/>
    <w:rsid w:val="00C02B2A"/>
    <w:rsid w:val="00C1320F"/>
    <w:rsid w:val="00C13534"/>
    <w:rsid w:val="00C13800"/>
    <w:rsid w:val="00C15D9D"/>
    <w:rsid w:val="00C16149"/>
    <w:rsid w:val="00C20967"/>
    <w:rsid w:val="00C223FD"/>
    <w:rsid w:val="00C26657"/>
    <w:rsid w:val="00C302B4"/>
    <w:rsid w:val="00C35AE7"/>
    <w:rsid w:val="00C44685"/>
    <w:rsid w:val="00C463DD"/>
    <w:rsid w:val="00C4716A"/>
    <w:rsid w:val="00C53C82"/>
    <w:rsid w:val="00C622ED"/>
    <w:rsid w:val="00C62F76"/>
    <w:rsid w:val="00C65026"/>
    <w:rsid w:val="00C662AA"/>
    <w:rsid w:val="00C70858"/>
    <w:rsid w:val="00C72005"/>
    <w:rsid w:val="00C72E02"/>
    <w:rsid w:val="00C740DA"/>
    <w:rsid w:val="00C745C3"/>
    <w:rsid w:val="00C74A11"/>
    <w:rsid w:val="00C8384C"/>
    <w:rsid w:val="00C85F8B"/>
    <w:rsid w:val="00C927AC"/>
    <w:rsid w:val="00CA1183"/>
    <w:rsid w:val="00CA1F88"/>
    <w:rsid w:val="00CA516D"/>
    <w:rsid w:val="00CA7279"/>
    <w:rsid w:val="00CB03EB"/>
    <w:rsid w:val="00CB26B3"/>
    <w:rsid w:val="00CB51FE"/>
    <w:rsid w:val="00CC2702"/>
    <w:rsid w:val="00CC78A6"/>
    <w:rsid w:val="00CD20A1"/>
    <w:rsid w:val="00CD3225"/>
    <w:rsid w:val="00CD64B5"/>
    <w:rsid w:val="00CD747F"/>
    <w:rsid w:val="00CE1382"/>
    <w:rsid w:val="00CE4A8F"/>
    <w:rsid w:val="00CF03F4"/>
    <w:rsid w:val="00CF05AF"/>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62A7"/>
    <w:rsid w:val="00D46E50"/>
    <w:rsid w:val="00D4764D"/>
    <w:rsid w:val="00D50452"/>
    <w:rsid w:val="00D72DC1"/>
    <w:rsid w:val="00D753D8"/>
    <w:rsid w:val="00D76673"/>
    <w:rsid w:val="00D80431"/>
    <w:rsid w:val="00D80A99"/>
    <w:rsid w:val="00D8153A"/>
    <w:rsid w:val="00D86516"/>
    <w:rsid w:val="00D87F4C"/>
    <w:rsid w:val="00D94B0C"/>
    <w:rsid w:val="00D95B5B"/>
    <w:rsid w:val="00D96CC5"/>
    <w:rsid w:val="00D978C6"/>
    <w:rsid w:val="00DA67AD"/>
    <w:rsid w:val="00DB0CD3"/>
    <w:rsid w:val="00DB0CF8"/>
    <w:rsid w:val="00DB1F53"/>
    <w:rsid w:val="00DC1AA4"/>
    <w:rsid w:val="00DC5166"/>
    <w:rsid w:val="00DC5FBA"/>
    <w:rsid w:val="00DD5C8B"/>
    <w:rsid w:val="00DE0613"/>
    <w:rsid w:val="00DE112D"/>
    <w:rsid w:val="00DF236F"/>
    <w:rsid w:val="00DF2772"/>
    <w:rsid w:val="00DF3CF2"/>
    <w:rsid w:val="00DF453A"/>
    <w:rsid w:val="00DF498E"/>
    <w:rsid w:val="00DF662C"/>
    <w:rsid w:val="00E000AD"/>
    <w:rsid w:val="00E07564"/>
    <w:rsid w:val="00E1169F"/>
    <w:rsid w:val="00E130AB"/>
    <w:rsid w:val="00E147D5"/>
    <w:rsid w:val="00E14CFE"/>
    <w:rsid w:val="00E23AA7"/>
    <w:rsid w:val="00E241E1"/>
    <w:rsid w:val="00E26278"/>
    <w:rsid w:val="00E328FE"/>
    <w:rsid w:val="00E335A4"/>
    <w:rsid w:val="00E35C1C"/>
    <w:rsid w:val="00E41283"/>
    <w:rsid w:val="00E43CE3"/>
    <w:rsid w:val="00E549B7"/>
    <w:rsid w:val="00E5644E"/>
    <w:rsid w:val="00E60AC0"/>
    <w:rsid w:val="00E62EA5"/>
    <w:rsid w:val="00E62F12"/>
    <w:rsid w:val="00E631DD"/>
    <w:rsid w:val="00E63654"/>
    <w:rsid w:val="00E6387D"/>
    <w:rsid w:val="00E65EF4"/>
    <w:rsid w:val="00E70AD0"/>
    <w:rsid w:val="00E7260F"/>
    <w:rsid w:val="00E747A5"/>
    <w:rsid w:val="00E7485D"/>
    <w:rsid w:val="00E76142"/>
    <w:rsid w:val="00E8535A"/>
    <w:rsid w:val="00E856CE"/>
    <w:rsid w:val="00E9059F"/>
    <w:rsid w:val="00E90F23"/>
    <w:rsid w:val="00E94E64"/>
    <w:rsid w:val="00E96630"/>
    <w:rsid w:val="00EA06C3"/>
    <w:rsid w:val="00EA392B"/>
    <w:rsid w:val="00EA772F"/>
    <w:rsid w:val="00EB18D7"/>
    <w:rsid w:val="00EB30C3"/>
    <w:rsid w:val="00EB5EFC"/>
    <w:rsid w:val="00EB6832"/>
    <w:rsid w:val="00EB70E2"/>
    <w:rsid w:val="00EC5505"/>
    <w:rsid w:val="00EC5BC7"/>
    <w:rsid w:val="00EC7146"/>
    <w:rsid w:val="00ED6D82"/>
    <w:rsid w:val="00ED7A2A"/>
    <w:rsid w:val="00EE5771"/>
    <w:rsid w:val="00EE639C"/>
    <w:rsid w:val="00EF0B5A"/>
    <w:rsid w:val="00EF1D7F"/>
    <w:rsid w:val="00EF2383"/>
    <w:rsid w:val="00EF497D"/>
    <w:rsid w:val="00EF6834"/>
    <w:rsid w:val="00F14AAA"/>
    <w:rsid w:val="00F16818"/>
    <w:rsid w:val="00F179DE"/>
    <w:rsid w:val="00F20E52"/>
    <w:rsid w:val="00F236CE"/>
    <w:rsid w:val="00F30427"/>
    <w:rsid w:val="00F345D5"/>
    <w:rsid w:val="00F36C76"/>
    <w:rsid w:val="00F3711E"/>
    <w:rsid w:val="00F40E75"/>
    <w:rsid w:val="00F41498"/>
    <w:rsid w:val="00F42066"/>
    <w:rsid w:val="00F512F3"/>
    <w:rsid w:val="00F51379"/>
    <w:rsid w:val="00F518F7"/>
    <w:rsid w:val="00F532F9"/>
    <w:rsid w:val="00F54674"/>
    <w:rsid w:val="00F55A1F"/>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954BA"/>
    <w:rsid w:val="00FB016C"/>
    <w:rsid w:val="00FB09F1"/>
    <w:rsid w:val="00FB2719"/>
    <w:rsid w:val="00FC2B0A"/>
    <w:rsid w:val="00FC5E08"/>
    <w:rsid w:val="00FC68B7"/>
    <w:rsid w:val="00FD02C1"/>
    <w:rsid w:val="00FD199B"/>
    <w:rsid w:val="00FD21A9"/>
    <w:rsid w:val="00FD59E3"/>
    <w:rsid w:val="00FD6B2B"/>
    <w:rsid w:val="00FE26FA"/>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57EB5"/>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qFormat/>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3228">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90E9-A062-47F5-99F0-99AE9445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1218</Words>
  <Characters>7005</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7</cp:revision>
  <cp:lastPrinted>2018-09-07T06:57:00Z</cp:lastPrinted>
  <dcterms:created xsi:type="dcterms:W3CDTF">2018-09-03T09:46:00Z</dcterms:created>
  <dcterms:modified xsi:type="dcterms:W3CDTF">2018-09-07T06:57:00Z</dcterms:modified>
</cp:coreProperties>
</file>