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02C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02C61" w:rsidP="00C02C61">
            <w:pPr>
              <w:jc w:val="right"/>
            </w:pPr>
            <w:r w:rsidRPr="00C02C61">
              <w:rPr>
                <w:sz w:val="40"/>
              </w:rPr>
              <w:t>ECE</w:t>
            </w:r>
            <w:r>
              <w:t>/TRANS/WP.5/62</w:t>
            </w:r>
          </w:p>
        </w:tc>
      </w:tr>
      <w:tr w:rsidR="002D5AAC" w:rsidRPr="009B382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02C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02C61" w:rsidRDefault="00C02C61" w:rsidP="00C02C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2017</w:t>
            </w:r>
          </w:p>
          <w:p w:rsidR="00C02C61" w:rsidRDefault="00C02C61" w:rsidP="00C02C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02C61" w:rsidRPr="008D53B6" w:rsidRDefault="00C02C61" w:rsidP="00C02C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4AC2" w:rsidRPr="00DD3694" w:rsidRDefault="00724AC2" w:rsidP="00724AC2">
      <w:pPr>
        <w:spacing w:before="120"/>
        <w:rPr>
          <w:sz w:val="28"/>
          <w:szCs w:val="28"/>
        </w:rPr>
      </w:pPr>
      <w:r w:rsidRPr="00DD3694">
        <w:rPr>
          <w:sz w:val="28"/>
          <w:szCs w:val="28"/>
        </w:rPr>
        <w:t>Комитет по внутреннему транспорту</w:t>
      </w:r>
    </w:p>
    <w:p w:rsidR="00724AC2" w:rsidRPr="00DD3694" w:rsidRDefault="00724AC2" w:rsidP="00724AC2">
      <w:pPr>
        <w:spacing w:before="120"/>
        <w:rPr>
          <w:b/>
          <w:bCs/>
          <w:sz w:val="24"/>
          <w:szCs w:val="24"/>
        </w:rPr>
      </w:pPr>
      <w:r w:rsidRPr="00DD3694">
        <w:rPr>
          <w:b/>
          <w:bCs/>
          <w:sz w:val="24"/>
          <w:szCs w:val="24"/>
        </w:rPr>
        <w:t xml:space="preserve">Рабочая группа по тенденциям </w:t>
      </w:r>
      <w:r w:rsidRPr="00B00553">
        <w:rPr>
          <w:b/>
          <w:bCs/>
          <w:sz w:val="24"/>
          <w:szCs w:val="24"/>
        </w:rPr>
        <w:br/>
      </w:r>
      <w:r w:rsidRPr="00DD3694">
        <w:rPr>
          <w:b/>
          <w:bCs/>
          <w:sz w:val="24"/>
          <w:szCs w:val="24"/>
        </w:rPr>
        <w:t>и экономике транспорта</w:t>
      </w:r>
    </w:p>
    <w:p w:rsidR="00724AC2" w:rsidRPr="00DD3694" w:rsidRDefault="00724AC2" w:rsidP="00724AC2">
      <w:pPr>
        <w:spacing w:before="120"/>
        <w:rPr>
          <w:b/>
          <w:bCs/>
        </w:rPr>
      </w:pPr>
      <w:r w:rsidRPr="00DD3694">
        <w:rPr>
          <w:b/>
          <w:bCs/>
        </w:rPr>
        <w:t>Тридцатая сессия</w:t>
      </w:r>
    </w:p>
    <w:p w:rsidR="00724AC2" w:rsidRPr="00DD3694" w:rsidRDefault="00724AC2" w:rsidP="00724AC2">
      <w:r w:rsidRPr="00DD3694">
        <w:t>Женева, 4–6 сентября 2017 года</w:t>
      </w:r>
    </w:p>
    <w:p w:rsidR="00724AC2" w:rsidRPr="00724AC2" w:rsidRDefault="00724AC2" w:rsidP="00724AC2">
      <w:pPr>
        <w:pStyle w:val="HChGR"/>
      </w:pPr>
      <w:r w:rsidRPr="00B00553">
        <w:tab/>
      </w:r>
      <w:r w:rsidRPr="00B00553">
        <w:tab/>
      </w:r>
      <w:r w:rsidRPr="00724AC2">
        <w:t>Доклад Рабочей группы по тенденциям и экономике транспорта о работе ее тридцатой сессии</w:t>
      </w:r>
    </w:p>
    <w:p w:rsidR="00724AC2" w:rsidRDefault="00724AC2" w:rsidP="00724AC2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724AC2" w:rsidRDefault="00724AC2" w:rsidP="00724AC2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724AC2" w:rsidRPr="00724AC2" w:rsidRDefault="008111C5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54946">
        <w:tab/>
      </w:r>
      <w:r w:rsidR="00724AC2" w:rsidRPr="00724AC2">
        <w:t xml:space="preserve">I. </w:t>
      </w:r>
      <w:r w:rsidRPr="00154946">
        <w:tab/>
      </w:r>
      <w:r w:rsidR="00724AC2" w:rsidRPr="00DD3694">
        <w:t>Участники</w:t>
      </w:r>
      <w:r w:rsidR="00724AC2" w:rsidRPr="00724AC2">
        <w:tab/>
      </w:r>
      <w:r w:rsidR="00724AC2" w:rsidRPr="00724AC2">
        <w:tab/>
        <w:t>1</w:t>
      </w:r>
      <w:r w:rsidRPr="00154946">
        <w:t>–</w:t>
      </w:r>
      <w:r w:rsidR="00724AC2" w:rsidRPr="00724AC2">
        <w:t>5</w:t>
      </w:r>
      <w:r w:rsidR="00724AC2" w:rsidRPr="00724AC2">
        <w:tab/>
        <w:t>3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II.</w:t>
      </w:r>
      <w:r w:rsidRPr="00724AC2">
        <w:tab/>
      </w:r>
      <w:r w:rsidRPr="00DD3694">
        <w:t>Утверждение повестки дня (пункт 1 повестки дня)</w:t>
      </w:r>
      <w:r w:rsidRPr="00724AC2">
        <w:tab/>
      </w:r>
      <w:r w:rsidRPr="00724AC2">
        <w:tab/>
        <w:t>6</w:t>
      </w:r>
      <w:r w:rsidRPr="00724AC2">
        <w:tab/>
        <w:t>3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III.</w:t>
      </w:r>
      <w:r w:rsidRPr="00724AC2">
        <w:tab/>
      </w:r>
      <w:r w:rsidRPr="00DD3694">
        <w:t xml:space="preserve">Рабочее совещание на тему: </w:t>
      </w:r>
      <w:r w:rsidR="008111C5">
        <w:t>«</w:t>
      </w:r>
      <w:r w:rsidRPr="00DD3694">
        <w:t xml:space="preserve">Коридоры транспортной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инфраструктуры в Европе и Азии</w:t>
      </w:r>
      <w:r w:rsidR="008111C5">
        <w:t>»</w:t>
      </w:r>
      <w:r w:rsidRPr="00DD3694">
        <w:t xml:space="preserve"> (пункт 2 повестки дня)</w:t>
      </w:r>
      <w:r w:rsidRPr="00724AC2">
        <w:tab/>
      </w:r>
      <w:r w:rsidRPr="00724AC2">
        <w:tab/>
        <w:t>7</w:t>
      </w:r>
      <w:r w:rsidR="008111C5" w:rsidRPr="008111C5">
        <w:t>–</w:t>
      </w:r>
      <w:r w:rsidRPr="00724AC2">
        <w:t>9</w:t>
      </w:r>
      <w:r w:rsidRPr="00724AC2">
        <w:tab/>
        <w:t>3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IV.</w:t>
      </w:r>
      <w:r w:rsidRPr="00724AC2">
        <w:tab/>
      </w:r>
      <w:r w:rsidRPr="00DD3694">
        <w:t xml:space="preserve">Рабочее совещание на тему: </w:t>
      </w:r>
      <w:r w:rsidR="008111C5">
        <w:t>«</w:t>
      </w:r>
      <w:r w:rsidRPr="00DD3694">
        <w:t>Мобильность как услуга</w:t>
      </w:r>
      <w:r w:rsidR="008111C5">
        <w:t>»</w:t>
      </w:r>
      <w:r w:rsidRPr="00DD3694">
        <w:t xml:space="preserve">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(пункт 3 повестки дня)</w:t>
      </w:r>
      <w:r w:rsidRPr="00724AC2">
        <w:tab/>
      </w:r>
      <w:r w:rsidRPr="00724AC2">
        <w:tab/>
        <w:t>10</w:t>
      </w:r>
      <w:r w:rsidR="008111C5" w:rsidRPr="008111C5">
        <w:t>–</w:t>
      </w:r>
      <w:r w:rsidRPr="00724AC2">
        <w:t>14</w:t>
      </w:r>
      <w:r w:rsidRPr="00724AC2">
        <w:tab/>
        <w:t>5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V.</w:t>
      </w:r>
      <w:r w:rsidRPr="00724AC2">
        <w:tab/>
      </w:r>
      <w:r w:rsidRPr="00DD3694">
        <w:t xml:space="preserve">Транспортные связи между портами и внутренними регионами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(пункт 4 повестки дня)</w:t>
      </w:r>
      <w:r w:rsidRPr="00724AC2">
        <w:tab/>
      </w:r>
      <w:r w:rsidRPr="00724AC2">
        <w:tab/>
        <w:t>15</w:t>
      </w:r>
      <w:r w:rsidR="008111C5" w:rsidRPr="008111C5">
        <w:t>–</w:t>
      </w:r>
      <w:r w:rsidRPr="00724AC2">
        <w:t>17</w:t>
      </w:r>
      <w:r w:rsidRPr="00724AC2">
        <w:tab/>
        <w:t>6</w:t>
      </w:r>
    </w:p>
    <w:p w:rsidR="00724AC2" w:rsidRPr="00517485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VI.</w:t>
      </w:r>
      <w:r w:rsidRPr="00724AC2">
        <w:tab/>
      </w:r>
      <w:r w:rsidRPr="00DD3694">
        <w:t xml:space="preserve">Отслеживание изменений в общеевропейских транспортных сетях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(пункт 5 повестки дня)</w:t>
      </w:r>
      <w:r w:rsidRPr="00724AC2">
        <w:tab/>
      </w:r>
      <w:r w:rsidRPr="00724AC2">
        <w:tab/>
        <w:t>18</w:t>
      </w:r>
      <w:r w:rsidR="008111C5" w:rsidRPr="008111C5">
        <w:t>–</w:t>
      </w:r>
      <w:r w:rsidRPr="00724AC2">
        <w:t>22</w:t>
      </w:r>
      <w:r w:rsidRPr="00724AC2">
        <w:tab/>
      </w:r>
      <w:r w:rsidR="00517485">
        <w:t>7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A.</w:t>
      </w:r>
      <w:r w:rsidRPr="00724AC2">
        <w:tab/>
      </w:r>
      <w:r w:rsidRPr="00DD3694">
        <w:t xml:space="preserve">Отслеживание изменений в общеевропейских транспортных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сетях</w:t>
      </w:r>
      <w:r w:rsidRPr="00724AC2">
        <w:tab/>
      </w:r>
      <w:r w:rsidRPr="00724AC2">
        <w:tab/>
        <w:t>18</w:t>
      </w:r>
      <w:r w:rsidRPr="00724AC2">
        <w:tab/>
      </w:r>
      <w:r w:rsidR="00517485">
        <w:t>7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B.</w:t>
      </w:r>
      <w:r w:rsidRPr="00724AC2">
        <w:tab/>
      </w:r>
      <w:r w:rsidRPr="00DD3694">
        <w:t xml:space="preserve">Проекты Трансъевропейской автомагистрали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и Трансъевропейской железнодорожной магистрали</w:t>
      </w:r>
      <w:r w:rsidRPr="00724AC2">
        <w:tab/>
      </w:r>
      <w:r w:rsidRPr="00724AC2">
        <w:tab/>
        <w:t>19</w:t>
      </w:r>
      <w:r w:rsidR="008111C5" w:rsidRPr="008111C5">
        <w:t>–</w:t>
      </w:r>
      <w:r w:rsidRPr="00724AC2">
        <w:t>22</w:t>
      </w:r>
      <w:r w:rsidRPr="00724AC2">
        <w:tab/>
        <w:t>7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VII.</w:t>
      </w:r>
      <w:r w:rsidRPr="00724AC2">
        <w:tab/>
      </w:r>
      <w:r w:rsidRPr="00DD3694">
        <w:t>Транспорт в Средиземноморском регионе (пункт 6 повестки дня)</w:t>
      </w:r>
      <w:r w:rsidRPr="00724AC2">
        <w:tab/>
      </w:r>
      <w:r w:rsidRPr="00724AC2">
        <w:tab/>
        <w:t>23</w:t>
      </w:r>
      <w:r w:rsidR="008111C5" w:rsidRPr="008111C5">
        <w:t>–</w:t>
      </w:r>
      <w:r w:rsidRPr="00724AC2">
        <w:t>30</w:t>
      </w:r>
      <w:r w:rsidRPr="00724AC2">
        <w:tab/>
        <w:t>8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A.</w:t>
      </w:r>
      <w:r w:rsidRPr="00724AC2">
        <w:tab/>
      </w:r>
      <w:r w:rsidRPr="00DD3694">
        <w:t xml:space="preserve">Доклад Центра транспортных исследований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для Средиземноморья</w:t>
      </w:r>
      <w:r w:rsidRPr="00724AC2">
        <w:tab/>
      </w:r>
      <w:r w:rsidRPr="00724AC2">
        <w:tab/>
        <w:t>23</w:t>
      </w:r>
      <w:r w:rsidR="008111C5" w:rsidRPr="008111C5">
        <w:t>–</w:t>
      </w:r>
      <w:r w:rsidRPr="00724AC2">
        <w:t>25</w:t>
      </w:r>
      <w:r w:rsidRPr="00724AC2">
        <w:tab/>
        <w:t>8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B.</w:t>
      </w:r>
      <w:r w:rsidRPr="00724AC2">
        <w:tab/>
      </w:r>
      <w:r w:rsidRPr="00DD3694">
        <w:t>Евро-средиземноморская транспортная сеть</w:t>
      </w:r>
      <w:r w:rsidRPr="00724AC2">
        <w:tab/>
      </w:r>
      <w:r w:rsidRPr="00724AC2">
        <w:tab/>
        <w:t>26</w:t>
      </w:r>
      <w:r w:rsidRPr="00724AC2">
        <w:tab/>
      </w:r>
      <w:r w:rsidR="00517485">
        <w:t>9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C.</w:t>
      </w:r>
      <w:r w:rsidRPr="00724AC2">
        <w:tab/>
      </w:r>
      <w:r w:rsidRPr="00DD3694">
        <w:t>Доклад Союза для Средиземноморья</w:t>
      </w:r>
      <w:r w:rsidRPr="00724AC2">
        <w:tab/>
      </w:r>
      <w:r w:rsidRPr="00724AC2">
        <w:tab/>
        <w:t>27</w:t>
      </w:r>
      <w:r w:rsidRPr="00724AC2">
        <w:tab/>
      </w:r>
      <w:r w:rsidR="00517485">
        <w:t>9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D.</w:t>
      </w:r>
      <w:r w:rsidRPr="00724AC2">
        <w:tab/>
      </w:r>
      <w:r w:rsidRPr="00DD3694">
        <w:t xml:space="preserve">Проект постоянного сообщения между Европой и Африкой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 xml:space="preserve">через Гибралтарский пролив: доклад о деятельности,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осуществлявшейся в период 2015</w:t>
      </w:r>
      <w:r w:rsidR="009478DB">
        <w:t>–</w:t>
      </w:r>
      <w:r w:rsidRPr="00DD3694">
        <w:t xml:space="preserve">2017 годов, и программа,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предложенная на период 2017</w:t>
      </w:r>
      <w:r w:rsidR="009478DB">
        <w:t>–</w:t>
      </w:r>
      <w:r w:rsidRPr="00DD3694">
        <w:t>2019 годов</w:t>
      </w:r>
      <w:r w:rsidRPr="00724AC2">
        <w:tab/>
      </w:r>
      <w:r w:rsidRPr="00724AC2">
        <w:tab/>
        <w:t>28</w:t>
      </w:r>
      <w:r w:rsidR="008111C5" w:rsidRPr="008111C5">
        <w:t>–</w:t>
      </w:r>
      <w:r w:rsidRPr="00724AC2">
        <w:t>30</w:t>
      </w:r>
      <w:r w:rsidRPr="00724AC2">
        <w:tab/>
      </w:r>
      <w:r w:rsidR="00517485">
        <w:t>9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lastRenderedPageBreak/>
        <w:tab/>
        <w:t>VIII.</w:t>
      </w:r>
      <w:r w:rsidRPr="00724AC2">
        <w:tab/>
      </w:r>
      <w:r w:rsidRPr="00DD3694">
        <w:t>Евро-азиатские транспортные связи (пункт 7 повестки дня)</w:t>
      </w:r>
      <w:r w:rsidRPr="00724AC2">
        <w:tab/>
      </w:r>
      <w:r w:rsidRPr="00724AC2">
        <w:tab/>
        <w:t>31</w:t>
      </w:r>
      <w:r w:rsidR="008111C5" w:rsidRPr="008111C5">
        <w:t>–</w:t>
      </w:r>
      <w:r w:rsidRPr="00724AC2">
        <w:t>38</w:t>
      </w:r>
      <w:r w:rsidRPr="00724AC2">
        <w:tab/>
      </w:r>
      <w:r w:rsidR="00517485">
        <w:t>10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A.</w:t>
      </w:r>
      <w:r w:rsidRPr="00724AC2">
        <w:tab/>
      </w:r>
      <w:r w:rsidRPr="00DD3694">
        <w:t>Ход работы по евро-азиатским транспортным связям</w:t>
      </w:r>
      <w:r w:rsidRPr="00724AC2">
        <w:tab/>
      </w:r>
      <w:r w:rsidRPr="00724AC2">
        <w:tab/>
        <w:t>31</w:t>
      </w:r>
      <w:r w:rsidR="008111C5" w:rsidRPr="008111C5">
        <w:t>–</w:t>
      </w:r>
      <w:r w:rsidRPr="00724AC2">
        <w:t>33</w:t>
      </w:r>
      <w:r w:rsidRPr="00724AC2">
        <w:tab/>
      </w:r>
      <w:r w:rsidR="00517485">
        <w:t>10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B.</w:t>
      </w:r>
      <w:r w:rsidRPr="00724AC2">
        <w:tab/>
      </w:r>
      <w:r w:rsidRPr="00DD3694">
        <w:t xml:space="preserve">Автотранспортные и железнодорожные коридоры в Европе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и Азии</w:t>
      </w:r>
      <w:r w:rsidRPr="00724AC2">
        <w:tab/>
      </w:r>
      <w:r w:rsidRPr="00724AC2">
        <w:tab/>
        <w:t>34</w:t>
      </w:r>
      <w:r w:rsidR="008111C5" w:rsidRPr="008111C5">
        <w:t>–</w:t>
      </w:r>
      <w:r w:rsidRPr="00724AC2">
        <w:t>36</w:t>
      </w:r>
      <w:r w:rsidRPr="00724AC2">
        <w:tab/>
      </w:r>
      <w:r w:rsidR="00517485">
        <w:t>10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C.</w:t>
      </w:r>
      <w:r w:rsidRPr="00724AC2">
        <w:tab/>
      </w:r>
      <w:r w:rsidRPr="00DD3694">
        <w:t>Другие евро-азиатские транспортные инициативы</w:t>
      </w:r>
      <w:r w:rsidRPr="00724AC2">
        <w:tab/>
      </w:r>
      <w:r w:rsidRPr="00724AC2">
        <w:tab/>
        <w:t>37</w:t>
      </w:r>
      <w:r w:rsidR="008111C5" w:rsidRPr="008111C5">
        <w:t>–</w:t>
      </w:r>
      <w:r w:rsidRPr="00724AC2">
        <w:t>38</w:t>
      </w:r>
      <w:r w:rsidRPr="00724AC2">
        <w:tab/>
        <w:t>10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IX.</w:t>
      </w:r>
      <w:r w:rsidRPr="00724AC2">
        <w:tab/>
      </w:r>
      <w:r w:rsidRPr="00DD3694">
        <w:t xml:space="preserve">Группа экспертов по сопоставительному анализу затрат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на строительство транспортной инфраструктуры</w:t>
      </w:r>
      <w:r w:rsidRPr="00DD3694" w:rsidDel="007B54E1">
        <w:t xml:space="preserve">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(пункт 8 повестки дня)</w:t>
      </w:r>
      <w:r w:rsidRPr="00724AC2">
        <w:tab/>
      </w:r>
      <w:r w:rsidRPr="00724AC2">
        <w:tab/>
        <w:t>39</w:t>
      </w:r>
      <w:r w:rsidR="008111C5" w:rsidRPr="008111C5">
        <w:t>–</w:t>
      </w:r>
      <w:r w:rsidRPr="00724AC2">
        <w:t>40</w:t>
      </w:r>
      <w:r w:rsidRPr="00724AC2">
        <w:tab/>
        <w:t>1</w:t>
      </w:r>
      <w:r w:rsidR="00517485">
        <w:t>1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X.</w:t>
      </w:r>
      <w:r w:rsidRPr="00724AC2">
        <w:tab/>
      </w:r>
      <w:r w:rsidRPr="00DD3694">
        <w:t xml:space="preserve">Городская мобильность и общественный транспорт: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 xml:space="preserve">Общеевропейский генеральный план для велосипедного движения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(пункт 9 повестки дня)</w:t>
      </w:r>
      <w:r w:rsidRPr="00724AC2">
        <w:tab/>
      </w:r>
      <w:r w:rsidRPr="00724AC2">
        <w:tab/>
        <w:t>41</w:t>
      </w:r>
      <w:r w:rsidR="008111C5" w:rsidRPr="008111C5">
        <w:t>–</w:t>
      </w:r>
      <w:r w:rsidR="00517485">
        <w:t>43</w:t>
      </w:r>
      <w:r w:rsidR="00517485">
        <w:tab/>
        <w:t>11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XI.</w:t>
      </w:r>
      <w:r w:rsidRPr="00724AC2">
        <w:tab/>
      </w:r>
      <w:r w:rsidRPr="00DD3694">
        <w:t>Изменение климата и транспорт (пункт 10 повестки дня)</w:t>
      </w:r>
      <w:r w:rsidRPr="00724AC2">
        <w:tab/>
      </w:r>
      <w:r w:rsidRPr="00724AC2">
        <w:tab/>
        <w:t>44</w:t>
      </w:r>
      <w:r w:rsidR="008111C5" w:rsidRPr="008111C5">
        <w:t>–</w:t>
      </w:r>
      <w:r w:rsidRPr="00724AC2">
        <w:t>47</w:t>
      </w:r>
      <w:r w:rsidRPr="00724AC2">
        <w:tab/>
        <w:t>1</w:t>
      </w:r>
      <w:r w:rsidR="00517485">
        <w:t>2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A.</w:t>
      </w:r>
      <w:r w:rsidRPr="00724AC2">
        <w:tab/>
      </w:r>
      <w:r w:rsidRPr="00DD3694">
        <w:t xml:space="preserve">Группа экспертов по последствиям изменения климата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 xml:space="preserve">для международных транспортных сетей и узлов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и адаптации к ним</w:t>
      </w:r>
      <w:r w:rsidRPr="00724AC2">
        <w:tab/>
      </w:r>
      <w:r w:rsidRPr="00724AC2">
        <w:tab/>
        <w:t>44</w:t>
      </w:r>
      <w:r w:rsidR="008111C5" w:rsidRPr="008111C5">
        <w:t>–</w:t>
      </w:r>
      <w:r w:rsidRPr="00724AC2">
        <w:t>46</w:t>
      </w:r>
      <w:r w:rsidRPr="00724AC2">
        <w:tab/>
        <w:t>1</w:t>
      </w:r>
      <w:r w:rsidR="00517485">
        <w:t>2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B.</w:t>
      </w:r>
      <w:r w:rsidRPr="00724AC2">
        <w:tab/>
      </w:r>
      <w:r w:rsidRPr="00DD3694">
        <w:t xml:space="preserve">Смягчение последствий изменения климата: инструмент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="008111C5">
        <w:t xml:space="preserve"> «</w:t>
      </w:r>
      <w:r w:rsidRPr="00DD3694">
        <w:t>В интересах будущих систем внутреннего транспорта</w:t>
      </w:r>
      <w:r w:rsidR="008111C5">
        <w:t>»</w:t>
      </w:r>
      <w:r w:rsidRPr="00DD3694">
        <w:t xml:space="preserve">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 xml:space="preserve">Европейской экономической комиссии Организации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Объединенных Наций</w:t>
      </w:r>
      <w:r w:rsidRPr="00724AC2">
        <w:tab/>
      </w:r>
      <w:r w:rsidR="008111C5" w:rsidRPr="008111C5">
        <w:tab/>
      </w:r>
      <w:r w:rsidRPr="00724AC2">
        <w:t>47</w:t>
      </w:r>
      <w:r w:rsidRPr="00724AC2">
        <w:tab/>
        <w:t>1</w:t>
      </w:r>
      <w:r w:rsidR="00517485">
        <w:t>2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XII.</w:t>
      </w:r>
      <w:r w:rsidRPr="00724AC2">
        <w:tab/>
      </w:r>
      <w:r w:rsidRPr="00DD3694">
        <w:t xml:space="preserve">Обзор ситуации на транспорте, тенденций и экономики транспорта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в регионе ЕЭК (пункт 11 повестки дня)</w:t>
      </w:r>
      <w:r w:rsidRPr="00724AC2">
        <w:tab/>
      </w:r>
      <w:r w:rsidRPr="00724AC2">
        <w:tab/>
        <w:t>48</w:t>
      </w:r>
      <w:r w:rsidR="008111C5" w:rsidRPr="008111C5">
        <w:t>–</w:t>
      </w:r>
      <w:r w:rsidRPr="00724AC2">
        <w:t>59</w:t>
      </w:r>
      <w:r w:rsidRPr="00724AC2">
        <w:tab/>
        <w:t>1</w:t>
      </w:r>
      <w:r w:rsidR="00917DE6">
        <w:t>3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A.</w:t>
      </w:r>
      <w:r w:rsidRPr="00724AC2">
        <w:tab/>
      </w:r>
      <w:r w:rsidRPr="00DD3694">
        <w:t xml:space="preserve">Тенденции и экономика транспорта в 2016–2017 годах: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 xml:space="preserve">достижение целей устойчивого развития на основе развития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устойчивого транспорта</w:t>
      </w:r>
      <w:r w:rsidRPr="00724AC2">
        <w:tab/>
      </w:r>
      <w:r w:rsidRPr="00724AC2">
        <w:tab/>
        <w:t>48</w:t>
      </w:r>
      <w:r w:rsidR="008111C5" w:rsidRPr="008111C5">
        <w:t>–</w:t>
      </w:r>
      <w:r w:rsidRPr="00724AC2">
        <w:t>50</w:t>
      </w:r>
      <w:r w:rsidRPr="00724AC2">
        <w:tab/>
        <w:t>1</w:t>
      </w:r>
      <w:r w:rsidR="00917DE6">
        <w:t>3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B.</w:t>
      </w:r>
      <w:r w:rsidRPr="00724AC2">
        <w:tab/>
      </w:r>
      <w:r w:rsidRPr="00DD3694">
        <w:t xml:space="preserve">Тенденции и экономика транспорта в 2014–2015 годах: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финансирование транспортной инфраструктуры</w:t>
      </w:r>
      <w:r w:rsidRPr="00724AC2">
        <w:tab/>
      </w:r>
      <w:r w:rsidRPr="00724AC2">
        <w:tab/>
        <w:t>51</w:t>
      </w:r>
      <w:r w:rsidRPr="00724AC2">
        <w:tab/>
        <w:t>1</w:t>
      </w:r>
      <w:r w:rsidR="00917DE6">
        <w:t>4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C.</w:t>
      </w:r>
      <w:r w:rsidRPr="00724AC2">
        <w:tab/>
      </w:r>
      <w:r w:rsidRPr="00DD3694">
        <w:t>Транспортные тенденции и вызовы в автомобильном секторе</w:t>
      </w:r>
      <w:r w:rsidRPr="00724AC2">
        <w:tab/>
      </w:r>
      <w:r w:rsidRPr="00724AC2">
        <w:tab/>
        <w:t>52</w:t>
      </w:r>
      <w:r w:rsidR="008111C5" w:rsidRPr="008111C5">
        <w:t>–</w:t>
      </w:r>
      <w:r w:rsidRPr="00724AC2">
        <w:t>53</w:t>
      </w:r>
      <w:r w:rsidRPr="00724AC2">
        <w:tab/>
        <w:t>1</w:t>
      </w:r>
      <w:r w:rsidR="00917DE6">
        <w:t>4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D.</w:t>
      </w:r>
      <w:r w:rsidRPr="00724AC2">
        <w:tab/>
      </w:r>
      <w:r w:rsidRPr="00DD3694">
        <w:t xml:space="preserve">Транспортные тенденции и вызовы в железнодорожном </w:t>
      </w:r>
      <w:r w:rsidR="00DF68BE">
        <w:br/>
      </w:r>
      <w:r w:rsidR="00DF68BE">
        <w:tab/>
      </w:r>
      <w:r w:rsidR="00DF68BE">
        <w:tab/>
      </w:r>
      <w:r w:rsidR="00DF68BE">
        <w:tab/>
      </w:r>
      <w:r w:rsidRPr="00DD3694">
        <w:t>секторе</w:t>
      </w:r>
      <w:r w:rsidRPr="00724AC2">
        <w:tab/>
      </w:r>
      <w:r w:rsidRPr="00724AC2">
        <w:tab/>
        <w:t>54</w:t>
      </w:r>
      <w:r w:rsidR="008111C5" w:rsidRPr="008111C5">
        <w:t>–</w:t>
      </w:r>
      <w:r w:rsidRPr="00724AC2">
        <w:t>55</w:t>
      </w:r>
      <w:r w:rsidRPr="00724AC2">
        <w:tab/>
        <w:t>1</w:t>
      </w:r>
      <w:r w:rsidR="00917DE6">
        <w:t>4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E.</w:t>
      </w:r>
      <w:r w:rsidRPr="00724AC2">
        <w:tab/>
      </w:r>
      <w:r w:rsidRPr="00DD3694">
        <w:t xml:space="preserve">Транспортные тенденции и вызовы в секторе внутренних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водных путей</w:t>
      </w:r>
      <w:r w:rsidRPr="00724AC2">
        <w:tab/>
      </w:r>
      <w:r w:rsidRPr="00724AC2">
        <w:tab/>
        <w:t>56</w:t>
      </w:r>
      <w:r w:rsidR="008111C5" w:rsidRPr="008111C5">
        <w:t>–</w:t>
      </w:r>
      <w:r w:rsidRPr="00724AC2">
        <w:t>57</w:t>
      </w:r>
      <w:r w:rsidRPr="00724AC2">
        <w:tab/>
        <w:t>1</w:t>
      </w:r>
      <w:r w:rsidR="00917DE6">
        <w:t>4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F.</w:t>
      </w:r>
      <w:r w:rsidRPr="00724AC2">
        <w:tab/>
      </w:r>
      <w:r w:rsidRPr="00DD3694">
        <w:t>Анализ статистики транспорта ЕЭК ООН</w:t>
      </w:r>
      <w:r w:rsidRPr="00724AC2">
        <w:t>.</w:t>
      </w:r>
      <w:r w:rsidRPr="00724AC2">
        <w:tab/>
      </w:r>
      <w:r w:rsidRPr="00724AC2">
        <w:tab/>
        <w:t>58</w:t>
      </w:r>
      <w:r w:rsidR="008111C5" w:rsidRPr="00154946">
        <w:t>–</w:t>
      </w:r>
      <w:r w:rsidRPr="00724AC2">
        <w:t>59</w:t>
      </w:r>
      <w:r w:rsidRPr="00724AC2">
        <w:tab/>
        <w:t>1</w:t>
      </w:r>
      <w:r w:rsidR="00917DE6">
        <w:t>5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XIII.</w:t>
      </w:r>
      <w:r w:rsidRPr="00724AC2">
        <w:tab/>
      </w:r>
      <w:r w:rsidRPr="00DD3694">
        <w:t xml:space="preserve">Техническая помощь странам с переходной экономикой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(пункт 12 повестки дня)</w:t>
      </w:r>
      <w:r w:rsidRPr="00724AC2">
        <w:tab/>
      </w:r>
      <w:r w:rsidRPr="00724AC2">
        <w:tab/>
        <w:t>60</w:t>
      </w:r>
      <w:r w:rsidR="008111C5" w:rsidRPr="008111C5">
        <w:t>–</w:t>
      </w:r>
      <w:r w:rsidRPr="00724AC2">
        <w:t>62</w:t>
      </w:r>
      <w:r w:rsidRPr="00724AC2">
        <w:tab/>
        <w:t>1</w:t>
      </w:r>
      <w:r w:rsidR="00917DE6">
        <w:t>5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XIV.</w:t>
      </w:r>
      <w:r w:rsidRPr="00724AC2">
        <w:tab/>
      </w:r>
      <w:r w:rsidRPr="00DD3694">
        <w:t xml:space="preserve">Деятельность органов Европейской экономической комиссии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 xml:space="preserve">Организации Объединенных Наций, представляющая интерес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для Рабочей группы (пункт 13 повестки дня)</w:t>
      </w:r>
      <w:r w:rsidRPr="00724AC2">
        <w:tab/>
      </w:r>
      <w:r w:rsidRPr="00724AC2">
        <w:tab/>
        <w:t>63</w:t>
      </w:r>
      <w:r w:rsidR="008111C5" w:rsidRPr="008111C5">
        <w:t>–</w:t>
      </w:r>
      <w:r w:rsidRPr="00724AC2">
        <w:t>65</w:t>
      </w:r>
      <w:r w:rsidRPr="00724AC2">
        <w:tab/>
        <w:t>1</w:t>
      </w:r>
      <w:r w:rsidR="00917DE6">
        <w:t>5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XV.</w:t>
      </w:r>
      <w:r w:rsidRPr="00724AC2">
        <w:tab/>
      </w:r>
      <w:r w:rsidRPr="00DD3694">
        <w:t>Программа работы, двухгодичная оценка на 2018</w:t>
      </w:r>
      <w:r w:rsidR="009478DB">
        <w:t>–</w:t>
      </w:r>
      <w:r w:rsidRPr="00DD3694">
        <w:t xml:space="preserve">2019 годы и план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Pr="00DD3694">
        <w:t>работы на 2018</w:t>
      </w:r>
      <w:r w:rsidR="009478DB">
        <w:t>–</w:t>
      </w:r>
      <w:r w:rsidRPr="00DD3694">
        <w:t>2022 годы (пункт 14 повестки дня)</w:t>
      </w:r>
      <w:r w:rsidRPr="00724AC2">
        <w:tab/>
      </w:r>
      <w:r w:rsidRPr="00724AC2">
        <w:tab/>
        <w:t>66</w:t>
      </w:r>
      <w:r w:rsidR="008111C5" w:rsidRPr="008111C5">
        <w:t>–</w:t>
      </w:r>
      <w:r w:rsidRPr="00724AC2">
        <w:t>67</w:t>
      </w:r>
      <w:r w:rsidRPr="00724AC2">
        <w:tab/>
        <w:t>1</w:t>
      </w:r>
      <w:r w:rsidR="00917DE6">
        <w:t>6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A.</w:t>
      </w:r>
      <w:r w:rsidRPr="00724AC2">
        <w:tab/>
      </w:r>
      <w:r w:rsidRPr="00DD3694">
        <w:t xml:space="preserve">Проект программы работы и двухгодичная оценка </w:t>
      </w:r>
      <w:r w:rsidR="008111C5" w:rsidRPr="008111C5">
        <w:br/>
      </w:r>
      <w:r w:rsidR="008111C5" w:rsidRPr="008111C5">
        <w:tab/>
      </w:r>
      <w:r w:rsidR="008111C5" w:rsidRPr="008111C5">
        <w:tab/>
      </w:r>
      <w:r w:rsidR="008111C5" w:rsidRPr="008111C5">
        <w:tab/>
      </w:r>
      <w:r w:rsidRPr="00DD3694">
        <w:t>на 2018</w:t>
      </w:r>
      <w:r w:rsidR="009478DB">
        <w:t>–</w:t>
      </w:r>
      <w:r w:rsidRPr="00DD3694">
        <w:t>2019 годы</w:t>
      </w:r>
      <w:r w:rsidRPr="00724AC2">
        <w:tab/>
      </w:r>
      <w:r w:rsidRPr="00724AC2">
        <w:tab/>
        <w:t>66</w:t>
      </w:r>
      <w:r w:rsidRPr="00724AC2">
        <w:tab/>
        <w:t>1</w:t>
      </w:r>
      <w:r w:rsidR="00917DE6">
        <w:t>6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</w:r>
      <w:r w:rsidRPr="00724AC2">
        <w:tab/>
        <w:t>B.</w:t>
      </w:r>
      <w:r w:rsidRPr="00724AC2">
        <w:tab/>
      </w:r>
      <w:r w:rsidRPr="00DD3694">
        <w:t>Проект плана работы на 2018</w:t>
      </w:r>
      <w:r w:rsidR="009478DB">
        <w:t>–</w:t>
      </w:r>
      <w:r w:rsidRPr="00DD3694">
        <w:t>2022 годы</w:t>
      </w:r>
      <w:r w:rsidRPr="00724AC2">
        <w:t>.</w:t>
      </w:r>
      <w:r w:rsidRPr="00724AC2">
        <w:tab/>
      </w:r>
      <w:r w:rsidRPr="00724AC2">
        <w:tab/>
        <w:t>67</w:t>
      </w:r>
      <w:r w:rsidRPr="00724AC2">
        <w:tab/>
        <w:t>1</w:t>
      </w:r>
      <w:r w:rsidR="00917DE6">
        <w:t>6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XVI.</w:t>
      </w:r>
      <w:r w:rsidRPr="00724AC2">
        <w:tab/>
      </w:r>
      <w:r w:rsidRPr="00DD3694">
        <w:t>Прочие вопросы (пункт 15 повестки дня)</w:t>
      </w:r>
      <w:r w:rsidRPr="00724AC2">
        <w:tab/>
      </w:r>
      <w:r w:rsidRPr="00724AC2">
        <w:tab/>
        <w:t>68</w:t>
      </w:r>
      <w:r w:rsidRPr="00724AC2">
        <w:tab/>
        <w:t>1</w:t>
      </w:r>
      <w:r w:rsidR="00917DE6">
        <w:t>6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XVII.</w:t>
      </w:r>
      <w:r w:rsidRPr="00724AC2">
        <w:tab/>
      </w:r>
      <w:r w:rsidRPr="00DD3694">
        <w:t>Сроки проведения следующей сессии (пункт 16 повестки дня)</w:t>
      </w:r>
      <w:r w:rsidRPr="00724AC2">
        <w:tab/>
      </w:r>
      <w:r w:rsidRPr="00724AC2">
        <w:tab/>
        <w:t>69</w:t>
      </w:r>
      <w:r w:rsidRPr="00724AC2">
        <w:tab/>
        <w:t>1</w:t>
      </w:r>
      <w:r w:rsidR="00917DE6">
        <w:t>7</w:t>
      </w:r>
    </w:p>
    <w:p w:rsidR="00724AC2" w:rsidRPr="00724AC2" w:rsidRDefault="00724AC2" w:rsidP="00724AC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24AC2">
        <w:tab/>
        <w:t>XVIII.</w:t>
      </w:r>
      <w:r w:rsidRPr="00724AC2">
        <w:tab/>
      </w:r>
      <w:r w:rsidRPr="00DD3694">
        <w:t>Утверждение основных решений (пункт 17 повестки дня)</w:t>
      </w:r>
      <w:r w:rsidRPr="00724AC2">
        <w:tab/>
      </w:r>
      <w:r w:rsidRPr="00724AC2">
        <w:tab/>
        <w:t>70</w:t>
      </w:r>
      <w:r w:rsidRPr="00724AC2">
        <w:tab/>
        <w:t>1</w:t>
      </w:r>
      <w:r w:rsidR="00917DE6">
        <w:t>7</w:t>
      </w:r>
    </w:p>
    <w:p w:rsidR="00724AC2" w:rsidRPr="00724AC2" w:rsidRDefault="00724AC2" w:rsidP="008111C5">
      <w:pPr>
        <w:pStyle w:val="HChGR"/>
      </w:pPr>
      <w:r w:rsidRPr="00724AC2">
        <w:br w:type="page"/>
      </w:r>
      <w:r w:rsidR="008111C5">
        <w:lastRenderedPageBreak/>
        <w:tab/>
      </w:r>
      <w:r w:rsidRPr="00724AC2">
        <w:rPr>
          <w:lang w:val="en-GB"/>
        </w:rPr>
        <w:t>I</w:t>
      </w:r>
      <w:r w:rsidRPr="00724AC2">
        <w:t>.</w:t>
      </w:r>
      <w:r w:rsidRPr="00724AC2">
        <w:tab/>
        <w:t>Участники</w:t>
      </w:r>
    </w:p>
    <w:p w:rsidR="00724AC2" w:rsidRPr="00724AC2" w:rsidRDefault="00724AC2" w:rsidP="00724AC2">
      <w:pPr>
        <w:pStyle w:val="SingleTxtGR"/>
      </w:pPr>
      <w:r w:rsidRPr="00724AC2">
        <w:t>1.</w:t>
      </w:r>
      <w:r w:rsidRPr="00724AC2">
        <w:tab/>
        <w:t>Рабочая группа по тенденциям и экономике транспорта провела свою тридцатую сессию 4–6 сентября 2017 года. Совещание проходило под председ</w:t>
      </w:r>
      <w:r w:rsidRPr="00724AC2">
        <w:t>а</w:t>
      </w:r>
      <w:r w:rsidRPr="00724AC2">
        <w:t>тельством г-жи И. Деттбарн (Германия). В его работе приняли участие предст</w:t>
      </w:r>
      <w:r w:rsidRPr="00724AC2">
        <w:t>а</w:t>
      </w:r>
      <w:r w:rsidRPr="00724AC2">
        <w:t>вители следующих государств</w:t>
      </w:r>
      <w:r w:rsidR="00AB2D1F">
        <w:t xml:space="preserve"> – </w:t>
      </w:r>
      <w:r w:rsidRPr="00724AC2">
        <w:t>членов Европейской экономической комиссии Организации Объединенных Наций (ЕЭК ООН): Австрии, Болгарии, Боснии и Герцеговины, бывшей югославской Республики Македония, Германии, Греции, Италии, Казахстана, Нидерландов, Польши, Республики Молдова, Российской Федерации, Румынии, Словакии, Турции, Че</w:t>
      </w:r>
      <w:r w:rsidR="008111C5">
        <w:t>шской Республики и Швейцарии. В </w:t>
      </w:r>
      <w:r w:rsidRPr="00724AC2">
        <w:t>соответствии со статьей 11 Положения о круге ведения ЕЭК ООН также пр</w:t>
      </w:r>
      <w:r w:rsidRPr="00724AC2">
        <w:t>и</w:t>
      </w:r>
      <w:r w:rsidRPr="00724AC2">
        <w:t>сутствовали представители Китая. Кроме того, присутствовал представитель Европейского союза (ГД по мобильности и транспорту).</w:t>
      </w:r>
    </w:p>
    <w:p w:rsidR="00724AC2" w:rsidRPr="00724AC2" w:rsidRDefault="00724AC2" w:rsidP="00724AC2">
      <w:pPr>
        <w:pStyle w:val="SingleTxtGR"/>
      </w:pPr>
      <w:r w:rsidRPr="00724AC2">
        <w:t>2.</w:t>
      </w:r>
      <w:r w:rsidRPr="00724AC2">
        <w:tab/>
        <w:t>Были представлены следующие организации и специализированные учреждения Организации Объединенных Наций: Центральное управление пр</w:t>
      </w:r>
      <w:r w:rsidRPr="00724AC2">
        <w:t>о</w:t>
      </w:r>
      <w:r w:rsidRPr="00724AC2">
        <w:t>ектов Трансъевропейской автомагистрали (ТЕА) и Трансъевропейской железн</w:t>
      </w:r>
      <w:r w:rsidRPr="00724AC2">
        <w:t>о</w:t>
      </w:r>
      <w:r w:rsidRPr="00724AC2">
        <w:t xml:space="preserve">дорожной магистрали (ТЕЖ) ЕЭК ООН. </w:t>
      </w:r>
    </w:p>
    <w:p w:rsidR="00724AC2" w:rsidRPr="00724AC2" w:rsidRDefault="00724AC2" w:rsidP="00724AC2">
      <w:pPr>
        <w:pStyle w:val="SingleTxtGR"/>
      </w:pPr>
      <w:r w:rsidRPr="00724AC2">
        <w:t>3.</w:t>
      </w:r>
      <w:r w:rsidRPr="00724AC2">
        <w:tab/>
        <w:t>Были представлены следующие межправительственные организации: Центр транспортных исследований для Западного Средиземноморья (СЕТМО), Организация сотрудничества железных дорог (ОСЖД), Организация черномо</w:t>
      </w:r>
      <w:r w:rsidRPr="00724AC2">
        <w:t>р</w:t>
      </w:r>
      <w:r w:rsidRPr="00724AC2">
        <w:t>ского экономического сотрудничества (ОЧЭС) и Транспортная обсерватория Юго-Восточной Европы (ТОЮВЕ).</w:t>
      </w:r>
    </w:p>
    <w:p w:rsidR="00724AC2" w:rsidRPr="00724AC2" w:rsidRDefault="00724AC2" w:rsidP="00724AC2">
      <w:pPr>
        <w:pStyle w:val="SingleTxtGR"/>
      </w:pPr>
      <w:r w:rsidRPr="00724AC2">
        <w:t>4.</w:t>
      </w:r>
      <w:r w:rsidRPr="00724AC2">
        <w:tab/>
        <w:t>Были представлены следующие неправительственные организации: Ме</w:t>
      </w:r>
      <w:r w:rsidRPr="00724AC2">
        <w:t>ж</w:t>
      </w:r>
      <w:r w:rsidRPr="00724AC2">
        <w:t>дународная автодорожная федерация (МАФ), Международный союз автом</w:t>
      </w:r>
      <w:r w:rsidRPr="00724AC2">
        <w:t>о</w:t>
      </w:r>
      <w:r w:rsidRPr="00724AC2">
        <w:t>бильного транспорта (МСАТ) и Международный союз железных дорог (МСЖД).</w:t>
      </w:r>
    </w:p>
    <w:p w:rsidR="00724AC2" w:rsidRPr="00724AC2" w:rsidRDefault="00724AC2" w:rsidP="00724AC2">
      <w:pPr>
        <w:pStyle w:val="SingleTxtGR"/>
      </w:pPr>
      <w:r w:rsidRPr="00724AC2">
        <w:t>5.</w:t>
      </w:r>
      <w:r w:rsidRPr="00724AC2">
        <w:tab/>
        <w:t>По приглашению секретариата на совещании присутствовали представ</w:t>
      </w:r>
      <w:r w:rsidRPr="00724AC2">
        <w:t>и</w:t>
      </w:r>
      <w:r w:rsidRPr="00724AC2">
        <w:t xml:space="preserve">тели следующих структур: </w:t>
      </w:r>
      <w:bookmarkStart w:id="1" w:name="OLE_LINK15"/>
      <w:bookmarkStart w:id="2" w:name="OLE_LINK16"/>
      <w:r w:rsidRPr="00724AC2">
        <w:t>Фракийского университета им. Демокрита</w:t>
      </w:r>
      <w:bookmarkEnd w:id="1"/>
      <w:bookmarkEnd w:id="2"/>
      <w:r w:rsidRPr="00724AC2">
        <w:t>, Моско</w:t>
      </w:r>
      <w:r w:rsidRPr="00724AC2">
        <w:t>в</w:t>
      </w:r>
      <w:r w:rsidRPr="00724AC2">
        <w:t xml:space="preserve">ского государственного университета путей сообщения, АО </w:t>
      </w:r>
      <w:r w:rsidR="008111C5">
        <w:t>«</w:t>
      </w:r>
      <w:r w:rsidRPr="00724AC2">
        <w:t>ПЛАСКЕ</w:t>
      </w:r>
      <w:r w:rsidR="008111C5">
        <w:t>»</w:t>
      </w:r>
      <w:r w:rsidRPr="00724AC2">
        <w:t>, Соо</w:t>
      </w:r>
      <w:r w:rsidRPr="00724AC2">
        <w:t>б</w:t>
      </w:r>
      <w:r w:rsidRPr="00724AC2">
        <w:t>щества европейских железных дорог и компаний по управлению инфраструкт</w:t>
      </w:r>
      <w:r w:rsidRPr="00724AC2">
        <w:t>у</w:t>
      </w:r>
      <w:r w:rsidRPr="00724AC2">
        <w:t xml:space="preserve">рой (СЕЖД, международная некоммерческая ассоциация), ТОО </w:t>
      </w:r>
      <w:r w:rsidR="008111C5">
        <w:t>«</w:t>
      </w:r>
      <w:r w:rsidRPr="00724AC2">
        <w:t>КМС Камерон Маккенна ЛЛП</w:t>
      </w:r>
      <w:r w:rsidR="008111C5">
        <w:t>»</w:t>
      </w:r>
      <w:r w:rsidRPr="00724AC2">
        <w:t>, проекта транспортного обеспечения ЕВРО</w:t>
      </w:r>
      <w:r w:rsidR="00AB2D1F">
        <w:t>МЕД, ООО </w:t>
      </w:r>
      <w:r w:rsidR="008111C5">
        <w:t>«</w:t>
      </w:r>
      <w:r w:rsidRPr="00724AC2">
        <w:t>Флюидтайм дата сервисез ГмбХ</w:t>
      </w:r>
      <w:r w:rsidR="008111C5">
        <w:t>»</w:t>
      </w:r>
      <w:r w:rsidRPr="00724AC2">
        <w:t xml:space="preserve">, ООО </w:t>
      </w:r>
      <w:r w:rsidR="008111C5">
        <w:t>«</w:t>
      </w:r>
      <w:r w:rsidRPr="00724AC2">
        <w:t>ТрансКонтейнер Европа ГмбХ</w:t>
      </w:r>
      <w:r w:rsidR="00AB2D1F">
        <w:t>»</w:t>
      </w:r>
      <w:r w:rsidRPr="00724AC2">
        <w:t xml:space="preserve"> и </w:t>
      </w:r>
      <w:r w:rsidR="008111C5">
        <w:t>«</w:t>
      </w:r>
      <w:r w:rsidRPr="00724AC2">
        <w:t>Убера</w:t>
      </w:r>
      <w:r w:rsidR="008111C5">
        <w:t>»</w:t>
      </w:r>
      <w:r w:rsidRPr="00724AC2">
        <w:t>.</w:t>
      </w:r>
    </w:p>
    <w:p w:rsidR="00724AC2" w:rsidRPr="008111C5" w:rsidRDefault="00724AC2" w:rsidP="008111C5">
      <w:pPr>
        <w:pStyle w:val="HChGR"/>
      </w:pPr>
      <w:r w:rsidRPr="008111C5">
        <w:tab/>
        <w:t>II.</w:t>
      </w:r>
      <w:r w:rsidRPr="008111C5">
        <w:tab/>
        <w:t>Утверждение повестки дня (пункт 1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ECE/TRANS/WP.5/61</w:t>
      </w:r>
    </w:p>
    <w:p w:rsidR="00724AC2" w:rsidRPr="00724AC2" w:rsidRDefault="00724AC2" w:rsidP="00724AC2">
      <w:pPr>
        <w:pStyle w:val="SingleTxtGR"/>
      </w:pPr>
      <w:r w:rsidRPr="00724AC2">
        <w:t>6.</w:t>
      </w:r>
      <w:r w:rsidRPr="00724AC2">
        <w:tab/>
      </w:r>
      <w:r w:rsidRPr="00724AC2">
        <w:rPr>
          <w:bCs/>
        </w:rPr>
        <w:t>Рабочая группа утвердила повестку дня.</w:t>
      </w:r>
    </w:p>
    <w:p w:rsidR="00724AC2" w:rsidRPr="008111C5" w:rsidRDefault="00724AC2" w:rsidP="008111C5">
      <w:pPr>
        <w:pStyle w:val="HChGR"/>
      </w:pPr>
      <w:r w:rsidRPr="00724AC2">
        <w:rPr>
          <w:b w:val="0"/>
        </w:rPr>
        <w:tab/>
      </w:r>
      <w:r w:rsidRPr="008111C5">
        <w:t>III.</w:t>
      </w:r>
      <w:r w:rsidRPr="008111C5">
        <w:tab/>
        <w:t xml:space="preserve">Рабочее совещание на тему: </w:t>
      </w:r>
      <w:r w:rsidR="008111C5">
        <w:t>«</w:t>
      </w:r>
      <w:r w:rsidRPr="008111C5">
        <w:t>Коридоры транспортной инфраструктуры в Европе и Азии</w:t>
      </w:r>
      <w:r w:rsidR="008111C5">
        <w:t>»</w:t>
      </w:r>
      <w:r w:rsidRPr="008111C5">
        <w:t xml:space="preserve"> (пункт 2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DF68BE">
        <w:rPr>
          <w:bCs/>
          <w:iCs/>
        </w:rPr>
        <w:t>:</w:t>
      </w:r>
      <w:r w:rsidRPr="00724AC2">
        <w:t xml:space="preserve"> неофициальный документ № 1</w:t>
      </w:r>
    </w:p>
    <w:p w:rsidR="00724AC2" w:rsidRPr="00724AC2" w:rsidRDefault="00724AC2" w:rsidP="00724AC2">
      <w:pPr>
        <w:pStyle w:val="SingleTxtGR"/>
      </w:pPr>
      <w:r w:rsidRPr="00724AC2">
        <w:t>7.</w:t>
      </w:r>
      <w:r w:rsidRPr="00724AC2">
        <w:tab/>
        <w:t xml:space="preserve">В ходе своей двадцать восьмой сессии (Женева, 7–9 сентября 2015 года) Рабочая группа организовала рабочее совещание на тему: </w:t>
      </w:r>
      <w:r w:rsidR="008111C5">
        <w:t>«</w:t>
      </w:r>
      <w:r w:rsidRPr="00724AC2">
        <w:t>Коридоры тран</w:t>
      </w:r>
      <w:r w:rsidRPr="00724AC2">
        <w:t>с</w:t>
      </w:r>
      <w:r w:rsidRPr="00724AC2">
        <w:t>портной инфраструктуры в Европе и Азии</w:t>
      </w:r>
      <w:r w:rsidR="008111C5">
        <w:t>»</w:t>
      </w:r>
      <w:r w:rsidRPr="00724AC2">
        <w:t>. Его участники согласились с тем, что, хотя существуют и действуют многочисленные инициативы по развитию транспортных коридоров в Европе и Азии, сотрудничество между этими ин</w:t>
      </w:r>
      <w:r w:rsidRPr="00724AC2">
        <w:t>и</w:t>
      </w:r>
      <w:r w:rsidRPr="00724AC2">
        <w:t>циативами либо очень незначительно, либо отсутствует. В ходе своей двадцать девятой сессии (Женева, 5–7 сентября 2016 года) Рабочая группа одобрила с</w:t>
      </w:r>
      <w:r w:rsidRPr="00724AC2">
        <w:t>о</w:t>
      </w:r>
      <w:r w:rsidRPr="00724AC2">
        <w:t>здание центра мониторинга транспортной инфраструктуры в Европе и Азии, который должен охватывать все существующие инициативы в области развития транспортной инфраструктуры в Европе и Азии и основной целью которого должно быть стимулирование взаимодействия между этими инициативами. Р</w:t>
      </w:r>
      <w:r w:rsidRPr="00724AC2">
        <w:t>а</w:t>
      </w:r>
      <w:r w:rsidRPr="00724AC2">
        <w:t>бочее совещание этого года стало одним из элементов последующей деятельн</w:t>
      </w:r>
      <w:r w:rsidRPr="00724AC2">
        <w:t>о</w:t>
      </w:r>
      <w:r w:rsidRPr="00724AC2">
        <w:t>сти по итогам вышеупомянутых решений, и эксперты имели возможность о</w:t>
      </w:r>
      <w:r w:rsidRPr="00724AC2">
        <w:t>б</w:t>
      </w:r>
      <w:r w:rsidRPr="00724AC2">
        <w:t>меняться опытом развития коридоров, принять участие в дискуссиях по вопр</w:t>
      </w:r>
      <w:r w:rsidRPr="00724AC2">
        <w:t>о</w:t>
      </w:r>
      <w:r w:rsidRPr="00724AC2">
        <w:t>сам укрепления сотрудничества, а также обсудить принципы, на которые до</w:t>
      </w:r>
      <w:r w:rsidRPr="00724AC2">
        <w:t>л</w:t>
      </w:r>
      <w:r w:rsidRPr="00724AC2">
        <w:t>жен опираться центр мониторинга транспортной инфраструктуры в своей раб</w:t>
      </w:r>
      <w:r w:rsidRPr="00724AC2">
        <w:t>о</w:t>
      </w:r>
      <w:r w:rsidRPr="00724AC2">
        <w:t>те по содействию сотрудничеству между различными инициативами.</w:t>
      </w:r>
    </w:p>
    <w:p w:rsidR="00724AC2" w:rsidRPr="00724AC2" w:rsidRDefault="00724AC2" w:rsidP="00724AC2">
      <w:pPr>
        <w:pStyle w:val="SingleTxtGR"/>
      </w:pPr>
      <w:r w:rsidRPr="00724AC2">
        <w:t>8.</w:t>
      </w:r>
      <w:r w:rsidRPr="00724AC2">
        <w:tab/>
        <w:t>Участники: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приняли к сведению последние тенденции и события, связанные с коридорами, в регионе ЕЭК:</w:t>
      </w:r>
    </w:p>
    <w:p w:rsidR="00724AC2" w:rsidRPr="00724AC2" w:rsidRDefault="00724AC2" w:rsidP="00AB2D1F">
      <w:pPr>
        <w:pStyle w:val="Bullet1GR"/>
      </w:pPr>
      <w:r w:rsidRPr="00724AC2">
        <w:t>отметили предложение о развитии соединения Дуная с Моравой в Се</w:t>
      </w:r>
      <w:r w:rsidRPr="00724AC2">
        <w:t>р</w:t>
      </w:r>
      <w:r w:rsidRPr="00724AC2">
        <w:t>бии, а затем ее соединения с рекой Вардар (Аксьос) в бывшей югосла</w:t>
      </w:r>
      <w:r w:rsidRPr="00724AC2">
        <w:t>в</w:t>
      </w:r>
      <w:r w:rsidRPr="00724AC2">
        <w:t>ской Республике Македония и в Греции, которое заканчивается в Сред</w:t>
      </w:r>
      <w:r w:rsidRPr="00724AC2">
        <w:t>и</w:t>
      </w:r>
      <w:r w:rsidRPr="00724AC2">
        <w:t>земном море в порту Салоники;</w:t>
      </w:r>
    </w:p>
    <w:p w:rsidR="00724AC2" w:rsidRPr="00724AC2" w:rsidRDefault="00724AC2" w:rsidP="00AB2D1F">
      <w:pPr>
        <w:pStyle w:val="Bullet1GR"/>
      </w:pPr>
      <w:r w:rsidRPr="00724AC2">
        <w:t>напомнили, что в 2015 году была достигнута договоренность о базовой транспортной сети для Западных Балкан на основе комплексной сети (м</w:t>
      </w:r>
      <w:r w:rsidRPr="00724AC2">
        <w:t>е</w:t>
      </w:r>
      <w:r w:rsidRPr="00724AC2">
        <w:t>тодология ТЕС-Т) в рамках меморандума о взаимопонимании (МОВ), подписанного между ТОЮВЕ и Европейским союзом. Эта инициатива позволила продлить базовую сеть ТЕС-Т до Западных Балкан;</w:t>
      </w:r>
    </w:p>
    <w:p w:rsidR="00724AC2" w:rsidRPr="00724AC2" w:rsidRDefault="00724AC2" w:rsidP="00AB2D1F">
      <w:pPr>
        <w:pStyle w:val="Bullet1GR"/>
      </w:pPr>
      <w:r w:rsidRPr="00724AC2">
        <w:t xml:space="preserve">были проинформированы об инициативе </w:t>
      </w:r>
      <w:r w:rsidR="008111C5">
        <w:t>«</w:t>
      </w:r>
      <w:r w:rsidRPr="00724AC2">
        <w:t>Один пояс</w:t>
      </w:r>
      <w:r w:rsidR="00AB2D1F">
        <w:t xml:space="preserve"> – </w:t>
      </w:r>
      <w:r w:rsidRPr="00724AC2">
        <w:t>один путь</w:t>
      </w:r>
      <w:r w:rsidR="008111C5">
        <w:t>»</w:t>
      </w:r>
      <w:r w:rsidRPr="00724AC2">
        <w:t>, кот</w:t>
      </w:r>
      <w:r w:rsidRPr="00724AC2">
        <w:t>о</w:t>
      </w:r>
      <w:r w:rsidRPr="00724AC2">
        <w:t>рая сосредоточена на азиатском, европейском и африканском контине</w:t>
      </w:r>
      <w:r w:rsidRPr="00724AC2">
        <w:t>н</w:t>
      </w:r>
      <w:r w:rsidRPr="00724AC2">
        <w:t>тах, однако открыта для всех стран в интересах регионального эконом</w:t>
      </w:r>
      <w:r w:rsidRPr="00724AC2">
        <w:t>и</w:t>
      </w:r>
      <w:r w:rsidRPr="00724AC2">
        <w:t>ческого сотрудничества и общего процветания, а также направлена на обеспечение взаимодействия в сферах политики, инфраструктуры, то</w:t>
      </w:r>
      <w:r w:rsidRPr="00724AC2">
        <w:t>р</w:t>
      </w:r>
      <w:r w:rsidRPr="00724AC2">
        <w:t>говли, финансов и межличностных отношений. В проект входят 350 а</w:t>
      </w:r>
      <w:r w:rsidRPr="00724AC2">
        <w:t>в</w:t>
      </w:r>
      <w:r w:rsidRPr="00724AC2">
        <w:t>томобильных маршрутов, открытых для международных пассажирских и грузовых перевозок, а также 4 000 скоро</w:t>
      </w:r>
      <w:r w:rsidR="00AB2D1F">
        <w:t>стных поездов в 29 городов в 11 </w:t>
      </w:r>
      <w:r w:rsidRPr="00724AC2">
        <w:t xml:space="preserve">европейских странах; </w:t>
      </w:r>
    </w:p>
    <w:p w:rsidR="00724AC2" w:rsidRPr="00724AC2" w:rsidRDefault="00724AC2" w:rsidP="00AB2D1F">
      <w:pPr>
        <w:pStyle w:val="Bullet1GR"/>
      </w:pPr>
      <w:r w:rsidRPr="00724AC2">
        <w:t>были проинформированы о восточном/восточно-средиземноморском к</w:t>
      </w:r>
      <w:r w:rsidRPr="00724AC2">
        <w:t>о</w:t>
      </w:r>
      <w:r w:rsidRPr="00724AC2">
        <w:t>ридоре. Проводится технико-экономическое исследование соединения Дунай</w:t>
      </w:r>
      <w:r w:rsidR="00AB2D1F">
        <w:t>–</w:t>
      </w:r>
      <w:r w:rsidRPr="00724AC2">
        <w:t>Одер</w:t>
      </w:r>
      <w:r w:rsidR="00AB2D1F">
        <w:t>–</w:t>
      </w:r>
      <w:r w:rsidRPr="00724AC2">
        <w:t>Эльба (в настоящее время Эльба связана с Северным морем и через Дунай с Черным/Средиземным морями);</w:t>
      </w:r>
    </w:p>
    <w:p w:rsidR="00724AC2" w:rsidRPr="00724AC2" w:rsidRDefault="00724AC2" w:rsidP="00AB2D1F">
      <w:pPr>
        <w:pStyle w:val="Bullet1GR"/>
      </w:pPr>
      <w:r w:rsidRPr="00724AC2">
        <w:t xml:space="preserve">отметили развитие транспортных коридоров </w:t>
      </w:r>
      <w:r w:rsidR="008111C5">
        <w:t>«</w:t>
      </w:r>
      <w:r w:rsidRPr="00724AC2">
        <w:t>Приморье-1</w:t>
      </w:r>
      <w:r w:rsidR="008111C5">
        <w:t>»</w:t>
      </w:r>
      <w:r w:rsidRPr="00724AC2">
        <w:t xml:space="preserve"> и </w:t>
      </w:r>
      <w:r w:rsidR="008111C5">
        <w:t>«</w:t>
      </w:r>
      <w:r w:rsidRPr="00724AC2">
        <w:t>При</w:t>
      </w:r>
      <w:r w:rsidR="00AB2D1F">
        <w:t>-</w:t>
      </w:r>
      <w:r w:rsidRPr="00724AC2">
        <w:t>морье-2</w:t>
      </w:r>
      <w:r w:rsidR="008111C5">
        <w:t>»</w:t>
      </w:r>
      <w:r w:rsidRPr="00724AC2">
        <w:t xml:space="preserve"> на территории Российской Федерации и Китая;</w:t>
      </w:r>
    </w:p>
    <w:p w:rsidR="00724AC2" w:rsidRPr="00724AC2" w:rsidRDefault="00724AC2" w:rsidP="00AB2D1F">
      <w:pPr>
        <w:pStyle w:val="Bullet1GR"/>
      </w:pPr>
      <w:r w:rsidRPr="00724AC2">
        <w:t xml:space="preserve">были проинформированы о развитии транспортного коридора </w:t>
      </w:r>
      <w:r w:rsidR="008111C5">
        <w:t>«</w:t>
      </w:r>
      <w:r w:rsidRPr="00724AC2">
        <w:t>Виа Ка</w:t>
      </w:r>
      <w:r w:rsidRPr="00724AC2">
        <w:t>р</w:t>
      </w:r>
      <w:r w:rsidRPr="00724AC2">
        <w:t>патия</w:t>
      </w:r>
      <w:r w:rsidR="008111C5">
        <w:t>»</w:t>
      </w:r>
      <w:r w:rsidRPr="00724AC2">
        <w:t>, который свяжет Балтийское и Средиземное моря. Реализация эт</w:t>
      </w:r>
      <w:r w:rsidRPr="00724AC2">
        <w:t>о</w:t>
      </w:r>
      <w:r w:rsidRPr="00724AC2">
        <w:t>го проекта позволит создать самый короткий транспортный маршрут между странами Ближнего Востока и Юго-Восточной Европы и приба</w:t>
      </w:r>
      <w:r w:rsidRPr="00724AC2">
        <w:t>л</w:t>
      </w:r>
      <w:r w:rsidRPr="00724AC2">
        <w:t xml:space="preserve">тийскими государствами, что будет способствовать запуску инициативы </w:t>
      </w:r>
      <w:r w:rsidR="008111C5">
        <w:t>«</w:t>
      </w:r>
      <w:r w:rsidRPr="00724AC2">
        <w:t>Новый шелковый путь</w:t>
      </w:r>
      <w:r w:rsidR="008111C5">
        <w:t>»</w:t>
      </w:r>
      <w:r w:rsidRPr="00724AC2">
        <w:t>;</w:t>
      </w:r>
    </w:p>
    <w:p w:rsidR="00724AC2" w:rsidRPr="00724AC2" w:rsidRDefault="00724AC2" w:rsidP="00AB2D1F">
      <w:pPr>
        <w:pStyle w:val="Bullet1GR"/>
      </w:pPr>
      <w:r w:rsidRPr="00724AC2">
        <w:t xml:space="preserve">напомнили о проекте дорожной инфраструктуры ОЧЭС </w:t>
      </w:r>
      <w:r w:rsidR="008111C5">
        <w:t>«</w:t>
      </w:r>
      <w:r w:rsidRPr="00724AC2">
        <w:t>Черноморское кольцо</w:t>
      </w:r>
      <w:r w:rsidR="008111C5">
        <w:t>»</w:t>
      </w:r>
      <w:r w:rsidRPr="00724AC2">
        <w:t>, в рамках которого государства</w:t>
      </w:r>
      <w:r w:rsidR="00AB2D1F">
        <w:t xml:space="preserve"> – </w:t>
      </w:r>
      <w:r w:rsidRPr="00724AC2">
        <w:t>члены ОЧЭС прилагают скоо</w:t>
      </w:r>
      <w:r w:rsidRPr="00724AC2">
        <w:t>р</w:t>
      </w:r>
      <w:r w:rsidRPr="00724AC2">
        <w:t>динированные усилия для приведения в соответствие с высокими ста</w:t>
      </w:r>
      <w:r w:rsidRPr="00724AC2">
        <w:t>н</w:t>
      </w:r>
      <w:r w:rsidR="00DF68BE">
        <w:t xml:space="preserve">дартами почти 7 </w:t>
      </w:r>
      <w:r w:rsidRPr="00724AC2">
        <w:t>5</w:t>
      </w:r>
      <w:r w:rsidR="00DF68BE">
        <w:t>00</w:t>
      </w:r>
      <w:r w:rsidRPr="00724AC2">
        <w:t> км автомагистрали вокруг Черного моря, соединя</w:t>
      </w:r>
      <w:r w:rsidRPr="00724AC2">
        <w:t>ю</w:t>
      </w:r>
      <w:r w:rsidRPr="00724AC2">
        <w:t>щей основные города и порты и облегчающей перевозку товаров, конте</w:t>
      </w:r>
      <w:r w:rsidRPr="00724AC2">
        <w:t>й</w:t>
      </w:r>
      <w:r w:rsidRPr="00724AC2">
        <w:t>неров и других грузов в эти порты и из них;</w:t>
      </w:r>
    </w:p>
    <w:p w:rsidR="00724AC2" w:rsidRPr="00724AC2" w:rsidRDefault="00724AC2" w:rsidP="00AB2D1F">
      <w:pPr>
        <w:pStyle w:val="Bullet1GR"/>
      </w:pPr>
      <w:r w:rsidRPr="00724AC2">
        <w:t xml:space="preserve">напомнили также о проекте ОЧЭС в области морского транспорта </w:t>
      </w:r>
      <w:r w:rsidR="008111C5">
        <w:t>«</w:t>
      </w:r>
      <w:r w:rsidRPr="00724AC2">
        <w:t>Мо</w:t>
      </w:r>
      <w:r w:rsidRPr="00724AC2">
        <w:t>р</w:t>
      </w:r>
      <w:r w:rsidRPr="00724AC2">
        <w:t>ские автомагистрали</w:t>
      </w:r>
      <w:r w:rsidR="008111C5">
        <w:t>»</w:t>
      </w:r>
      <w:r w:rsidRPr="00724AC2">
        <w:t>, который направлен на модернизацию портовой инфраструктуры, внедрение передовой практики, повышение совмест</w:t>
      </w:r>
      <w:r w:rsidRPr="00724AC2">
        <w:t>и</w:t>
      </w:r>
      <w:r w:rsidRPr="00724AC2">
        <w:t>мости и взаимосвязанности систем управления движением, обеспечение интермодальности перевозок, сохранение свободной и добросовестной конкуренции в сфере международного судоходства; интерес к участию в нем проявили 43 порта Черного, Адриатического, Средиземного и Эге</w:t>
      </w:r>
      <w:r w:rsidRPr="00724AC2">
        <w:t>й</w:t>
      </w:r>
      <w:r w:rsidRPr="00724AC2">
        <w:t>ского морей;</w:t>
      </w:r>
    </w:p>
    <w:p w:rsidR="00724AC2" w:rsidRPr="00724AC2" w:rsidRDefault="00724AC2" w:rsidP="00AB2D1F">
      <w:pPr>
        <w:pStyle w:val="Bullet1GR"/>
      </w:pPr>
      <w:r w:rsidRPr="00724AC2">
        <w:t xml:space="preserve">приняли к сведению коридор </w:t>
      </w:r>
      <w:r w:rsidR="008111C5">
        <w:t>«</w:t>
      </w:r>
      <w:r w:rsidRPr="00724AC2">
        <w:t>Персидский залив</w:t>
      </w:r>
      <w:r w:rsidR="00AB2D1F">
        <w:t xml:space="preserve"> – </w:t>
      </w:r>
      <w:r w:rsidRPr="00724AC2">
        <w:t>Черное море</w:t>
      </w:r>
      <w:r w:rsidR="008111C5">
        <w:t>»</w:t>
      </w:r>
      <w:r w:rsidRPr="00724AC2">
        <w:t>, регул</w:t>
      </w:r>
      <w:r w:rsidRPr="00724AC2">
        <w:t>и</w:t>
      </w:r>
      <w:r w:rsidRPr="00724AC2">
        <w:t>руемый соглашением между шестью странами, основной целью которого является развитие этого коридора;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согласились с тем, что важно также рассматривать возможность внедрения новых технологий для того, чтобы транспортные операции, ос</w:t>
      </w:r>
      <w:r w:rsidR="00724AC2" w:rsidRPr="00724AC2">
        <w:t>у</w:t>
      </w:r>
      <w:r w:rsidR="00724AC2" w:rsidRPr="00724AC2">
        <w:t>ществляемые между двумя континентами, были более экономичными, экол</w:t>
      </w:r>
      <w:r w:rsidR="00724AC2" w:rsidRPr="00724AC2">
        <w:t>о</w:t>
      </w:r>
      <w:r w:rsidR="00724AC2" w:rsidRPr="00724AC2">
        <w:t>гичными и безопасными;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>отметили, что в области международных железнодорожных перев</w:t>
      </w:r>
      <w:r w:rsidR="00724AC2" w:rsidRPr="00724AC2">
        <w:t>о</w:t>
      </w:r>
      <w:r w:rsidR="00724AC2" w:rsidRPr="00724AC2">
        <w:t>зок существу</w:t>
      </w:r>
      <w:r w:rsidR="00DF68BE">
        <w:t>е</w:t>
      </w:r>
      <w:r w:rsidR="00724AC2" w:rsidRPr="00724AC2">
        <w:t>т ряд препятствий, которые делают железные дороги неконкуре</w:t>
      </w:r>
      <w:r w:rsidR="00724AC2" w:rsidRPr="00724AC2">
        <w:t>н</w:t>
      </w:r>
      <w:r w:rsidR="00724AC2" w:rsidRPr="00724AC2">
        <w:t>тоспособными, а именно: слабость инфраструктуры, неконкурентные тарифы, по меньшей мере два действующих правовых режима, задержки в пунктах п</w:t>
      </w:r>
      <w:r w:rsidR="00724AC2" w:rsidRPr="00724AC2">
        <w:t>е</w:t>
      </w:r>
      <w:r w:rsidR="00724AC2" w:rsidRPr="00724AC2">
        <w:t>ресечения границ;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d)</w:t>
      </w:r>
      <w:r w:rsidR="00724AC2" w:rsidRPr="00724AC2">
        <w:tab/>
        <w:t>согласились с тем, что развитие транспортных коридоров в Европе и Азии сопряжено с многочисленными трудностями, в числе которых:</w:t>
      </w:r>
    </w:p>
    <w:p w:rsidR="00724AC2" w:rsidRPr="00724AC2" w:rsidRDefault="00724AC2" w:rsidP="00AB2D1F">
      <w:pPr>
        <w:pStyle w:val="Bullet1GR"/>
      </w:pPr>
      <w:r w:rsidRPr="00724AC2">
        <w:t>отсутствие управления коридорами и механизмов осуществления;</w:t>
      </w:r>
    </w:p>
    <w:p w:rsidR="00724AC2" w:rsidRPr="00724AC2" w:rsidRDefault="00724AC2" w:rsidP="00AB2D1F">
      <w:pPr>
        <w:pStyle w:val="Bullet1GR"/>
      </w:pPr>
      <w:r w:rsidRPr="00724AC2">
        <w:t>отсутствие общего и комплексного обслуживания в рамках коридоров (один тариф/одно расписание);</w:t>
      </w:r>
    </w:p>
    <w:p w:rsidR="00724AC2" w:rsidRPr="00724AC2" w:rsidRDefault="00724AC2" w:rsidP="00AB2D1F">
      <w:pPr>
        <w:pStyle w:val="Bullet1GR"/>
      </w:pPr>
      <w:r w:rsidRPr="00724AC2">
        <w:t>отсутствие упрощения пересечения границ, несмотря на существование правовых документов (Конвенция о согласовании, МДП);</w:t>
      </w:r>
    </w:p>
    <w:p w:rsidR="00724AC2" w:rsidRPr="00724AC2" w:rsidRDefault="00724AC2" w:rsidP="00AB2D1F">
      <w:pPr>
        <w:pStyle w:val="Bullet1GR"/>
      </w:pPr>
      <w:r w:rsidRPr="00724AC2">
        <w:t xml:space="preserve">отсутствие сотрудничества не только между различными инициативами по развитию транспортных коридоров, но и между железнодорожными предприятиями; </w:t>
      </w:r>
    </w:p>
    <w:p w:rsidR="00724AC2" w:rsidRPr="00724AC2" w:rsidRDefault="00724AC2" w:rsidP="00AB2D1F">
      <w:pPr>
        <w:pStyle w:val="Bullet1GR"/>
      </w:pPr>
      <w:r w:rsidRPr="00724AC2">
        <w:t>отсутствие понимания пользы и преимуществ развития коридоров;</w:t>
      </w:r>
    </w:p>
    <w:p w:rsidR="00724AC2" w:rsidRPr="00724AC2" w:rsidRDefault="00724AC2" w:rsidP="00AB2D1F">
      <w:pPr>
        <w:pStyle w:val="Bullet1GR"/>
      </w:pPr>
      <w:r w:rsidRPr="00724AC2">
        <w:t>отсутствие знаний о способах привлечения грузов.</w:t>
      </w:r>
    </w:p>
    <w:p w:rsidR="00724AC2" w:rsidRPr="00724AC2" w:rsidRDefault="00724AC2" w:rsidP="00724AC2">
      <w:pPr>
        <w:pStyle w:val="SingleTxtGR"/>
      </w:pPr>
      <w:r w:rsidRPr="00724AC2">
        <w:t>9.</w:t>
      </w:r>
      <w:r w:rsidRPr="00724AC2">
        <w:tab/>
        <w:t xml:space="preserve">Отчет о работе рабочего совещания, тексты выступлений и все материалы рабочего совещания размещены на веб-сайте ЕЭК ООН по адресу </w:t>
      </w:r>
      <w:hyperlink r:id="rId10" w:history="1">
        <w:r w:rsidRPr="00AB2D1F">
          <w:rPr>
            <w:rStyle w:val="Hyperlink"/>
            <w:color w:val="auto"/>
          </w:rPr>
          <w:t>www.unece.org/trans/main/wp5/transport_infrastructure_corridors_along_europe_</w:t>
        </w:r>
        <w:r w:rsidR="00AB2D1F">
          <w:rPr>
            <w:rStyle w:val="Hyperlink"/>
            <w:color w:val="auto"/>
          </w:rPr>
          <w:br/>
        </w:r>
        <w:r w:rsidRPr="00AB2D1F">
          <w:rPr>
            <w:rStyle w:val="Hyperlink"/>
            <w:color w:val="auto"/>
          </w:rPr>
          <w:t>and_asia.html</w:t>
        </w:r>
      </w:hyperlink>
      <w:r w:rsidRPr="00AB2D1F">
        <w:t>.</w:t>
      </w:r>
    </w:p>
    <w:p w:rsidR="00724AC2" w:rsidRPr="008111C5" w:rsidRDefault="00724AC2" w:rsidP="008111C5">
      <w:pPr>
        <w:pStyle w:val="HChGR"/>
      </w:pPr>
      <w:r w:rsidRPr="008111C5">
        <w:tab/>
        <w:t>IV.</w:t>
      </w:r>
      <w:r w:rsidRPr="008111C5">
        <w:tab/>
        <w:t xml:space="preserve">Рабочее совещание на тему: </w:t>
      </w:r>
      <w:r w:rsidR="008111C5">
        <w:t>«</w:t>
      </w:r>
      <w:r w:rsidRPr="008111C5">
        <w:t xml:space="preserve">Мобильность </w:t>
      </w:r>
      <w:r w:rsidR="00AB2D1F">
        <w:br/>
      </w:r>
      <w:r w:rsidRPr="008111C5">
        <w:t>как услуга</w:t>
      </w:r>
      <w:r w:rsidR="008111C5">
        <w:t>»</w:t>
      </w:r>
      <w:r w:rsidRPr="008111C5">
        <w:t xml:space="preserve"> (пункт 3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 2</w:t>
      </w:r>
    </w:p>
    <w:p w:rsidR="00724AC2" w:rsidRPr="00724AC2" w:rsidRDefault="00724AC2" w:rsidP="00724AC2">
      <w:pPr>
        <w:pStyle w:val="SingleTxtGR"/>
      </w:pPr>
      <w:r w:rsidRPr="00724AC2">
        <w:t>10.</w:t>
      </w:r>
      <w:r w:rsidRPr="00724AC2">
        <w:tab/>
        <w:t>В ходе обсуждения транспортных тенденций и вызовов в автомобильном секторе на своей двадцать девятой сессии (Женева, 5–7 сентября 2016 года) Р</w:t>
      </w:r>
      <w:r w:rsidRPr="00724AC2">
        <w:t>а</w:t>
      </w:r>
      <w:r w:rsidRPr="00724AC2">
        <w:t>бочая группа поручила секретариату организовать на ее следующей сессии р</w:t>
      </w:r>
      <w:r w:rsidRPr="00724AC2">
        <w:t>а</w:t>
      </w:r>
      <w:r w:rsidRPr="00724AC2">
        <w:t xml:space="preserve">бочее совещание на тему: </w:t>
      </w:r>
      <w:r w:rsidR="008111C5">
        <w:t>«</w:t>
      </w:r>
      <w:r w:rsidRPr="00724AC2">
        <w:t>Мобильность как услуга</w:t>
      </w:r>
      <w:r w:rsidR="008111C5">
        <w:t>»</w:t>
      </w:r>
      <w:r w:rsidRPr="00724AC2">
        <w:t xml:space="preserve"> (МКУ).</w:t>
      </w:r>
    </w:p>
    <w:p w:rsidR="00724AC2" w:rsidRPr="00724AC2" w:rsidRDefault="00724AC2" w:rsidP="00724AC2">
      <w:pPr>
        <w:pStyle w:val="SingleTxtGR"/>
      </w:pPr>
      <w:r w:rsidRPr="00724AC2">
        <w:t>11.</w:t>
      </w:r>
      <w:r w:rsidRPr="00724AC2">
        <w:tab/>
        <w:t>По мере того как все больше городов мира страдают от перегруженности и загрязненности, появляются новые бизнес-модели и технологии для решения проблем, связанных с обеспечением мобильности. В 2014 году глобальные и</w:t>
      </w:r>
      <w:r w:rsidRPr="00724AC2">
        <w:t>н</w:t>
      </w:r>
      <w:r w:rsidRPr="00724AC2">
        <w:t>вестиции венчурного капитала в услуги мобильности превысили 5 млрд долл. США, увеличившись по сравнению с 2009 годом, когда их объем составил м</w:t>
      </w:r>
      <w:r w:rsidRPr="00724AC2">
        <w:t>е</w:t>
      </w:r>
      <w:r w:rsidRPr="00724AC2">
        <w:t xml:space="preserve">нее 10 млн долл. США. Помимо компании </w:t>
      </w:r>
      <w:r w:rsidR="008111C5">
        <w:t>«</w:t>
      </w:r>
      <w:r w:rsidRPr="00724AC2">
        <w:t>Убер</w:t>
      </w:r>
      <w:r w:rsidR="008111C5">
        <w:t>»</w:t>
      </w:r>
      <w:r w:rsidRPr="00724AC2">
        <w:t xml:space="preserve">, китайская компания </w:t>
      </w:r>
      <w:r w:rsidR="008111C5">
        <w:t>«</w:t>
      </w:r>
      <w:r w:rsidRPr="00724AC2">
        <w:t>Диди Дачэ</w:t>
      </w:r>
      <w:r w:rsidR="008111C5">
        <w:t>»</w:t>
      </w:r>
      <w:r w:rsidRPr="00724AC2">
        <w:t xml:space="preserve">, насчитывающая более 100 млн пользователей в 300 городах, выручила более 800 млн долл. США, а компания </w:t>
      </w:r>
      <w:r w:rsidR="008111C5">
        <w:t>«</w:t>
      </w:r>
      <w:r w:rsidRPr="00724AC2">
        <w:t>Ола</w:t>
      </w:r>
      <w:r w:rsidR="008111C5">
        <w:t>»</w:t>
      </w:r>
      <w:r w:rsidRPr="00724AC2">
        <w:t>, являющаяся крупнейшей комп</w:t>
      </w:r>
      <w:r w:rsidRPr="00724AC2">
        <w:t>а</w:t>
      </w:r>
      <w:r w:rsidRPr="00724AC2">
        <w:t>нией Индии в сфере онлайн-услуг такси, в</w:t>
      </w:r>
      <w:r w:rsidR="00AB2D1F">
        <w:t>ыручила на сегодняшний день 677 </w:t>
      </w:r>
      <w:r w:rsidRPr="00724AC2">
        <w:t xml:space="preserve">млн долл. США (по данным компании </w:t>
      </w:r>
      <w:r w:rsidR="008111C5">
        <w:t>«</w:t>
      </w:r>
      <w:r w:rsidRPr="00724AC2">
        <w:t>Маккинзи энд компани</w:t>
      </w:r>
      <w:r w:rsidR="008111C5">
        <w:t>»</w:t>
      </w:r>
      <w:r w:rsidRPr="00724AC2">
        <w:t xml:space="preserve"> за 2017 год).</w:t>
      </w:r>
    </w:p>
    <w:p w:rsidR="00724AC2" w:rsidRPr="00724AC2" w:rsidRDefault="00AB2D1F" w:rsidP="00724AC2">
      <w:pPr>
        <w:pStyle w:val="SingleTxtGR"/>
      </w:pPr>
      <w:r>
        <w:br w:type="page"/>
      </w:r>
      <w:r w:rsidR="00724AC2" w:rsidRPr="00724AC2">
        <w:t>12.</w:t>
      </w:r>
      <w:r w:rsidR="00724AC2" w:rsidRPr="00724AC2">
        <w:tab/>
        <w:t>В ходе рабочего совещания участники: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отметили, что МКУ</w:t>
      </w:r>
      <w:r>
        <w:t xml:space="preserve"> – </w:t>
      </w:r>
      <w:r w:rsidR="00724AC2" w:rsidRPr="00724AC2">
        <w:t>это интеграция различных форм транспор</w:t>
      </w:r>
      <w:r w:rsidR="00724AC2" w:rsidRPr="00724AC2">
        <w:t>т</w:t>
      </w:r>
      <w:r w:rsidR="00724AC2" w:rsidRPr="00724AC2">
        <w:t>ного обслуживания в единую услугу по обеспечению мобильности, доступную по запросу. Для удовлетворения нужд клиента оператор МКУ разрабатывает набор разнообразных вариантов перевозки. Дополнительная ценность МКУ для пользователя заключается в использовании единого приложения для доступа к мобильности, имеющего единый платежный канал вместо многочисленных операций по покупке билета и внесению платы;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напомнили, что в мире имеется более 1,2 млрд автомобилей, что 22</w:t>
      </w:r>
      <w:r>
        <w:t>%</w:t>
      </w:r>
      <w:r w:rsidR="00724AC2" w:rsidRPr="00724AC2">
        <w:t xml:space="preserve"> всех выбросов углерода приходятся на перевозки и что 95</w:t>
      </w:r>
      <w:r>
        <w:t>%</w:t>
      </w:r>
      <w:r w:rsidR="00724AC2" w:rsidRPr="00724AC2">
        <w:t xml:space="preserve"> времени авт</w:t>
      </w:r>
      <w:r w:rsidR="00724AC2" w:rsidRPr="00724AC2">
        <w:t>о</w:t>
      </w:r>
      <w:r w:rsidR="00724AC2" w:rsidRPr="00724AC2">
        <w:t>мобили простаивают;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 xml:space="preserve">были проинформированы о том, что город Нью-Джерси (США) принял решение оплачивать услуги компании </w:t>
      </w:r>
      <w:r w:rsidR="008111C5">
        <w:t>«</w:t>
      </w:r>
      <w:r w:rsidR="00724AC2" w:rsidRPr="00724AC2">
        <w:t>Убер</w:t>
      </w:r>
      <w:r w:rsidR="008111C5">
        <w:t>»</w:t>
      </w:r>
      <w:r w:rsidR="00724AC2" w:rsidRPr="00724AC2">
        <w:t xml:space="preserve"> вместо строительства а</w:t>
      </w:r>
      <w:r w:rsidR="00724AC2" w:rsidRPr="00724AC2">
        <w:t>в</w:t>
      </w:r>
      <w:r w:rsidR="00724AC2" w:rsidRPr="00724AC2">
        <w:t>томобильной стоянки. Администрация города заявила, что эта сделка поможет освободить порядка 100 парковочных мест на пересадочной станции, а также позволит избежать расходов, исчисляемых миллионами долларов, на строител</w:t>
      </w:r>
      <w:r w:rsidR="00724AC2" w:rsidRPr="00724AC2">
        <w:t>ь</w:t>
      </w:r>
      <w:r w:rsidR="00724AC2" w:rsidRPr="00724AC2">
        <w:t>ство дополнительной стоянки;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d)</w:t>
      </w:r>
      <w:r w:rsidR="00724AC2" w:rsidRPr="00724AC2">
        <w:tab/>
        <w:t>были проинформированы о том, что в настоящее время на перево</w:t>
      </w:r>
      <w:r w:rsidR="00724AC2" w:rsidRPr="00724AC2">
        <w:t>з</w:t>
      </w:r>
      <w:r w:rsidR="00724AC2" w:rsidRPr="00724AC2">
        <w:t>ки на попутных машинах приходится 4</w:t>
      </w:r>
      <w:r w:rsidR="00BA208F">
        <w:t>%</w:t>
      </w:r>
      <w:r>
        <w:t xml:space="preserve"> всего мирового пробега. К </w:t>
      </w:r>
      <w:r w:rsidR="00724AC2" w:rsidRPr="00724AC2">
        <w:t>2030 году эта доля составит 25</w:t>
      </w:r>
      <w:r>
        <w:t>%;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e)</w:t>
      </w:r>
      <w:r w:rsidR="00724AC2" w:rsidRPr="00724AC2">
        <w:tab/>
        <w:t>отметили существование Альянса МКУ</w:t>
      </w:r>
      <w:r>
        <w:t xml:space="preserve"> – </w:t>
      </w:r>
      <w:r w:rsidR="00724AC2" w:rsidRPr="00724AC2">
        <w:t>государственно-частного партнерства, которое создает основу для общего подхода к МКУ и помогает д</w:t>
      </w:r>
      <w:r w:rsidR="00724AC2" w:rsidRPr="00724AC2">
        <w:t>о</w:t>
      </w:r>
      <w:r w:rsidR="00724AC2" w:rsidRPr="00724AC2">
        <w:t>биваться эффекта масштаба, необходимого для успешного внедрения и функц</w:t>
      </w:r>
      <w:r w:rsidR="00724AC2" w:rsidRPr="00724AC2">
        <w:t>и</w:t>
      </w:r>
      <w:r w:rsidR="00724AC2" w:rsidRPr="00724AC2">
        <w:t>онирования МКУ в Европе и за ее пределами. Основная цель заключается в с</w:t>
      </w:r>
      <w:r w:rsidR="00724AC2" w:rsidRPr="00724AC2">
        <w:t>о</w:t>
      </w:r>
      <w:r w:rsidR="00724AC2" w:rsidRPr="00724AC2">
        <w:t>действии единому открытому рынку и полному развертыванию услуг МКУ;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f)</w:t>
      </w:r>
      <w:r w:rsidR="00724AC2" w:rsidRPr="00724AC2">
        <w:tab/>
        <w:t>были проинформированы о технологиях и приложениях, которые объединяют различные транспортные услуги в одно предложение в сфере м</w:t>
      </w:r>
      <w:r w:rsidR="00724AC2" w:rsidRPr="00724AC2">
        <w:t>о</w:t>
      </w:r>
      <w:r w:rsidR="00724AC2" w:rsidRPr="00724AC2">
        <w:t>бильности;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g)</w:t>
      </w:r>
      <w:r w:rsidR="00724AC2" w:rsidRPr="00724AC2">
        <w:tab/>
        <w:t xml:space="preserve">были проинформированы об инициативах в сфере железных дорог, направленных на обеспечение комплексной электронной транспортной системы </w:t>
      </w:r>
      <w:r w:rsidR="008111C5">
        <w:t>«</w:t>
      </w:r>
      <w:r w:rsidR="00724AC2" w:rsidRPr="00724AC2">
        <w:t>от двери до двери</w:t>
      </w:r>
      <w:r w:rsidR="008111C5">
        <w:t>»</w:t>
      </w:r>
      <w:r w:rsidR="00724AC2" w:rsidRPr="00724AC2">
        <w:t>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h)</w:t>
      </w:r>
      <w:r w:rsidR="00724AC2" w:rsidRPr="00724AC2">
        <w:tab/>
        <w:t>согласились с тем, что в настоящее время отсутствует единое мн</w:t>
      </w:r>
      <w:r w:rsidR="00724AC2" w:rsidRPr="00724AC2">
        <w:t>е</w:t>
      </w:r>
      <w:r w:rsidR="00724AC2" w:rsidRPr="00724AC2">
        <w:t>ние по вопросу о том, каким образом мобильность как услуга может или дол</w:t>
      </w:r>
      <w:r w:rsidR="00724AC2" w:rsidRPr="00724AC2">
        <w:t>ж</w:t>
      </w:r>
      <w:r w:rsidR="00724AC2" w:rsidRPr="00724AC2">
        <w:t>на функционировать в качестве приложения, особенно при пересечении границ.</w:t>
      </w:r>
    </w:p>
    <w:p w:rsidR="00724AC2" w:rsidRPr="00724AC2" w:rsidRDefault="00724AC2" w:rsidP="00724AC2">
      <w:pPr>
        <w:pStyle w:val="SingleTxtGR"/>
      </w:pPr>
      <w:r w:rsidRPr="00724AC2">
        <w:t>13.</w:t>
      </w:r>
      <w:r w:rsidRPr="00724AC2">
        <w:tab/>
        <w:t>Рабочая группа приняла к сведению выступления экспертов. Она выраз</w:t>
      </w:r>
      <w:r w:rsidRPr="00724AC2">
        <w:t>и</w:t>
      </w:r>
      <w:r w:rsidRPr="00724AC2">
        <w:t>ла экспертам признательность за участие в рабочем совещании и поручила се</w:t>
      </w:r>
      <w:r w:rsidRPr="00724AC2">
        <w:t>к</w:t>
      </w:r>
      <w:r w:rsidRPr="00724AC2">
        <w:t>ретариату обеспечить регулярное обсуждение этой темы в рамках повестки дня Рабочей группы.</w:t>
      </w:r>
    </w:p>
    <w:p w:rsidR="00724AC2" w:rsidRPr="00724AC2" w:rsidRDefault="00724AC2" w:rsidP="00724AC2">
      <w:pPr>
        <w:pStyle w:val="SingleTxtGR"/>
      </w:pPr>
      <w:r w:rsidRPr="00724AC2">
        <w:t>14.</w:t>
      </w:r>
      <w:r w:rsidRPr="00724AC2">
        <w:tab/>
        <w:t>Отчет о работе рабочего совещания, тексты выступлений и все материалы рабочего совещания размещены</w:t>
      </w:r>
      <w:r w:rsidR="00AB2D1F">
        <w:t xml:space="preserve"> на веб-сайте ЕЭК ООН по адресу</w:t>
      </w:r>
      <w:r w:rsidRPr="00724AC2">
        <w:t xml:space="preserve"> </w:t>
      </w:r>
      <w:hyperlink r:id="rId11" w:history="1">
        <w:r w:rsidRPr="00AB2D1F">
          <w:rPr>
            <w:rStyle w:val="Hyperlink"/>
            <w:color w:val="auto"/>
          </w:rPr>
          <w:t>www.unece.org/trans/main/wp5/mobility_as_a_service.html</w:t>
        </w:r>
      </w:hyperlink>
      <w:r w:rsidR="00AB2D1F">
        <w:t>.</w:t>
      </w:r>
      <w:r w:rsidRPr="00AB2D1F">
        <w:t xml:space="preserve"> </w:t>
      </w:r>
    </w:p>
    <w:p w:rsidR="00724AC2" w:rsidRPr="008111C5" w:rsidRDefault="00724AC2" w:rsidP="008111C5">
      <w:pPr>
        <w:pStyle w:val="HChGR"/>
      </w:pPr>
      <w:r w:rsidRPr="008111C5">
        <w:tab/>
        <w:t>V.</w:t>
      </w:r>
      <w:r w:rsidRPr="008111C5">
        <w:tab/>
        <w:t>Транспортные связи между портами и внутренними регионами (пункт 4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i/>
          <w:iCs/>
        </w:rPr>
        <w:t>Документация</w:t>
      </w:r>
      <w:r w:rsidRPr="00724AC2">
        <w:t>: ECE/TRANS/WP.5/2015/3, неофициальный документ № 3</w:t>
      </w:r>
    </w:p>
    <w:p w:rsidR="00724AC2" w:rsidRPr="00724AC2" w:rsidRDefault="00724AC2" w:rsidP="00724AC2">
      <w:pPr>
        <w:pStyle w:val="SingleTxtGR"/>
      </w:pPr>
      <w:r w:rsidRPr="00724AC2">
        <w:t>15.</w:t>
      </w:r>
      <w:r w:rsidRPr="00724AC2">
        <w:tab/>
        <w:t>Рабочая группа напомнила, что на своей двадцать восьмой сессии она приняла к сведению информацию о платформе мониторинга связей между по</w:t>
      </w:r>
      <w:r w:rsidRPr="00724AC2">
        <w:t>р</w:t>
      </w:r>
      <w:r w:rsidRPr="00724AC2">
        <w:t>тами и внутренними районами, разработанной программой Средиземноморской сети (</w:t>
      </w:r>
      <w:r w:rsidR="008111C5">
        <w:t>«</w:t>
      </w:r>
      <w:r w:rsidRPr="00724AC2">
        <w:t>МедНет</w:t>
      </w:r>
      <w:r w:rsidR="008111C5">
        <w:t>»</w:t>
      </w:r>
      <w:r w:rsidRPr="00724AC2">
        <w:t xml:space="preserve">). Она отметила, что </w:t>
      </w:r>
      <w:r w:rsidR="008111C5">
        <w:t>«</w:t>
      </w:r>
      <w:r w:rsidRPr="00724AC2">
        <w:t>МедНет</w:t>
      </w:r>
      <w:r w:rsidR="008111C5">
        <w:t>»</w:t>
      </w:r>
      <w:r w:rsidRPr="00724AC2">
        <w:t xml:space="preserve"> уже завершила свой жизненный цикл и что секретариат получил от представителей этого проекта неофициал</w:t>
      </w:r>
      <w:r w:rsidRPr="00724AC2">
        <w:t>ь</w:t>
      </w:r>
      <w:r w:rsidRPr="00724AC2">
        <w:t>ное подтверждение относительно того, что впредь он будет обеспечивать х</w:t>
      </w:r>
      <w:r w:rsidRPr="00724AC2">
        <w:t>о</w:t>
      </w:r>
      <w:r w:rsidRPr="00724AC2">
        <w:t>стинг платформы мониторинга связей между портами и внутренними район</w:t>
      </w:r>
      <w:r w:rsidRPr="00724AC2">
        <w:t>а</w:t>
      </w:r>
      <w:r w:rsidRPr="00724AC2">
        <w:t>ми, ее обслуживание и дальнейшее распространение на все страны ЕЭК ООН. В ходе своей прошлогодней сессии Рабочая группа приняла к сведению пре</w:t>
      </w:r>
      <w:r w:rsidRPr="00724AC2">
        <w:t>д</w:t>
      </w:r>
      <w:r w:rsidRPr="00724AC2">
        <w:t>ставленную секретариатом информацию о финансовых последствиях функци</w:t>
      </w:r>
      <w:r w:rsidRPr="00724AC2">
        <w:t>о</w:t>
      </w:r>
      <w:r w:rsidRPr="00724AC2">
        <w:t>нирования подобной платформы мониторинга. Цель должна заключаться в том, чтобы исключить вероятность любых дополнительных издержек и обеспечить ее функционирование на основе принципа самоокупаемости. Это означает, что правительственные эксперты будут отвечать за ввод и обновление любой и</w:t>
      </w:r>
      <w:r w:rsidRPr="00724AC2">
        <w:t>н</w:t>
      </w:r>
      <w:r w:rsidRPr="00724AC2">
        <w:t xml:space="preserve">формации, предоставляемой в рамках данной системы. </w:t>
      </w:r>
    </w:p>
    <w:p w:rsidR="00724AC2" w:rsidRPr="00724AC2" w:rsidRDefault="00724AC2" w:rsidP="00724AC2">
      <w:pPr>
        <w:pStyle w:val="SingleTxtGR"/>
      </w:pPr>
      <w:r w:rsidRPr="00724AC2">
        <w:t>16.</w:t>
      </w:r>
      <w:r w:rsidRPr="00724AC2">
        <w:tab/>
        <w:t xml:space="preserve">Секретариат сообщил Рабочей группе, что пока от проекта </w:t>
      </w:r>
      <w:r w:rsidR="008111C5">
        <w:t>«</w:t>
      </w:r>
      <w:r w:rsidRPr="00724AC2">
        <w:t>МедНет</w:t>
      </w:r>
      <w:r w:rsidR="008111C5">
        <w:t>»</w:t>
      </w:r>
      <w:r w:rsidRPr="00724AC2">
        <w:t xml:space="preserve"> н</w:t>
      </w:r>
      <w:r w:rsidRPr="00724AC2">
        <w:t>и</w:t>
      </w:r>
      <w:r w:rsidRPr="00724AC2">
        <w:t>какого официального ответа не поступило. Тем не менее секретариат предст</w:t>
      </w:r>
      <w:r w:rsidRPr="00724AC2">
        <w:t>а</w:t>
      </w:r>
      <w:r w:rsidRPr="00724AC2">
        <w:t>вил информацию о проекте географической информационной системы (ГИС), который в настоящее время осуществляется в сотрудничестве с Исламским ба</w:t>
      </w:r>
      <w:r w:rsidRPr="00724AC2">
        <w:t>н</w:t>
      </w:r>
      <w:r w:rsidRPr="00724AC2">
        <w:t>ком развития, и выразил надежду на то, что в рамках реализации обоих прое</w:t>
      </w:r>
      <w:r w:rsidRPr="00724AC2">
        <w:t>к</w:t>
      </w:r>
      <w:r w:rsidRPr="00724AC2">
        <w:t xml:space="preserve">тов можно будет добиться эффекта масштаба. </w:t>
      </w:r>
    </w:p>
    <w:p w:rsidR="00724AC2" w:rsidRPr="00724AC2" w:rsidRDefault="00724AC2" w:rsidP="00724AC2">
      <w:pPr>
        <w:pStyle w:val="SingleTxtGR"/>
      </w:pPr>
      <w:r w:rsidRPr="00724AC2">
        <w:t>17.</w:t>
      </w:r>
      <w:r w:rsidRPr="00724AC2">
        <w:tab/>
        <w:t>Рабочая группа постановила отложить принятие решения по данному в</w:t>
      </w:r>
      <w:r w:rsidRPr="00724AC2">
        <w:t>о</w:t>
      </w:r>
      <w:r w:rsidRPr="00724AC2">
        <w:t>просу и поручила секретариату представить на ее следующей сессии обновле</w:t>
      </w:r>
      <w:r w:rsidRPr="00724AC2">
        <w:t>н</w:t>
      </w:r>
      <w:r w:rsidRPr="00724AC2">
        <w:t>ную информацию.</w:t>
      </w:r>
    </w:p>
    <w:p w:rsidR="00724AC2" w:rsidRPr="008111C5" w:rsidRDefault="00724AC2" w:rsidP="008111C5">
      <w:pPr>
        <w:pStyle w:val="HChGR"/>
      </w:pPr>
      <w:r w:rsidRPr="008111C5">
        <w:tab/>
        <w:t>VI.</w:t>
      </w:r>
      <w:r w:rsidRPr="008111C5">
        <w:tab/>
        <w:t>Отслеживание изменений в общеевропейских транспортных сетях (пункт 5 повестки дня)</w:t>
      </w:r>
    </w:p>
    <w:p w:rsidR="00724AC2" w:rsidRPr="00724AC2" w:rsidRDefault="00724AC2" w:rsidP="00AB2D1F">
      <w:pPr>
        <w:pStyle w:val="H1GR"/>
      </w:pPr>
      <w:r w:rsidRPr="00724AC2">
        <w:tab/>
        <w:t>A.</w:t>
      </w:r>
      <w:r w:rsidRPr="00724AC2">
        <w:tab/>
        <w:t>Краткое сообщение Европейской комиссии о ходе формирования Трансъевропейской транспортной сети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 3</w:t>
      </w:r>
    </w:p>
    <w:p w:rsidR="00724AC2" w:rsidRPr="00724AC2" w:rsidRDefault="00724AC2" w:rsidP="00724AC2">
      <w:pPr>
        <w:pStyle w:val="SingleTxtGR"/>
      </w:pPr>
      <w:r w:rsidRPr="00724AC2">
        <w:rPr>
          <w:bCs/>
          <w:iCs/>
        </w:rPr>
        <w:t>18.</w:t>
      </w:r>
      <w:r w:rsidRPr="00724AC2">
        <w:rPr>
          <w:bCs/>
          <w:iCs/>
        </w:rPr>
        <w:tab/>
        <w:t>Рабочая группа приняла к сведению информацию, представленную Евр</w:t>
      </w:r>
      <w:r w:rsidRPr="00724AC2">
        <w:rPr>
          <w:bCs/>
          <w:iCs/>
        </w:rPr>
        <w:t>о</w:t>
      </w:r>
      <w:r w:rsidRPr="00724AC2">
        <w:rPr>
          <w:bCs/>
          <w:iCs/>
        </w:rPr>
        <w:t xml:space="preserve">пейским союзом, и выразила признательность за </w:t>
      </w:r>
      <w:r w:rsidRPr="00724AC2">
        <w:t>краткое сообщение Европе</w:t>
      </w:r>
      <w:r w:rsidRPr="00724AC2">
        <w:t>й</w:t>
      </w:r>
      <w:r w:rsidRPr="00724AC2">
        <w:t>ской комиссии о ходе формирования Трансъевропейской транспортной сети. Рабочая группа предложила Европейскому союзу представить на ее тридцать первой сессии в 2018 году обновленную информацию о его деятельности, св</w:t>
      </w:r>
      <w:r w:rsidRPr="00724AC2">
        <w:t>я</w:t>
      </w:r>
      <w:r w:rsidRPr="00724AC2">
        <w:t>занной с общеевропейскими коридорами.</w:t>
      </w:r>
    </w:p>
    <w:p w:rsidR="00724AC2" w:rsidRPr="00AB2D1F" w:rsidRDefault="00724AC2" w:rsidP="00AB2D1F">
      <w:pPr>
        <w:pStyle w:val="H1GR"/>
      </w:pPr>
      <w:r w:rsidRPr="00AB2D1F">
        <w:tab/>
        <w:t>B.</w:t>
      </w:r>
      <w:r w:rsidRPr="00AB2D1F">
        <w:tab/>
        <w:t xml:space="preserve">Проекты Трансъевропейской автомагистрали </w:t>
      </w:r>
      <w:r w:rsidR="00AB2D1F">
        <w:br/>
      </w:r>
      <w:r w:rsidRPr="00AB2D1F">
        <w:t>и Трансъевропейской железнодорожной магистрали</w:t>
      </w:r>
    </w:p>
    <w:p w:rsidR="00724AC2" w:rsidRPr="00724AC2" w:rsidRDefault="00724AC2" w:rsidP="00724AC2">
      <w:pPr>
        <w:pStyle w:val="SingleTxtGR"/>
        <w:rPr>
          <w:bCs/>
          <w:lang w:val="en-US"/>
        </w:rPr>
      </w:pPr>
      <w:r w:rsidRPr="00724AC2">
        <w:rPr>
          <w:bCs/>
          <w:i/>
          <w:iCs/>
        </w:rPr>
        <w:t>Документация</w:t>
      </w:r>
      <w:r w:rsidRPr="00724AC2">
        <w:rPr>
          <w:bCs/>
          <w:lang w:val="en-US"/>
        </w:rPr>
        <w:t>: ECE/TRANS/WP.5/2017/1, ECE/TRANS/WP.5/2017/2</w:t>
      </w:r>
    </w:p>
    <w:p w:rsidR="00724AC2" w:rsidRPr="00724AC2" w:rsidRDefault="00724AC2" w:rsidP="00724AC2">
      <w:pPr>
        <w:pStyle w:val="SingleTxtGR"/>
      </w:pPr>
      <w:r w:rsidRPr="00724AC2">
        <w:t>19.</w:t>
      </w:r>
      <w:r w:rsidRPr="00724AC2">
        <w:tab/>
        <w:t>Рабочая группа выразила признательность за представленную управля</w:t>
      </w:r>
      <w:r w:rsidRPr="00724AC2">
        <w:t>ю</w:t>
      </w:r>
      <w:r w:rsidRPr="00724AC2">
        <w:t>щим проекта ТЕЖ обновленную информацию о деятельности, проведенной в рамках проекта ТЕЖ в 2016–2017 годах, вновь заявила о своей поддержке пр</w:t>
      </w:r>
      <w:r w:rsidRPr="00724AC2">
        <w:t>о</w:t>
      </w:r>
      <w:r w:rsidRPr="00724AC2">
        <w:t>екта и предложила управляющему проекта представить на ее тридцать первой сессии в 2018 году обновленную информацию о соответствующих изменениях в связи с проектом ТЕЖ.</w:t>
      </w:r>
    </w:p>
    <w:p w:rsidR="00724AC2" w:rsidRPr="00724AC2" w:rsidRDefault="00724AC2" w:rsidP="00724AC2">
      <w:pPr>
        <w:pStyle w:val="SingleTxtGR"/>
      </w:pPr>
      <w:r w:rsidRPr="00724AC2">
        <w:t>20.</w:t>
      </w:r>
      <w:r w:rsidRPr="00724AC2">
        <w:tab/>
        <w:t>На протяжении прошлого года основными направлениями деятельности в рамках проекта ТЕЖ были: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взаимодействие: интеграция в общеевропейские и азиатские сети и коридоры;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транспарентность: новая домашняя веб-страница ТЕЖ, новая бр</w:t>
      </w:r>
      <w:r w:rsidR="00724AC2" w:rsidRPr="00724AC2">
        <w:t>о</w:t>
      </w:r>
      <w:r w:rsidR="00724AC2" w:rsidRPr="00724AC2">
        <w:t>шюра по проекту ТЕЖ, увеличение числа участников ТЕЖ;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>наращивание потенциала;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d)</w:t>
      </w:r>
      <w:r w:rsidR="00724AC2" w:rsidRPr="00724AC2">
        <w:tab/>
        <w:t>генеральные планы: реализация пересмотренных генеральных пл</w:t>
      </w:r>
      <w:r w:rsidR="00724AC2" w:rsidRPr="00724AC2">
        <w:t>а</w:t>
      </w:r>
      <w:r w:rsidR="00724AC2" w:rsidRPr="00724AC2">
        <w:t>нов ТЕЖ и ТЕА, а также подготовка Генерального плана для высокоскоростных железных дорог.</w:t>
      </w:r>
    </w:p>
    <w:p w:rsidR="00724AC2" w:rsidRPr="00724AC2" w:rsidRDefault="00724AC2" w:rsidP="00724AC2">
      <w:pPr>
        <w:pStyle w:val="SingleTxtGR"/>
      </w:pPr>
      <w:r w:rsidRPr="00724AC2">
        <w:t>21.</w:t>
      </w:r>
      <w:r w:rsidRPr="00724AC2">
        <w:tab/>
        <w:t>Рабочая группа также выразила признательность за представленную Це</w:t>
      </w:r>
      <w:r w:rsidRPr="00724AC2">
        <w:t>н</w:t>
      </w:r>
      <w:r w:rsidRPr="00724AC2">
        <w:t>тральным управлением проекта ТЕА обновленную информацию о деятельн</w:t>
      </w:r>
      <w:r w:rsidRPr="00724AC2">
        <w:t>о</w:t>
      </w:r>
      <w:r w:rsidRPr="00724AC2">
        <w:t>сти, проведенной в рамках проекта ТЕА в 2016–2017 годах, вновь заявила о своей поддержке проекта и предложила управляющему проекта представить на ее тридцать первой сессии в 2018 году обновленную информацию о соотве</w:t>
      </w:r>
      <w:r w:rsidRPr="00724AC2">
        <w:t>т</w:t>
      </w:r>
      <w:r w:rsidRPr="00724AC2">
        <w:t>ствующих изменениях в связи с проектом ТЕА.</w:t>
      </w:r>
    </w:p>
    <w:p w:rsidR="00724AC2" w:rsidRPr="00724AC2" w:rsidRDefault="00724AC2" w:rsidP="00724AC2">
      <w:pPr>
        <w:pStyle w:val="SingleTxtGR"/>
      </w:pPr>
      <w:r w:rsidRPr="00724AC2">
        <w:t>22.</w:t>
      </w:r>
      <w:r w:rsidRPr="00724AC2">
        <w:tab/>
        <w:t>На протяжении прошлого года основными направлениями деятельности в рамках проекта ТЕА были: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совершенствование составления программ и планирования в обл</w:t>
      </w:r>
      <w:r w:rsidR="00724AC2" w:rsidRPr="00724AC2">
        <w:t>а</w:t>
      </w:r>
      <w:r w:rsidR="00724AC2" w:rsidRPr="00724AC2">
        <w:t>сти расширения и развития транспортной сети;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улучшение конструкции дорог, надстроек и объектов;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>активизация сотрудничества в области строительства дорог;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d)</w:t>
      </w:r>
      <w:r w:rsidR="00724AC2" w:rsidRPr="00724AC2">
        <w:tab/>
        <w:t>совершенствование управления активами;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e)</w:t>
      </w:r>
      <w:r w:rsidR="00724AC2" w:rsidRPr="00724AC2">
        <w:tab/>
        <w:t>сотрудничество и обмен знаниями в области управления движен</w:t>
      </w:r>
      <w:r w:rsidR="00724AC2" w:rsidRPr="00724AC2">
        <w:t>и</w:t>
      </w:r>
      <w:r w:rsidR="00724AC2" w:rsidRPr="00724AC2">
        <w:t>ем, интеллектуальных транспортных систем и совместных интеллектуальных транспортных систем;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f)</w:t>
      </w:r>
      <w:r w:rsidR="00724AC2" w:rsidRPr="00724AC2">
        <w:tab/>
        <w:t>улучшение управления охраной и безопасностью;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g)</w:t>
      </w:r>
      <w:r w:rsidR="00724AC2" w:rsidRPr="00724AC2">
        <w:tab/>
        <w:t>управление экологическими последствиями;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h)</w:t>
      </w:r>
      <w:r w:rsidR="00724AC2" w:rsidRPr="00724AC2">
        <w:tab/>
        <w:t>инициирование управления данными и содействие управлению м</w:t>
      </w:r>
      <w:r w:rsidR="00724AC2" w:rsidRPr="00724AC2">
        <w:t>о</w:t>
      </w:r>
      <w:r w:rsidR="00724AC2" w:rsidRPr="00724AC2">
        <w:t>бильностью;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i)</w:t>
      </w:r>
      <w:r w:rsidR="00724AC2" w:rsidRPr="00724AC2">
        <w:tab/>
        <w:t>обмен знаниями и оценка бизнес-моделей и контрактов, использу</w:t>
      </w:r>
      <w:r w:rsidR="00724AC2" w:rsidRPr="00724AC2">
        <w:t>е</w:t>
      </w:r>
      <w:r w:rsidR="00724AC2" w:rsidRPr="00724AC2">
        <w:t>мых для вышеуказанной деятельности;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j)</w:t>
      </w:r>
      <w:r w:rsidR="00724AC2" w:rsidRPr="00724AC2">
        <w:tab/>
        <w:t>сравнение организации дорожных/транспортных ведомств;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k)</w:t>
      </w:r>
      <w:r w:rsidR="00724AC2" w:rsidRPr="00724AC2">
        <w:tab/>
        <w:t>анализ и оценка различных источников и методов финансирования.</w:t>
      </w:r>
    </w:p>
    <w:p w:rsidR="00724AC2" w:rsidRPr="008111C5" w:rsidRDefault="00724AC2" w:rsidP="008111C5">
      <w:pPr>
        <w:pStyle w:val="HChGR"/>
      </w:pPr>
      <w:r w:rsidRPr="008111C5">
        <w:tab/>
        <w:t>VII.</w:t>
      </w:r>
      <w:r w:rsidRPr="008111C5">
        <w:tab/>
        <w:t xml:space="preserve">Транспорт в Средиземноморском регионе </w:t>
      </w:r>
      <w:r w:rsidR="00AB2D1F">
        <w:br/>
      </w:r>
      <w:r w:rsidRPr="008111C5">
        <w:t>(пункт 6 повестки дня)</w:t>
      </w:r>
    </w:p>
    <w:p w:rsidR="00724AC2" w:rsidRPr="00AB2D1F" w:rsidRDefault="00724AC2" w:rsidP="00AB2D1F">
      <w:pPr>
        <w:pStyle w:val="H1GR"/>
      </w:pPr>
      <w:r w:rsidRPr="00AB2D1F">
        <w:tab/>
        <w:t>A.</w:t>
      </w:r>
      <w:r w:rsidRPr="00AB2D1F">
        <w:tab/>
        <w:t xml:space="preserve">Доклад Центра транспортных исследований </w:t>
      </w:r>
      <w:r w:rsidR="00AB2D1F">
        <w:br/>
      </w:r>
      <w:r w:rsidRPr="00AB2D1F">
        <w:t>для Средиземноморья</w:t>
      </w:r>
    </w:p>
    <w:p w:rsidR="00724AC2" w:rsidRPr="00724AC2" w:rsidRDefault="00724AC2" w:rsidP="00724AC2">
      <w:pPr>
        <w:pStyle w:val="SingleTxtGR"/>
        <w:rPr>
          <w:bCs/>
        </w:rPr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</w:t>
      </w:r>
      <w:r w:rsidRPr="00724AC2">
        <w:rPr>
          <w:bCs/>
        </w:rPr>
        <w:t xml:space="preserve"> 4</w:t>
      </w:r>
    </w:p>
    <w:p w:rsidR="00724AC2" w:rsidRPr="00724AC2" w:rsidRDefault="00724AC2" w:rsidP="00724AC2">
      <w:pPr>
        <w:pStyle w:val="SingleTxtGR"/>
      </w:pPr>
      <w:r w:rsidRPr="00724AC2">
        <w:t>23.</w:t>
      </w:r>
      <w:r w:rsidRPr="00724AC2">
        <w:tab/>
        <w:t>Представитель СЕТМО передал на рассмотрение Рабочей группы доклад о деятельности СЕТМО за последнее время (неофициальный документ № 4).</w:t>
      </w:r>
    </w:p>
    <w:p w:rsidR="00724AC2" w:rsidRPr="00724AC2" w:rsidRDefault="00724AC2" w:rsidP="00724AC2">
      <w:pPr>
        <w:pStyle w:val="SingleTxtGR"/>
      </w:pPr>
      <w:r w:rsidRPr="00724AC2">
        <w:t>24.</w:t>
      </w:r>
      <w:r w:rsidRPr="00724AC2">
        <w:tab/>
        <w:t>С момента учреждения в 1995 году Группы министров транспорта Запа</w:t>
      </w:r>
      <w:r w:rsidRPr="00724AC2">
        <w:t>д</w:t>
      </w:r>
      <w:r w:rsidRPr="00724AC2">
        <w:t>ного Средиземноморья (ГМТЗС) перед ней, помимо иных целей, стоят задачи стимулирования сотрудничества по транспортным вопросам в Западном Сред</w:t>
      </w:r>
      <w:r w:rsidRPr="00724AC2">
        <w:t>и</w:t>
      </w:r>
      <w:r w:rsidRPr="00724AC2">
        <w:t>земноморье и участия в реализации программы Европейско-средиземно</w:t>
      </w:r>
      <w:r w:rsidR="00BA208F">
        <w:t>-</w:t>
      </w:r>
      <w:r w:rsidRPr="00724AC2">
        <w:t>морского партнерства. Работа на этапе планирования ГМТЗС 5</w:t>
      </w:r>
      <w:r w:rsidR="00BA208F">
        <w:t xml:space="preserve"> </w:t>
      </w:r>
      <w:r w:rsidRPr="00724AC2">
        <w:t>+</w:t>
      </w:r>
      <w:r w:rsidR="00BA208F">
        <w:t xml:space="preserve"> </w:t>
      </w:r>
      <w:r w:rsidRPr="00724AC2">
        <w:t>5 дополнена разработкой и обновлением некоторых аналитических средств, а именно: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баз данных CETMO: речь идет о социально-экономических аспе</w:t>
      </w:r>
      <w:r w:rsidR="00724AC2" w:rsidRPr="00724AC2">
        <w:t>к</w:t>
      </w:r>
      <w:r w:rsidR="00724AC2" w:rsidRPr="00724AC2">
        <w:t>тах (CETMO</w:t>
      </w:r>
      <w:r w:rsidR="00BA208F">
        <w:t>-</w:t>
      </w:r>
      <w:r w:rsidR="00724AC2" w:rsidRPr="00724AC2">
        <w:t>СЭА), инфраструктуре (CETMO</w:t>
      </w:r>
      <w:r w:rsidR="00BA208F">
        <w:t>-</w:t>
      </w:r>
      <w:r w:rsidR="00724AC2" w:rsidRPr="00724AC2">
        <w:t>ИНФРА), проектах (CETMO</w:t>
      </w:r>
      <w:r w:rsidR="00BA208F">
        <w:t>-</w:t>
      </w:r>
      <w:r w:rsidR="00724AC2" w:rsidRPr="00724AC2">
        <w:t>ПРОЕКТЫ) и потоках данных (CETMO</w:t>
      </w:r>
      <w:r w:rsidR="00BA208F">
        <w:t>-</w:t>
      </w:r>
      <w:r w:rsidR="00724AC2" w:rsidRPr="00724AC2">
        <w:t>ПОТОКИ);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модели прогнозирования транспортных потоков: ее последнее о</w:t>
      </w:r>
      <w:r w:rsidR="00724AC2" w:rsidRPr="00724AC2">
        <w:t>б</w:t>
      </w:r>
      <w:r w:rsidR="00724AC2" w:rsidRPr="00724AC2">
        <w:t>новление проходило под руководством секретариата Союза для Средиземном</w:t>
      </w:r>
      <w:r w:rsidR="00724AC2" w:rsidRPr="00724AC2">
        <w:t>о</w:t>
      </w:r>
      <w:r w:rsidR="00724AC2" w:rsidRPr="00724AC2">
        <w:t>рья (СДС). Благодаря МОВ, подписанному между СЕТМО и СДС, СЕТМО вн</w:t>
      </w:r>
      <w:r w:rsidR="00724AC2" w:rsidRPr="00724AC2">
        <w:t>о</w:t>
      </w:r>
      <w:r w:rsidR="00724AC2" w:rsidRPr="00724AC2">
        <w:t>сит вклад в реализацию этой модели;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>веб-ГИС средства просмотра: речь идет о механизме, обеспечив</w:t>
      </w:r>
      <w:r w:rsidR="00724AC2" w:rsidRPr="00724AC2">
        <w:t>а</w:t>
      </w:r>
      <w:r w:rsidR="00724AC2" w:rsidRPr="00724AC2">
        <w:t>ющем просмотр и считку в онлайновом режиме части информации, хранящейся в базе данных CETMO</w:t>
      </w:r>
      <w:r w:rsidR="00BA208F">
        <w:t>-</w:t>
      </w:r>
      <w:r w:rsidR="00724AC2" w:rsidRPr="00724AC2">
        <w:t>ИНФРА.</w:t>
      </w:r>
    </w:p>
    <w:p w:rsidR="00724AC2" w:rsidRPr="00724AC2" w:rsidRDefault="00724AC2" w:rsidP="00724AC2">
      <w:pPr>
        <w:pStyle w:val="SingleTxtGR"/>
      </w:pPr>
      <w:r w:rsidRPr="00724AC2">
        <w:t>25.</w:t>
      </w:r>
      <w:r w:rsidRPr="00724AC2">
        <w:tab/>
        <w:t>Рабочая группа выразила признательность секретариату СЕТМО за его всеобъемлющий доклад и просила представить на ее следующей сессии в 2018 году обновленную информацию о деятельности СЕТМО.</w:t>
      </w:r>
    </w:p>
    <w:p w:rsidR="00724AC2" w:rsidRPr="00AB2D1F" w:rsidRDefault="00724AC2" w:rsidP="00AB2D1F">
      <w:pPr>
        <w:pStyle w:val="H1GR"/>
      </w:pPr>
      <w:r w:rsidRPr="00AB2D1F">
        <w:tab/>
        <w:t>B.</w:t>
      </w:r>
      <w:r w:rsidRPr="00AB2D1F">
        <w:tab/>
        <w:t>Евро-средиземноморская транспортная сеть</w:t>
      </w:r>
    </w:p>
    <w:p w:rsidR="00724AC2" w:rsidRPr="00724AC2" w:rsidRDefault="00724AC2" w:rsidP="00724AC2">
      <w:pPr>
        <w:pStyle w:val="SingleTxtGR"/>
      </w:pPr>
      <w:r w:rsidRPr="00724AC2">
        <w:t>26.</w:t>
      </w:r>
      <w:r w:rsidRPr="00724AC2">
        <w:tab/>
      </w:r>
      <w:r w:rsidRPr="00724AC2">
        <w:rPr>
          <w:bCs/>
          <w:iCs/>
        </w:rPr>
        <w:t>Рабочая группа приняла к сведению информацию, представленную Евр</w:t>
      </w:r>
      <w:r w:rsidRPr="00724AC2">
        <w:rPr>
          <w:bCs/>
          <w:iCs/>
        </w:rPr>
        <w:t>о</w:t>
      </w:r>
      <w:r w:rsidRPr="00724AC2">
        <w:rPr>
          <w:bCs/>
          <w:iCs/>
        </w:rPr>
        <w:t xml:space="preserve">пейским союзом, и выразила признательность за </w:t>
      </w:r>
      <w:r w:rsidRPr="00724AC2">
        <w:t>краткое сообщение о ходе ра</w:t>
      </w:r>
      <w:r w:rsidRPr="00724AC2">
        <w:t>з</w:t>
      </w:r>
      <w:r w:rsidRPr="00724AC2">
        <w:t>вития Евро-средиземноморской транспортной сети. Рабочая группа предложила Европейскому союзу представить на ее тридцать первой сессии в 2018 году о</w:t>
      </w:r>
      <w:r w:rsidRPr="00724AC2">
        <w:t>б</w:t>
      </w:r>
      <w:r w:rsidRPr="00724AC2">
        <w:t>новленную информацию о его деятельности, связанной с общеевропейскими коридорами.</w:t>
      </w:r>
    </w:p>
    <w:p w:rsidR="00724AC2" w:rsidRPr="00AB2D1F" w:rsidRDefault="00724AC2" w:rsidP="00AB2D1F">
      <w:pPr>
        <w:pStyle w:val="H1GR"/>
      </w:pPr>
      <w:r w:rsidRPr="00AB2D1F">
        <w:tab/>
        <w:t>C.</w:t>
      </w:r>
      <w:r w:rsidRPr="00AB2D1F">
        <w:tab/>
        <w:t xml:space="preserve">Доклад Союза для Средиземноморья </w:t>
      </w:r>
    </w:p>
    <w:p w:rsidR="00724AC2" w:rsidRPr="00724AC2" w:rsidRDefault="00724AC2" w:rsidP="00724AC2">
      <w:pPr>
        <w:pStyle w:val="SingleTxtGR"/>
      </w:pPr>
      <w:r w:rsidRPr="00724AC2">
        <w:t>27.</w:t>
      </w:r>
      <w:r w:rsidRPr="00724AC2">
        <w:tab/>
        <w:t>Представитель СЕТМО представил информацию о текущих мероприят</w:t>
      </w:r>
      <w:r w:rsidRPr="00724AC2">
        <w:t>и</w:t>
      </w:r>
      <w:r w:rsidRPr="00724AC2">
        <w:t>ях и событиях в рамках СДС.</w:t>
      </w:r>
    </w:p>
    <w:p w:rsidR="00724AC2" w:rsidRPr="00AB2D1F" w:rsidRDefault="00724AC2" w:rsidP="00AB2D1F">
      <w:pPr>
        <w:pStyle w:val="H1GR"/>
      </w:pPr>
      <w:r w:rsidRPr="00AB2D1F">
        <w:tab/>
        <w:t>D.</w:t>
      </w:r>
      <w:r w:rsidRPr="00AB2D1F">
        <w:tab/>
        <w:t>Проект постоянного сообщения между Европой и Африкой через Гибралтарский пролив: доклад о деятельности, осуществлявшейся в период 2015</w:t>
      </w:r>
      <w:r w:rsidR="009478DB">
        <w:t>–</w:t>
      </w:r>
      <w:r w:rsidRPr="00AB2D1F">
        <w:t>2017 годов, и программа, предложенная на период 2017</w:t>
      </w:r>
      <w:r w:rsidR="009478DB">
        <w:t>–</w:t>
      </w:r>
      <w:r w:rsidRPr="00AB2D1F">
        <w:t>2019 годов</w:t>
      </w:r>
    </w:p>
    <w:p w:rsidR="00724AC2" w:rsidRPr="00724AC2" w:rsidRDefault="00724AC2" w:rsidP="00724AC2">
      <w:pPr>
        <w:pStyle w:val="SingleTxtGR"/>
        <w:rPr>
          <w:bCs/>
        </w:rPr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</w:t>
      </w:r>
      <w:r w:rsidRPr="00724AC2">
        <w:rPr>
          <w:bCs/>
        </w:rPr>
        <w:t xml:space="preserve"> 5</w:t>
      </w:r>
    </w:p>
    <w:p w:rsidR="00724AC2" w:rsidRPr="00724AC2" w:rsidRDefault="00724AC2" w:rsidP="00724AC2">
      <w:pPr>
        <w:pStyle w:val="SingleTxtGR"/>
      </w:pPr>
      <w:r w:rsidRPr="00724AC2">
        <w:t>28.</w:t>
      </w:r>
      <w:r w:rsidRPr="00724AC2">
        <w:tab/>
        <w:t>Рабочая группа приняла к сведению доклад о проекте создания постоянно действующей связи Европа</w:t>
      </w:r>
      <w:r w:rsidR="00AB2D1F">
        <w:t>–</w:t>
      </w:r>
      <w:r w:rsidRPr="00724AC2">
        <w:t>Африка через Гибралтарский пролив, который ЕЭК и Экономическая комиссия для Африки (ЭКА) подготовили к сессии Эконом</w:t>
      </w:r>
      <w:r w:rsidRPr="00724AC2">
        <w:t>и</w:t>
      </w:r>
      <w:r w:rsidRPr="00724AC2">
        <w:t>ческого и Социального Совета (ЭКОСОС) 2017 года. Этот документ включает в себя анализ деятельности, осуществлявшейся в период 2015</w:t>
      </w:r>
      <w:r w:rsidR="009478DB">
        <w:t>–</w:t>
      </w:r>
      <w:r w:rsidRPr="00724AC2">
        <w:t>2017 годов, а та</w:t>
      </w:r>
      <w:r w:rsidRPr="00724AC2">
        <w:t>к</w:t>
      </w:r>
      <w:r w:rsidRPr="00724AC2">
        <w:t>же программу работы на период 2018</w:t>
      </w:r>
      <w:r w:rsidR="009478DB">
        <w:t>–</w:t>
      </w:r>
      <w:r w:rsidRPr="00724AC2">
        <w:t>2019 годов.</w:t>
      </w:r>
    </w:p>
    <w:p w:rsidR="00724AC2" w:rsidRPr="00724AC2" w:rsidRDefault="00782FAF" w:rsidP="00724AC2">
      <w:pPr>
        <w:pStyle w:val="SingleTxtGR"/>
      </w:pPr>
      <w:r>
        <w:t>29.</w:t>
      </w:r>
      <w:r>
        <w:tab/>
        <w:t>Этап 2015–2017 годов</w:t>
      </w:r>
      <w:r w:rsidR="00724AC2" w:rsidRPr="00724AC2">
        <w:t xml:space="preserve"> был посвящен обновлению технико-экономических обоснований проекта и подготовке нового плана работы по нему; в частности, было осуществлено следующее: 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пересмотр обоснований технических решений и соответствующих данных;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формулирование замечаний и анализ данных о пассажирских и гр</w:t>
      </w:r>
      <w:r w:rsidR="00724AC2" w:rsidRPr="00724AC2">
        <w:t>у</w:t>
      </w:r>
      <w:r w:rsidR="00724AC2" w:rsidRPr="00724AC2">
        <w:t>зовых перевозках между странами Европейского союза и странами Магриба;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>обновление исследований, касающихся прогнозирования спроса и использования будущей инфраструктуры;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d)</w:t>
      </w:r>
      <w:r w:rsidR="00724AC2" w:rsidRPr="00724AC2">
        <w:tab/>
        <w:t>включение этого проекта министрами транспорта ГМТЗС 5</w:t>
      </w:r>
      <w:r w:rsidR="00782FAF">
        <w:t xml:space="preserve"> </w:t>
      </w:r>
      <w:r w:rsidR="00724AC2" w:rsidRPr="00724AC2">
        <w:t>+</w:t>
      </w:r>
      <w:r w:rsidR="00782FAF">
        <w:t xml:space="preserve"> </w:t>
      </w:r>
      <w:r w:rsidR="00724AC2" w:rsidRPr="00724AC2">
        <w:t>5 в Центральную мультимодальную сеть ГМТЗС 5</w:t>
      </w:r>
      <w:r w:rsidR="00782FAF">
        <w:t xml:space="preserve"> </w:t>
      </w:r>
      <w:r w:rsidR="00724AC2" w:rsidRPr="00724AC2">
        <w:t>+</w:t>
      </w:r>
      <w:r w:rsidR="00782FAF">
        <w:t xml:space="preserve"> </w:t>
      </w:r>
      <w:r w:rsidR="00724AC2" w:rsidRPr="00724AC2">
        <w:t>5 на ее совещании 22 октября 2014 года в Лиссабоне, на котором они дали Группе экспертов ГМТЗС и Техн</w:t>
      </w:r>
      <w:r w:rsidR="00724AC2" w:rsidRPr="00724AC2">
        <w:t>и</w:t>
      </w:r>
      <w:r w:rsidR="00724AC2" w:rsidRPr="00724AC2">
        <w:t>ческому секретариату 5 + 5 указание провести последующую деятельность по итогам работы, проделанной Марокко и Испанией в рамках данного проекта;</w:t>
      </w:r>
    </w:p>
    <w:p w:rsidR="00724AC2" w:rsidRPr="00724AC2" w:rsidRDefault="00AB2D1F" w:rsidP="00724AC2">
      <w:pPr>
        <w:pStyle w:val="SingleTxtGR"/>
      </w:pPr>
      <w:r>
        <w:tab/>
      </w:r>
      <w:r w:rsidR="00724AC2" w:rsidRPr="00724AC2">
        <w:t>e)</w:t>
      </w:r>
      <w:r w:rsidR="00724AC2" w:rsidRPr="00724AC2">
        <w:tab/>
        <w:t>выражение правительствами Марокко и Испании приверженности Проекту постоянного сообщения на 11-м Совещании высокого уровня между Испанией и Марокко, состоявшемся 5 июня 2015 года в Мадриде, и подписание ими Меморандума о взаимопонимании в области транспорта.</w:t>
      </w:r>
    </w:p>
    <w:p w:rsidR="00724AC2" w:rsidRPr="00724AC2" w:rsidRDefault="00724AC2" w:rsidP="00724AC2">
      <w:pPr>
        <w:pStyle w:val="SingleTxtGR"/>
      </w:pPr>
      <w:r w:rsidRPr="00724AC2">
        <w:t>30.</w:t>
      </w:r>
      <w:r w:rsidRPr="00724AC2">
        <w:tab/>
        <w:t>Кроме того, Рабочая группа отметила, что в резолюции ЭКОСОС ЕЭК и ЭКА было предложено представить на сессии ЭКОСОС в 2019 году новый д</w:t>
      </w:r>
      <w:r w:rsidRPr="00724AC2">
        <w:t>о</w:t>
      </w:r>
      <w:r w:rsidRPr="00724AC2">
        <w:t>клад, и поручила секретариату включить этот пункт в повестку дня своей три</w:t>
      </w:r>
      <w:r w:rsidRPr="00724AC2">
        <w:t>д</w:t>
      </w:r>
      <w:r w:rsidRPr="00724AC2">
        <w:t>цать второй сессии в 2019 году.</w:t>
      </w:r>
    </w:p>
    <w:p w:rsidR="00724AC2" w:rsidRPr="008111C5" w:rsidRDefault="00724AC2" w:rsidP="008111C5">
      <w:pPr>
        <w:pStyle w:val="HChGR"/>
      </w:pPr>
      <w:r w:rsidRPr="008111C5">
        <w:tab/>
        <w:t>VIII.</w:t>
      </w:r>
      <w:r w:rsidRPr="008111C5">
        <w:tab/>
        <w:t>Евро-азиатские транспортные связи (пункт 7 повестки дня)</w:t>
      </w:r>
    </w:p>
    <w:p w:rsidR="00724AC2" w:rsidRPr="00AB2D1F" w:rsidRDefault="00724AC2" w:rsidP="00AB2D1F">
      <w:pPr>
        <w:pStyle w:val="H1GR"/>
      </w:pPr>
      <w:r w:rsidRPr="00AB2D1F">
        <w:tab/>
        <w:t>A.</w:t>
      </w:r>
      <w:r w:rsidRPr="00AB2D1F">
        <w:tab/>
        <w:t>Ход работы по евро-азиатским транспортным связям</w:t>
      </w:r>
    </w:p>
    <w:p w:rsidR="00724AC2" w:rsidRPr="00724AC2" w:rsidRDefault="00724AC2" w:rsidP="00724AC2">
      <w:pPr>
        <w:pStyle w:val="SingleTxtGR"/>
      </w:pPr>
      <w:r w:rsidRPr="00724AC2">
        <w:rPr>
          <w:i/>
        </w:rPr>
        <w:t>Документация</w:t>
      </w:r>
      <w:r w:rsidRPr="00782FAF">
        <w:t>:</w:t>
      </w:r>
      <w:r w:rsidRPr="00724AC2">
        <w:t xml:space="preserve"> ECE/TRANS/WP.5/2017/3, неофициальный документ № 6</w:t>
      </w:r>
    </w:p>
    <w:p w:rsidR="00724AC2" w:rsidRPr="00724AC2" w:rsidRDefault="00724AC2" w:rsidP="00724AC2">
      <w:pPr>
        <w:pStyle w:val="SingleTxtGR"/>
      </w:pPr>
      <w:r w:rsidRPr="00724AC2">
        <w:t>31.</w:t>
      </w:r>
      <w:r w:rsidRPr="00724AC2">
        <w:tab/>
        <w:t>Секретариат проинформировал Рабочую группу о ходе работы Группы экспертов по ЕАТС и в сотрудничестве с консультантом Группы представил проект итогового доклада о деятельности Группы (ECE/TRANS/WP.5/2017/3, неофициальный документ № 6).</w:t>
      </w:r>
    </w:p>
    <w:p w:rsidR="00724AC2" w:rsidRPr="00724AC2" w:rsidRDefault="00724AC2" w:rsidP="00724AC2">
      <w:pPr>
        <w:pStyle w:val="SingleTxtGR"/>
      </w:pPr>
      <w:r w:rsidRPr="00724AC2">
        <w:t>32.</w:t>
      </w:r>
      <w:r w:rsidRPr="00724AC2">
        <w:tab/>
        <w:t>Рабочая группа высоко оценила усилия экспертов и консультанта, выр</w:t>
      </w:r>
      <w:r w:rsidRPr="00724AC2">
        <w:t>а</w:t>
      </w:r>
      <w:r w:rsidRPr="00724AC2">
        <w:t>зила им признательность за отлично выполненную работу и утвердила итог</w:t>
      </w:r>
      <w:r w:rsidRPr="00724AC2">
        <w:t>о</w:t>
      </w:r>
      <w:r w:rsidRPr="00724AC2">
        <w:t>вый доклад Группы с внесенными в него поправками. Она поручила секретар</w:t>
      </w:r>
      <w:r w:rsidRPr="00724AC2">
        <w:t>и</w:t>
      </w:r>
      <w:r w:rsidRPr="00724AC2">
        <w:t xml:space="preserve">ату и консультанту включить в доклад всю соответствующую информацию, представленную в ходе рабочего совещания на тему </w:t>
      </w:r>
      <w:r w:rsidR="008111C5">
        <w:t>«</w:t>
      </w:r>
      <w:r w:rsidRPr="00724AC2">
        <w:t>Коридоры транспортной инфраструктуры в Европе и Азии</w:t>
      </w:r>
      <w:r w:rsidR="008111C5">
        <w:t>»</w:t>
      </w:r>
      <w:r w:rsidRPr="00724AC2">
        <w:t>, а также другие замечания, которые, во</w:t>
      </w:r>
      <w:r w:rsidRPr="00724AC2">
        <w:t>з</w:t>
      </w:r>
      <w:r w:rsidRPr="00724AC2">
        <w:t>можно, будут направлены правительствами, а затем передать его в феврале К</w:t>
      </w:r>
      <w:r w:rsidRPr="00724AC2">
        <w:t>о</w:t>
      </w:r>
      <w:r w:rsidRPr="00724AC2">
        <w:t>митету по внутреннему транспорту (КВТ) для окончательного утверждения.</w:t>
      </w:r>
    </w:p>
    <w:p w:rsidR="00724AC2" w:rsidRPr="00724AC2" w:rsidRDefault="00724AC2" w:rsidP="00724AC2">
      <w:pPr>
        <w:pStyle w:val="SingleTxtGR"/>
      </w:pPr>
      <w:r w:rsidRPr="00724AC2">
        <w:t>33.</w:t>
      </w:r>
      <w:r w:rsidRPr="00724AC2">
        <w:tab/>
        <w:t>Кроме того, Рабочая группа поручила секретариату организовать на ее следующей сессии</w:t>
      </w:r>
      <w:r w:rsidR="00AB2D1F">
        <w:t xml:space="preserve"> – </w:t>
      </w:r>
      <w:r w:rsidRPr="00724AC2">
        <w:t>в качестве последующей деятельности по итогам третьего этапа работы Группы</w:t>
      </w:r>
      <w:r w:rsidR="00AB2D1F">
        <w:t xml:space="preserve"> – </w:t>
      </w:r>
      <w:r w:rsidRPr="00724AC2">
        <w:t xml:space="preserve">международную конференцию на тему </w:t>
      </w:r>
      <w:r w:rsidR="008111C5">
        <w:t>«</w:t>
      </w:r>
      <w:r w:rsidRPr="00724AC2">
        <w:t>Практическая реализация работы коридоров между Европой и Азией</w:t>
      </w:r>
      <w:r w:rsidR="008111C5">
        <w:t>»</w:t>
      </w:r>
      <w:r w:rsidRPr="00724AC2">
        <w:t>, участвовать в которой будет предложено всем заинтересованным субъектам, в частности экспедиц</w:t>
      </w:r>
      <w:r w:rsidRPr="00724AC2">
        <w:t>и</w:t>
      </w:r>
      <w:r w:rsidRPr="00724AC2">
        <w:t>онным агентствам, грузоотправителям, железнодорожным предприятиям и, р</w:t>
      </w:r>
      <w:r w:rsidRPr="00724AC2">
        <w:t>а</w:t>
      </w:r>
      <w:r w:rsidRPr="00724AC2">
        <w:t>зумеется, правительствам.</w:t>
      </w:r>
    </w:p>
    <w:p w:rsidR="00724AC2" w:rsidRPr="00AB2D1F" w:rsidRDefault="00724AC2" w:rsidP="00AB2D1F">
      <w:pPr>
        <w:pStyle w:val="H1GR"/>
      </w:pPr>
      <w:r w:rsidRPr="00AB2D1F">
        <w:tab/>
        <w:t>B.</w:t>
      </w:r>
      <w:r w:rsidRPr="00AB2D1F">
        <w:tab/>
        <w:t xml:space="preserve">Автотранспортные и железнодорожные коридоры в Европе </w:t>
      </w:r>
      <w:r w:rsidR="00AB2D1F">
        <w:br/>
      </w:r>
      <w:r w:rsidRPr="00AB2D1F">
        <w:t>и Азии</w:t>
      </w:r>
    </w:p>
    <w:p w:rsidR="00724AC2" w:rsidRPr="00724AC2" w:rsidRDefault="00724AC2" w:rsidP="00724AC2">
      <w:pPr>
        <w:pStyle w:val="SingleTxtGR"/>
      </w:pPr>
      <w:r w:rsidRPr="00724AC2">
        <w:rPr>
          <w:i/>
        </w:rPr>
        <w:t>Документация</w:t>
      </w:r>
      <w:r w:rsidRPr="00782FAF">
        <w:t>:</w:t>
      </w:r>
      <w:r w:rsidRPr="00724AC2">
        <w:t xml:space="preserve"> ECE/TRANS/WP.5/2016/3</w:t>
      </w:r>
    </w:p>
    <w:p w:rsidR="00724AC2" w:rsidRPr="00724AC2" w:rsidRDefault="00724AC2" w:rsidP="00724AC2">
      <w:pPr>
        <w:pStyle w:val="SingleTxtGR"/>
      </w:pPr>
      <w:r w:rsidRPr="00724AC2">
        <w:t>34.</w:t>
      </w:r>
      <w:r w:rsidRPr="00724AC2">
        <w:tab/>
        <w:t>Рабочая группа напомнила, что в ходе своей последней сессии она одо</w:t>
      </w:r>
      <w:r w:rsidRPr="00724AC2">
        <w:t>б</w:t>
      </w:r>
      <w:r w:rsidRPr="00724AC2">
        <w:t>рила создание международного центра мониторинга транспортной инфрастру</w:t>
      </w:r>
      <w:r w:rsidRPr="00724AC2">
        <w:t>к</w:t>
      </w:r>
      <w:r w:rsidRPr="00724AC2">
        <w:t>туры, который должен охватывать все существующие инициативы в области развития транспортной инфраструктуры в Европе и Азии.</w:t>
      </w:r>
    </w:p>
    <w:p w:rsidR="00724AC2" w:rsidRPr="00724AC2" w:rsidRDefault="00724AC2" w:rsidP="00724AC2">
      <w:pPr>
        <w:pStyle w:val="SingleTxtGR"/>
      </w:pPr>
      <w:r w:rsidRPr="00724AC2">
        <w:t>35.</w:t>
      </w:r>
      <w:r w:rsidRPr="00724AC2">
        <w:tab/>
        <w:t>Секретариат проинформировал Рабочую группу о том, что он получил средства, необходимые для создания ИсБР подобного центра мониторинга с и</w:t>
      </w:r>
      <w:r w:rsidRPr="00724AC2">
        <w:t>с</w:t>
      </w:r>
      <w:r w:rsidRPr="00724AC2">
        <w:t>пользованием ГИС и что соответствующее программное обеспечение уже з</w:t>
      </w:r>
      <w:r w:rsidRPr="00724AC2">
        <w:t>а</w:t>
      </w:r>
      <w:r w:rsidRPr="00724AC2">
        <w:t>куплено и установлено на сервере в помещениях ЕЭК. Кроме того, ИсБР пред</w:t>
      </w:r>
      <w:r w:rsidRPr="00724AC2">
        <w:t>о</w:t>
      </w:r>
      <w:r w:rsidRPr="00724AC2">
        <w:t>ставил средства для найма консультантов и сбора всей соответствующей и</w:t>
      </w:r>
      <w:r w:rsidRPr="00724AC2">
        <w:t>н</w:t>
      </w:r>
      <w:r w:rsidRPr="00724AC2">
        <w:t>формации.</w:t>
      </w:r>
    </w:p>
    <w:p w:rsidR="00724AC2" w:rsidRPr="00724AC2" w:rsidRDefault="00724AC2" w:rsidP="00724AC2">
      <w:pPr>
        <w:pStyle w:val="SingleTxtGR"/>
      </w:pPr>
      <w:r w:rsidRPr="00724AC2">
        <w:t>36.</w:t>
      </w:r>
      <w:r w:rsidRPr="00724AC2">
        <w:tab/>
        <w:t>Рабочая группа поручила секретариату представить на ее следующей се</w:t>
      </w:r>
      <w:r w:rsidRPr="00724AC2">
        <w:t>с</w:t>
      </w:r>
      <w:r w:rsidRPr="00724AC2">
        <w:t>сии более подробную информацию по данному вопросу.</w:t>
      </w:r>
    </w:p>
    <w:p w:rsidR="00724AC2" w:rsidRPr="00AB2D1F" w:rsidRDefault="00724AC2" w:rsidP="00AB2D1F">
      <w:pPr>
        <w:pStyle w:val="H1GR"/>
      </w:pPr>
      <w:r w:rsidRPr="00AB2D1F">
        <w:tab/>
        <w:t>C.</w:t>
      </w:r>
      <w:r w:rsidRPr="00AB2D1F">
        <w:tab/>
        <w:t>Другие евро-азиатские транспортные инициативы</w:t>
      </w:r>
    </w:p>
    <w:p w:rsidR="00724AC2" w:rsidRPr="00724AC2" w:rsidRDefault="00724AC2" w:rsidP="00724AC2">
      <w:pPr>
        <w:pStyle w:val="SingleTxtGR"/>
      </w:pPr>
      <w:r w:rsidRPr="00724AC2">
        <w:t>37.</w:t>
      </w:r>
      <w:r w:rsidRPr="00724AC2">
        <w:tab/>
        <w:t>Рабочая группа высоко оценила информацию представителя московского Центра экономики инфраструктуры о перспективах сотрудничества между К</w:t>
      </w:r>
      <w:r w:rsidRPr="00724AC2">
        <w:t>и</w:t>
      </w:r>
      <w:r w:rsidRPr="00724AC2">
        <w:t>таем и Европейским союзом в сфере торговли и железнодорожного транспорта.</w:t>
      </w:r>
    </w:p>
    <w:p w:rsidR="00724AC2" w:rsidRPr="00724AC2" w:rsidRDefault="00724AC2" w:rsidP="00724AC2">
      <w:pPr>
        <w:pStyle w:val="SingleTxtGR"/>
      </w:pPr>
      <w:r w:rsidRPr="00724AC2">
        <w:t>38.</w:t>
      </w:r>
      <w:r w:rsidRPr="00724AC2">
        <w:tab/>
        <w:t>Она поручила секретариату и впредь приглашать представителей соо</w:t>
      </w:r>
      <w:r w:rsidRPr="00724AC2">
        <w:t>т</w:t>
      </w:r>
      <w:r w:rsidRPr="00724AC2">
        <w:t>ветствующих институтов и исследовательских центров, чтобы получать обно</w:t>
      </w:r>
      <w:r w:rsidRPr="00724AC2">
        <w:t>в</w:t>
      </w:r>
      <w:r w:rsidRPr="00724AC2">
        <w:t>ленную информацию об изменениях в области торговли и перевозок между Е</w:t>
      </w:r>
      <w:r w:rsidRPr="00724AC2">
        <w:t>в</w:t>
      </w:r>
      <w:r w:rsidRPr="00724AC2">
        <w:t>ропой и Азией.</w:t>
      </w:r>
    </w:p>
    <w:p w:rsidR="00724AC2" w:rsidRPr="008111C5" w:rsidRDefault="00724AC2" w:rsidP="008111C5">
      <w:pPr>
        <w:pStyle w:val="HChGR"/>
      </w:pPr>
      <w:r w:rsidRPr="008111C5">
        <w:tab/>
        <w:t>IX.</w:t>
      </w:r>
      <w:r w:rsidRPr="008111C5">
        <w:tab/>
        <w:t>Группа экспертов по сопоставительному анализу затрат на строительство транспортной инфраструктуры</w:t>
      </w:r>
      <w:r w:rsidRPr="008111C5" w:rsidDel="007B54E1">
        <w:t xml:space="preserve"> </w:t>
      </w:r>
      <w:r w:rsidRPr="008111C5">
        <w:t>(пункт 8 повестки дня)</w:t>
      </w:r>
    </w:p>
    <w:p w:rsidR="00724AC2" w:rsidRPr="00724AC2" w:rsidRDefault="00724AC2" w:rsidP="00724AC2">
      <w:pPr>
        <w:pStyle w:val="SingleTxtGR"/>
        <w:rPr>
          <w:lang w:val="en-US"/>
        </w:rPr>
      </w:pPr>
      <w:r w:rsidRPr="00724AC2">
        <w:rPr>
          <w:i/>
        </w:rPr>
        <w:t>Документация</w:t>
      </w:r>
      <w:r w:rsidRPr="00724AC2">
        <w:rPr>
          <w:i/>
          <w:lang w:val="en-US"/>
        </w:rPr>
        <w:t xml:space="preserve">: </w:t>
      </w:r>
      <w:r w:rsidRPr="00724AC2">
        <w:rPr>
          <w:lang w:val="en-US"/>
        </w:rPr>
        <w:t>ECE/TRANS/WP.5/GE.4/6, ECE/TRANS/WP.5/GE.4/2016/1</w:t>
      </w:r>
    </w:p>
    <w:p w:rsidR="00724AC2" w:rsidRPr="00724AC2" w:rsidRDefault="00724AC2" w:rsidP="00724AC2">
      <w:pPr>
        <w:pStyle w:val="SingleTxtGR"/>
      </w:pPr>
      <w:r w:rsidRPr="00724AC2">
        <w:t>39.</w:t>
      </w:r>
      <w:r w:rsidRPr="00724AC2">
        <w:tab/>
        <w:t>Председатель Группы экспертов проинформировал Рабочую группу о р</w:t>
      </w:r>
      <w:r w:rsidRPr="00724AC2">
        <w:t>а</w:t>
      </w:r>
      <w:r w:rsidRPr="00724AC2">
        <w:t>боте, проделанной в ходе трех совещаний Группы, состоявшихся после после</w:t>
      </w:r>
      <w:r w:rsidRPr="00724AC2">
        <w:t>д</w:t>
      </w:r>
      <w:r w:rsidRPr="00724AC2">
        <w:t>ней сессии Рабочей группы. Рабочая группа отметила удовлетворительный ход работы, связанной с дорогами и интермодальными терминалами, поскольку уже сформированы соответствующие группы, назначены их руководители и подг</w:t>
      </w:r>
      <w:r w:rsidRPr="00724AC2">
        <w:t>о</w:t>
      </w:r>
      <w:r w:rsidRPr="00724AC2">
        <w:t>товлены необходимые документы. Однако этого нельзя сказать о железных д</w:t>
      </w:r>
      <w:r w:rsidRPr="00724AC2">
        <w:t>о</w:t>
      </w:r>
      <w:r w:rsidRPr="00724AC2">
        <w:t>рогах, внутренних водных путях и портах. Рабочая группа поручила секретар</w:t>
      </w:r>
      <w:r w:rsidRPr="00724AC2">
        <w:t>и</w:t>
      </w:r>
      <w:r w:rsidRPr="00724AC2">
        <w:t>ату рассмотреть все возможные варианты, включая направление писем прав</w:t>
      </w:r>
      <w:r w:rsidRPr="00724AC2">
        <w:t>и</w:t>
      </w:r>
      <w:r w:rsidRPr="00724AC2">
        <w:t>тельствам, для обеспечения бесперебойного продолжения работы Группы.</w:t>
      </w:r>
    </w:p>
    <w:p w:rsidR="00724AC2" w:rsidRPr="00724AC2" w:rsidRDefault="00724AC2" w:rsidP="00724AC2">
      <w:pPr>
        <w:pStyle w:val="SingleTxtGR"/>
      </w:pPr>
      <w:r w:rsidRPr="00724AC2">
        <w:t>40.</w:t>
      </w:r>
      <w:r w:rsidRPr="00724AC2">
        <w:tab/>
        <w:t>Рабочая группа приняла к сведению информацию, представленную Пре</w:t>
      </w:r>
      <w:r w:rsidRPr="00724AC2">
        <w:t>д</w:t>
      </w:r>
      <w:r w:rsidRPr="00724AC2">
        <w:t>седателем Группы и секретариатом, и поручила секретариату представить на ее следующей сессии более подробную информацию по данному вопросу.</w:t>
      </w:r>
    </w:p>
    <w:p w:rsidR="00724AC2" w:rsidRPr="008111C5" w:rsidRDefault="00724AC2" w:rsidP="008111C5">
      <w:pPr>
        <w:pStyle w:val="HChGR"/>
      </w:pPr>
      <w:r w:rsidRPr="008111C5">
        <w:tab/>
        <w:t>X.</w:t>
      </w:r>
      <w:r w:rsidRPr="008111C5">
        <w:tab/>
        <w:t xml:space="preserve">Городская мобильность и общественный транспорт: Общеевропейский генеральный план </w:t>
      </w:r>
      <w:r w:rsidR="00AB2D1F">
        <w:br/>
      </w:r>
      <w:r w:rsidRPr="008111C5">
        <w:t>для велосипедного движения (пункт 9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 7</w:t>
      </w:r>
    </w:p>
    <w:p w:rsidR="00724AC2" w:rsidRPr="00724AC2" w:rsidRDefault="00724AC2" w:rsidP="00724AC2">
      <w:pPr>
        <w:pStyle w:val="SingleTxtGR"/>
      </w:pPr>
      <w:r w:rsidRPr="00724AC2">
        <w:t>41.</w:t>
      </w:r>
      <w:r w:rsidRPr="00724AC2">
        <w:tab/>
        <w:t>Рабочая группа напомнила, что на своей предыдущей сессии она приняла к сведению методологию, подготовленную в процессе разработки Общеевр</w:t>
      </w:r>
      <w:r w:rsidRPr="00724AC2">
        <w:t>о</w:t>
      </w:r>
      <w:r w:rsidRPr="00724AC2">
        <w:t>пейского генерального плана для велосипедного движения в сотрудничестве с ОПТОСОЗ, описанную в документе ECE/TRANS/WP.5/2016/4 и уже одобре</w:t>
      </w:r>
      <w:r w:rsidRPr="00724AC2">
        <w:t>н</w:t>
      </w:r>
      <w:r w:rsidRPr="00724AC2">
        <w:t>ную Бюро ОПТОСОЗ.</w:t>
      </w:r>
    </w:p>
    <w:p w:rsidR="00724AC2" w:rsidRPr="00724AC2" w:rsidRDefault="00724AC2" w:rsidP="00724AC2">
      <w:pPr>
        <w:pStyle w:val="SingleTxtGR"/>
      </w:pPr>
      <w:r w:rsidRPr="00724AC2">
        <w:t>42.</w:t>
      </w:r>
      <w:r w:rsidRPr="00724AC2">
        <w:tab/>
        <w:t>Секретариат проинформировал Рабочую группу о том, что на средства ОПТОСОЗ уже наняты консультанты, которые начали внедрять эту методол</w:t>
      </w:r>
      <w:r w:rsidRPr="00724AC2">
        <w:t>о</w:t>
      </w:r>
      <w:r w:rsidRPr="00724AC2">
        <w:t>гию. Рабочая группа поручила секретариату представить на ее следующей се</w:t>
      </w:r>
      <w:r w:rsidRPr="00724AC2">
        <w:t>с</w:t>
      </w:r>
      <w:r w:rsidRPr="00724AC2">
        <w:t>сии более подробную информацию по данной теме и продолжать обсуждение вопроса о городской мобильности и общественном транспорте.</w:t>
      </w:r>
    </w:p>
    <w:p w:rsidR="00724AC2" w:rsidRPr="00724AC2" w:rsidRDefault="00724AC2" w:rsidP="00724AC2">
      <w:pPr>
        <w:pStyle w:val="SingleTxtGR"/>
      </w:pPr>
      <w:r w:rsidRPr="00724AC2">
        <w:t>43.</w:t>
      </w:r>
      <w:r w:rsidRPr="00724AC2">
        <w:tab/>
        <w:t>Рабочая группа выразила представителю Департамента транспорта и ра</w:t>
      </w:r>
      <w:r w:rsidRPr="00724AC2">
        <w:t>з</w:t>
      </w:r>
      <w:r w:rsidRPr="00724AC2">
        <w:t>вития дорожно-транспортной инфраструктуры города Москвы признательность за представление полезной информации о программах велосипедного движения в Москве и других российских городах.</w:t>
      </w:r>
    </w:p>
    <w:p w:rsidR="00724AC2" w:rsidRPr="008111C5" w:rsidRDefault="009478DB" w:rsidP="008111C5">
      <w:pPr>
        <w:pStyle w:val="HChGR"/>
      </w:pPr>
      <w:r>
        <w:br w:type="page"/>
      </w:r>
      <w:r w:rsidR="00724AC2" w:rsidRPr="008111C5">
        <w:tab/>
        <w:t>XI.</w:t>
      </w:r>
      <w:r w:rsidR="00724AC2" w:rsidRPr="008111C5">
        <w:tab/>
        <w:t xml:space="preserve">Изменение климата и транспорт (пункт 10 </w:t>
      </w:r>
      <w:r w:rsidR="00782FAF">
        <w:br/>
      </w:r>
      <w:r w:rsidR="00724AC2" w:rsidRPr="008111C5">
        <w:t>повестки дня)</w:t>
      </w:r>
    </w:p>
    <w:p w:rsidR="00724AC2" w:rsidRPr="00AB2D1F" w:rsidRDefault="00724AC2" w:rsidP="00AB2D1F">
      <w:pPr>
        <w:pStyle w:val="H1GR"/>
      </w:pPr>
      <w:r w:rsidRPr="00AB2D1F">
        <w:tab/>
        <w:t>A.</w:t>
      </w:r>
      <w:r w:rsidRPr="00AB2D1F">
        <w:tab/>
        <w:t xml:space="preserve">Группа экспертов по последствиям изменения климата </w:t>
      </w:r>
      <w:r w:rsidR="00782FAF">
        <w:br/>
      </w:r>
      <w:r w:rsidRPr="00AB2D1F">
        <w:t>для международных транспортных сетей и узлов и адаптации к ним</w:t>
      </w:r>
    </w:p>
    <w:p w:rsidR="00724AC2" w:rsidRPr="00724AC2" w:rsidRDefault="00724AC2" w:rsidP="00724AC2">
      <w:pPr>
        <w:pStyle w:val="SingleTxtGR"/>
        <w:rPr>
          <w:bCs/>
          <w:iCs/>
        </w:rPr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 xml:space="preserve">неофициальный документ № </w:t>
      </w:r>
      <w:r w:rsidRPr="00724AC2">
        <w:rPr>
          <w:bCs/>
          <w:iCs/>
        </w:rPr>
        <w:t>8, ECE/TRANS/WP.5/GE.3/26</w:t>
      </w:r>
    </w:p>
    <w:p w:rsidR="00724AC2" w:rsidRPr="00724AC2" w:rsidRDefault="00724AC2" w:rsidP="00724AC2">
      <w:pPr>
        <w:pStyle w:val="SingleTxtGR"/>
      </w:pPr>
      <w:r w:rsidRPr="00724AC2">
        <w:t>44.</w:t>
      </w:r>
      <w:r w:rsidRPr="00724AC2">
        <w:tab/>
        <w:t>После того как КВТ и Исполнительный комитет (Исполком) утвердили круг ведения Группы экспертов, она провела шесть сессий в течение 2016 и 2017 годов (восьмую сессию</w:t>
      </w:r>
      <w:r w:rsidR="00AB2D1F">
        <w:t xml:space="preserve"> – </w:t>
      </w:r>
      <w:r w:rsidRPr="00724AC2">
        <w:t>14 и 15 января, девятую сессию</w:t>
      </w:r>
      <w:r w:rsidR="00AB2D1F">
        <w:t xml:space="preserve"> – </w:t>
      </w:r>
      <w:r w:rsidRPr="00724AC2">
        <w:t>11 и 12 апреля, десятую сессию</w:t>
      </w:r>
      <w:r w:rsidR="00AB2D1F">
        <w:t xml:space="preserve"> – </w:t>
      </w:r>
      <w:r w:rsidRPr="00724AC2">
        <w:t>7 и 8 июля, одиннадцатую сессию</w:t>
      </w:r>
      <w:r w:rsidR="00AB2D1F">
        <w:t xml:space="preserve"> – </w:t>
      </w:r>
      <w:r w:rsidRPr="00724AC2">
        <w:t>3 и 4 октября 2016 года, двенадцатую сессию</w:t>
      </w:r>
      <w:r w:rsidR="00AB2D1F">
        <w:t xml:space="preserve"> – </w:t>
      </w:r>
      <w:r w:rsidRPr="00724AC2">
        <w:t>27 и 28 марта и тринадцатую сессию</w:t>
      </w:r>
      <w:r w:rsidR="00AB2D1F">
        <w:t xml:space="preserve"> – </w:t>
      </w:r>
      <w:r w:rsidRPr="00724AC2">
        <w:t>22 и 23 июня 2017 года), и ее мандат завершился в соответствии с утвержденным кругом в</w:t>
      </w:r>
      <w:r w:rsidRPr="00724AC2">
        <w:t>е</w:t>
      </w:r>
      <w:r w:rsidRPr="00724AC2">
        <w:t>дения. В ходе этих сессий Группа: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рассмотрела результаты первого этапа работы;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подготовила и обсудила первую главу своего окончательного д</w:t>
      </w:r>
      <w:r w:rsidR="00724AC2" w:rsidRPr="00724AC2">
        <w:t>о</w:t>
      </w:r>
      <w:r w:rsidR="00724AC2" w:rsidRPr="00724AC2">
        <w:t>клада;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c)</w:t>
      </w:r>
      <w:r w:rsidR="00724AC2" w:rsidRPr="00724AC2">
        <w:tab/>
        <w:t xml:space="preserve">подготовила проект главы, посвященной национальной политике, передовому опыту и тематическим исследованиям; 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d)</w:t>
      </w:r>
      <w:r w:rsidR="00724AC2" w:rsidRPr="00724AC2">
        <w:tab/>
        <w:t>подготовила, обсудила и проанализировала направленный прав</w:t>
      </w:r>
      <w:r w:rsidR="00724AC2" w:rsidRPr="00724AC2">
        <w:t>и</w:t>
      </w:r>
      <w:r w:rsidR="00724AC2" w:rsidRPr="00724AC2">
        <w:t xml:space="preserve">тельствам вопросник; 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e)</w:t>
      </w:r>
      <w:r w:rsidR="00724AC2" w:rsidRPr="00724AC2">
        <w:tab/>
        <w:t>собрала (либо с помощью вопросника, либо с помощью других и</w:t>
      </w:r>
      <w:r w:rsidR="00724AC2" w:rsidRPr="00724AC2">
        <w:t>с</w:t>
      </w:r>
      <w:r w:rsidR="00724AC2" w:rsidRPr="00724AC2">
        <w:t>точников, таких как Европейский союз, проект ЕАТС и обследования состояния автомобильного и железнодорожного транспорта в ЕЭК) данные о транспор</w:t>
      </w:r>
      <w:r w:rsidR="00724AC2" w:rsidRPr="00724AC2">
        <w:t>т</w:t>
      </w:r>
      <w:r w:rsidR="00724AC2" w:rsidRPr="00724AC2">
        <w:t>ной инфраструктуре с использованием ГИС для большинства государств</w:t>
      </w:r>
      <w:r w:rsidR="00AB2D1F">
        <w:t xml:space="preserve"> – </w:t>
      </w:r>
      <w:r w:rsidR="00724AC2" w:rsidRPr="00724AC2">
        <w:t>чл</w:t>
      </w:r>
      <w:r w:rsidR="00724AC2" w:rsidRPr="00724AC2">
        <w:t>е</w:t>
      </w:r>
      <w:r w:rsidR="00724AC2" w:rsidRPr="00724AC2">
        <w:t>нов ЕЭК;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f)</w:t>
      </w:r>
      <w:r w:rsidR="00724AC2" w:rsidRPr="00724AC2">
        <w:tab/>
        <w:t>получила от Всемирной метеорологической организации сдела</w:t>
      </w:r>
      <w:r w:rsidR="00724AC2" w:rsidRPr="00724AC2">
        <w:t>н</w:t>
      </w:r>
      <w:r w:rsidR="00724AC2" w:rsidRPr="00724AC2">
        <w:t>ные с использованием ГИС прогнозы относительно основных климатических параметров, таких как осадки, температура, повышение уровня моря.</w:t>
      </w:r>
    </w:p>
    <w:p w:rsidR="00724AC2" w:rsidRPr="00724AC2" w:rsidRDefault="00724AC2" w:rsidP="00724AC2">
      <w:pPr>
        <w:pStyle w:val="SingleTxtGR"/>
      </w:pPr>
      <w:r w:rsidRPr="00724AC2">
        <w:t>45.</w:t>
      </w:r>
      <w:r w:rsidRPr="00724AC2">
        <w:tab/>
        <w:t>Тем не менее для завершения ее работы и достижения целей, поставле</w:t>
      </w:r>
      <w:r w:rsidRPr="00724AC2">
        <w:t>н</w:t>
      </w:r>
      <w:r w:rsidRPr="00724AC2">
        <w:t>ных в круге ведения (КВ), Группе предстоит сделать еще многое, включая ра</w:t>
      </w:r>
      <w:r w:rsidRPr="00724AC2">
        <w:t>з</w:t>
      </w:r>
      <w:r w:rsidRPr="00724AC2">
        <w:t xml:space="preserve">работку карты </w:t>
      </w:r>
      <w:r w:rsidR="008111C5">
        <w:t>«</w:t>
      </w:r>
      <w:r w:rsidRPr="00724AC2">
        <w:t>горячих точек</w:t>
      </w:r>
      <w:r w:rsidR="008111C5">
        <w:t>»</w:t>
      </w:r>
      <w:r w:rsidRPr="00724AC2">
        <w:t xml:space="preserve"> на основе полученных данных. Поэтому Группа просит Рабочую группу продлить ее мандат на базе того же КВ еще на один год начиная с даты его окончательного утверждения Исполкомом в 2018 году, с тем чтобы провести еще как минимум три сессии до того, как представить свой окончательный доклад на сессии Рабочей группы в 2019 году.</w:t>
      </w:r>
    </w:p>
    <w:p w:rsidR="00724AC2" w:rsidRPr="00724AC2" w:rsidRDefault="00724AC2" w:rsidP="00724AC2">
      <w:pPr>
        <w:pStyle w:val="SingleTxtGR"/>
      </w:pPr>
      <w:r w:rsidRPr="00724AC2">
        <w:t>46.</w:t>
      </w:r>
      <w:r w:rsidRPr="00724AC2">
        <w:tab/>
        <w:t>Рабочая группа приняла к сведению информацию, представленную се</w:t>
      </w:r>
      <w:r w:rsidRPr="00724AC2">
        <w:t>к</w:t>
      </w:r>
      <w:r w:rsidRPr="00724AC2">
        <w:t>ретариатом, и утвердила продление мандата Группы еще на один год после окончательного утверждения Исполкомом. Она поручила также секретариату представить на ее следующей сессии дополнительную информацию о ходе р</w:t>
      </w:r>
      <w:r w:rsidRPr="00724AC2">
        <w:t>а</w:t>
      </w:r>
      <w:r w:rsidRPr="00724AC2">
        <w:t>боты Группы экспертов.</w:t>
      </w:r>
    </w:p>
    <w:p w:rsidR="00724AC2" w:rsidRPr="00AB2D1F" w:rsidRDefault="00724AC2" w:rsidP="00AB2D1F">
      <w:pPr>
        <w:pStyle w:val="H1GR"/>
      </w:pPr>
      <w:r w:rsidRPr="00AB2D1F">
        <w:tab/>
        <w:t>B.</w:t>
      </w:r>
      <w:r w:rsidRPr="00AB2D1F">
        <w:tab/>
        <w:t xml:space="preserve">Смягчение последствий изменения климата: инструмент </w:t>
      </w:r>
      <w:r w:rsidR="009478DB">
        <w:br/>
      </w:r>
      <w:r w:rsidR="008111C5" w:rsidRPr="00AB2D1F">
        <w:t>«</w:t>
      </w:r>
      <w:r w:rsidRPr="00AB2D1F">
        <w:t>В интересах будущих систем внутреннего транспорта</w:t>
      </w:r>
      <w:r w:rsidR="008111C5" w:rsidRPr="00AB2D1F">
        <w:t>»</w:t>
      </w:r>
      <w:r w:rsidRPr="00AB2D1F">
        <w:t xml:space="preserve"> Европейской экономической комиссии Организации Объединенных Наций</w:t>
      </w:r>
    </w:p>
    <w:p w:rsidR="00724AC2" w:rsidRPr="00724AC2" w:rsidRDefault="00724AC2" w:rsidP="00724AC2">
      <w:pPr>
        <w:pStyle w:val="SingleTxtGR"/>
      </w:pPr>
      <w:r w:rsidRPr="00724AC2">
        <w:t>47.</w:t>
      </w:r>
      <w:r w:rsidRPr="00724AC2">
        <w:tab/>
        <w:t>Секретариат проинформировал Рабочую группу о достижениях, произ</w:t>
      </w:r>
      <w:r w:rsidRPr="00724AC2">
        <w:t>о</w:t>
      </w:r>
      <w:r w:rsidRPr="00724AC2">
        <w:t xml:space="preserve">шедших в 2016–2017 годах в рамках проекта </w:t>
      </w:r>
      <w:r w:rsidR="008111C5">
        <w:t>«</w:t>
      </w:r>
      <w:r w:rsidRPr="00724AC2">
        <w:t>В интересах будущих систем внутреннего транспорта</w:t>
      </w:r>
      <w:r w:rsidR="008111C5">
        <w:t>»</w:t>
      </w:r>
      <w:r w:rsidRPr="00724AC2">
        <w:t xml:space="preserve"> (ForFITS). Рабочая группа приняла к сведению пре</w:t>
      </w:r>
      <w:r w:rsidRPr="00724AC2">
        <w:t>д</w:t>
      </w:r>
      <w:r w:rsidRPr="00724AC2">
        <w:t>ставленную информацию и вновь заявила о своей поддержке дальнейшей ра</w:t>
      </w:r>
      <w:r w:rsidRPr="00724AC2">
        <w:t>з</w:t>
      </w:r>
      <w:r w:rsidRPr="00724AC2">
        <w:t>работки этого инструмента. Рабочая группа поручила секретариату представить на своей следующей сессии информацию о любых новых наработках по данн</w:t>
      </w:r>
      <w:r w:rsidRPr="00724AC2">
        <w:t>о</w:t>
      </w:r>
      <w:r w:rsidRPr="00724AC2">
        <w:t>му вопросу.</w:t>
      </w:r>
    </w:p>
    <w:p w:rsidR="00724AC2" w:rsidRPr="008111C5" w:rsidRDefault="00724AC2" w:rsidP="008111C5">
      <w:pPr>
        <w:pStyle w:val="HChGR"/>
      </w:pPr>
      <w:r w:rsidRPr="008111C5">
        <w:tab/>
        <w:t>XII.</w:t>
      </w:r>
      <w:r w:rsidRPr="008111C5">
        <w:tab/>
        <w:t xml:space="preserve">Обзор ситуации на транспорте, тенденций </w:t>
      </w:r>
      <w:r w:rsidR="009478DB">
        <w:br/>
      </w:r>
      <w:r w:rsidRPr="008111C5">
        <w:t xml:space="preserve">и экономики транспорта в регионе ЕЭК </w:t>
      </w:r>
      <w:r w:rsidR="009478DB">
        <w:br/>
      </w:r>
      <w:r w:rsidRPr="008111C5">
        <w:t>(пункт 11 повестки дня)</w:t>
      </w:r>
    </w:p>
    <w:p w:rsidR="00724AC2" w:rsidRPr="00AB2D1F" w:rsidRDefault="00724AC2" w:rsidP="00AB2D1F">
      <w:pPr>
        <w:pStyle w:val="H1GR"/>
      </w:pPr>
      <w:r w:rsidRPr="00AB2D1F">
        <w:tab/>
        <w:t>A.</w:t>
      </w:r>
      <w:r w:rsidRPr="00AB2D1F">
        <w:tab/>
        <w:t>Тенденции и экономика транспорта в 2016–2017 годах: достижение целей устойчивого развития на основе развития устойчивого транспорта</w:t>
      </w:r>
    </w:p>
    <w:p w:rsidR="00724AC2" w:rsidRPr="00724AC2" w:rsidRDefault="00724AC2" w:rsidP="00724AC2">
      <w:pPr>
        <w:pStyle w:val="SingleTxtGR"/>
        <w:rPr>
          <w:b/>
          <w:lang w:val="en-US"/>
        </w:rPr>
      </w:pPr>
      <w:r w:rsidRPr="00724AC2">
        <w:rPr>
          <w:bCs/>
          <w:i/>
          <w:iCs/>
        </w:rPr>
        <w:t>Документация</w:t>
      </w:r>
      <w:r w:rsidRPr="00724AC2">
        <w:rPr>
          <w:bCs/>
          <w:lang w:val="en-US"/>
        </w:rPr>
        <w:t xml:space="preserve">: </w:t>
      </w:r>
      <w:r w:rsidRPr="00724AC2">
        <w:rPr>
          <w:lang w:val="en-US"/>
        </w:rPr>
        <w:t>ECE/TRANS/WP.5/2016/5, ECE/TRANS/WP.5/2016/6</w:t>
      </w:r>
    </w:p>
    <w:p w:rsidR="00724AC2" w:rsidRPr="00724AC2" w:rsidRDefault="00724AC2" w:rsidP="00724AC2">
      <w:pPr>
        <w:pStyle w:val="SingleTxtGR"/>
      </w:pPr>
      <w:r w:rsidRPr="00724AC2">
        <w:t>48.</w:t>
      </w:r>
      <w:r w:rsidRPr="00724AC2">
        <w:tab/>
        <w:t xml:space="preserve">Рабочая группа напомнила, что на своей предыдущей сессии она решила отложить принятие решения по теме </w:t>
      </w:r>
      <w:r w:rsidR="008111C5">
        <w:t>«</w:t>
      </w:r>
      <w:r w:rsidRPr="00724AC2">
        <w:t>Тенденции и экономика транспорта в 2016–2017 годах: достижение целей устойчивого развития на основе развития устойчивого транспорта</w:t>
      </w:r>
      <w:r w:rsidR="008111C5">
        <w:t>»</w:t>
      </w:r>
      <w:r w:rsidRPr="00724AC2">
        <w:t xml:space="preserve"> в ожидании решения Исполкома о том, каким образом ЕЭК ООН следует содействовать реализации целей в области устойчивого ра</w:t>
      </w:r>
      <w:r w:rsidRPr="00724AC2">
        <w:t>з</w:t>
      </w:r>
      <w:r w:rsidRPr="00724AC2">
        <w:t>вития. Кроме того, Рабочая группа заслушала информацию о том, что в ходе своей предыдущей сессии (21–24 февраля 2017 года) Комитет по внутреннему транспорту, действуя в соответствии с заявлением министров, решил укреплять в рамках имеющихся ресурсов свой вклад в осуществление связанных с тран</w:t>
      </w:r>
      <w:r w:rsidRPr="00724AC2">
        <w:t>с</w:t>
      </w:r>
      <w:r w:rsidRPr="00724AC2">
        <w:t>портом целей Повестки дня в области развития на период после 2030 года, П</w:t>
      </w:r>
      <w:r w:rsidRPr="00724AC2">
        <w:t>а</w:t>
      </w:r>
      <w:r w:rsidRPr="00724AC2">
        <w:t>рижского соглашения, Новой программы развития городов и ЦУР. В этой связи Комитет просил свои вспомогательные органы a) скорректировать работу соо</w:t>
      </w:r>
      <w:r w:rsidRPr="00724AC2">
        <w:t>т</w:t>
      </w:r>
      <w:r w:rsidRPr="00724AC2">
        <w:t>ветствующим образом, b) дополнительно обсудить, проанализировать и по во</w:t>
      </w:r>
      <w:r w:rsidRPr="00724AC2">
        <w:t>з</w:t>
      </w:r>
      <w:r w:rsidRPr="00724AC2">
        <w:t xml:space="preserve">можности подготовить </w:t>
      </w:r>
      <w:r w:rsidR="008111C5">
        <w:t>«</w:t>
      </w:r>
      <w:r w:rsidRPr="00724AC2">
        <w:t>дорожную карту</w:t>
      </w:r>
      <w:r w:rsidR="008111C5">
        <w:t>»</w:t>
      </w:r>
      <w:r w:rsidRPr="00724AC2">
        <w:t>, касающуюся вклада государств-членов в осуществление Повестки дня на период до 2030 года, и отчитаться п</w:t>
      </w:r>
      <w:r w:rsidRPr="00724AC2">
        <w:t>е</w:t>
      </w:r>
      <w:r w:rsidRPr="00724AC2">
        <w:t>ред Комитетом, а также призвал государства-члены активизировать работу национальных координаторов по Повестке дня на период до 2030 года.</w:t>
      </w:r>
    </w:p>
    <w:p w:rsidR="00724AC2" w:rsidRPr="00724AC2" w:rsidRDefault="00724AC2" w:rsidP="00724AC2">
      <w:pPr>
        <w:pStyle w:val="SingleTxtGR"/>
      </w:pPr>
      <w:r w:rsidRPr="00724AC2">
        <w:t>49.</w:t>
      </w:r>
      <w:r w:rsidRPr="00724AC2">
        <w:tab/>
        <w:t>В целях содействия решению вышеупомянутых задач с учетом огран</w:t>
      </w:r>
      <w:r w:rsidRPr="00724AC2">
        <w:t>и</w:t>
      </w:r>
      <w:r w:rsidRPr="00724AC2">
        <w:t xml:space="preserve">ченности ресурсов секретариат предложил Рабочей группе следующее: </w:t>
      </w:r>
    </w:p>
    <w:p w:rsidR="00724AC2" w:rsidRPr="00724AC2" w:rsidRDefault="009478DB" w:rsidP="00724AC2">
      <w:pPr>
        <w:pStyle w:val="SingleTxtGR"/>
      </w:pPr>
      <w:r>
        <w:tab/>
      </w:r>
      <w:r w:rsidR="00724AC2" w:rsidRPr="00724AC2">
        <w:t>a)</w:t>
      </w:r>
      <w:r w:rsidR="00724AC2" w:rsidRPr="00724AC2">
        <w:tab/>
        <w:t>вопросник и анализ, подготовленные в виде документов ECE/</w:t>
      </w:r>
      <w:r w:rsidR="00782FAF">
        <w:t xml:space="preserve"> </w:t>
      </w:r>
      <w:r w:rsidR="00724AC2" w:rsidRPr="00724AC2">
        <w:t>TRANS/WP.5/2016/5, ECE/TRANS/WP.5/2016/6, оказались достаточно непр</w:t>
      </w:r>
      <w:r w:rsidR="00724AC2" w:rsidRPr="00724AC2">
        <w:t>о</w:t>
      </w:r>
      <w:r w:rsidR="00724AC2" w:rsidRPr="00724AC2">
        <w:t>стыми, и правительствам было сложно ответить на них, поскольку ряд вопросов не касался непосредственно транспорта. Поэтому секретариат предложил и</w:t>
      </w:r>
      <w:r w:rsidR="00724AC2" w:rsidRPr="00724AC2">
        <w:t>з</w:t>
      </w:r>
      <w:r w:rsidR="00724AC2" w:rsidRPr="00724AC2">
        <w:t>брать для направления работы, связанного с тенденциями и экономикой тран</w:t>
      </w:r>
      <w:r w:rsidR="00724AC2" w:rsidRPr="00724AC2">
        <w:t>с</w:t>
      </w:r>
      <w:r w:rsidR="00724AC2" w:rsidRPr="00724AC2">
        <w:t xml:space="preserve">порта в 2016–2017 годах, тему </w:t>
      </w:r>
      <w:r w:rsidR="008111C5">
        <w:t>«</w:t>
      </w:r>
      <w:r w:rsidR="00724AC2" w:rsidRPr="00724AC2">
        <w:t>Мобильность как услуга</w:t>
      </w:r>
      <w:r w:rsidR="008111C5">
        <w:t>»</w:t>
      </w:r>
      <w:r w:rsidR="00724AC2" w:rsidRPr="00724AC2">
        <w:t>, с тем чтобы воспол</w:t>
      </w:r>
      <w:r w:rsidR="00724AC2" w:rsidRPr="00724AC2">
        <w:t>ь</w:t>
      </w:r>
      <w:r w:rsidR="00724AC2" w:rsidRPr="00724AC2">
        <w:t>зоваться отличными выступлениями и материалами, полученными в ходе раб</w:t>
      </w:r>
      <w:r w:rsidR="00724AC2" w:rsidRPr="00724AC2">
        <w:t>о</w:t>
      </w:r>
      <w:r w:rsidR="00724AC2" w:rsidRPr="00724AC2">
        <w:t xml:space="preserve">чего совещания, состоявшегося на второй день сессии; </w:t>
      </w:r>
    </w:p>
    <w:p w:rsidR="00724AC2" w:rsidRPr="00724AC2" w:rsidRDefault="00782FAF" w:rsidP="00724AC2">
      <w:pPr>
        <w:pStyle w:val="SingleTxtGR"/>
      </w:pPr>
      <w:r>
        <w:tab/>
      </w:r>
      <w:r w:rsidR="00724AC2" w:rsidRPr="00724AC2">
        <w:t>b)</w:t>
      </w:r>
      <w:r w:rsidR="00724AC2" w:rsidRPr="00724AC2">
        <w:tab/>
        <w:t>секретариат подготовит в качестве официального документа сл</w:t>
      </w:r>
      <w:r w:rsidR="00724AC2" w:rsidRPr="00724AC2">
        <w:t>е</w:t>
      </w:r>
      <w:r w:rsidR="00724AC2" w:rsidRPr="00724AC2">
        <w:t xml:space="preserve">дующей сессии Группы проект </w:t>
      </w:r>
      <w:r w:rsidR="008111C5">
        <w:t>«</w:t>
      </w:r>
      <w:r w:rsidR="00724AC2" w:rsidRPr="00724AC2">
        <w:t>дорожной карты</w:t>
      </w:r>
      <w:r w:rsidR="008111C5">
        <w:t>»</w:t>
      </w:r>
      <w:r w:rsidR="00724AC2" w:rsidRPr="00724AC2">
        <w:t>, касающейся вклада гос</w:t>
      </w:r>
      <w:r w:rsidR="00724AC2" w:rsidRPr="00724AC2">
        <w:t>у</w:t>
      </w:r>
      <w:r w:rsidR="00724AC2" w:rsidRPr="00724AC2">
        <w:t>дарств-членов в осуществление Повестки дня на период до 2030 года, с тем чтобы Рабочая группа могла рассмотреть и утвердить ее.</w:t>
      </w:r>
    </w:p>
    <w:p w:rsidR="00724AC2" w:rsidRPr="00724AC2" w:rsidRDefault="00724AC2" w:rsidP="00724AC2">
      <w:pPr>
        <w:pStyle w:val="SingleTxtGR"/>
      </w:pPr>
      <w:r w:rsidRPr="00724AC2">
        <w:t>50.</w:t>
      </w:r>
      <w:r w:rsidRPr="00724AC2">
        <w:tab/>
        <w:t>Рабочая группа приняла к сведению информацию, представленную се</w:t>
      </w:r>
      <w:r w:rsidRPr="00724AC2">
        <w:t>к</w:t>
      </w:r>
      <w:r w:rsidRPr="00724AC2">
        <w:t>ретариатом, и утвердила его предложения. Она поручила секретариату предст</w:t>
      </w:r>
      <w:r w:rsidRPr="00724AC2">
        <w:t>а</w:t>
      </w:r>
      <w:r w:rsidRPr="00724AC2">
        <w:t>вить на ее следующей сессии более подробную информацию по обоим вопр</w:t>
      </w:r>
      <w:r w:rsidRPr="00724AC2">
        <w:t>о</w:t>
      </w:r>
      <w:r w:rsidRPr="00724AC2">
        <w:t xml:space="preserve">сам. </w:t>
      </w:r>
    </w:p>
    <w:p w:rsidR="00724AC2" w:rsidRPr="00AB2D1F" w:rsidRDefault="009478DB" w:rsidP="00AB2D1F">
      <w:pPr>
        <w:pStyle w:val="H1GR"/>
      </w:pPr>
      <w:r>
        <w:br w:type="page"/>
      </w:r>
      <w:r w:rsidR="00724AC2" w:rsidRPr="00AB2D1F">
        <w:tab/>
        <w:t>B.</w:t>
      </w:r>
      <w:r w:rsidR="00724AC2" w:rsidRPr="00AB2D1F">
        <w:tab/>
        <w:t>Тенденции и экономика транспорта в 2014–2015 годах: финансирование транспортной инфраструктуры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 9</w:t>
      </w:r>
    </w:p>
    <w:p w:rsidR="00724AC2" w:rsidRPr="00724AC2" w:rsidRDefault="00724AC2" w:rsidP="00724AC2">
      <w:pPr>
        <w:pStyle w:val="SingleTxtGR"/>
      </w:pPr>
      <w:r w:rsidRPr="00724AC2">
        <w:t>51.</w:t>
      </w:r>
      <w:r w:rsidRPr="00724AC2">
        <w:tab/>
        <w:t>Рабочая группа приняла к сведению представленную секретариатом и</w:t>
      </w:r>
      <w:r w:rsidRPr="00724AC2">
        <w:t>н</w:t>
      </w:r>
      <w:r w:rsidRPr="00724AC2">
        <w:t xml:space="preserve">формацию о публикации </w:t>
      </w:r>
      <w:r w:rsidR="008111C5">
        <w:t>«</w:t>
      </w:r>
      <w:r w:rsidRPr="00724AC2">
        <w:t>Тенденции и экономика транспорта в 2014–2015 г</w:t>
      </w:r>
      <w:r w:rsidRPr="00724AC2">
        <w:t>о</w:t>
      </w:r>
      <w:r w:rsidRPr="00724AC2">
        <w:t>дах: финансирование транспортной инфраструктуры</w:t>
      </w:r>
      <w:r w:rsidR="008111C5">
        <w:t>»</w:t>
      </w:r>
      <w:r w:rsidRPr="00724AC2">
        <w:t xml:space="preserve"> и поручила секретариату как можно скорее завершить работу над ней.</w:t>
      </w:r>
    </w:p>
    <w:p w:rsidR="00724AC2" w:rsidRPr="00AB2D1F" w:rsidRDefault="00724AC2" w:rsidP="00AB2D1F">
      <w:pPr>
        <w:pStyle w:val="H1GR"/>
      </w:pPr>
      <w:r w:rsidRPr="00AB2D1F">
        <w:tab/>
        <w:t>C.</w:t>
      </w:r>
      <w:r w:rsidRPr="00AB2D1F">
        <w:tab/>
        <w:t>Транспортные тенденции и вызовы в автомобильном секторе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</w:t>
      </w:r>
      <w:r w:rsidRPr="00724AC2">
        <w:rPr>
          <w:bCs/>
        </w:rPr>
        <w:t xml:space="preserve"> 10</w:t>
      </w:r>
    </w:p>
    <w:p w:rsidR="00724AC2" w:rsidRPr="00724AC2" w:rsidRDefault="00724AC2" w:rsidP="00724AC2">
      <w:pPr>
        <w:pStyle w:val="SingleTxtGR"/>
      </w:pPr>
      <w:r w:rsidRPr="00724AC2">
        <w:t>52.</w:t>
      </w:r>
      <w:r w:rsidRPr="00724AC2">
        <w:tab/>
        <w:t>Представитель МСАТ г-н Й. Хюгель выступил с сообщением о тран</w:t>
      </w:r>
      <w:r w:rsidRPr="00724AC2">
        <w:t>с</w:t>
      </w:r>
      <w:r w:rsidRPr="00724AC2">
        <w:t>портных тенденциях и вызовах в автомобильном секторе. Свое выступление он посвятил обеспечению перехода к автоматическим грузовым автомобильным перевозкам, основываясь на исследовании, недавно проведенном по данному вопросу МСАТ и Международным транспортным форумом. Помимо прочих выводов и результатов он упомянул о том, что автоматические грузовые авт</w:t>
      </w:r>
      <w:r w:rsidRPr="00724AC2">
        <w:t>о</w:t>
      </w:r>
      <w:r w:rsidRPr="00724AC2">
        <w:t>мобили могут снизить спрос на водителей и что до 4,4 млн рабочих мест пр</w:t>
      </w:r>
      <w:r w:rsidRPr="00724AC2">
        <w:t>о</w:t>
      </w:r>
      <w:r w:rsidRPr="00724AC2">
        <w:t>фессиональных водителей могут стать избыточными.</w:t>
      </w:r>
    </w:p>
    <w:p w:rsidR="00724AC2" w:rsidRPr="00724AC2" w:rsidRDefault="00724AC2" w:rsidP="00724AC2">
      <w:pPr>
        <w:pStyle w:val="SingleTxtGR"/>
      </w:pPr>
      <w:r w:rsidRPr="00724AC2">
        <w:t>53.</w:t>
      </w:r>
      <w:r w:rsidRPr="00724AC2">
        <w:tab/>
        <w:t>Рабочая группа выразила МСАТ признательность за выступление, посв</w:t>
      </w:r>
      <w:r w:rsidRPr="00724AC2">
        <w:t>я</w:t>
      </w:r>
      <w:r w:rsidRPr="00724AC2">
        <w:t>щенное анализу последних тенденций и вызовов в автомобильном секторе, и просила МСАТ представить на ее тридцать первой сессии в 2018 году обно</w:t>
      </w:r>
      <w:r w:rsidRPr="00724AC2">
        <w:t>в</w:t>
      </w:r>
      <w:r w:rsidRPr="00724AC2">
        <w:t>ленную информацию о соответствующих изменениях в этом секторе.</w:t>
      </w:r>
    </w:p>
    <w:p w:rsidR="00724AC2" w:rsidRPr="00AB2D1F" w:rsidRDefault="00724AC2" w:rsidP="00AB2D1F">
      <w:pPr>
        <w:pStyle w:val="H1GR"/>
      </w:pPr>
      <w:r w:rsidRPr="00AB2D1F">
        <w:tab/>
        <w:t>D.</w:t>
      </w:r>
      <w:r w:rsidRPr="00AB2D1F">
        <w:tab/>
        <w:t>Транспортные тенденции и вызовы в железнодорожном секторе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</w:t>
      </w:r>
      <w:r w:rsidRPr="00724AC2">
        <w:rPr>
          <w:bCs/>
        </w:rPr>
        <w:t xml:space="preserve"> </w:t>
      </w:r>
      <w:r w:rsidRPr="00724AC2">
        <w:t>11</w:t>
      </w:r>
    </w:p>
    <w:p w:rsidR="00724AC2" w:rsidRPr="00724AC2" w:rsidRDefault="00724AC2" w:rsidP="00724AC2">
      <w:pPr>
        <w:pStyle w:val="SingleTxtGR"/>
      </w:pPr>
      <w:r w:rsidRPr="00724AC2">
        <w:t>54.</w:t>
      </w:r>
      <w:r w:rsidRPr="00724AC2">
        <w:tab/>
        <w:t>Представитель МСЖД г-жа С. Маркович-Шене выступила с сообщением о транспортных тенденциях и вызовах в железнодорожном секторе. Она пр</w:t>
      </w:r>
      <w:r w:rsidRPr="00724AC2">
        <w:t>о</w:t>
      </w:r>
      <w:r w:rsidRPr="00724AC2">
        <w:t>информировала участников о тенденциях и вызовах в железнодорожном сект</w:t>
      </w:r>
      <w:r w:rsidRPr="00724AC2">
        <w:t>о</w:t>
      </w:r>
      <w:r w:rsidRPr="00724AC2">
        <w:t>ре на основе доклада МСЖД, содержащего предварительные годовые данные для всех континентов о протяженности линий, подвижном составе, средней численности персонала, движении поездов (поездо-км), железнодорожных п</w:t>
      </w:r>
      <w:r w:rsidRPr="00724AC2">
        <w:t>е</w:t>
      </w:r>
      <w:r w:rsidRPr="00724AC2">
        <w:t>ревозках (число пассажиров, пассажиро-км, тонны, тонно-км) и высокоск</w:t>
      </w:r>
      <w:r w:rsidRPr="00724AC2">
        <w:t>о</w:t>
      </w:r>
      <w:r w:rsidRPr="00724AC2">
        <w:t>ростном движении.</w:t>
      </w:r>
    </w:p>
    <w:p w:rsidR="00724AC2" w:rsidRPr="00724AC2" w:rsidRDefault="00724AC2" w:rsidP="00724AC2">
      <w:pPr>
        <w:pStyle w:val="SingleTxtGR"/>
      </w:pPr>
      <w:r w:rsidRPr="00724AC2">
        <w:t>55.</w:t>
      </w:r>
      <w:r w:rsidRPr="00724AC2">
        <w:tab/>
        <w:t>Рабочая группа выразила МСЖД признательность за выступление, п</w:t>
      </w:r>
      <w:r w:rsidRPr="00724AC2">
        <w:t>о</w:t>
      </w:r>
      <w:r w:rsidRPr="00724AC2">
        <w:t>священное анализу последних тенденций и вызовов в железнодорожном сект</w:t>
      </w:r>
      <w:r w:rsidRPr="00724AC2">
        <w:t>о</w:t>
      </w:r>
      <w:r w:rsidRPr="00724AC2">
        <w:t>ре, и просила МСЖД представить на ее тридцать первой сессии в 2018 году о</w:t>
      </w:r>
      <w:r w:rsidRPr="00724AC2">
        <w:t>б</w:t>
      </w:r>
      <w:r w:rsidRPr="00724AC2">
        <w:t>новленную информацию о соответствующих изменениях в этом секторе.</w:t>
      </w:r>
    </w:p>
    <w:p w:rsidR="00724AC2" w:rsidRPr="00AB2D1F" w:rsidRDefault="00724AC2" w:rsidP="00AB2D1F">
      <w:pPr>
        <w:pStyle w:val="H1GR"/>
      </w:pPr>
      <w:r w:rsidRPr="00AB2D1F">
        <w:tab/>
        <w:t>E.</w:t>
      </w:r>
      <w:r w:rsidRPr="00AB2D1F">
        <w:tab/>
        <w:t>Транспортные тенденции и вызовы в секторе внутренних водных путей</w:t>
      </w:r>
    </w:p>
    <w:p w:rsidR="00724AC2" w:rsidRPr="00724AC2" w:rsidRDefault="00724AC2" w:rsidP="00724AC2">
      <w:pPr>
        <w:pStyle w:val="SingleTxtGR"/>
      </w:pPr>
      <w:r w:rsidRPr="00724AC2">
        <w:t>56.</w:t>
      </w:r>
      <w:r w:rsidRPr="00724AC2">
        <w:tab/>
        <w:t>Секретариат представил информацию о транспортных тенденциях и в</w:t>
      </w:r>
      <w:r w:rsidRPr="00724AC2">
        <w:t>ы</w:t>
      </w:r>
      <w:r w:rsidRPr="00724AC2">
        <w:t>зовах в секторе внутренних водных путей.</w:t>
      </w:r>
    </w:p>
    <w:p w:rsidR="00724AC2" w:rsidRPr="00724AC2" w:rsidRDefault="00724AC2" w:rsidP="00724AC2">
      <w:pPr>
        <w:pStyle w:val="SingleTxtGR"/>
      </w:pPr>
      <w:r w:rsidRPr="00724AC2">
        <w:t>57.</w:t>
      </w:r>
      <w:r w:rsidRPr="00724AC2">
        <w:tab/>
        <w:t>Рабочая группа выразила секретариату признательность за выступление, посвященное анализу последних тенденций и вызовов в секторе внутренних водных путей, и поручила ему представить на ее тридцать первой сессии в 2018 году обновленную информацию о соответствующих изменениях в этом секторе.</w:t>
      </w:r>
    </w:p>
    <w:p w:rsidR="00724AC2" w:rsidRPr="00AB2D1F" w:rsidRDefault="00724AC2" w:rsidP="00AB2D1F">
      <w:pPr>
        <w:pStyle w:val="H1GR"/>
      </w:pPr>
      <w:r w:rsidRPr="00AB2D1F">
        <w:tab/>
        <w:t>F.</w:t>
      </w:r>
      <w:r w:rsidRPr="00AB2D1F">
        <w:tab/>
        <w:t>Анализ статистики транспорта ЕЭК ООН</w:t>
      </w:r>
    </w:p>
    <w:p w:rsidR="00724AC2" w:rsidRPr="00724AC2" w:rsidRDefault="00724AC2" w:rsidP="00724AC2">
      <w:pPr>
        <w:pStyle w:val="SingleTxtGR"/>
      </w:pPr>
      <w:r w:rsidRPr="00724AC2">
        <w:t>58.</w:t>
      </w:r>
      <w:r w:rsidRPr="00724AC2">
        <w:tab/>
        <w:t xml:space="preserve">Секретариат представил информацию об анализе статистики транспорта в регионе ЕЭК. </w:t>
      </w:r>
    </w:p>
    <w:p w:rsidR="00724AC2" w:rsidRPr="00724AC2" w:rsidRDefault="00724AC2" w:rsidP="00724AC2">
      <w:pPr>
        <w:pStyle w:val="SingleTxtGR"/>
      </w:pPr>
      <w:r w:rsidRPr="00724AC2">
        <w:t>59.</w:t>
      </w:r>
      <w:r w:rsidRPr="00724AC2">
        <w:tab/>
        <w:t>Рабочая группа с признательностью выслушала информацию, предста</w:t>
      </w:r>
      <w:r w:rsidRPr="00724AC2">
        <w:t>в</w:t>
      </w:r>
      <w:r w:rsidRPr="00724AC2">
        <w:t>ленную секретариатом. Она поручила секретариату представить на ее следу</w:t>
      </w:r>
      <w:r w:rsidRPr="00724AC2">
        <w:t>ю</w:t>
      </w:r>
      <w:r w:rsidRPr="00724AC2">
        <w:t>щей сессии дополнительную информацию о статистике транспорта в регионе ЕЭК.</w:t>
      </w:r>
    </w:p>
    <w:p w:rsidR="00724AC2" w:rsidRPr="008111C5" w:rsidRDefault="00724AC2" w:rsidP="008111C5">
      <w:pPr>
        <w:pStyle w:val="HChGR"/>
      </w:pPr>
      <w:r w:rsidRPr="008111C5">
        <w:tab/>
        <w:t>XIII.</w:t>
      </w:r>
      <w:r w:rsidRPr="008111C5">
        <w:tab/>
        <w:t>Техническая помощь странам с переходной экономикой (пункт 12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 xml:space="preserve">: </w:t>
      </w:r>
      <w:r w:rsidRPr="00724AC2">
        <w:t>неофициальный документ № 12</w:t>
      </w:r>
    </w:p>
    <w:p w:rsidR="00724AC2" w:rsidRPr="00724AC2" w:rsidRDefault="00724AC2" w:rsidP="00724AC2">
      <w:pPr>
        <w:pStyle w:val="SingleTxtGR"/>
      </w:pPr>
      <w:r w:rsidRPr="00724AC2">
        <w:t>60.</w:t>
      </w:r>
      <w:r w:rsidRPr="00724AC2">
        <w:tab/>
        <w:t>Секретариат проинформировал Рабочую группу о деятельности по оказ</w:t>
      </w:r>
      <w:r w:rsidRPr="00724AC2">
        <w:t>а</w:t>
      </w:r>
      <w:r w:rsidRPr="00724AC2">
        <w:t>нию технической помощи странам с переходной экономикой. Рабочая группа отметила, что помощь в области транспорта направлена, среди прочего, на укрепление потенциала стран Восточной и Юго-Восточной Европы, Южного Кавказа и Центральной Азии, в частности стран, не имеющих выхода к морю. Кроме того, помощь, связанная с работой Отдела, предоставляется и другим государствам-членам. Деятельность по оказанию технической помощи нацел</w:t>
      </w:r>
      <w:r w:rsidRPr="00724AC2">
        <w:t>е</w:t>
      </w:r>
      <w:r w:rsidRPr="00724AC2">
        <w:t>на на обеспечение присоединения к правовым документам, нормам и станда</w:t>
      </w:r>
      <w:r w:rsidRPr="00724AC2">
        <w:t>р</w:t>
      </w:r>
      <w:r w:rsidRPr="00724AC2">
        <w:t>там Организации Объединенных Наций и их осуществления, передачу знаний и опыта и обмен информацией о передовой практике в секторе транспорта.</w:t>
      </w:r>
    </w:p>
    <w:p w:rsidR="00724AC2" w:rsidRPr="00724AC2" w:rsidRDefault="00724AC2" w:rsidP="00724AC2">
      <w:pPr>
        <w:pStyle w:val="SingleTxtGR"/>
      </w:pPr>
      <w:r w:rsidRPr="00724AC2">
        <w:t>61.</w:t>
      </w:r>
      <w:r w:rsidRPr="00724AC2">
        <w:tab/>
        <w:t>Рабочая группа приняла к сведению представленную региональным с</w:t>
      </w:r>
      <w:r w:rsidRPr="00724AC2">
        <w:t>о</w:t>
      </w:r>
      <w:r w:rsidRPr="00724AC2">
        <w:t>ветником Отдела информацию об обзорах состояния безопасности дорожного движения. Он указал, что, хотя на страны со средним и низким уровнем дохода приходится лишь половина транспортных средств мира, в них происходят 90</w:t>
      </w:r>
      <w:r w:rsidR="009478DB">
        <w:t>% </w:t>
      </w:r>
      <w:r w:rsidRPr="00724AC2">
        <w:t>смертей в результате дорожно-транспортных происшествий в мире. Кроме того, он представил информацию о Проекте наращивания потенциала в области управления безопасностью дорожного движения, основной целью которого я</w:t>
      </w:r>
      <w:r w:rsidRPr="00724AC2">
        <w:t>в</w:t>
      </w:r>
      <w:r w:rsidRPr="00724AC2">
        <w:t>ляется укрепление национального потенциала систем отдельных развивающи</w:t>
      </w:r>
      <w:r w:rsidRPr="00724AC2">
        <w:t>х</w:t>
      </w:r>
      <w:r w:rsidRPr="00724AC2">
        <w:t>ся стран и стран с переходной экономикой по управлению безопасностью д</w:t>
      </w:r>
      <w:r w:rsidRPr="00724AC2">
        <w:t>о</w:t>
      </w:r>
      <w:r w:rsidRPr="00724AC2">
        <w:t>рожного движения.</w:t>
      </w:r>
    </w:p>
    <w:p w:rsidR="00724AC2" w:rsidRPr="00724AC2" w:rsidRDefault="00724AC2" w:rsidP="00724AC2">
      <w:pPr>
        <w:pStyle w:val="SingleTxtGR"/>
      </w:pPr>
      <w:r w:rsidRPr="00724AC2">
        <w:t>62.</w:t>
      </w:r>
      <w:r w:rsidRPr="00724AC2">
        <w:tab/>
        <w:t>Рабочая группа приняла к сведению сообщение регионального советника о деятельности по оказанию технической помощи странам с переходной экон</w:t>
      </w:r>
      <w:r w:rsidRPr="00724AC2">
        <w:t>о</w:t>
      </w:r>
      <w:r w:rsidRPr="00724AC2">
        <w:t>микой и поручила секретариату представить на ее следующей сессии соотве</w:t>
      </w:r>
      <w:r w:rsidRPr="00724AC2">
        <w:t>т</w:t>
      </w:r>
      <w:r w:rsidRPr="00724AC2">
        <w:t>ствующую информацию.</w:t>
      </w:r>
    </w:p>
    <w:p w:rsidR="00724AC2" w:rsidRPr="008111C5" w:rsidRDefault="00724AC2" w:rsidP="008111C5">
      <w:pPr>
        <w:pStyle w:val="HChGR"/>
      </w:pPr>
      <w:r w:rsidRPr="008111C5">
        <w:tab/>
        <w:t>XIV.</w:t>
      </w:r>
      <w:r w:rsidRPr="008111C5">
        <w:tab/>
        <w:t xml:space="preserve">Деятельность органов Европейской экономической комиссии Организации Объединенных Наций, представляющая интерес для Рабочей группы </w:t>
      </w:r>
      <w:r w:rsidR="009478DB">
        <w:br/>
      </w:r>
      <w:r w:rsidRPr="008111C5">
        <w:t>(пункт 13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  <w:i/>
          <w:iCs/>
        </w:rPr>
        <w:t>Документация</w:t>
      </w:r>
      <w:r w:rsidRPr="00724AC2">
        <w:rPr>
          <w:bCs/>
        </w:rPr>
        <w:t>: ECE/TRANS/254</w:t>
      </w:r>
    </w:p>
    <w:p w:rsidR="00724AC2" w:rsidRPr="00724AC2" w:rsidRDefault="00724AC2" w:rsidP="00724AC2">
      <w:pPr>
        <w:pStyle w:val="SingleTxtGR"/>
      </w:pPr>
      <w:r w:rsidRPr="00724AC2">
        <w:t>63.</w:t>
      </w:r>
      <w:r w:rsidRPr="00724AC2">
        <w:tab/>
        <w:t>Секретариат проинформировал Рабочую группу о том, что на своей сем</w:t>
      </w:r>
      <w:r w:rsidRPr="00724AC2">
        <w:t>ь</w:t>
      </w:r>
      <w:r w:rsidRPr="00724AC2">
        <w:t>десят восьмой сессии Комитет признал необходимость адаптации к новым ре</w:t>
      </w:r>
      <w:r w:rsidRPr="00724AC2">
        <w:t>а</w:t>
      </w:r>
      <w:r w:rsidRPr="00724AC2">
        <w:t>лиям и динамике в той стратегической обстановке, в которой Комитет действ</w:t>
      </w:r>
      <w:r w:rsidRPr="00724AC2">
        <w:t>у</w:t>
      </w:r>
      <w:r w:rsidRPr="00724AC2">
        <w:t>ет сегодня. Комитет решил, что секретариат разработает проект стратегическ</w:t>
      </w:r>
      <w:r w:rsidRPr="00724AC2">
        <w:t>о</w:t>
      </w:r>
      <w:r w:rsidRPr="00724AC2">
        <w:t>го документа с указанием приоритетов и основных направлений деятельности на основе консультаций с Бюро, председателями вспомогательных органов и административных комитетов транспортных конвенций Организации Объед</w:t>
      </w:r>
      <w:r w:rsidRPr="00724AC2">
        <w:t>и</w:t>
      </w:r>
      <w:r w:rsidRPr="00724AC2">
        <w:t>ненных Наций, относящихся к компетенции Комитета. Комитет имел возмо</w:t>
      </w:r>
      <w:r w:rsidRPr="00724AC2">
        <w:t>ж</w:t>
      </w:r>
      <w:r w:rsidRPr="00724AC2">
        <w:t>ность ознакомиться с предварительным вариантом сводного резюме этого стр</w:t>
      </w:r>
      <w:r w:rsidRPr="00724AC2">
        <w:t>а</w:t>
      </w:r>
      <w:r w:rsidRPr="00724AC2">
        <w:t>тегического документа (ECE/TRANS/2017/R.1), включая основные выводы и рекомендации, с тем чтобы проанализировать пути повышения роли и эффе</w:t>
      </w:r>
      <w:r w:rsidRPr="00724AC2">
        <w:t>к</w:t>
      </w:r>
      <w:r w:rsidRPr="00724AC2">
        <w:t>тивности Комитета и его вспомогательных органов в свете новых вызовов и возможностей в глобальном масштабе.</w:t>
      </w:r>
    </w:p>
    <w:p w:rsidR="00724AC2" w:rsidRPr="00724AC2" w:rsidRDefault="00724AC2" w:rsidP="00724AC2">
      <w:pPr>
        <w:pStyle w:val="SingleTxtGR"/>
      </w:pPr>
      <w:r w:rsidRPr="00724AC2">
        <w:t>64.</w:t>
      </w:r>
      <w:r w:rsidRPr="00724AC2">
        <w:tab/>
        <w:t>Кроме того, Комитет приветствовал обсуждение вопроса о повышении роли Комитета на заседании председателей его рабочих органов в быстро м</w:t>
      </w:r>
      <w:r w:rsidRPr="00724AC2">
        <w:t>е</w:t>
      </w:r>
      <w:r w:rsidRPr="00724AC2">
        <w:t>няющейся глобальной обстановке. Он рассмотрел также пути усиления роли Комитета и его рабочих органов в решении современных проблем и использ</w:t>
      </w:r>
      <w:r w:rsidRPr="00724AC2">
        <w:t>о</w:t>
      </w:r>
      <w:r w:rsidRPr="00724AC2">
        <w:t>вании возможностей в глобальном контексте в соответствии с резолюцией м</w:t>
      </w:r>
      <w:r w:rsidRPr="00724AC2">
        <w:t>и</w:t>
      </w:r>
      <w:r w:rsidRPr="00724AC2">
        <w:t>нистров семьдесят девятой сессии КВТ от 21 февраля 2017 года, в том числе путем включения в круг ведения рабочих групп вопросов, связанных с реализ</w:t>
      </w:r>
      <w:r w:rsidRPr="00724AC2">
        <w:t>а</w:t>
      </w:r>
      <w:r w:rsidRPr="00724AC2">
        <w:t xml:space="preserve">цией ориентированных на транспорт целей в области устойчивого развития. Исходя из этого, рабочим группам следует рассмотреть вопрос о подготовке своего вклада в разработку проекта стратегии КВТ, который будет рассмотрен Комитетом на сессии 2018 года, а также, если необходимо, в разработку </w:t>
      </w:r>
      <w:r w:rsidR="008111C5">
        <w:t>«</w:t>
      </w:r>
      <w:r w:rsidRPr="00724AC2">
        <w:t>д</w:t>
      </w:r>
      <w:r w:rsidRPr="00724AC2">
        <w:t>о</w:t>
      </w:r>
      <w:r w:rsidRPr="00724AC2">
        <w:t>рожных карт</w:t>
      </w:r>
      <w:r w:rsidR="008111C5">
        <w:t>»</w:t>
      </w:r>
      <w:r w:rsidRPr="00724AC2">
        <w:t xml:space="preserve"> по реализации целей в области устойчивого развития.</w:t>
      </w:r>
    </w:p>
    <w:p w:rsidR="00724AC2" w:rsidRPr="00724AC2" w:rsidRDefault="00724AC2" w:rsidP="00724AC2">
      <w:pPr>
        <w:pStyle w:val="SingleTxtGR"/>
      </w:pPr>
      <w:r w:rsidRPr="00724AC2">
        <w:t>65.</w:t>
      </w:r>
      <w:r w:rsidRPr="00724AC2">
        <w:tab/>
        <w:t>Рабочая группа приняла к сведению представленную секретариатом и</w:t>
      </w:r>
      <w:r w:rsidRPr="00724AC2">
        <w:t>н</w:t>
      </w:r>
      <w:r w:rsidRPr="00724AC2">
        <w:t>формацию о стратегическом документе КВТ и поручила секретариату предст</w:t>
      </w:r>
      <w:r w:rsidRPr="00724AC2">
        <w:t>а</w:t>
      </w:r>
      <w:r w:rsidRPr="00724AC2">
        <w:t xml:space="preserve">вить на ее следующей сессии информацию о решениях КВТ. </w:t>
      </w:r>
    </w:p>
    <w:p w:rsidR="00724AC2" w:rsidRPr="008111C5" w:rsidRDefault="00724AC2" w:rsidP="008111C5">
      <w:pPr>
        <w:pStyle w:val="HChGR"/>
      </w:pPr>
      <w:r w:rsidRPr="008111C5">
        <w:tab/>
        <w:t>XV.</w:t>
      </w:r>
      <w:r w:rsidRPr="008111C5">
        <w:tab/>
        <w:t xml:space="preserve">Программа работы, двухгодичная оценка </w:t>
      </w:r>
      <w:r w:rsidR="009478DB">
        <w:br/>
      </w:r>
      <w:r w:rsidRPr="008111C5">
        <w:t>на 2018</w:t>
      </w:r>
      <w:r w:rsidR="009478DB">
        <w:t>–</w:t>
      </w:r>
      <w:r w:rsidRPr="008111C5">
        <w:t>2019 годы и план работы на 2018</w:t>
      </w:r>
      <w:r w:rsidR="009478DB">
        <w:t>–</w:t>
      </w:r>
      <w:r w:rsidRPr="008111C5">
        <w:t>2022 годы (пункт 14 повестки дня)</w:t>
      </w:r>
    </w:p>
    <w:p w:rsidR="00724AC2" w:rsidRPr="00AB2D1F" w:rsidRDefault="00724AC2" w:rsidP="00AB2D1F">
      <w:pPr>
        <w:pStyle w:val="H1GR"/>
      </w:pPr>
      <w:r w:rsidRPr="00AB2D1F">
        <w:tab/>
        <w:t>A.</w:t>
      </w:r>
      <w:r w:rsidRPr="00AB2D1F">
        <w:tab/>
        <w:t xml:space="preserve">Проект программы работы и двухгодичная оценка </w:t>
      </w:r>
      <w:r w:rsidR="003952F2">
        <w:br/>
      </w:r>
      <w:r w:rsidRPr="00AB2D1F">
        <w:t>на 2018</w:t>
      </w:r>
      <w:r w:rsidR="009478DB">
        <w:t>–</w:t>
      </w:r>
      <w:r w:rsidRPr="00AB2D1F">
        <w:t>2019 годы</w:t>
      </w:r>
    </w:p>
    <w:p w:rsidR="00724AC2" w:rsidRPr="00724AC2" w:rsidRDefault="00724AC2" w:rsidP="00724AC2">
      <w:pPr>
        <w:pStyle w:val="SingleTxtGR"/>
      </w:pPr>
      <w:r w:rsidRPr="00724AC2">
        <w:rPr>
          <w:i/>
        </w:rPr>
        <w:t>Документация</w:t>
      </w:r>
      <w:r w:rsidRPr="003952F2">
        <w:t>:</w:t>
      </w:r>
      <w:r w:rsidRPr="00724AC2">
        <w:t xml:space="preserve"> ECE/TRANS/WP.5/2017/4</w:t>
      </w:r>
    </w:p>
    <w:p w:rsidR="00724AC2" w:rsidRPr="00724AC2" w:rsidRDefault="00724AC2" w:rsidP="00724AC2">
      <w:pPr>
        <w:pStyle w:val="SingleTxtGR"/>
      </w:pPr>
      <w:r w:rsidRPr="00724AC2">
        <w:t>66.</w:t>
      </w:r>
      <w:r w:rsidRPr="00724AC2">
        <w:tab/>
        <w:t>Рабочая группа напомнила, что на своей двадцать восьмой сессии, сост</w:t>
      </w:r>
      <w:r w:rsidRPr="00724AC2">
        <w:t>о</w:t>
      </w:r>
      <w:r w:rsidRPr="00724AC2">
        <w:t>явшейся 7</w:t>
      </w:r>
      <w:r w:rsidR="009478DB">
        <w:t>–</w:t>
      </w:r>
      <w:r w:rsidRPr="00724AC2">
        <w:t>9 сентября 2015 года, она одобрила показатели достижений для оценки ожидаемых результатов в 2016 и 2017 годах (ECE/TRANS/WP.5/58, пункт 79). В соответствии с решением КВТ о пересмотре программы работы каждые два года и о проведении следующего обзора в 2018 году Рабочая группа рассмотрела и утвердила свою программу работы на 2018–2019 годы с внесе</w:t>
      </w:r>
      <w:r w:rsidRPr="00724AC2">
        <w:t>н</w:t>
      </w:r>
      <w:r w:rsidRPr="00724AC2">
        <w:t>ными в нее поправками, а также соответствующие параметры для двухгодичной оценки. Проект программы работы на 2018–2019 годы и показатели достижения ожидаемых результатов содержатся в документе ECE/TRANS/WP.5/2017/4.</w:t>
      </w:r>
    </w:p>
    <w:p w:rsidR="00724AC2" w:rsidRPr="00AB2D1F" w:rsidRDefault="00724AC2" w:rsidP="00AB2D1F">
      <w:pPr>
        <w:pStyle w:val="H1GR"/>
      </w:pPr>
      <w:r w:rsidRPr="00AB2D1F">
        <w:tab/>
        <w:t>B.</w:t>
      </w:r>
      <w:r w:rsidRPr="00AB2D1F">
        <w:tab/>
        <w:t>Проект плана работы на 2018</w:t>
      </w:r>
      <w:r w:rsidR="009478DB">
        <w:t>–</w:t>
      </w:r>
      <w:r w:rsidRPr="00AB2D1F">
        <w:t>2022 годы</w:t>
      </w:r>
    </w:p>
    <w:p w:rsidR="00724AC2" w:rsidRPr="00724AC2" w:rsidRDefault="00724AC2" w:rsidP="00724AC2">
      <w:pPr>
        <w:pStyle w:val="SingleTxtGR"/>
      </w:pPr>
      <w:r w:rsidRPr="00724AC2">
        <w:t>67.</w:t>
      </w:r>
      <w:r w:rsidRPr="00724AC2">
        <w:tab/>
        <w:t>На своей семьдесят восьмой сессии (Женева, 23–26 февраля 2016 года) Комитет отметил (ECE/TRANS/254, пункт 159), что четырехгодичный план р</w:t>
      </w:r>
      <w:r w:rsidRPr="00724AC2">
        <w:t>а</w:t>
      </w:r>
      <w:r w:rsidRPr="00724AC2">
        <w:t xml:space="preserve">боты в прошлом зарекомендовал себя как весьма полезный с точки зрения предоставления мандатов для работы вспомогательных органов Комитета в четные годы, выполняя роль </w:t>
      </w:r>
      <w:r w:rsidR="008111C5">
        <w:t>«</w:t>
      </w:r>
      <w:r w:rsidRPr="00724AC2">
        <w:t>моста</w:t>
      </w:r>
      <w:r w:rsidR="008111C5">
        <w:t>»</w:t>
      </w:r>
      <w:r w:rsidRPr="00724AC2">
        <w:t>, который охватывает месяцы между ко</w:t>
      </w:r>
      <w:r w:rsidRPr="00724AC2">
        <w:t>н</w:t>
      </w:r>
      <w:r w:rsidRPr="00724AC2">
        <w:t>цом двухгодичного периода и моментом утверждения Комитетом программы работы на следующий двухгодичный период. Однако после того, как в 2015 году в формат программы работы были внесены изменения, подобный д</w:t>
      </w:r>
      <w:r w:rsidRPr="00724AC2">
        <w:t>о</w:t>
      </w:r>
      <w:r w:rsidRPr="00724AC2">
        <w:t>кумент по четырехгодичному плану работы больше не понадобится. С учетом этого Комитет принял решение о прекращении выпуска такого документа в б</w:t>
      </w:r>
      <w:r w:rsidRPr="00724AC2">
        <w:t>у</w:t>
      </w:r>
      <w:r w:rsidRPr="00724AC2">
        <w:t>дущем.</w:t>
      </w:r>
    </w:p>
    <w:p w:rsidR="00724AC2" w:rsidRPr="008111C5" w:rsidRDefault="00724AC2" w:rsidP="008111C5">
      <w:pPr>
        <w:pStyle w:val="HChGR"/>
      </w:pPr>
      <w:r w:rsidRPr="008111C5">
        <w:tab/>
        <w:t>XVI.</w:t>
      </w:r>
      <w:r w:rsidRPr="008111C5">
        <w:tab/>
        <w:t>Прочие вопросы (пункт 15 повестки дня)</w:t>
      </w:r>
    </w:p>
    <w:p w:rsidR="00724AC2" w:rsidRPr="00724AC2" w:rsidRDefault="00724AC2" w:rsidP="00724AC2">
      <w:pPr>
        <w:pStyle w:val="SingleTxtGR"/>
      </w:pPr>
      <w:r w:rsidRPr="00724AC2">
        <w:rPr>
          <w:bCs/>
        </w:rPr>
        <w:t>68.</w:t>
      </w:r>
      <w:r w:rsidRPr="00724AC2">
        <w:rPr>
          <w:bCs/>
        </w:rPr>
        <w:tab/>
        <w:t>Никакой другой информации представлено не было.</w:t>
      </w:r>
    </w:p>
    <w:p w:rsidR="00724AC2" w:rsidRPr="008111C5" w:rsidRDefault="00724AC2" w:rsidP="008111C5">
      <w:pPr>
        <w:pStyle w:val="HChGR"/>
      </w:pPr>
      <w:r w:rsidRPr="008111C5">
        <w:tab/>
        <w:t>XVII.</w:t>
      </w:r>
      <w:r w:rsidRPr="008111C5">
        <w:tab/>
        <w:t>Сроки проведения следующей сессии (пункт 16 повестки дня)</w:t>
      </w:r>
    </w:p>
    <w:p w:rsidR="00724AC2" w:rsidRPr="00724AC2" w:rsidRDefault="00724AC2" w:rsidP="00724AC2">
      <w:pPr>
        <w:pStyle w:val="SingleTxtGR"/>
      </w:pPr>
      <w:r w:rsidRPr="00724AC2">
        <w:t>69.</w:t>
      </w:r>
      <w:r w:rsidRPr="00724AC2">
        <w:tab/>
        <w:t>Тридцать первую сессию Рабочей группы в предварительном порядке планируется провести в Женеве 4</w:t>
      </w:r>
      <w:r w:rsidR="009478DB">
        <w:t>–</w:t>
      </w:r>
      <w:r w:rsidRPr="00724AC2">
        <w:t>6 сентября 2018 года.</w:t>
      </w:r>
    </w:p>
    <w:p w:rsidR="00724AC2" w:rsidRPr="008111C5" w:rsidRDefault="00724AC2" w:rsidP="008111C5">
      <w:pPr>
        <w:pStyle w:val="HChGR"/>
      </w:pPr>
      <w:r w:rsidRPr="008111C5">
        <w:tab/>
        <w:t>XVIII.</w:t>
      </w:r>
      <w:r w:rsidRPr="008111C5">
        <w:tab/>
        <w:t xml:space="preserve">Утверждение основных решений (пункт 17 </w:t>
      </w:r>
      <w:r w:rsidR="003952F2">
        <w:br/>
      </w:r>
      <w:r w:rsidRPr="008111C5">
        <w:t>повестки дня)</w:t>
      </w:r>
    </w:p>
    <w:p w:rsidR="00724AC2" w:rsidRPr="00724AC2" w:rsidRDefault="00724AC2" w:rsidP="00724AC2">
      <w:pPr>
        <w:pStyle w:val="SingleTxtGR"/>
      </w:pPr>
      <w:r w:rsidRPr="00724AC2">
        <w:t>70.</w:t>
      </w:r>
      <w:r w:rsidRPr="00724AC2">
        <w:tab/>
        <w:t>Рабочая группа утвердила перечень основных решений своей тридцатой сессии и поручила секретариату и Председателю подготовить полный и исче</w:t>
      </w:r>
      <w:r w:rsidRPr="00724AC2">
        <w:t>р</w:t>
      </w:r>
      <w:r w:rsidRPr="00724AC2">
        <w:t>пывающий текст доклада для распространения среди членов Рабочей группы с целью получения от них замечаний по другим вопросам, помимо тех, которые содержатся в принятом перечне основных решений.</w:t>
      </w:r>
    </w:p>
    <w:p w:rsidR="00E12C5F" w:rsidRPr="009478DB" w:rsidRDefault="009478DB" w:rsidP="009478D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478DB" w:rsidSect="00C02C6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EB" w:rsidRPr="00A312BC" w:rsidRDefault="00AE67EB" w:rsidP="00A312BC"/>
  </w:endnote>
  <w:endnote w:type="continuationSeparator" w:id="0">
    <w:p w:rsidR="00AE67EB" w:rsidRPr="00A312BC" w:rsidRDefault="00AE67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5" w:rsidRPr="00C02C61" w:rsidRDefault="00517485">
    <w:pPr>
      <w:pStyle w:val="Footer"/>
    </w:pPr>
    <w:r w:rsidRPr="00C02C61">
      <w:rPr>
        <w:b/>
        <w:sz w:val="18"/>
      </w:rPr>
      <w:fldChar w:fldCharType="begin"/>
    </w:r>
    <w:r w:rsidRPr="00C02C61">
      <w:rPr>
        <w:b/>
        <w:sz w:val="18"/>
      </w:rPr>
      <w:instrText xml:space="preserve"> PAGE  \* MERGEFORMAT </w:instrText>
    </w:r>
    <w:r w:rsidRPr="00C02C61">
      <w:rPr>
        <w:b/>
        <w:sz w:val="18"/>
      </w:rPr>
      <w:fldChar w:fldCharType="separate"/>
    </w:r>
    <w:r w:rsidR="00235B1F">
      <w:rPr>
        <w:b/>
        <w:noProof/>
        <w:sz w:val="18"/>
      </w:rPr>
      <w:t>16</w:t>
    </w:r>
    <w:r w:rsidRPr="00C02C61">
      <w:rPr>
        <w:b/>
        <w:sz w:val="18"/>
      </w:rPr>
      <w:fldChar w:fldCharType="end"/>
    </w:r>
    <w:r>
      <w:rPr>
        <w:b/>
        <w:sz w:val="18"/>
      </w:rPr>
      <w:tab/>
    </w:r>
    <w:r>
      <w:t>GE.17-19803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5" w:rsidRPr="00C02C61" w:rsidRDefault="00517485" w:rsidP="00C02C6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GE.17-19803</w:t>
    </w:r>
    <w:r>
      <w:tab/>
    </w:r>
    <w:r w:rsidRPr="00C02C61">
      <w:rPr>
        <w:b/>
        <w:sz w:val="18"/>
      </w:rPr>
      <w:fldChar w:fldCharType="begin"/>
    </w:r>
    <w:r w:rsidRPr="00C02C61">
      <w:rPr>
        <w:b/>
        <w:sz w:val="18"/>
      </w:rPr>
      <w:instrText xml:space="preserve"> PAGE  \* MERGEFORMAT </w:instrText>
    </w:r>
    <w:r w:rsidRPr="00C02C61">
      <w:rPr>
        <w:b/>
        <w:sz w:val="18"/>
      </w:rPr>
      <w:fldChar w:fldCharType="separate"/>
    </w:r>
    <w:r w:rsidR="00235B1F">
      <w:rPr>
        <w:b/>
        <w:noProof/>
        <w:sz w:val="18"/>
      </w:rPr>
      <w:t>17</w:t>
    </w:r>
    <w:r w:rsidRPr="00C02C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5" w:rsidRPr="00C02C61" w:rsidRDefault="00517485" w:rsidP="00C02C61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6324826" wp14:editId="22068F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17-19803  (R)   080118  100118</w:t>
    </w:r>
    <w:r>
      <w:br/>
    </w:r>
    <w:r w:rsidRPr="00C02C61">
      <w:rPr>
        <w:rFonts w:ascii="C39T30Lfz" w:hAnsi="C39T30Lfz"/>
        <w:spacing w:val="0"/>
        <w:w w:val="100"/>
        <w:sz w:val="56"/>
      </w:rPr>
      <w:t></w:t>
    </w:r>
    <w:r w:rsidRPr="00C02C61">
      <w:rPr>
        <w:rFonts w:ascii="C39T30Lfz" w:hAnsi="C39T30Lfz"/>
        <w:spacing w:val="0"/>
        <w:w w:val="100"/>
        <w:sz w:val="56"/>
      </w:rPr>
      <w:t></w:t>
    </w:r>
    <w:r w:rsidRPr="00C02C61">
      <w:rPr>
        <w:rFonts w:ascii="C39T30Lfz" w:hAnsi="C39T30Lfz"/>
        <w:spacing w:val="0"/>
        <w:w w:val="100"/>
        <w:sz w:val="56"/>
      </w:rPr>
      <w:t></w:t>
    </w:r>
    <w:r w:rsidRPr="00C02C61">
      <w:rPr>
        <w:rFonts w:ascii="C39T30Lfz" w:hAnsi="C39T30Lfz"/>
        <w:spacing w:val="0"/>
        <w:w w:val="100"/>
        <w:sz w:val="56"/>
      </w:rPr>
      <w:t></w:t>
    </w:r>
    <w:r w:rsidRPr="00C02C61">
      <w:rPr>
        <w:rFonts w:ascii="C39T30Lfz" w:hAnsi="C39T30Lfz"/>
        <w:spacing w:val="0"/>
        <w:w w:val="100"/>
        <w:sz w:val="56"/>
      </w:rPr>
      <w:t></w:t>
    </w:r>
    <w:r w:rsidRPr="00C02C61">
      <w:rPr>
        <w:rFonts w:ascii="C39T30Lfz" w:hAnsi="C39T30Lfz"/>
        <w:spacing w:val="0"/>
        <w:w w:val="100"/>
        <w:sz w:val="56"/>
      </w:rPr>
      <w:t></w:t>
    </w:r>
    <w:r w:rsidRPr="00C02C61">
      <w:rPr>
        <w:rFonts w:ascii="C39T30Lfz" w:hAnsi="C39T30Lfz"/>
        <w:spacing w:val="0"/>
        <w:w w:val="100"/>
        <w:sz w:val="56"/>
      </w:rPr>
      <w:t></w:t>
    </w:r>
    <w:r w:rsidRPr="00C02C61">
      <w:rPr>
        <w:rFonts w:ascii="C39T30Lfz" w:hAnsi="C39T30Lfz"/>
        <w:spacing w:val="0"/>
        <w:w w:val="100"/>
        <w:sz w:val="56"/>
      </w:rPr>
      <w:t></w:t>
    </w:r>
    <w:r w:rsidRPr="00C02C6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5/6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6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EB" w:rsidRPr="001075E9" w:rsidRDefault="00AE67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67EB" w:rsidRDefault="00AE67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5" w:rsidRPr="00C02C61" w:rsidRDefault="00AE67EB">
    <w:pPr>
      <w:pStyle w:val="Header"/>
    </w:pPr>
    <w:fldSimple w:instr=" TITLE  \* MERGEFORMAT ">
      <w:r w:rsidR="00A0123C">
        <w:t>ECE/TRANS/WP.5/62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5" w:rsidRPr="00C02C61" w:rsidRDefault="00AE67EB" w:rsidP="00C02C61">
    <w:pPr>
      <w:pStyle w:val="Header"/>
      <w:jc w:val="right"/>
    </w:pPr>
    <w:fldSimple w:instr=" TITLE  \* MERGEFORMAT ">
      <w:r w:rsidR="00A0123C">
        <w:t>ECE/TRANS/WP.5/62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F59"/>
    <w:multiLevelType w:val="hybridMultilevel"/>
    <w:tmpl w:val="958CBAC2"/>
    <w:lvl w:ilvl="0" w:tplc="5F4C5788">
      <w:start w:val="5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96F1373"/>
    <w:multiLevelType w:val="hybridMultilevel"/>
    <w:tmpl w:val="C08EAFCA"/>
    <w:lvl w:ilvl="0" w:tplc="574A0D7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0C541A68"/>
    <w:multiLevelType w:val="hybridMultilevel"/>
    <w:tmpl w:val="8E04D9AA"/>
    <w:lvl w:ilvl="0" w:tplc="52D2AFD2">
      <w:start w:val="1"/>
      <w:numFmt w:val="lowerLetter"/>
      <w:lvlText w:val="(%1)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0FA97D83"/>
    <w:multiLevelType w:val="hybridMultilevel"/>
    <w:tmpl w:val="E188D76A"/>
    <w:lvl w:ilvl="0" w:tplc="574A0D7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7832A9D"/>
    <w:multiLevelType w:val="hybridMultilevel"/>
    <w:tmpl w:val="F4201FB0"/>
    <w:lvl w:ilvl="0" w:tplc="574A0D7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CFA36E9"/>
    <w:multiLevelType w:val="hybridMultilevel"/>
    <w:tmpl w:val="A1A6CEE8"/>
    <w:lvl w:ilvl="0" w:tplc="52D2AFD2">
      <w:start w:val="1"/>
      <w:numFmt w:val="lowerLetter"/>
      <w:lvlText w:val="(%1)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ED3031A"/>
    <w:multiLevelType w:val="hybridMultilevel"/>
    <w:tmpl w:val="45AC687C"/>
    <w:lvl w:ilvl="0" w:tplc="52D2AFD2">
      <w:start w:val="1"/>
      <w:numFmt w:val="lowerLetter"/>
      <w:lvlText w:val="(%1)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80117"/>
    <w:multiLevelType w:val="hybridMultilevel"/>
    <w:tmpl w:val="0454878A"/>
    <w:lvl w:ilvl="0" w:tplc="574A0D7E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764" w:hanging="360"/>
      </w:pPr>
    </w:lvl>
    <w:lvl w:ilvl="2" w:tplc="0809001B" w:tentative="1">
      <w:start w:val="1"/>
      <w:numFmt w:val="lowerRoman"/>
      <w:lvlText w:val="%3."/>
      <w:lvlJc w:val="right"/>
      <w:pPr>
        <w:ind w:left="3484" w:hanging="180"/>
      </w:pPr>
    </w:lvl>
    <w:lvl w:ilvl="3" w:tplc="0809000F" w:tentative="1">
      <w:start w:val="1"/>
      <w:numFmt w:val="decimal"/>
      <w:lvlText w:val="%4."/>
      <w:lvlJc w:val="left"/>
      <w:pPr>
        <w:ind w:left="4204" w:hanging="360"/>
      </w:pPr>
    </w:lvl>
    <w:lvl w:ilvl="4" w:tplc="08090019" w:tentative="1">
      <w:start w:val="1"/>
      <w:numFmt w:val="lowerLetter"/>
      <w:lvlText w:val="%5."/>
      <w:lvlJc w:val="left"/>
      <w:pPr>
        <w:ind w:left="4924" w:hanging="360"/>
      </w:pPr>
    </w:lvl>
    <w:lvl w:ilvl="5" w:tplc="0809001B" w:tentative="1">
      <w:start w:val="1"/>
      <w:numFmt w:val="lowerRoman"/>
      <w:lvlText w:val="%6."/>
      <w:lvlJc w:val="right"/>
      <w:pPr>
        <w:ind w:left="5644" w:hanging="180"/>
      </w:pPr>
    </w:lvl>
    <w:lvl w:ilvl="6" w:tplc="0809000F" w:tentative="1">
      <w:start w:val="1"/>
      <w:numFmt w:val="decimal"/>
      <w:lvlText w:val="%7."/>
      <w:lvlJc w:val="left"/>
      <w:pPr>
        <w:ind w:left="6364" w:hanging="360"/>
      </w:pPr>
    </w:lvl>
    <w:lvl w:ilvl="7" w:tplc="08090019" w:tentative="1">
      <w:start w:val="1"/>
      <w:numFmt w:val="lowerLetter"/>
      <w:lvlText w:val="%8."/>
      <w:lvlJc w:val="left"/>
      <w:pPr>
        <w:ind w:left="7084" w:hanging="360"/>
      </w:pPr>
    </w:lvl>
    <w:lvl w:ilvl="8" w:tplc="08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C6A66"/>
    <w:multiLevelType w:val="hybridMultilevel"/>
    <w:tmpl w:val="48AE8B72"/>
    <w:lvl w:ilvl="0" w:tplc="52D2AFD2">
      <w:start w:val="1"/>
      <w:numFmt w:val="lowerLetter"/>
      <w:lvlText w:val="(%1)."/>
      <w:lvlJc w:val="left"/>
      <w:pPr>
        <w:ind w:left="1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2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C25C3"/>
    <w:multiLevelType w:val="hybridMultilevel"/>
    <w:tmpl w:val="E3F26C1E"/>
    <w:lvl w:ilvl="0" w:tplc="52D2AFD2">
      <w:start w:val="1"/>
      <w:numFmt w:val="lowerLetter"/>
      <w:lvlText w:val="(%1)."/>
      <w:lvlJc w:val="left"/>
      <w:pPr>
        <w:ind w:left="1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20556"/>
    <w:multiLevelType w:val="hybridMultilevel"/>
    <w:tmpl w:val="DEAE430E"/>
    <w:lvl w:ilvl="0" w:tplc="574A0D7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20669F"/>
    <w:multiLevelType w:val="hybridMultilevel"/>
    <w:tmpl w:val="802A514E"/>
    <w:lvl w:ilvl="0" w:tplc="574A0D7E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29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20"/>
  </w:num>
  <w:num w:numId="18">
    <w:abstractNumId w:val="23"/>
  </w:num>
  <w:num w:numId="19">
    <w:abstractNumId w:val="30"/>
  </w:num>
  <w:num w:numId="20">
    <w:abstractNumId w:val="19"/>
  </w:num>
  <w:num w:numId="21">
    <w:abstractNumId w:val="11"/>
  </w:num>
  <w:num w:numId="22">
    <w:abstractNumId w:val="26"/>
  </w:num>
  <w:num w:numId="23">
    <w:abstractNumId w:val="28"/>
  </w:num>
  <w:num w:numId="24">
    <w:abstractNumId w:val="14"/>
  </w:num>
  <w:num w:numId="25">
    <w:abstractNumId w:val="17"/>
  </w:num>
  <w:num w:numId="26">
    <w:abstractNumId w:val="24"/>
  </w:num>
  <w:num w:numId="27">
    <w:abstractNumId w:val="21"/>
  </w:num>
  <w:num w:numId="28">
    <w:abstractNumId w:val="10"/>
  </w:num>
  <w:num w:numId="29">
    <w:abstractNumId w:val="16"/>
  </w:num>
  <w:num w:numId="30">
    <w:abstractNumId w:val="13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4946"/>
    <w:rsid w:val="0017258D"/>
    <w:rsid w:val="00180183"/>
    <w:rsid w:val="0018024D"/>
    <w:rsid w:val="0018649F"/>
    <w:rsid w:val="00196389"/>
    <w:rsid w:val="001B3EF6"/>
    <w:rsid w:val="001C7A89"/>
    <w:rsid w:val="001D1284"/>
    <w:rsid w:val="00235B1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94F"/>
    <w:rsid w:val="00381C24"/>
    <w:rsid w:val="00387CD4"/>
    <w:rsid w:val="003952F2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485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16A8"/>
    <w:rsid w:val="006C2031"/>
    <w:rsid w:val="006D461A"/>
    <w:rsid w:val="006F35EE"/>
    <w:rsid w:val="007021FF"/>
    <w:rsid w:val="00712895"/>
    <w:rsid w:val="00724AC2"/>
    <w:rsid w:val="00734ACB"/>
    <w:rsid w:val="00757357"/>
    <w:rsid w:val="00782FAF"/>
    <w:rsid w:val="00792497"/>
    <w:rsid w:val="00806737"/>
    <w:rsid w:val="008111C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DE6"/>
    <w:rsid w:val="009478DB"/>
    <w:rsid w:val="00951972"/>
    <w:rsid w:val="009608F3"/>
    <w:rsid w:val="009A24AC"/>
    <w:rsid w:val="009B3828"/>
    <w:rsid w:val="009C6FE6"/>
    <w:rsid w:val="009D7E7D"/>
    <w:rsid w:val="00A0123C"/>
    <w:rsid w:val="00A14DA8"/>
    <w:rsid w:val="00A312BC"/>
    <w:rsid w:val="00A84021"/>
    <w:rsid w:val="00A84D35"/>
    <w:rsid w:val="00A917B3"/>
    <w:rsid w:val="00AB2D1F"/>
    <w:rsid w:val="00AB4B51"/>
    <w:rsid w:val="00AE67EB"/>
    <w:rsid w:val="00B00553"/>
    <w:rsid w:val="00B034BB"/>
    <w:rsid w:val="00B10CC7"/>
    <w:rsid w:val="00B36DF7"/>
    <w:rsid w:val="00B539E7"/>
    <w:rsid w:val="00B62458"/>
    <w:rsid w:val="00BA208F"/>
    <w:rsid w:val="00BC18B2"/>
    <w:rsid w:val="00BD33EE"/>
    <w:rsid w:val="00BE1CC7"/>
    <w:rsid w:val="00C02C61"/>
    <w:rsid w:val="00C106D6"/>
    <w:rsid w:val="00C119AE"/>
    <w:rsid w:val="00C36C79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68BE"/>
    <w:rsid w:val="00DF71B9"/>
    <w:rsid w:val="00E03454"/>
    <w:rsid w:val="00E053D7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186B"/>
    <w:rsid w:val="00F43903"/>
    <w:rsid w:val="00F94155"/>
    <w:rsid w:val="00F9783F"/>
    <w:rsid w:val="00FD2EF7"/>
    <w:rsid w:val="00FE447E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24AC2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724AC2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724AC2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724AC2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724AC2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724AC2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724AC2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724AC2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724AC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24AC2"/>
    <w:rPr>
      <w:lang w:val="en-GB" w:eastAsia="en-US"/>
    </w:rPr>
  </w:style>
  <w:style w:type="paragraph" w:customStyle="1" w:styleId="HMG">
    <w:name w:val="_ H __M_G"/>
    <w:basedOn w:val="Normal"/>
    <w:next w:val="Normal"/>
    <w:rsid w:val="00724AC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724AC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724AC2"/>
    <w:rPr>
      <w:b/>
      <w:sz w:val="28"/>
      <w:lang w:val="en-GB" w:eastAsia="en-US"/>
    </w:rPr>
  </w:style>
  <w:style w:type="paragraph" w:customStyle="1" w:styleId="SMG">
    <w:name w:val="__S_M_G"/>
    <w:basedOn w:val="Normal"/>
    <w:next w:val="Normal"/>
    <w:rsid w:val="00724AC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724AC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724AC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724AC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724AC2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724AC2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724AC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724AC2"/>
    <w:rPr>
      <w:b/>
      <w:sz w:val="24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724AC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H23GChar">
    <w:name w:val="_ H_2/3_G Char"/>
    <w:link w:val="H23G"/>
    <w:rsid w:val="00724AC2"/>
    <w:rPr>
      <w:b/>
      <w:lang w:val="en-GB" w:eastAsia="en-US"/>
    </w:rPr>
  </w:style>
  <w:style w:type="paragraph" w:customStyle="1" w:styleId="H4G">
    <w:name w:val="_ H_4_G"/>
    <w:basedOn w:val="Normal"/>
    <w:next w:val="Normal"/>
    <w:link w:val="H4GChar"/>
    <w:rsid w:val="00724AC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character" w:customStyle="1" w:styleId="H4GChar">
    <w:name w:val="_ H_4_G Char"/>
    <w:link w:val="H4G"/>
    <w:rsid w:val="00724AC2"/>
    <w:rPr>
      <w:i/>
      <w:lang w:val="en-GB" w:eastAsia="en-US"/>
    </w:rPr>
  </w:style>
  <w:style w:type="paragraph" w:customStyle="1" w:styleId="H56G">
    <w:name w:val="_ H_5/6_G"/>
    <w:basedOn w:val="Normal"/>
    <w:next w:val="Normal"/>
    <w:rsid w:val="00724AC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t">
    <w:name w:val="st"/>
    <w:rsid w:val="00724AC2"/>
  </w:style>
  <w:style w:type="character" w:styleId="CommentReference">
    <w:name w:val="annotation reference"/>
    <w:rsid w:val="00724A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C2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24A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C2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724AC2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24AC2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24AC2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724AC2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724AC2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724AC2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724AC2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724AC2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724AC2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724AC2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724AC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24AC2"/>
    <w:rPr>
      <w:lang w:val="en-GB" w:eastAsia="en-US"/>
    </w:rPr>
  </w:style>
  <w:style w:type="paragraph" w:customStyle="1" w:styleId="HMG">
    <w:name w:val="_ H __M_G"/>
    <w:basedOn w:val="Normal"/>
    <w:next w:val="Normal"/>
    <w:rsid w:val="00724AC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724AC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724AC2"/>
    <w:rPr>
      <w:b/>
      <w:sz w:val="28"/>
      <w:lang w:val="en-GB" w:eastAsia="en-US"/>
    </w:rPr>
  </w:style>
  <w:style w:type="paragraph" w:customStyle="1" w:styleId="SMG">
    <w:name w:val="__S_M_G"/>
    <w:basedOn w:val="Normal"/>
    <w:next w:val="Normal"/>
    <w:rsid w:val="00724AC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724AC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724AC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724AC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724AC2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724AC2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724AC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724AC2"/>
    <w:rPr>
      <w:b/>
      <w:sz w:val="24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724AC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H23GChar">
    <w:name w:val="_ H_2/3_G Char"/>
    <w:link w:val="H23G"/>
    <w:rsid w:val="00724AC2"/>
    <w:rPr>
      <w:b/>
      <w:lang w:val="en-GB" w:eastAsia="en-US"/>
    </w:rPr>
  </w:style>
  <w:style w:type="paragraph" w:customStyle="1" w:styleId="H4G">
    <w:name w:val="_ H_4_G"/>
    <w:basedOn w:val="Normal"/>
    <w:next w:val="Normal"/>
    <w:link w:val="H4GChar"/>
    <w:rsid w:val="00724AC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character" w:customStyle="1" w:styleId="H4GChar">
    <w:name w:val="_ H_4_G Char"/>
    <w:link w:val="H4G"/>
    <w:rsid w:val="00724AC2"/>
    <w:rPr>
      <w:i/>
      <w:lang w:val="en-GB" w:eastAsia="en-US"/>
    </w:rPr>
  </w:style>
  <w:style w:type="paragraph" w:customStyle="1" w:styleId="H56G">
    <w:name w:val="_ H_5/6_G"/>
    <w:basedOn w:val="Normal"/>
    <w:next w:val="Normal"/>
    <w:rsid w:val="00724AC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t">
    <w:name w:val="st"/>
    <w:rsid w:val="00724AC2"/>
  </w:style>
  <w:style w:type="character" w:styleId="CommentReference">
    <w:name w:val="annotation reference"/>
    <w:rsid w:val="00724A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C2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24A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C2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724AC2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24AC2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main/wp5/mobility_as_a_servic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ndocs.org/ru/www.unece.org/trans/main/wp5/transport_infrastructure_corridors_along_europe_and_asi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8565-38D6-4CBB-AD09-0D9DDA7D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6590</Words>
  <Characters>37569</Characters>
  <Application>Microsoft Office Word</Application>
  <DocSecurity>4</DocSecurity>
  <Lines>313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ECE/TRANS/WP.5/62</vt:lpstr>
      <vt:lpstr>ECE/TRANS/WP.5/62</vt:lpstr>
      <vt:lpstr>A/</vt:lpstr>
    </vt:vector>
  </TitlesOfParts>
  <Company>DCM</Company>
  <LinksUpToDate>false</LinksUpToDate>
  <CharactersWithSpaces>44071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ECE/TRANS/WP.5/62</dc:title>
  <dc:creator>Anna Blagodatskikh</dc:creator>
  <cp:lastModifiedBy>Maria Mostovets</cp:lastModifiedBy>
  <cp:revision>2</cp:revision>
  <cp:lastPrinted>2018-01-10T13:16:00Z</cp:lastPrinted>
  <dcterms:created xsi:type="dcterms:W3CDTF">2018-03-09T10:32:00Z</dcterms:created>
  <dcterms:modified xsi:type="dcterms:W3CDTF">2018-03-09T10:32:00Z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