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F10D55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F10D55" w:rsidP="00F10D55">
            <w:pPr>
              <w:jc w:val="right"/>
            </w:pPr>
            <w:r w:rsidRPr="00F10D55">
              <w:rPr>
                <w:sz w:val="40"/>
              </w:rPr>
              <w:t>ECE</w:t>
            </w:r>
            <w:r>
              <w:t>/TRANS/WP.29/GRSP/2017/38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F10D55" w:rsidP="00C97039">
            <w:pPr>
              <w:spacing w:before="240"/>
            </w:pPr>
            <w:r>
              <w:t>Distr. générale</w:t>
            </w:r>
          </w:p>
          <w:p w:rsidR="00F10D55" w:rsidRDefault="00F10D55" w:rsidP="00F10D55">
            <w:pPr>
              <w:spacing w:line="240" w:lineRule="exact"/>
            </w:pPr>
            <w:r>
              <w:t>22 septembre 2017</w:t>
            </w:r>
          </w:p>
          <w:p w:rsidR="00F10D55" w:rsidRDefault="00F10D55" w:rsidP="00F10D55">
            <w:pPr>
              <w:spacing w:line="240" w:lineRule="exact"/>
            </w:pPr>
            <w:r>
              <w:t>Français</w:t>
            </w:r>
          </w:p>
          <w:p w:rsidR="00F10D55" w:rsidRPr="00DB58B5" w:rsidRDefault="00F10D55" w:rsidP="00F10D55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F10D55" w:rsidRDefault="00F10D55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 w:rsidR="005B6A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F10D55" w:rsidRDefault="00F10D55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la sécurité passive</w:t>
      </w:r>
    </w:p>
    <w:p w:rsidR="00F10D55" w:rsidRDefault="00AD33A0" w:rsidP="00257168">
      <w:pPr>
        <w:spacing w:before="120" w:line="240" w:lineRule="exact"/>
        <w:rPr>
          <w:b/>
        </w:rPr>
      </w:pPr>
      <w:r w:rsidRPr="00F10D55">
        <w:rPr>
          <w:b/>
        </w:rPr>
        <w:t>Soixante-deuxième</w:t>
      </w:r>
      <w:r w:rsidR="00F10D55">
        <w:rPr>
          <w:b/>
        </w:rPr>
        <w:t xml:space="preserve"> session</w:t>
      </w:r>
    </w:p>
    <w:p w:rsidR="00F90A36" w:rsidRPr="00F10D55" w:rsidRDefault="00AD33A0" w:rsidP="00F10D55">
      <w:pPr>
        <w:rPr>
          <w:bCs/>
        </w:rPr>
      </w:pPr>
      <w:r w:rsidRPr="00F10D55">
        <w:rPr>
          <w:bCs/>
        </w:rPr>
        <w:t>Genève, 12-15 décembre 2017</w:t>
      </w:r>
    </w:p>
    <w:p w:rsidR="00F90A36" w:rsidRPr="00F10D55" w:rsidRDefault="00AD33A0" w:rsidP="00F10D55">
      <w:pPr>
        <w:rPr>
          <w:bCs/>
        </w:rPr>
      </w:pPr>
      <w:r w:rsidRPr="00F10D55">
        <w:rPr>
          <w:bCs/>
        </w:rPr>
        <w:t>Point 12 de l’ordre du jour provisoire</w:t>
      </w:r>
    </w:p>
    <w:p w:rsidR="00F90A36" w:rsidRPr="00F10D55" w:rsidRDefault="00AD33A0" w:rsidP="00F10D55">
      <w:pPr>
        <w:rPr>
          <w:b/>
          <w:bCs/>
        </w:rPr>
      </w:pPr>
      <w:r w:rsidRPr="00F10D55">
        <w:rPr>
          <w:b/>
          <w:bCs/>
        </w:rPr>
        <w:t xml:space="preserve">Règlement </w:t>
      </w:r>
      <w:r w:rsidR="005B6A22" w:rsidRPr="005B6A22">
        <w:rPr>
          <w:rFonts w:eastAsia="MS Mincho"/>
          <w:b/>
          <w:bCs/>
          <w:szCs w:val="22"/>
        </w:rPr>
        <w:t>n</w:t>
      </w:r>
      <w:r w:rsidR="005B6A22" w:rsidRPr="005B6A22">
        <w:rPr>
          <w:rFonts w:eastAsia="MS Mincho"/>
          <w:b/>
          <w:bCs/>
          <w:szCs w:val="22"/>
          <w:vertAlign w:val="superscript"/>
        </w:rPr>
        <w:t>o</w:t>
      </w:r>
      <w:r w:rsidR="005B6A22">
        <w:rPr>
          <w:b/>
          <w:bCs/>
        </w:rPr>
        <w:t> </w:t>
      </w:r>
      <w:r w:rsidRPr="00F10D55">
        <w:rPr>
          <w:b/>
          <w:bCs/>
        </w:rPr>
        <w:t>44 (</w:t>
      </w:r>
      <w:r w:rsidRPr="00F10D55">
        <w:rPr>
          <w:b/>
          <w:bCs/>
        </w:rPr>
        <w:t>Dispositifs de retenue pour enfants)</w:t>
      </w:r>
    </w:p>
    <w:p w:rsidR="00F90A36" w:rsidRPr="00F10D55" w:rsidRDefault="00AD33A0" w:rsidP="00F10D55">
      <w:pPr>
        <w:pStyle w:val="HChG"/>
      </w:pPr>
      <w:r w:rsidRPr="00F10D55">
        <w:tab/>
      </w:r>
      <w:r w:rsidRPr="00F10D55">
        <w:tab/>
        <w:t xml:space="preserve">Proposition de complément 14 à la série 04 d’amendements au Règlement </w:t>
      </w:r>
      <w:r w:rsidR="005B6A22" w:rsidRPr="002D76F4">
        <w:rPr>
          <w:rFonts w:eastAsia="MS Mincho"/>
          <w:szCs w:val="22"/>
        </w:rPr>
        <w:t>n</w:t>
      </w:r>
      <w:r w:rsidR="005B6A22" w:rsidRPr="002D76F4">
        <w:rPr>
          <w:rFonts w:eastAsia="MS Mincho"/>
          <w:szCs w:val="22"/>
          <w:vertAlign w:val="superscript"/>
        </w:rPr>
        <w:t>o</w:t>
      </w:r>
      <w:r w:rsidR="005B6A22">
        <w:t> </w:t>
      </w:r>
      <w:r w:rsidRPr="00F10D55">
        <w:t>44 (Dispositifs de retenue pour enfants)</w:t>
      </w:r>
    </w:p>
    <w:p w:rsidR="00F90A36" w:rsidRPr="00F10D55" w:rsidRDefault="00AD33A0" w:rsidP="00F10D55">
      <w:pPr>
        <w:pStyle w:val="H1G"/>
      </w:pPr>
      <w:r w:rsidRPr="00F10D55">
        <w:tab/>
      </w:r>
      <w:r w:rsidRPr="00F10D55">
        <w:tab/>
        <w:t xml:space="preserve">Communication de l’expert de la France au nom </w:t>
      </w:r>
      <w:r w:rsidR="005B6A22">
        <w:br/>
      </w:r>
      <w:r w:rsidRPr="00F10D55">
        <w:t>du Groupe des services techniques</w:t>
      </w:r>
      <w:r w:rsidRPr="00F10D55">
        <w:rPr>
          <w:b w:val="0"/>
          <w:sz w:val="20"/>
        </w:rPr>
        <w:footnoteReference w:customMarkFollows="1" w:id="2"/>
        <w:t>*</w:t>
      </w:r>
    </w:p>
    <w:p w:rsidR="00F10D55" w:rsidRDefault="00AD33A0" w:rsidP="00F10D55">
      <w:pPr>
        <w:pStyle w:val="SingleTxtG"/>
        <w:ind w:firstLine="567"/>
      </w:pPr>
      <w:r w:rsidRPr="00F10D55">
        <w:t xml:space="preserve">Le texte reproduit </w:t>
      </w:r>
      <w:r w:rsidRPr="00F10D55">
        <w:t xml:space="preserve">ci-après, établi par l’expert de la France au nom du Groupe des services techniques du Règlement </w:t>
      </w:r>
      <w:r w:rsidR="005B6A22" w:rsidRPr="002D76F4">
        <w:rPr>
          <w:rFonts w:eastAsia="MS Mincho"/>
          <w:szCs w:val="22"/>
        </w:rPr>
        <w:t>n</w:t>
      </w:r>
      <w:r w:rsidR="005B6A22" w:rsidRPr="002D76F4">
        <w:rPr>
          <w:rFonts w:eastAsia="MS Mincho"/>
          <w:szCs w:val="22"/>
          <w:vertAlign w:val="superscript"/>
        </w:rPr>
        <w:t>o</w:t>
      </w:r>
      <w:r w:rsidR="005B6A22">
        <w:t> </w:t>
      </w:r>
      <w:r w:rsidRPr="00F10D55">
        <w:t>44, vise à préciser le protocole d’essai concernant l’emplacement et la fixation du dispositif de retenue pour enfant</w:t>
      </w:r>
      <w:r w:rsidR="00082158">
        <w:t>s</w:t>
      </w:r>
      <w:r w:rsidRPr="00F10D55">
        <w:t xml:space="preserve"> sur le véhicule. Les modifications qu</w:t>
      </w:r>
      <w:r w:rsidRPr="00F10D55">
        <w:t xml:space="preserve">’il est proposé d’apporter au texte actuel du Règlement </w:t>
      </w:r>
      <w:r w:rsidR="005B6A22" w:rsidRPr="002D76F4">
        <w:rPr>
          <w:rFonts w:eastAsia="MS Mincho"/>
          <w:szCs w:val="22"/>
        </w:rPr>
        <w:t>n</w:t>
      </w:r>
      <w:r w:rsidR="005B6A22" w:rsidRPr="002D76F4">
        <w:rPr>
          <w:rFonts w:eastAsia="MS Mincho"/>
          <w:szCs w:val="22"/>
          <w:vertAlign w:val="superscript"/>
        </w:rPr>
        <w:t>o</w:t>
      </w:r>
      <w:r w:rsidR="005B6A22">
        <w:t> </w:t>
      </w:r>
      <w:r w:rsidRPr="00F10D55">
        <w:t>44 sont signalées en caractères gras pour les ajouts ou biffés pour les suppressions.</w:t>
      </w:r>
    </w:p>
    <w:p w:rsidR="00F90A36" w:rsidRPr="00F10D55" w:rsidRDefault="00F10D55" w:rsidP="00F10D55">
      <w:pPr>
        <w:pStyle w:val="HChG"/>
      </w:pPr>
      <w:r>
        <w:br w:type="page"/>
      </w:r>
      <w:r w:rsidR="00AD33A0" w:rsidRPr="00F10D55">
        <w:lastRenderedPageBreak/>
        <w:tab/>
        <w:t>I.</w:t>
      </w:r>
      <w:r w:rsidR="00AD33A0" w:rsidRPr="00F10D55">
        <w:tab/>
        <w:t>Proposition</w:t>
      </w:r>
    </w:p>
    <w:p w:rsidR="00F90A36" w:rsidRPr="00F10D55" w:rsidRDefault="00AD33A0" w:rsidP="00F10D55">
      <w:pPr>
        <w:pStyle w:val="SingleTxtG"/>
      </w:pPr>
      <w:r w:rsidRPr="00F10D55">
        <w:rPr>
          <w:i/>
        </w:rPr>
        <w:t>Paragraphe 6.1.8</w:t>
      </w:r>
      <w:r w:rsidRPr="00F10D55">
        <w:t>, modifier comme suit :</w:t>
      </w:r>
    </w:p>
    <w:p w:rsidR="00F90A36" w:rsidRPr="007F6628" w:rsidRDefault="00AD33A0" w:rsidP="00F10D55">
      <w:pPr>
        <w:pStyle w:val="SingleTxtG"/>
        <w:ind w:left="2268" w:hanging="1134"/>
        <w:rPr>
          <w:spacing w:val="-1"/>
        </w:rPr>
      </w:pPr>
      <w:r w:rsidRPr="007F6628">
        <w:rPr>
          <w:spacing w:val="-1"/>
        </w:rPr>
        <w:t>« 6.1.8</w:t>
      </w:r>
      <w:r w:rsidRPr="007F6628">
        <w:rPr>
          <w:spacing w:val="-1"/>
        </w:rPr>
        <w:tab/>
        <w:t xml:space="preserve">Les dispositifs de retenue pour enfants </w:t>
      </w:r>
      <w:r w:rsidRPr="007F6628">
        <w:rPr>
          <w:b/>
          <w:spacing w:val="-1"/>
        </w:rPr>
        <w:t xml:space="preserve">de </w:t>
      </w:r>
      <w:r w:rsidRPr="007F6628">
        <w:rPr>
          <w:b/>
          <w:spacing w:val="-1"/>
        </w:rPr>
        <w:t>classe intégrale qui relèvent</w:t>
      </w:r>
      <w:r w:rsidRPr="007F6628">
        <w:rPr>
          <w:spacing w:val="-1"/>
        </w:rPr>
        <w:t xml:space="preserve"> de la catégorie </w:t>
      </w:r>
      <w:r w:rsidR="005B6A22" w:rsidRPr="007F6628">
        <w:rPr>
          <w:spacing w:val="-1"/>
        </w:rPr>
        <w:t>“</w:t>
      </w:r>
      <w:r w:rsidRPr="007F6628">
        <w:rPr>
          <w:spacing w:val="-1"/>
        </w:rPr>
        <w:t>universel</w:t>
      </w:r>
      <w:r w:rsidR="005B6A22" w:rsidRPr="007F6628">
        <w:rPr>
          <w:spacing w:val="-1"/>
        </w:rPr>
        <w:t>”</w:t>
      </w:r>
      <w:r w:rsidRPr="007F6628">
        <w:rPr>
          <w:spacing w:val="-1"/>
        </w:rPr>
        <w:t xml:space="preserve">, à l’exception des dispositifs de retenue pour enfants ISOFIX, doivent avoir un point </w:t>
      </w:r>
      <w:r w:rsidRPr="007F6628">
        <w:rPr>
          <w:strike/>
          <w:spacing w:val="-1"/>
        </w:rPr>
        <w:t xml:space="preserve">de contact </w:t>
      </w:r>
      <w:r w:rsidRPr="007F6628">
        <w:rPr>
          <w:spacing w:val="-1"/>
        </w:rPr>
        <w:t xml:space="preserve">principal </w:t>
      </w:r>
      <w:r w:rsidRPr="007F6628">
        <w:rPr>
          <w:strike/>
          <w:spacing w:val="-1"/>
        </w:rPr>
        <w:t xml:space="preserve">qui supporte </w:t>
      </w:r>
      <w:r w:rsidRPr="007F6628">
        <w:rPr>
          <w:b/>
          <w:spacing w:val="-1"/>
        </w:rPr>
        <w:t>d’application de</w:t>
      </w:r>
      <w:r w:rsidRPr="007F6628">
        <w:rPr>
          <w:spacing w:val="-1"/>
        </w:rPr>
        <w:t xml:space="preserve"> la charge entre ledit dispositif et la </w:t>
      </w:r>
      <w:r w:rsidRPr="007F6628">
        <w:rPr>
          <w:b/>
          <w:spacing w:val="-1"/>
        </w:rPr>
        <w:t>sangle de la</w:t>
      </w:r>
      <w:r w:rsidRPr="007F6628">
        <w:rPr>
          <w:spacing w:val="-1"/>
        </w:rPr>
        <w:t xml:space="preserve"> ceinture </w:t>
      </w:r>
      <w:r w:rsidRPr="007F6628">
        <w:rPr>
          <w:spacing w:val="-1"/>
        </w:rPr>
        <w:t xml:space="preserve">de sécurité pour adultes. Ce point </w:t>
      </w:r>
      <w:r w:rsidRPr="007F6628">
        <w:rPr>
          <w:strike/>
          <w:spacing w:val="-1"/>
        </w:rPr>
        <w:t xml:space="preserve">ne doit pas être à moins de 150 mm de </w:t>
      </w:r>
      <w:r w:rsidRPr="007F6628">
        <w:rPr>
          <w:b/>
          <w:spacing w:val="-1"/>
        </w:rPr>
        <w:t>doit</w:t>
      </w:r>
      <w:r w:rsidRPr="007F6628">
        <w:rPr>
          <w:spacing w:val="-1"/>
        </w:rPr>
        <w:t xml:space="preserve"> </w:t>
      </w:r>
      <w:r w:rsidRPr="007F6628">
        <w:rPr>
          <w:b/>
          <w:spacing w:val="-1"/>
        </w:rPr>
        <w:t xml:space="preserve">être situé sur un arc de cercle lui-même situé à au moins 150 mm de </w:t>
      </w:r>
      <w:r w:rsidRPr="007F6628">
        <w:rPr>
          <w:spacing w:val="-1"/>
        </w:rPr>
        <w:t>l’axe Cr, les mesures devant être effectuées lorsque le dispositif de retenue pour enfants</w:t>
      </w:r>
      <w:r w:rsidRPr="007F6628">
        <w:rPr>
          <w:b/>
          <w:spacing w:val="-1"/>
        </w:rPr>
        <w:t>, comme indiqué dans</w:t>
      </w:r>
      <w:r w:rsidRPr="007F6628">
        <w:rPr>
          <w:b/>
          <w:spacing w:val="-1"/>
        </w:rPr>
        <w:t xml:space="preserve"> les figures ci-dessous,</w:t>
      </w:r>
      <w:r w:rsidRPr="007F6628">
        <w:rPr>
          <w:spacing w:val="-1"/>
        </w:rPr>
        <w:t xml:space="preserve"> est placé sur le siège d’essai installé pour l’essai dynamique, conformément à l’annexe 21 du présent Règlement, sans mannequin.</w:t>
      </w:r>
      <w:r w:rsidRPr="007F6628">
        <w:rPr>
          <w:strike/>
          <w:spacing w:val="-1"/>
        </w:rPr>
        <w:t xml:space="preserve"> Cette condition doit être respectée dans toutes les configurations de réglage.</w:t>
      </w:r>
    </w:p>
    <w:p w:rsidR="00F90A36" w:rsidRPr="00F10D55" w:rsidRDefault="00AD33A0" w:rsidP="00F10D55">
      <w:pPr>
        <w:pStyle w:val="SingleTxtG"/>
        <w:ind w:left="2268"/>
        <w:rPr>
          <w:b/>
        </w:rPr>
      </w:pPr>
      <w:r w:rsidRPr="00F10D55">
        <w:rPr>
          <w:b/>
        </w:rPr>
        <w:t>Les dispositifs de rete</w:t>
      </w:r>
      <w:r w:rsidRPr="00F10D55">
        <w:rPr>
          <w:b/>
        </w:rPr>
        <w:t xml:space="preserve">nue pour enfants de classe non intégrale qui relèvent de la catégorie </w:t>
      </w:r>
      <w:r w:rsidR="005B6A22" w:rsidRPr="005B6A22">
        <w:rPr>
          <w:b/>
        </w:rPr>
        <w:t>“</w:t>
      </w:r>
      <w:r w:rsidRPr="00F10D55">
        <w:rPr>
          <w:b/>
        </w:rPr>
        <w:t>universel</w:t>
      </w:r>
      <w:r w:rsidR="005B6A22" w:rsidRPr="005B6A22">
        <w:rPr>
          <w:b/>
        </w:rPr>
        <w:t>”</w:t>
      </w:r>
      <w:r w:rsidRPr="00F10D55">
        <w:rPr>
          <w:b/>
        </w:rPr>
        <w:t xml:space="preserve"> doivent avoir un point principal d’application de la charge entre ledit dispositif et la sangle de la ceinture de sécurité pour adultes. Ce point doit être situé à au moins 6</w:t>
      </w:r>
      <w:r w:rsidRPr="00F10D55">
        <w:rPr>
          <w:b/>
        </w:rPr>
        <w:t xml:space="preserve">5 mm à la verticale de l’assise du siège d’essai, sur un arc de cercle lui-même situé à au moins 150 mm de l’axe Cr, les mesures devant être effectuées lorsque le dispositif de retenue pour enfants, comme indiqué dans les figures ci-dessous, est placé sur </w:t>
      </w:r>
      <w:r w:rsidRPr="00F10D55">
        <w:rPr>
          <w:b/>
        </w:rPr>
        <w:t>le siège d’essai installé pour l’essai dynamique, conformément à l’annexe 21 du présent Règlement, sans mannequin.</w:t>
      </w:r>
    </w:p>
    <w:p w:rsidR="00F90A36" w:rsidRPr="00F10D55" w:rsidRDefault="00AD33A0" w:rsidP="000E49DE">
      <w:pPr>
        <w:pStyle w:val="Heading1"/>
        <w:spacing w:after="120"/>
        <w:rPr>
          <w:b/>
        </w:rPr>
      </w:pPr>
      <w:r w:rsidRPr="00F10D55">
        <w:rPr>
          <w:b/>
        </w:rPr>
        <w:t>Figures explicatives de la procédure de mesure</w:t>
      </w:r>
    </w:p>
    <w:p w:rsidR="00F90A36" w:rsidRPr="00F10D55" w:rsidRDefault="000E49DE" w:rsidP="00D35C84">
      <w:pPr>
        <w:ind w:left="1134"/>
      </w:pPr>
      <w:r>
        <w:rPr>
          <w:noProof/>
          <w:lang w:val="en-GB" w:eastAsia="en-GB"/>
        </w:rPr>
        <w:drawing>
          <wp:inline distT="0" distB="0" distL="0" distR="0" wp14:anchorId="27D0D278" wp14:editId="1126FADF">
            <wp:extent cx="4680000" cy="3301200"/>
            <wp:effectExtent l="0" t="0" r="635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33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A36" w:rsidRPr="00F10D55" w:rsidRDefault="00AD33A0" w:rsidP="000E49DE">
      <w:pPr>
        <w:ind w:left="2268"/>
      </w:pPr>
      <w:r w:rsidRPr="00F10D55">
        <w:rPr>
          <w:noProof/>
          <w:lang w:val="en-GB" w:eastAsia="en-GB"/>
        </w:rPr>
        <w:lastRenderedPageBreak/>
        <w:drawing>
          <wp:inline distT="0" distB="0" distL="0" distR="0" wp14:anchorId="07F813C0" wp14:editId="531A56C9">
            <wp:extent cx="1352550" cy="2524125"/>
            <wp:effectExtent l="0" t="0" r="0" b="9525"/>
            <wp:docPr id="9" name="Immagine 9" descr="C:\Users\francesco ballabio\Desktop\Techincal Service Group - TSG\20170505-06 VTI\02_Documenti da discutere\3.15 Fitting with generic buckle\GRSP Proposal\Front+t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rancesco ballabio\Desktop\Techincal Service Group - TSG\20170505-06 VTI\02_Documenti da discutere\3.15 Fitting with generic buckle\GRSP Proposal\Front+too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D55">
        <w:tab/>
      </w:r>
      <w:r w:rsidRPr="00F10D55">
        <w:tab/>
      </w:r>
      <w:r w:rsidRPr="00F10D55">
        <w:rPr>
          <w:noProof/>
          <w:lang w:val="en-GB" w:eastAsia="en-GB"/>
        </w:rPr>
        <w:drawing>
          <wp:inline distT="0" distB="0" distL="0" distR="0" wp14:anchorId="3480330A" wp14:editId="3532CE31">
            <wp:extent cx="1685925" cy="2886075"/>
            <wp:effectExtent l="0" t="0" r="9525" b="9525"/>
            <wp:docPr id="15" name="Immagine 15" descr="C:\Users\francesco ballabio\Desktop\Techincal Service Group - TSG\20170505-06 VTI\02_Documenti da discutere\3.15 Fitting with generic buckle\GRSP Proposal\Side+too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ancesco ballabio\Desktop\Techincal Service Group - TSG\20170505-06 VTI\02_Documenti da discutere\3.15 Fitting with generic buckle\GRSP Proposal\Side+tool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A36" w:rsidRPr="00F10D55" w:rsidRDefault="00AD33A0" w:rsidP="000E49DE">
      <w:pPr>
        <w:pStyle w:val="SingleTxtG"/>
        <w:spacing w:before="120"/>
        <w:ind w:left="2268"/>
        <w:rPr>
          <w:b/>
        </w:rPr>
      </w:pPr>
      <w:r w:rsidRPr="00F10D55">
        <w:rPr>
          <w:b/>
        </w:rPr>
        <w:t>On procède à la vérification des deux côtés du DRE ainsi que le long d’un plan longitud</w:t>
      </w:r>
      <w:r w:rsidRPr="00F10D55">
        <w:rPr>
          <w:b/>
        </w:rPr>
        <w:t>inal parallèle au plan médian du DRE.</w:t>
      </w:r>
    </w:p>
    <w:p w:rsidR="00F90A36" w:rsidRPr="00F10D55" w:rsidRDefault="00AD33A0" w:rsidP="00F10D55">
      <w:pPr>
        <w:pStyle w:val="SingleTxtG"/>
        <w:ind w:left="2268"/>
      </w:pPr>
      <w:r w:rsidRPr="00F10D55">
        <w:t xml:space="preserve">Les sangles à trajet variable sont admises. S’il utilise ce type de sangles, le fabricant doit le préciser expressément dans le mode d’emploi, conformément au paragraphe 15. Le dispositif de retenue, lorsqu’il est </w:t>
      </w:r>
      <w:r w:rsidRPr="00F10D55">
        <w:t>soumis à l’essai au moyen de ce type de sangles, doit être conforme à toutes les dispositions du présent Règlement. ».</w:t>
      </w:r>
    </w:p>
    <w:p w:rsidR="00F90A36" w:rsidRPr="00F10D55" w:rsidRDefault="00AD33A0" w:rsidP="00F10D55">
      <w:pPr>
        <w:pStyle w:val="SingleTxtG"/>
      </w:pPr>
      <w:r w:rsidRPr="00F10D55">
        <w:rPr>
          <w:i/>
        </w:rPr>
        <w:t>Paragraphe 6.2.2</w:t>
      </w:r>
      <w:r w:rsidRPr="00F10D55">
        <w:t>, modifier comme suit :</w:t>
      </w:r>
    </w:p>
    <w:p w:rsidR="00F90A36" w:rsidRPr="00F10D55" w:rsidRDefault="00AD33A0" w:rsidP="00F10D55">
      <w:pPr>
        <w:pStyle w:val="SingleTxtG"/>
        <w:ind w:left="2268" w:hanging="1134"/>
      </w:pPr>
      <w:r w:rsidRPr="00F10D55">
        <w:t>« 6.2.2</w:t>
      </w:r>
      <w:r w:rsidRPr="00F10D55">
        <w:tab/>
      </w:r>
      <w:r w:rsidRPr="00441426">
        <w:rPr>
          <w:strike/>
        </w:rPr>
        <w:t>En ce qui concerne les groupes I, II et III,</w:t>
      </w:r>
      <w:r w:rsidRPr="007F6628">
        <w:rPr>
          <w:strike/>
        </w:rPr>
        <w:t xml:space="preserve"> </w:t>
      </w:r>
      <w:r w:rsidRPr="00F10D55">
        <w:rPr>
          <w:b/>
        </w:rPr>
        <w:t xml:space="preserve">Dans </w:t>
      </w:r>
      <w:r w:rsidRPr="00F10D55">
        <w:t>t</w:t>
      </w:r>
      <w:r w:rsidRPr="00F10D55">
        <w:t>ous les dispositifs de retenue comprenant une sangle abdominale</w:t>
      </w:r>
      <w:r w:rsidRPr="00F10D55">
        <w:rPr>
          <w:b/>
        </w:rPr>
        <w:t>,</w:t>
      </w:r>
      <w:r w:rsidRPr="00F10D55">
        <w:t xml:space="preserve"> </w:t>
      </w:r>
      <w:r w:rsidRPr="00441426">
        <w:rPr>
          <w:strike/>
        </w:rPr>
        <w:t>doivent maintenir</w:t>
      </w:r>
      <w:r w:rsidRPr="007F6628">
        <w:rPr>
          <w:strike/>
        </w:rPr>
        <w:t xml:space="preserve"> </w:t>
      </w:r>
      <w:r w:rsidRPr="00F10D55">
        <w:t xml:space="preserve">celle-ci </w:t>
      </w:r>
      <w:r w:rsidRPr="00441426">
        <w:rPr>
          <w:strike/>
        </w:rPr>
        <w:t>en position</w:t>
      </w:r>
      <w:r w:rsidRPr="007F6628">
        <w:rPr>
          <w:strike/>
        </w:rPr>
        <w:t xml:space="preserve"> </w:t>
      </w:r>
      <w:r w:rsidRPr="00F10D55">
        <w:rPr>
          <w:b/>
        </w:rPr>
        <w:t>doit être guidée par l’application d’une force égale sur chacun de ses côtés,</w:t>
      </w:r>
      <w:r w:rsidRPr="00F10D55">
        <w:t xml:space="preserve"> de t</w:t>
      </w:r>
      <w:r w:rsidRPr="00441426">
        <w:rPr>
          <w:strike/>
        </w:rPr>
        <w:t xml:space="preserve">elle </w:t>
      </w:r>
      <w:r w:rsidRPr="00F10D55">
        <w:t xml:space="preserve">sorte que </w:t>
      </w:r>
      <w:r w:rsidRPr="007F6628">
        <w:rPr>
          <w:strike/>
        </w:rPr>
        <w:t xml:space="preserve">les forces </w:t>
      </w:r>
      <w:r w:rsidRPr="00F10D55">
        <w:rPr>
          <w:b/>
        </w:rPr>
        <w:t xml:space="preserve">la charge </w:t>
      </w:r>
      <w:r w:rsidRPr="00F10D55">
        <w:t>transmise</w:t>
      </w:r>
      <w:r w:rsidRPr="007F6628">
        <w:rPr>
          <w:strike/>
        </w:rPr>
        <w:t>s</w:t>
      </w:r>
      <w:r w:rsidRPr="00F10D55">
        <w:t xml:space="preserve"> par cette sangle soi</w:t>
      </w:r>
      <w:r w:rsidRPr="007F6628">
        <w:rPr>
          <w:strike/>
        </w:rPr>
        <w:t>en</w:t>
      </w:r>
      <w:r w:rsidRPr="00F10D55">
        <w:t>t</w:t>
      </w:r>
      <w:r w:rsidRPr="00F10D55">
        <w:t xml:space="preserve"> supportée</w:t>
      </w:r>
      <w:r w:rsidRPr="007F6628">
        <w:rPr>
          <w:strike/>
        </w:rPr>
        <w:t>s</w:t>
      </w:r>
      <w:r w:rsidRPr="00F10D55">
        <w:t xml:space="preserve"> par le pelvis. L’ensemble ne doit pas soumettre les parties vulnérables du corps de l’enfant (abdomen, entrejambe, etc.) à des forces excessives.</w:t>
      </w:r>
    </w:p>
    <w:p w:rsidR="00F90A36" w:rsidRPr="00F10D55" w:rsidRDefault="00AD33A0" w:rsidP="00F10D55">
      <w:pPr>
        <w:pStyle w:val="SingleTxtG"/>
        <w:ind w:left="2268"/>
      </w:pPr>
      <w:r w:rsidRPr="00F10D55">
        <w:t>En cas d’utilisation de coussins d’appoint ou de sièges rehausseurs, la sangle abdominale de la ce</w:t>
      </w:r>
      <w:r w:rsidRPr="00F10D55">
        <w:t xml:space="preserve">inture de sécurité pour adulte </w:t>
      </w:r>
      <w:r w:rsidRPr="00F10D55">
        <w:rPr>
          <w:b/>
        </w:rPr>
        <w:t>doit être guidée par l’application d’une force égale sur chacun de ses côtés,</w:t>
      </w:r>
      <w:r w:rsidRPr="00F10D55">
        <w:t xml:space="preserve"> de sorte que </w:t>
      </w:r>
      <w:r w:rsidRPr="00F10D55">
        <w:rPr>
          <w:b/>
        </w:rPr>
        <w:t>la charge</w:t>
      </w:r>
      <w:r w:rsidRPr="00F10D55">
        <w:t xml:space="preserve"> transmise par cette sangle soit supportée par le pelvis. Cette orientation de la charge doit s’effectuer dès que l’enfant es</w:t>
      </w:r>
      <w:r w:rsidRPr="00F10D55">
        <w:t>t installé dans le siège ; la sangle abdominale doit passer au-dessus de la cuisse pour à peine toucher le pli formé au niveau du pelvis. Les angles α et β formés par la tangente aux cuisses et l’horizontale doivent être supérieurs à 10°.</w:t>
      </w:r>
    </w:p>
    <w:p w:rsidR="00F90A36" w:rsidRPr="00082158" w:rsidRDefault="00AD33A0" w:rsidP="000E49DE">
      <w:pPr>
        <w:pStyle w:val="Heading1"/>
        <w:spacing w:after="120"/>
      </w:pPr>
      <w:r w:rsidRPr="00F10D55">
        <w:br w:type="page"/>
      </w:r>
      <w:r w:rsidRPr="00082158">
        <w:lastRenderedPageBreak/>
        <w:t>Figures représen</w:t>
      </w:r>
      <w:r w:rsidRPr="00082158">
        <w:t>tant l’enfant attaché</w:t>
      </w:r>
    </w:p>
    <w:p w:rsidR="00F90A36" w:rsidRPr="00F10D55" w:rsidRDefault="00AD33A0" w:rsidP="000E49DE">
      <w:pPr>
        <w:ind w:left="1134"/>
      </w:pPr>
      <w:r w:rsidRPr="00F10D55">
        <w:t xml:space="preserve">                        </w:t>
      </w:r>
      <w:r w:rsidRPr="00F10D55">
        <w:rPr>
          <w:noProof/>
          <w:lang w:val="en-GB" w:eastAsia="en-GB"/>
        </w:rPr>
        <w:drawing>
          <wp:inline distT="0" distB="0" distL="0" distR="0" wp14:anchorId="791CF32E" wp14:editId="66AA338E">
            <wp:extent cx="1351915" cy="2520315"/>
            <wp:effectExtent l="0" t="0" r="635" b="0"/>
            <wp:docPr id="7" name="Picture 2" descr="Screen Shot 2016-02-16 a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 Shot 2016-02-16 at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D55">
        <w:rPr>
          <w:noProof/>
          <w:lang w:val="en-GB" w:eastAsia="en-GB"/>
        </w:rPr>
        <w:drawing>
          <wp:inline distT="0" distB="0" distL="0" distR="0" wp14:anchorId="2A88B491" wp14:editId="5983DA51">
            <wp:extent cx="1943100" cy="2857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D55">
        <w:t> ».</w:t>
      </w:r>
    </w:p>
    <w:p w:rsidR="00F90A36" w:rsidRPr="00F10D55" w:rsidRDefault="00AD33A0" w:rsidP="000E49DE">
      <w:pPr>
        <w:pStyle w:val="SingleTxtG"/>
        <w:spacing w:before="120"/>
      </w:pPr>
      <w:r w:rsidRPr="00F10D55">
        <w:rPr>
          <w:i/>
        </w:rPr>
        <w:t>Paragraphe 7.2.1.1</w:t>
      </w:r>
      <w:r w:rsidRPr="00F10D55">
        <w:t>, modifier comme suit :</w:t>
      </w:r>
    </w:p>
    <w:p w:rsidR="00F90A36" w:rsidRPr="00F10D55" w:rsidRDefault="00AD33A0" w:rsidP="00F10D55">
      <w:pPr>
        <w:pStyle w:val="SingleTxtG"/>
        <w:ind w:left="2268" w:hanging="1134"/>
      </w:pPr>
      <w:r w:rsidRPr="00F10D55">
        <w:t>« 7.2.1.1</w:t>
      </w:r>
      <w:r w:rsidRPr="00F10D55">
        <w:tab/>
        <w:t>La boucle devra être conçue de manière à exclure toute possibilité de fausse manœuvre. Elle ne devra donc pas pouvoir, notamment, demeurer partiellement</w:t>
      </w:r>
      <w:r w:rsidRPr="00F10D55">
        <w:t xml:space="preserve"> fermée</w:t>
      </w:r>
      <w:r w:rsidR="005B6A22">
        <w:t> ;</w:t>
      </w:r>
      <w:r w:rsidRPr="00F10D55">
        <w:t xml:space="preserve"> il ne doit pas être possible d’intervertir les parties de la boucle par inadvertance au moment de son verrouillage</w:t>
      </w:r>
      <w:r w:rsidR="005B6A22">
        <w:t> ;</w:t>
      </w:r>
      <w:r w:rsidRPr="00F10D55">
        <w:t xml:space="preserve"> la boucle doit se verrouiller seulement lorsque toutes les parties sont enclenchées. Aux endroits où la boucle </w:t>
      </w:r>
      <w:r w:rsidRPr="00F10D55">
        <w:rPr>
          <w:b/>
        </w:rPr>
        <w:t>et/ou la languette</w:t>
      </w:r>
      <w:r w:rsidRPr="00F10D55">
        <w:rPr>
          <w:b/>
        </w:rPr>
        <w:t xml:space="preserve"> </w:t>
      </w:r>
      <w:r w:rsidRPr="007F6628">
        <w:rPr>
          <w:strike/>
        </w:rPr>
        <w:t xml:space="preserve">est </w:t>
      </w:r>
      <w:r w:rsidRPr="00F10D55">
        <w:rPr>
          <w:b/>
        </w:rPr>
        <w:t xml:space="preserve">sont </w:t>
      </w:r>
      <w:r w:rsidRPr="00F10D55">
        <w:t>en contact avec le corps de l’enfant, elle</w:t>
      </w:r>
      <w:r w:rsidRPr="00F10D55">
        <w:rPr>
          <w:b/>
        </w:rPr>
        <w:t>s</w:t>
      </w:r>
      <w:r w:rsidRPr="00F10D55">
        <w:t xml:space="preserve"> ne doi</w:t>
      </w:r>
      <w:r w:rsidRPr="00F10D55">
        <w:rPr>
          <w:b/>
        </w:rPr>
        <w:t>ven</w:t>
      </w:r>
      <w:r w:rsidRPr="00F10D55">
        <w:t>t pas être plus étroite</w:t>
      </w:r>
      <w:r w:rsidRPr="00F10D55">
        <w:rPr>
          <w:b/>
        </w:rPr>
        <w:t>s</w:t>
      </w:r>
      <w:r w:rsidRPr="00F10D55">
        <w:t xml:space="preserve"> que la largeur minimum de sangle prescrite au paragraphe 7.2.4.1.1 ci-dessous. Le présent paragraphe ne s’applique pas aux ceintures déjà homologuées conformément au Rè</w:t>
      </w:r>
      <w:r w:rsidRPr="00F10D55">
        <w:t xml:space="preserve">glement </w:t>
      </w:r>
      <w:r w:rsidR="005B6A22" w:rsidRPr="002D76F4">
        <w:rPr>
          <w:rFonts w:eastAsia="MS Mincho"/>
          <w:szCs w:val="22"/>
        </w:rPr>
        <w:t>n</w:t>
      </w:r>
      <w:r w:rsidR="005B6A22" w:rsidRPr="002D76F4">
        <w:rPr>
          <w:rFonts w:eastAsia="MS Mincho"/>
          <w:szCs w:val="22"/>
          <w:vertAlign w:val="superscript"/>
        </w:rPr>
        <w:t>o</w:t>
      </w:r>
      <w:r w:rsidR="005B6A22">
        <w:t> </w:t>
      </w:r>
      <w:r w:rsidRPr="00F10D55">
        <w:t xml:space="preserve">16 ou à toute autre disposition équivalente en vigueur. Dans le cas d’un </w:t>
      </w:r>
      <w:r w:rsidR="005B6A22" w:rsidRPr="00460532">
        <w:t>“</w:t>
      </w:r>
      <w:r w:rsidRPr="00F10D55">
        <w:t>dispositif de retenue spécial</w:t>
      </w:r>
      <w:r w:rsidR="005B6A22" w:rsidRPr="00460532">
        <w:t>”</w:t>
      </w:r>
      <w:r w:rsidRPr="00F10D55">
        <w:t>, seule la boucle du moyen de retenue principal doit satisfaire aux dispositions des paragraphes 7.2.1.1 à 7.2.1.9 inclus. ».</w:t>
      </w:r>
    </w:p>
    <w:p w:rsidR="00F90A36" w:rsidRPr="00F10D55" w:rsidRDefault="00AD33A0" w:rsidP="00F10D55">
      <w:pPr>
        <w:pStyle w:val="HChG"/>
      </w:pPr>
      <w:r w:rsidRPr="00F10D55">
        <w:tab/>
        <w:t>II.</w:t>
      </w:r>
      <w:r w:rsidRPr="00F10D55">
        <w:tab/>
      </w:r>
      <w:r w:rsidRPr="00F10D55">
        <w:t>Justification</w:t>
      </w:r>
    </w:p>
    <w:p w:rsidR="00F9573C" w:rsidRDefault="00AD33A0" w:rsidP="00F10D55">
      <w:pPr>
        <w:pStyle w:val="SingleTxtG"/>
        <w:ind w:firstLine="567"/>
      </w:pPr>
      <w:r w:rsidRPr="00F10D55">
        <w:t>La présente proposition fait suite au document GRSP-61-14-Rev.1, qui a été adopté à la soixante et unième session du GRSP. Elle tend à préciser la procédure d’essai énoncée au paragraphe 6.1.8.</w:t>
      </w:r>
    </w:p>
    <w:p w:rsidR="00F10D55" w:rsidRPr="00F10D55" w:rsidRDefault="00F10D55" w:rsidP="00F10D5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10D55" w:rsidRPr="00F10D55" w:rsidSect="00F10D55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922" w:rsidRDefault="009F5922" w:rsidP="00F95C08">
      <w:pPr>
        <w:spacing w:line="240" w:lineRule="auto"/>
      </w:pPr>
    </w:p>
  </w:endnote>
  <w:endnote w:type="continuationSeparator" w:id="0">
    <w:p w:rsidR="009F5922" w:rsidRPr="00AC3823" w:rsidRDefault="009F5922" w:rsidP="00AC3823">
      <w:pPr>
        <w:pStyle w:val="Footer"/>
      </w:pPr>
    </w:p>
  </w:endnote>
  <w:endnote w:type="continuationNotice" w:id="1">
    <w:p w:rsidR="009F5922" w:rsidRDefault="009F592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55" w:rsidRPr="00F10D55" w:rsidRDefault="00F10D55" w:rsidP="00F10D55">
    <w:pPr>
      <w:pStyle w:val="Footer"/>
      <w:tabs>
        <w:tab w:val="right" w:pos="9638"/>
      </w:tabs>
    </w:pPr>
    <w:r w:rsidRPr="00F10D55">
      <w:rPr>
        <w:b/>
        <w:sz w:val="18"/>
      </w:rPr>
      <w:fldChar w:fldCharType="begin"/>
    </w:r>
    <w:r w:rsidRPr="00F10D55">
      <w:rPr>
        <w:b/>
        <w:sz w:val="18"/>
      </w:rPr>
      <w:instrText xml:space="preserve"> PAGE  \* MERGEFORMAT </w:instrText>
    </w:r>
    <w:r w:rsidRPr="00F10D55">
      <w:rPr>
        <w:b/>
        <w:sz w:val="18"/>
      </w:rPr>
      <w:fldChar w:fldCharType="separate"/>
    </w:r>
    <w:r w:rsidR="00AD33A0">
      <w:rPr>
        <w:b/>
        <w:noProof/>
        <w:sz w:val="18"/>
      </w:rPr>
      <w:t>2</w:t>
    </w:r>
    <w:r w:rsidRPr="00F10D55">
      <w:rPr>
        <w:b/>
        <w:sz w:val="18"/>
      </w:rPr>
      <w:fldChar w:fldCharType="end"/>
    </w:r>
    <w:r>
      <w:rPr>
        <w:b/>
        <w:sz w:val="18"/>
      </w:rPr>
      <w:tab/>
    </w:r>
    <w:r>
      <w:t>GE.17-16703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55" w:rsidRPr="00F10D55" w:rsidRDefault="00F10D55" w:rsidP="00F10D55">
    <w:pPr>
      <w:pStyle w:val="Footer"/>
      <w:tabs>
        <w:tab w:val="right" w:pos="9638"/>
      </w:tabs>
      <w:rPr>
        <w:b/>
        <w:sz w:val="18"/>
      </w:rPr>
    </w:pPr>
    <w:r>
      <w:t>GE.17-16703</w:t>
    </w:r>
    <w:r>
      <w:tab/>
    </w:r>
    <w:r w:rsidRPr="00F10D55">
      <w:rPr>
        <w:b/>
        <w:sz w:val="18"/>
      </w:rPr>
      <w:fldChar w:fldCharType="begin"/>
    </w:r>
    <w:r w:rsidRPr="00F10D55">
      <w:rPr>
        <w:b/>
        <w:sz w:val="18"/>
      </w:rPr>
      <w:instrText xml:space="preserve"> PAGE  \* MERGEFORMAT </w:instrText>
    </w:r>
    <w:r w:rsidRPr="00F10D55">
      <w:rPr>
        <w:b/>
        <w:sz w:val="18"/>
      </w:rPr>
      <w:fldChar w:fldCharType="separate"/>
    </w:r>
    <w:r w:rsidR="00AD33A0">
      <w:rPr>
        <w:b/>
        <w:noProof/>
        <w:sz w:val="18"/>
      </w:rPr>
      <w:t>3</w:t>
    </w:r>
    <w:r w:rsidRPr="00F10D5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F10D55" w:rsidRDefault="00F10D55" w:rsidP="00F10D55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17-16703  (F)    241017    241017</w:t>
    </w:r>
    <w:r>
      <w:rPr>
        <w:sz w:val="20"/>
      </w:rPr>
      <w:br/>
    </w:r>
    <w:r w:rsidRPr="00F10D55">
      <w:rPr>
        <w:rFonts w:ascii="C39T30Lfz" w:hAnsi="C39T30Lfz"/>
        <w:sz w:val="56"/>
      </w:rPr>
      <w:t></w:t>
    </w:r>
    <w:r w:rsidRPr="00F10D55">
      <w:rPr>
        <w:rFonts w:ascii="C39T30Lfz" w:hAnsi="C39T30Lfz"/>
        <w:sz w:val="56"/>
      </w:rPr>
      <w:t></w:t>
    </w:r>
    <w:r w:rsidRPr="00F10D55">
      <w:rPr>
        <w:rFonts w:ascii="C39T30Lfz" w:hAnsi="C39T30Lfz"/>
        <w:sz w:val="56"/>
      </w:rPr>
      <w:t></w:t>
    </w:r>
    <w:r w:rsidRPr="00F10D55">
      <w:rPr>
        <w:rFonts w:ascii="C39T30Lfz" w:hAnsi="C39T30Lfz"/>
        <w:sz w:val="56"/>
      </w:rPr>
      <w:t></w:t>
    </w:r>
    <w:r w:rsidRPr="00F10D55">
      <w:rPr>
        <w:rFonts w:ascii="C39T30Lfz" w:hAnsi="C39T30Lfz"/>
        <w:sz w:val="56"/>
      </w:rPr>
      <w:t></w:t>
    </w:r>
    <w:r w:rsidRPr="00F10D55">
      <w:rPr>
        <w:rFonts w:ascii="C39T30Lfz" w:hAnsi="C39T30Lfz"/>
        <w:sz w:val="56"/>
      </w:rPr>
      <w:t></w:t>
    </w:r>
    <w:r w:rsidRPr="00F10D55">
      <w:rPr>
        <w:rFonts w:ascii="C39T30Lfz" w:hAnsi="C39T30Lfz"/>
        <w:sz w:val="56"/>
      </w:rPr>
      <w:t></w:t>
    </w:r>
    <w:r w:rsidRPr="00F10D55">
      <w:rPr>
        <w:rFonts w:ascii="C39T30Lfz" w:hAnsi="C39T30Lfz"/>
        <w:sz w:val="56"/>
      </w:rPr>
      <w:t></w:t>
    </w:r>
    <w:r w:rsidRPr="00F10D55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SP/2017/38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7/38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922" w:rsidRPr="00AC3823" w:rsidRDefault="009F592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F5922" w:rsidRPr="00AC3823" w:rsidRDefault="009F592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F5922" w:rsidRPr="00AC3823" w:rsidRDefault="009F5922">
      <w:pPr>
        <w:spacing w:line="240" w:lineRule="auto"/>
        <w:rPr>
          <w:sz w:val="2"/>
          <w:szCs w:val="2"/>
        </w:rPr>
      </w:pPr>
    </w:p>
  </w:footnote>
  <w:footnote w:id="2">
    <w:p w:rsidR="00F10D55" w:rsidRPr="00E371E3" w:rsidRDefault="00F10D55" w:rsidP="00F10D55">
      <w:pPr>
        <w:pStyle w:val="FootnoteText"/>
        <w:rPr>
          <w:lang w:val="fr-FR"/>
        </w:rPr>
      </w:pPr>
      <w:r>
        <w:tab/>
      </w:r>
      <w:r w:rsidRPr="00F10D55">
        <w:rPr>
          <w:rStyle w:val="FootnoteReference"/>
          <w:vertAlign w:val="baseline"/>
        </w:rPr>
        <w:t>*</w:t>
      </w:r>
      <w:r w:rsidRPr="007406A7">
        <w:tab/>
      </w:r>
      <w:r>
        <w:t xml:space="preserve">Conformément au programme de travail du Comité des transports intérieurs pour la période 2016-2017 (ECE/TRANS/254, </w:t>
      </w:r>
      <w:r w:rsidR="005B6A22">
        <w:t>par. </w:t>
      </w:r>
      <w:r>
        <w:t>159, et ECE/TRANS/2016/28/Add.1, module 3.1), le Forum mondial a pour mission d’élaborer, d’harmoniser et de mettre à jour les Règlements en vue d’améliorer les caractéristiques fonctionnelles des véhicules. Le présent document est soumis en vertu de ce mandat</w:t>
      </w:r>
      <w:r w:rsidRPr="00E371E3">
        <w:rPr>
          <w:szCs w:val="18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55" w:rsidRPr="00F10D55" w:rsidRDefault="00AD33A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1F66DB">
      <w:t>ECE/TRANS/WP.29/GRSP/2017/38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55" w:rsidRPr="00F10D55" w:rsidRDefault="00AD33A0" w:rsidP="00F10D5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F66DB">
      <w:t>ECE/TRANS/WP.29/GRSP/2017/38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22"/>
    <w:rsid w:val="00017F94"/>
    <w:rsid w:val="00023842"/>
    <w:rsid w:val="000334F9"/>
    <w:rsid w:val="00045FEB"/>
    <w:rsid w:val="0007796D"/>
    <w:rsid w:val="00082158"/>
    <w:rsid w:val="000B7790"/>
    <w:rsid w:val="000E49DE"/>
    <w:rsid w:val="00111F2F"/>
    <w:rsid w:val="0014365E"/>
    <w:rsid w:val="00143C66"/>
    <w:rsid w:val="00176178"/>
    <w:rsid w:val="001F525A"/>
    <w:rsid w:val="001F6494"/>
    <w:rsid w:val="001F66DB"/>
    <w:rsid w:val="00223272"/>
    <w:rsid w:val="0024779E"/>
    <w:rsid w:val="00257168"/>
    <w:rsid w:val="002744B8"/>
    <w:rsid w:val="002832AC"/>
    <w:rsid w:val="002D7C93"/>
    <w:rsid w:val="00305801"/>
    <w:rsid w:val="003916DE"/>
    <w:rsid w:val="00441426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5B6A22"/>
    <w:rsid w:val="0071601D"/>
    <w:rsid w:val="007A62E6"/>
    <w:rsid w:val="007F20FA"/>
    <w:rsid w:val="007F6628"/>
    <w:rsid w:val="0080684C"/>
    <w:rsid w:val="00871C75"/>
    <w:rsid w:val="008776DC"/>
    <w:rsid w:val="009446C0"/>
    <w:rsid w:val="009705C8"/>
    <w:rsid w:val="009C1CF4"/>
    <w:rsid w:val="009F5922"/>
    <w:rsid w:val="009F6B74"/>
    <w:rsid w:val="00A30353"/>
    <w:rsid w:val="00AC3823"/>
    <w:rsid w:val="00AD33A0"/>
    <w:rsid w:val="00AE323C"/>
    <w:rsid w:val="00AF0CB5"/>
    <w:rsid w:val="00B00181"/>
    <w:rsid w:val="00B00B0D"/>
    <w:rsid w:val="00B765F7"/>
    <w:rsid w:val="00BA0CA9"/>
    <w:rsid w:val="00C02897"/>
    <w:rsid w:val="00C97039"/>
    <w:rsid w:val="00D3439C"/>
    <w:rsid w:val="00D35C84"/>
    <w:rsid w:val="00D904AE"/>
    <w:rsid w:val="00DB1831"/>
    <w:rsid w:val="00DD3BFD"/>
    <w:rsid w:val="00DF6678"/>
    <w:rsid w:val="00E0299A"/>
    <w:rsid w:val="00E502E4"/>
    <w:rsid w:val="00E85C74"/>
    <w:rsid w:val="00EA6547"/>
    <w:rsid w:val="00EF2E22"/>
    <w:rsid w:val="00F10D55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gif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814</Words>
  <Characters>4640</Characters>
  <Application>Microsoft Office Word</Application>
  <DocSecurity>4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ECE/TRANS/WP.29/GRSP/2017/38</vt:lpstr>
      <vt:lpstr>ECE/TRANS/WP.29/GRSP/2017/38</vt:lpstr>
    </vt:vector>
  </TitlesOfParts>
  <Company>DCM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ECE/TRANS/WP.29/GRSP/2017/38</dc:title>
  <dc:creator>Pascale BEYSARD</dc:creator>
  <cp:lastModifiedBy>Benedicte Boudol</cp:lastModifiedBy>
  <cp:revision>2</cp:revision>
  <cp:lastPrinted>2017-10-24T09:16:00Z</cp:lastPrinted>
  <dcterms:created xsi:type="dcterms:W3CDTF">2017-10-25T15:02:00Z</dcterms:created>
  <dcterms:modified xsi:type="dcterms:W3CDTF">2017-10-25T15:02:00Z</dcterms:modified>
</cp:coreProperties>
</file>