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56EC6" w14:textId="3A06F80A" w:rsidR="009C758C" w:rsidRPr="003A6C65" w:rsidRDefault="009C758C" w:rsidP="009A3BCD">
      <w:pPr>
        <w:tabs>
          <w:tab w:val="right" w:pos="9639"/>
        </w:tabs>
        <w:autoSpaceDE w:val="0"/>
        <w:autoSpaceDN w:val="0"/>
        <w:adjustRightInd w:val="0"/>
        <w:spacing w:after="0" w:line="240" w:lineRule="auto"/>
        <w:jc w:val="both"/>
        <w:rPr>
          <w:rFonts w:ascii="Times New Roman" w:hAnsi="Times New Roman"/>
          <w:b/>
          <w:bCs/>
          <w:sz w:val="24"/>
          <w:szCs w:val="24"/>
        </w:rPr>
      </w:pPr>
      <w:r w:rsidRPr="003A6C65">
        <w:rPr>
          <w:rFonts w:ascii="Times New Roman" w:hAnsi="Times New Roman"/>
          <w:sz w:val="24"/>
          <w:szCs w:val="24"/>
          <w:lang w:eastAsia="ar-SA"/>
        </w:rPr>
        <w:t>Submitted by the expert from Poland</w:t>
      </w:r>
      <w:r w:rsidRPr="003A6C65">
        <w:rPr>
          <w:rFonts w:ascii="Times New Roman" w:hAnsi="Times New Roman"/>
          <w:sz w:val="24"/>
          <w:szCs w:val="24"/>
          <w:lang w:eastAsia="ar-SA"/>
        </w:rPr>
        <w:tab/>
      </w:r>
      <w:r w:rsidRPr="003A6C65">
        <w:rPr>
          <w:rFonts w:ascii="Times New Roman" w:hAnsi="Times New Roman"/>
          <w:sz w:val="24"/>
          <w:szCs w:val="24"/>
        </w:rPr>
        <w:t xml:space="preserve">Informal document </w:t>
      </w:r>
      <w:r w:rsidRPr="003A6C65">
        <w:rPr>
          <w:rFonts w:ascii="Times New Roman" w:hAnsi="Times New Roman"/>
          <w:b/>
          <w:bCs/>
          <w:sz w:val="24"/>
          <w:szCs w:val="24"/>
        </w:rPr>
        <w:t>GRSG-11</w:t>
      </w:r>
      <w:r>
        <w:rPr>
          <w:rFonts w:ascii="Times New Roman" w:hAnsi="Times New Roman"/>
          <w:b/>
          <w:bCs/>
          <w:sz w:val="24"/>
          <w:szCs w:val="24"/>
        </w:rPr>
        <w:t>3</w:t>
      </w:r>
      <w:r w:rsidRPr="003A6C65">
        <w:rPr>
          <w:rFonts w:ascii="Times New Roman" w:hAnsi="Times New Roman"/>
          <w:b/>
          <w:bCs/>
          <w:sz w:val="24"/>
          <w:szCs w:val="24"/>
        </w:rPr>
        <w:t>-</w:t>
      </w:r>
      <w:r w:rsidR="0018115B">
        <w:rPr>
          <w:rFonts w:ascii="Times New Roman" w:hAnsi="Times New Roman"/>
          <w:b/>
          <w:bCs/>
          <w:sz w:val="24"/>
          <w:szCs w:val="24"/>
        </w:rPr>
        <w:t>09</w:t>
      </w:r>
    </w:p>
    <w:p w14:paraId="5457697C" w14:textId="0D4F095A" w:rsidR="009C758C" w:rsidRPr="003A6C65" w:rsidRDefault="009C758C" w:rsidP="009A3BCD">
      <w:pPr>
        <w:tabs>
          <w:tab w:val="right" w:pos="9639"/>
        </w:tabs>
        <w:autoSpaceDE w:val="0"/>
        <w:autoSpaceDN w:val="0"/>
        <w:adjustRightInd w:val="0"/>
        <w:spacing w:after="0" w:line="240" w:lineRule="auto"/>
        <w:jc w:val="right"/>
        <w:rPr>
          <w:rFonts w:ascii="Times New Roman" w:hAnsi="Times New Roman"/>
          <w:sz w:val="24"/>
          <w:szCs w:val="24"/>
        </w:rPr>
      </w:pPr>
      <w:r w:rsidRPr="003A6C65">
        <w:rPr>
          <w:rFonts w:ascii="Times New Roman" w:hAnsi="Times New Roman"/>
          <w:sz w:val="24"/>
          <w:szCs w:val="24"/>
        </w:rPr>
        <w:t>(11</w:t>
      </w:r>
      <w:r>
        <w:rPr>
          <w:rFonts w:ascii="Times New Roman" w:hAnsi="Times New Roman"/>
          <w:sz w:val="24"/>
          <w:szCs w:val="24"/>
        </w:rPr>
        <w:t>3</w:t>
      </w:r>
      <w:r w:rsidRPr="003A6C65">
        <w:rPr>
          <w:rFonts w:ascii="Times New Roman" w:hAnsi="Times New Roman"/>
          <w:sz w:val="24"/>
          <w:szCs w:val="24"/>
          <w:vertAlign w:val="superscript"/>
        </w:rPr>
        <w:t>th</w:t>
      </w:r>
      <w:r w:rsidRPr="003A6C65">
        <w:rPr>
          <w:rFonts w:ascii="Times New Roman" w:hAnsi="Times New Roman"/>
          <w:sz w:val="24"/>
          <w:szCs w:val="24"/>
        </w:rPr>
        <w:t xml:space="preserve"> GRSG, 1</w:t>
      </w:r>
      <w:r>
        <w:rPr>
          <w:rFonts w:ascii="Times New Roman" w:hAnsi="Times New Roman"/>
          <w:sz w:val="24"/>
          <w:szCs w:val="24"/>
        </w:rPr>
        <w:t>0–</w:t>
      </w:r>
      <w:r w:rsidRPr="003A6C65">
        <w:rPr>
          <w:rFonts w:ascii="Times New Roman" w:hAnsi="Times New Roman"/>
          <w:sz w:val="24"/>
          <w:szCs w:val="24"/>
        </w:rPr>
        <w:t>1</w:t>
      </w:r>
      <w:r>
        <w:rPr>
          <w:rFonts w:ascii="Times New Roman" w:hAnsi="Times New Roman"/>
          <w:sz w:val="24"/>
          <w:szCs w:val="24"/>
        </w:rPr>
        <w:t xml:space="preserve">3 </w:t>
      </w:r>
      <w:r w:rsidRPr="003A6C65">
        <w:rPr>
          <w:rFonts w:ascii="Times New Roman" w:hAnsi="Times New Roman"/>
          <w:sz w:val="24"/>
          <w:szCs w:val="24"/>
        </w:rPr>
        <w:t>October 201</w:t>
      </w:r>
      <w:r>
        <w:rPr>
          <w:rFonts w:ascii="Times New Roman" w:hAnsi="Times New Roman"/>
          <w:sz w:val="24"/>
          <w:szCs w:val="24"/>
        </w:rPr>
        <w:t>7</w:t>
      </w:r>
    </w:p>
    <w:p w14:paraId="3876A5CB" w14:textId="79ECB56C" w:rsidR="009C758C" w:rsidRPr="003A6C65" w:rsidRDefault="009C758C" w:rsidP="009A3BCD">
      <w:pPr>
        <w:tabs>
          <w:tab w:val="right" w:pos="9639"/>
        </w:tabs>
        <w:spacing w:after="0" w:line="240" w:lineRule="auto"/>
        <w:jc w:val="right"/>
        <w:rPr>
          <w:rFonts w:ascii="Times New Roman" w:hAnsi="Times New Roman"/>
          <w:sz w:val="24"/>
          <w:szCs w:val="24"/>
        </w:rPr>
      </w:pPr>
      <w:r w:rsidRPr="003A6C65">
        <w:rPr>
          <w:rFonts w:ascii="Times New Roman" w:hAnsi="Times New Roman"/>
          <w:sz w:val="24"/>
          <w:szCs w:val="24"/>
        </w:rPr>
        <w:t>Agenda item</w:t>
      </w:r>
      <w:r w:rsidR="00D97853">
        <w:rPr>
          <w:rFonts w:ascii="Times New Roman" w:hAnsi="Times New Roman"/>
          <w:sz w:val="24"/>
          <w:szCs w:val="24"/>
        </w:rPr>
        <w:t xml:space="preserve"> </w:t>
      </w:r>
      <w:r w:rsidR="00CC6068" w:rsidRPr="00CC6068">
        <w:rPr>
          <w:rFonts w:ascii="Times New Roman" w:hAnsi="Times New Roman"/>
          <w:sz w:val="24"/>
          <w:szCs w:val="24"/>
        </w:rPr>
        <w:t>6a</w:t>
      </w:r>
      <w:r w:rsidRPr="003A6C65">
        <w:rPr>
          <w:rFonts w:ascii="Times New Roman" w:hAnsi="Times New Roman"/>
          <w:sz w:val="24"/>
          <w:szCs w:val="24"/>
        </w:rPr>
        <w:t>)</w:t>
      </w:r>
    </w:p>
    <w:p w14:paraId="3AC33E3A" w14:textId="77777777" w:rsidR="009C758C" w:rsidRPr="003A6C65" w:rsidRDefault="009C758C" w:rsidP="009A3BCD">
      <w:pPr>
        <w:spacing w:after="0" w:line="240" w:lineRule="auto"/>
        <w:rPr>
          <w:rFonts w:ascii="Times New Roman" w:hAnsi="Times New Roman"/>
          <w:sz w:val="24"/>
          <w:szCs w:val="24"/>
        </w:rPr>
      </w:pPr>
    </w:p>
    <w:p w14:paraId="6F371CF8" w14:textId="77777777" w:rsidR="009C758C" w:rsidRPr="003A6C65" w:rsidRDefault="009C758C" w:rsidP="009A3BCD">
      <w:pPr>
        <w:autoSpaceDE w:val="0"/>
        <w:autoSpaceDN w:val="0"/>
        <w:adjustRightInd w:val="0"/>
        <w:spacing w:after="0" w:line="240" w:lineRule="auto"/>
        <w:jc w:val="center"/>
        <w:rPr>
          <w:rFonts w:ascii="Times New Roman" w:hAnsi="Times New Roman"/>
          <w:b/>
          <w:bCs/>
          <w:sz w:val="24"/>
          <w:szCs w:val="24"/>
        </w:rPr>
      </w:pPr>
      <w:r w:rsidRPr="003A6C65">
        <w:rPr>
          <w:rFonts w:ascii="Times New Roman" w:hAnsi="Times New Roman"/>
          <w:b/>
          <w:bCs/>
          <w:sz w:val="24"/>
          <w:szCs w:val="24"/>
        </w:rPr>
        <w:t>UN Regulation No. 67 (</w:t>
      </w:r>
      <w:r w:rsidRPr="00166762">
        <w:rPr>
          <w:rFonts w:ascii="Times New Roman" w:hAnsi="Times New Roman"/>
          <w:b/>
          <w:bCs/>
          <w:sz w:val="24"/>
          <w:szCs w:val="24"/>
        </w:rPr>
        <w:t>LPG vehicles</w:t>
      </w:r>
      <w:r w:rsidRPr="003A6C65">
        <w:rPr>
          <w:rFonts w:ascii="Times New Roman" w:hAnsi="Times New Roman"/>
          <w:b/>
          <w:bCs/>
          <w:sz w:val="24"/>
          <w:szCs w:val="24"/>
        </w:rPr>
        <w:t>)</w:t>
      </w:r>
    </w:p>
    <w:p w14:paraId="305F577F" w14:textId="00E33899" w:rsidR="009C758C" w:rsidRPr="009A3BCD" w:rsidRDefault="009C758C" w:rsidP="009A3BCD">
      <w:pPr>
        <w:autoSpaceDE w:val="0"/>
        <w:autoSpaceDN w:val="0"/>
        <w:adjustRightInd w:val="0"/>
        <w:spacing w:after="0" w:line="240" w:lineRule="auto"/>
        <w:jc w:val="center"/>
        <w:rPr>
          <w:rFonts w:ascii="Times New Roman" w:hAnsi="Times New Roman"/>
          <w:bCs/>
          <w:sz w:val="24"/>
          <w:szCs w:val="24"/>
        </w:rPr>
      </w:pPr>
      <w:r w:rsidRPr="009A3BCD">
        <w:rPr>
          <w:rFonts w:ascii="Times New Roman" w:hAnsi="Times New Roman"/>
          <w:bCs/>
          <w:sz w:val="24"/>
          <w:szCs w:val="24"/>
        </w:rPr>
        <w:t xml:space="preserve">Draft proposal for Supplement </w:t>
      </w:r>
      <w:r w:rsidR="0018115B" w:rsidRPr="0018115B">
        <w:rPr>
          <w:rFonts w:ascii="Times New Roman" w:hAnsi="Times New Roman"/>
          <w:bCs/>
          <w:sz w:val="24"/>
          <w:szCs w:val="24"/>
        </w:rPr>
        <w:t>15</w:t>
      </w:r>
      <w:r w:rsidRPr="009A3BCD">
        <w:rPr>
          <w:rFonts w:ascii="Times New Roman" w:hAnsi="Times New Roman"/>
          <w:bCs/>
          <w:sz w:val="24"/>
          <w:szCs w:val="24"/>
        </w:rPr>
        <w:t xml:space="preserve"> to </w:t>
      </w:r>
      <w:r>
        <w:rPr>
          <w:rFonts w:ascii="Times New Roman" w:hAnsi="Times New Roman"/>
          <w:bCs/>
          <w:sz w:val="24"/>
          <w:szCs w:val="24"/>
        </w:rPr>
        <w:t xml:space="preserve">the </w:t>
      </w:r>
      <w:r w:rsidR="0018115B">
        <w:rPr>
          <w:rFonts w:ascii="Times New Roman" w:hAnsi="Times New Roman"/>
          <w:bCs/>
          <w:sz w:val="24"/>
          <w:szCs w:val="24"/>
        </w:rPr>
        <w:t>01</w:t>
      </w:r>
      <w:r w:rsidRPr="009A3BCD">
        <w:rPr>
          <w:rFonts w:ascii="Times New Roman" w:hAnsi="Times New Roman"/>
          <w:bCs/>
          <w:sz w:val="24"/>
          <w:szCs w:val="24"/>
        </w:rPr>
        <w:t xml:space="preserve"> </w:t>
      </w:r>
      <w:r>
        <w:rPr>
          <w:rFonts w:ascii="Times New Roman" w:hAnsi="Times New Roman"/>
          <w:bCs/>
          <w:sz w:val="24"/>
          <w:szCs w:val="24"/>
        </w:rPr>
        <w:t>s</w:t>
      </w:r>
      <w:r w:rsidRPr="009A3BCD">
        <w:rPr>
          <w:rFonts w:ascii="Times New Roman" w:hAnsi="Times New Roman"/>
          <w:bCs/>
          <w:sz w:val="24"/>
          <w:szCs w:val="24"/>
        </w:rPr>
        <w:t>eries of amendments</w:t>
      </w:r>
    </w:p>
    <w:p w14:paraId="54AC7149" w14:textId="77777777" w:rsidR="009C758C" w:rsidRPr="003A6C65" w:rsidRDefault="009C758C" w:rsidP="009A3BCD">
      <w:pPr>
        <w:spacing w:after="0" w:line="240" w:lineRule="auto"/>
        <w:rPr>
          <w:rFonts w:ascii="Times New Roman" w:hAnsi="Times New Roman"/>
          <w:sz w:val="24"/>
          <w:szCs w:val="24"/>
        </w:rPr>
      </w:pPr>
    </w:p>
    <w:p w14:paraId="7682E8AA" w14:textId="77777777" w:rsidR="009C758C" w:rsidRPr="007F1DBD" w:rsidRDefault="009C758C" w:rsidP="007F1DBD">
      <w:pPr>
        <w:spacing w:after="0" w:line="240" w:lineRule="auto"/>
        <w:rPr>
          <w:rFonts w:ascii="Times New Roman" w:hAnsi="Times New Roman"/>
          <w:b/>
          <w:sz w:val="24"/>
          <w:szCs w:val="24"/>
        </w:rPr>
      </w:pPr>
      <w:r w:rsidRPr="007F1DBD">
        <w:rPr>
          <w:rFonts w:ascii="Times New Roman" w:hAnsi="Times New Roman"/>
          <w:b/>
          <w:sz w:val="24"/>
          <w:szCs w:val="24"/>
        </w:rPr>
        <w:t>I.</w:t>
      </w:r>
      <w:r w:rsidRPr="007F1DBD">
        <w:rPr>
          <w:rFonts w:ascii="Times New Roman" w:hAnsi="Times New Roman"/>
          <w:b/>
          <w:sz w:val="24"/>
          <w:szCs w:val="24"/>
        </w:rPr>
        <w:tab/>
        <w:t>PROPOSAL</w:t>
      </w:r>
    </w:p>
    <w:p w14:paraId="1724B839" w14:textId="77777777" w:rsidR="009C758C" w:rsidRPr="003A6C65" w:rsidRDefault="009C758C" w:rsidP="00432EBE">
      <w:pPr>
        <w:spacing w:after="0" w:line="240" w:lineRule="auto"/>
        <w:jc w:val="both"/>
        <w:rPr>
          <w:rFonts w:ascii="Times New Roman" w:hAnsi="Times New Roman"/>
          <w:sz w:val="24"/>
          <w:szCs w:val="24"/>
        </w:rPr>
      </w:pPr>
    </w:p>
    <w:p w14:paraId="76BC1CEC" w14:textId="77777777" w:rsidR="009C758C" w:rsidRDefault="009C758C" w:rsidP="007F1DBD">
      <w:pPr>
        <w:spacing w:after="0" w:line="240" w:lineRule="auto"/>
        <w:jc w:val="both"/>
        <w:rPr>
          <w:rFonts w:ascii="Times New Roman" w:hAnsi="Times New Roman"/>
          <w:i/>
          <w:sz w:val="24"/>
          <w:szCs w:val="24"/>
        </w:rPr>
      </w:pPr>
    </w:p>
    <w:p w14:paraId="29AE8F1C" w14:textId="77777777" w:rsidR="009C758C" w:rsidRPr="0046143D" w:rsidRDefault="009C758C" w:rsidP="007F1DBD">
      <w:pPr>
        <w:spacing w:after="0" w:line="240" w:lineRule="auto"/>
        <w:jc w:val="both"/>
        <w:rPr>
          <w:rFonts w:ascii="Times New Roman" w:hAnsi="Times New Roman"/>
          <w:i/>
          <w:sz w:val="24"/>
          <w:szCs w:val="24"/>
        </w:rPr>
      </w:pPr>
      <w:r w:rsidRPr="0046143D">
        <w:rPr>
          <w:rFonts w:ascii="Times New Roman" w:hAnsi="Times New Roman"/>
          <w:i/>
          <w:sz w:val="24"/>
          <w:szCs w:val="24"/>
        </w:rPr>
        <w:t>Paragraph 4.1 and 4.2.</w:t>
      </w:r>
      <w:proofErr w:type="gramStart"/>
      <w:r w:rsidRPr="0046143D">
        <w:rPr>
          <w:rFonts w:ascii="Times New Roman" w:hAnsi="Times New Roman"/>
          <w:i/>
          <w:sz w:val="24"/>
          <w:szCs w:val="24"/>
        </w:rPr>
        <w:t>,amend</w:t>
      </w:r>
      <w:proofErr w:type="gramEnd"/>
      <w:r w:rsidRPr="0046143D">
        <w:rPr>
          <w:rFonts w:ascii="Times New Roman" w:hAnsi="Times New Roman"/>
          <w:i/>
          <w:sz w:val="24"/>
          <w:szCs w:val="24"/>
        </w:rPr>
        <w:t xml:space="preserve"> to read:</w:t>
      </w:r>
    </w:p>
    <w:p w14:paraId="28B4E4F0" w14:textId="77777777" w:rsidR="009C758C" w:rsidRDefault="009C758C" w:rsidP="007F1DBD">
      <w:pPr>
        <w:spacing w:after="0" w:line="240" w:lineRule="auto"/>
        <w:jc w:val="both"/>
        <w:rPr>
          <w:rFonts w:ascii="Times New Roman" w:hAnsi="Times New Roman"/>
          <w:sz w:val="24"/>
          <w:szCs w:val="24"/>
        </w:rPr>
      </w:pPr>
    </w:p>
    <w:p w14:paraId="3EBF94C4" w14:textId="77777777" w:rsidR="009C758C" w:rsidRDefault="009C758C" w:rsidP="00CC5D1F">
      <w:pPr>
        <w:pStyle w:val="HChG"/>
        <w:rPr>
          <w:lang w:val="en-GB"/>
        </w:rPr>
      </w:pPr>
      <w:r>
        <w:rPr>
          <w:lang w:val="en-GB"/>
        </w:rPr>
        <w:tab/>
      </w:r>
      <w:bookmarkStart w:id="0" w:name="_Toc387935151"/>
      <w:bookmarkStart w:id="1" w:name="_Toc397517941"/>
      <w:r>
        <w:rPr>
          <w:lang w:val="en-GB"/>
        </w:rPr>
        <w:t>4.</w:t>
      </w:r>
      <w:r>
        <w:rPr>
          <w:lang w:val="en-GB"/>
        </w:rPr>
        <w:tab/>
      </w:r>
      <w:r>
        <w:rPr>
          <w:lang w:val="en-GB"/>
        </w:rPr>
        <w:tab/>
        <w:t>Markings</w:t>
      </w:r>
      <w:bookmarkEnd w:id="0"/>
      <w:bookmarkEnd w:id="1"/>
    </w:p>
    <w:p w14:paraId="56BB0B47" w14:textId="77777777" w:rsidR="009C758C" w:rsidRDefault="009C758C" w:rsidP="00CC5D1F">
      <w:pPr>
        <w:pStyle w:val="Para"/>
        <w:rPr>
          <w:lang w:val="en-GB"/>
        </w:rPr>
      </w:pPr>
      <w:r>
        <w:rPr>
          <w:lang w:val="en-GB"/>
        </w:rPr>
        <w:t>4.1.</w:t>
      </w:r>
      <w:r>
        <w:rPr>
          <w:lang w:val="en-GB"/>
        </w:rPr>
        <w:tab/>
        <w:t xml:space="preserve">All components submitted for approval shall bear the trade name or mark of the manufacturer and the type, </w:t>
      </w:r>
      <w:r w:rsidRPr="00CC5D1F">
        <w:rPr>
          <w:b/>
          <w:color w:val="FF0000"/>
          <w:lang w:val="en-GB"/>
        </w:rPr>
        <w:t>variant, version</w:t>
      </w:r>
      <w:r>
        <w:rPr>
          <w:lang w:val="en-GB"/>
        </w:rPr>
        <w:t>; and for non-metallic components also the manufacturing month and year; this marking shall be clearly legible and indelible.</w:t>
      </w:r>
    </w:p>
    <w:p w14:paraId="60AC8818" w14:textId="77777777" w:rsidR="009C758C" w:rsidRDefault="009C758C">
      <w:pPr>
        <w:spacing w:after="0" w:line="240" w:lineRule="auto"/>
        <w:rPr>
          <w:rFonts w:ascii="Times New Roman" w:hAnsi="Times New Roman"/>
          <w:sz w:val="24"/>
          <w:szCs w:val="24"/>
        </w:rPr>
      </w:pPr>
    </w:p>
    <w:p w14:paraId="55EDF0BC" w14:textId="77777777" w:rsidR="009C758C" w:rsidRPr="003A6C65" w:rsidRDefault="009C758C" w:rsidP="007F1DBD">
      <w:pPr>
        <w:spacing w:after="0" w:line="240" w:lineRule="auto"/>
        <w:jc w:val="both"/>
        <w:rPr>
          <w:rFonts w:ascii="Times New Roman" w:hAnsi="Times New Roman"/>
          <w:sz w:val="24"/>
          <w:szCs w:val="24"/>
        </w:rPr>
      </w:pPr>
    </w:p>
    <w:p w14:paraId="24394B58" w14:textId="77777777" w:rsidR="009C758C" w:rsidRPr="00F55901" w:rsidRDefault="009C758C" w:rsidP="00F55901">
      <w:pPr>
        <w:ind w:left="600" w:right="1134"/>
        <w:jc w:val="both"/>
        <w:rPr>
          <w:rFonts w:ascii="Times New Roman" w:hAnsi="Times New Roman"/>
          <w:i/>
          <w:sz w:val="24"/>
          <w:szCs w:val="24"/>
        </w:rPr>
      </w:pPr>
      <w:r w:rsidRPr="00F55901">
        <w:rPr>
          <w:rFonts w:ascii="Times New Roman" w:hAnsi="Times New Roman"/>
          <w:i/>
          <w:sz w:val="24"/>
          <w:szCs w:val="24"/>
        </w:rPr>
        <w:t>Annex 2A, amend to read:</w:t>
      </w:r>
    </w:p>
    <w:p w14:paraId="450C29CA" w14:textId="77777777" w:rsidR="009C758C" w:rsidRDefault="009C758C" w:rsidP="00AA0057">
      <w:pPr>
        <w:pStyle w:val="HChG"/>
        <w:rPr>
          <w:lang w:val="en-GB"/>
        </w:rPr>
      </w:pPr>
      <w:bookmarkStart w:id="2" w:name="_Toc387935175"/>
      <w:bookmarkStart w:id="3" w:name="_Toc397517965"/>
      <w:r>
        <w:rPr>
          <w:lang w:val="en-GB"/>
        </w:rPr>
        <w:t>Annex 2A</w:t>
      </w:r>
      <w:bookmarkEnd w:id="2"/>
      <w:bookmarkEnd w:id="3"/>
    </w:p>
    <w:p w14:paraId="7EABF469" w14:textId="77777777" w:rsidR="009C758C" w:rsidRDefault="009C758C" w:rsidP="00AA0057">
      <w:pPr>
        <w:pStyle w:val="HChG"/>
        <w:rPr>
          <w:lang w:val="en-GB"/>
        </w:rPr>
      </w:pPr>
      <w:r>
        <w:rPr>
          <w:lang w:val="en-GB"/>
        </w:rPr>
        <w:tab/>
      </w:r>
      <w:r>
        <w:rPr>
          <w:lang w:val="en-GB"/>
        </w:rPr>
        <w:tab/>
      </w:r>
      <w:bookmarkStart w:id="4" w:name="_Toc387935176"/>
      <w:bookmarkStart w:id="5" w:name="_Toc397517966"/>
      <w:r>
        <w:rPr>
          <w:lang w:val="en-GB"/>
        </w:rPr>
        <w:t xml:space="preserve">Arrangement of the </w:t>
      </w:r>
      <w:r w:rsidRPr="00190B87">
        <w:rPr>
          <w:caps/>
          <w:lang w:val="en-GB"/>
        </w:rPr>
        <w:t>lpg</w:t>
      </w:r>
      <w:r>
        <w:rPr>
          <w:lang w:val="en-GB"/>
        </w:rPr>
        <w:t xml:space="preserve"> equipment type approval mark</w:t>
      </w:r>
      <w:bookmarkEnd w:id="4"/>
      <w:bookmarkEnd w:id="5"/>
    </w:p>
    <w:p w14:paraId="25CC4BAB" w14:textId="77777777" w:rsidR="009C758C" w:rsidRDefault="009C758C" w:rsidP="00AA0057">
      <w:pPr>
        <w:pStyle w:val="Para"/>
        <w:rPr>
          <w:lang w:val="en-GB"/>
        </w:rPr>
      </w:pPr>
      <w:r>
        <w:rPr>
          <w:lang w:val="en-GB"/>
        </w:rPr>
        <w:t>(See paragraph 5.4. of this Regulation)</w:t>
      </w:r>
    </w:p>
    <w:p w14:paraId="297FABC6" w14:textId="77777777" w:rsidR="009C758C" w:rsidRDefault="009C758C" w:rsidP="00AA0057">
      <w:pPr>
        <w:pStyle w:val="Para"/>
        <w:ind w:left="0" w:firstLine="0"/>
        <w:jc w:val="left"/>
        <w:rPr>
          <w:lang w:val="en-GB"/>
        </w:rPr>
      </w:pPr>
    </w:p>
    <w:p w14:paraId="21ED9DCD" w14:textId="77777777" w:rsidR="009C758C" w:rsidRDefault="00E832B3" w:rsidP="00AA0057">
      <w:pPr>
        <w:widowControl w:val="0"/>
        <w:tabs>
          <w:tab w:val="center" w:pos="4734"/>
        </w:tabs>
        <w:jc w:val="both"/>
        <w:rPr>
          <w:bCs/>
        </w:rPr>
      </w:pPr>
      <w:r>
        <w:rPr>
          <w:noProof/>
          <w:lang w:eastAsia="en-GB"/>
        </w:rPr>
        <mc:AlternateContent>
          <mc:Choice Requires="wps">
            <w:drawing>
              <wp:anchor distT="152400" distB="152400" distL="152400" distR="152400" simplePos="0" relativeHeight="251658240" behindDoc="0" locked="0" layoutInCell="0" allowOverlap="1" wp14:anchorId="52A16BB6" wp14:editId="15ADFB83">
                <wp:simplePos x="0" y="0"/>
                <wp:positionH relativeFrom="margin">
                  <wp:posOffset>0</wp:posOffset>
                </wp:positionH>
                <wp:positionV relativeFrom="paragraph">
                  <wp:posOffset>0</wp:posOffset>
                </wp:positionV>
                <wp:extent cx="2835275" cy="1296035"/>
                <wp:effectExtent l="0" t="0" r="0" b="0"/>
                <wp:wrapSquare wrapText="righ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1296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D9F9AC" w14:textId="77777777" w:rsidR="009C758C" w:rsidRDefault="00E832B3" w:rsidP="00AA0057">
                            <w:pPr>
                              <w:ind w:left="1134"/>
                              <w:rPr>
                                <w:szCs w:val="24"/>
                                <w:lang w:eastAsia="en-GB"/>
                              </w:rPr>
                            </w:pPr>
                            <w:r>
                              <w:rPr>
                                <w:noProof/>
                                <w:sz w:val="20"/>
                                <w:lang w:eastAsia="en-GB"/>
                              </w:rPr>
                              <w:drawing>
                                <wp:inline distT="0" distB="0" distL="0" distR="0" wp14:anchorId="79EBC8B0" wp14:editId="657EF242">
                                  <wp:extent cx="2114550" cy="117983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4550" cy="117983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2A16BB6" id="_x0000_t202" coordsize="21600,21600" o:spt="202" path="m,l,21600r21600,l21600,xe">
                <v:stroke joinstyle="miter"/>
                <v:path gradientshapeok="t" o:connecttype="rect"/>
              </v:shapetype>
              <v:shape id="Pole tekstowe 3" o:spid="_x0000_s1026" type="#_x0000_t202" style="position:absolute;left:0;text-align:left;margin-left:0;margin-top:0;width:223.25pt;height:102.05pt;z-index:251658240;visibility:visible;mso-wrap-style:non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" o:allowincell="f" stroked="f">
                <v:textbox style="mso-fit-shape-to-text:t" inset="0,0,0,0">
                  <w:txbxContent>
                    <w:p w14:paraId="75D9F9AC" w14:textId="77777777" w:rsidR="009C758C" w:rsidRDefault="00E832B3" w:rsidP="00AA0057">
                      <w:pPr>
                        <w:ind w:left="1134"/>
                        <w:rPr>
                          <w:szCs w:val="24"/>
                          <w:lang w:eastAsia="en-GB"/>
                        </w:rPr>
                      </w:pPr>
                      <w:r>
                        <w:rPr>
                          <w:noProof/>
                          <w:sz w:val="20"/>
                          <w:lang w:val="pl-PL" w:eastAsia="pl-PL"/>
                        </w:rPr>
                        <w:drawing>
                          <wp:inline distT="0" distB="0" distL="0" distR="0" wp14:anchorId="79EBC8B0" wp14:editId="657EF242">
                            <wp:extent cx="2114550" cy="117983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4550" cy="1179830"/>
                                    </a:xfrm>
                                    <a:prstGeom prst="rect">
                                      <a:avLst/>
                                    </a:prstGeom>
                                    <a:noFill/>
                                    <a:ln>
                                      <a:noFill/>
                                    </a:ln>
                                  </pic:spPr>
                                </pic:pic>
                              </a:graphicData>
                            </a:graphic>
                          </wp:inline>
                        </w:drawing>
                      </w:r>
                    </w:p>
                  </w:txbxContent>
                </v:textbox>
                <w10:wrap type="square" side="right" anchorx="margin"/>
              </v:shape>
            </w:pict>
          </mc:Fallback>
        </mc:AlternateContent>
      </w:r>
      <w:r w:rsidR="009C758C">
        <w:rPr>
          <w:bCs/>
        </w:rPr>
        <w:tab/>
      </w:r>
    </w:p>
    <w:p w14:paraId="33CB9744" w14:textId="77777777" w:rsidR="009C758C" w:rsidRDefault="009C758C" w:rsidP="00AA0057">
      <w:pPr>
        <w:widowControl w:val="0"/>
        <w:tabs>
          <w:tab w:val="left" w:pos="-720"/>
          <w:tab w:val="left" w:pos="2154"/>
          <w:tab w:val="right" w:leader="dot" w:pos="5664"/>
          <w:tab w:val="right" w:leader="dot" w:pos="9062"/>
        </w:tabs>
        <w:jc w:val="both"/>
        <w:rPr>
          <w:bCs/>
        </w:rPr>
      </w:pPr>
    </w:p>
    <w:p w14:paraId="2476E4B8" w14:textId="77777777" w:rsidR="009C758C" w:rsidRPr="00196926" w:rsidRDefault="009C758C" w:rsidP="00196926">
      <w:pPr>
        <w:widowControl w:val="0"/>
        <w:tabs>
          <w:tab w:val="left" w:pos="-720"/>
          <w:tab w:val="left" w:pos="2154"/>
          <w:tab w:val="right" w:leader="dot" w:pos="5664"/>
          <w:tab w:val="right" w:leader="dot" w:pos="9062"/>
        </w:tabs>
        <w:spacing w:after="240"/>
        <w:jc w:val="both"/>
        <w:rPr>
          <w:rFonts w:ascii="Times New Roman" w:hAnsi="Times New Roman"/>
          <w:b/>
          <w:sz w:val="36"/>
          <w:szCs w:val="36"/>
        </w:rPr>
      </w:pPr>
      <w:r w:rsidRPr="00196926">
        <w:rPr>
          <w:rFonts w:ascii="Times New Roman" w:hAnsi="Times New Roman"/>
          <w:b/>
          <w:sz w:val="36"/>
          <w:szCs w:val="36"/>
        </w:rPr>
        <w:t>67 R</w:t>
      </w:r>
      <w:r>
        <w:rPr>
          <w:rFonts w:ascii="Times New Roman" w:hAnsi="Times New Roman"/>
          <w:b/>
          <w:sz w:val="36"/>
          <w:szCs w:val="36"/>
        </w:rPr>
        <w:t>-</w:t>
      </w:r>
      <w:r w:rsidRPr="00196926">
        <w:rPr>
          <w:rFonts w:ascii="Times New Roman" w:hAnsi="Times New Roman"/>
          <w:b/>
          <w:sz w:val="36"/>
          <w:szCs w:val="36"/>
        </w:rPr>
        <w:t>012439</w:t>
      </w:r>
      <w:r w:rsidRPr="00196926">
        <w:rPr>
          <w:rFonts w:ascii="Times New Roman" w:hAnsi="Times New Roman"/>
          <w:b/>
          <w:bCs/>
          <w:color w:val="FF0000"/>
          <w:sz w:val="36"/>
          <w:szCs w:val="36"/>
        </w:rPr>
        <w:t>*02</w:t>
      </w:r>
      <w:r w:rsidRPr="00196926">
        <w:rPr>
          <w:rFonts w:ascii="Times New Roman" w:hAnsi="Times New Roman"/>
          <w:b/>
          <w:bCs/>
          <w:color w:val="FF0000"/>
          <w:sz w:val="36"/>
          <w:szCs w:val="36"/>
          <w:vertAlign w:val="superscript"/>
        </w:rPr>
        <w:t>2</w:t>
      </w:r>
      <w:r w:rsidRPr="00196926">
        <w:rPr>
          <w:b/>
          <w:bCs/>
          <w:color w:val="FF0000"/>
          <w:sz w:val="36"/>
          <w:szCs w:val="36"/>
          <w:vertAlign w:val="superscript"/>
        </w:rPr>
        <w:t xml:space="preserve">    </w:t>
      </w:r>
      <w:r w:rsidRPr="00196926">
        <w:rPr>
          <w:rFonts w:ascii="Times New Roman" w:hAnsi="Times New Roman"/>
          <w:b/>
          <w:sz w:val="36"/>
          <w:szCs w:val="36"/>
        </w:rPr>
        <w:t>CLASS #</w:t>
      </w:r>
      <w:r w:rsidRPr="00196926">
        <w:rPr>
          <w:rFonts w:ascii="Times New Roman" w:hAnsi="Times New Roman"/>
          <w:bCs/>
          <w:sz w:val="36"/>
          <w:szCs w:val="36"/>
          <w:vertAlign w:val="superscript"/>
        </w:rPr>
        <w:t>1</w:t>
      </w:r>
    </w:p>
    <w:p w14:paraId="00313898" w14:textId="77777777" w:rsidR="009C758C" w:rsidRPr="0046143D" w:rsidRDefault="009C758C" w:rsidP="00AA0057">
      <w:pPr>
        <w:widowControl w:val="0"/>
        <w:tabs>
          <w:tab w:val="left" w:pos="-720"/>
          <w:tab w:val="left" w:pos="2154"/>
          <w:tab w:val="right" w:leader="dot" w:pos="5664"/>
          <w:tab w:val="right" w:leader="dot" w:pos="9062"/>
        </w:tabs>
        <w:jc w:val="both"/>
        <w:rPr>
          <w:rFonts w:ascii="Times New Roman" w:hAnsi="Times New Roman"/>
          <w:bCs/>
          <w:sz w:val="32"/>
        </w:rPr>
      </w:pPr>
    </w:p>
    <w:p w14:paraId="7B54D936" w14:textId="77777777" w:rsidR="009C758C" w:rsidRPr="005A7E20" w:rsidRDefault="009C758C" w:rsidP="005A7E20">
      <w:pPr>
        <w:widowControl w:val="0"/>
        <w:tabs>
          <w:tab w:val="left" w:pos="-720"/>
          <w:tab w:val="left" w:pos="1080"/>
          <w:tab w:val="left" w:pos="1920"/>
          <w:tab w:val="right" w:leader="dot" w:pos="2127"/>
          <w:tab w:val="right" w:leader="dot" w:pos="9062"/>
        </w:tabs>
        <w:rPr>
          <w:rFonts w:ascii="Times New Roman" w:hAnsi="Times New Roman"/>
          <w:bCs/>
          <w:sz w:val="20"/>
        </w:rPr>
      </w:pPr>
      <w:proofErr w:type="gramStart"/>
      <w:r w:rsidRPr="005A7E20">
        <w:rPr>
          <w:rFonts w:ascii="Times New Roman" w:hAnsi="Times New Roman"/>
          <w:bCs/>
        </w:rPr>
        <w:t>a</w:t>
      </w:r>
      <w:proofErr w:type="gramEnd"/>
      <w:r w:rsidRPr="005A7E20">
        <w:rPr>
          <w:rFonts w:ascii="Times New Roman" w:hAnsi="Times New Roman"/>
          <w:bCs/>
          <w:sz w:val="20"/>
        </w:rPr>
        <w:t xml:space="preserve"> </w:t>
      </w:r>
      <w:r w:rsidRPr="005A7E20">
        <w:rPr>
          <w:rFonts w:ascii="Times New Roman" w:hAnsi="Times New Roman"/>
          <w:bCs/>
          <w:sz w:val="20"/>
          <w:szCs w:val="20"/>
        </w:rPr>
        <w:sym w:font="Symbol" w:char="F0B3"/>
      </w:r>
      <w:r w:rsidRPr="005A7E20">
        <w:rPr>
          <w:rFonts w:ascii="Times New Roman" w:hAnsi="Times New Roman"/>
          <w:bCs/>
          <w:sz w:val="20"/>
        </w:rPr>
        <w:t xml:space="preserve"> </w:t>
      </w:r>
      <w:smartTag w:uri="urn:schemas-microsoft-com:office:smarttags" w:element="metricconverter">
        <w:smartTagPr>
          <w:attr w:name="ProductID" w:val="5 mm"/>
        </w:smartTagPr>
        <w:r w:rsidRPr="005A7E20">
          <w:rPr>
            <w:rFonts w:ascii="Times New Roman" w:hAnsi="Times New Roman"/>
            <w:bCs/>
            <w:sz w:val="20"/>
          </w:rPr>
          <w:t>5 mm</w:t>
        </w:r>
      </w:smartTag>
    </w:p>
    <w:p w14:paraId="011DDD17" w14:textId="77777777" w:rsidR="009C758C" w:rsidRDefault="009C758C" w:rsidP="00AA0057">
      <w:pPr>
        <w:widowControl w:val="0"/>
        <w:tabs>
          <w:tab w:val="left" w:pos="-720"/>
          <w:tab w:val="left" w:pos="1080"/>
          <w:tab w:val="left" w:pos="1920"/>
          <w:tab w:val="right" w:leader="dot" w:pos="5664"/>
          <w:tab w:val="right" w:leader="dot" w:pos="9062"/>
        </w:tabs>
        <w:ind w:firstLine="7230"/>
        <w:jc w:val="both"/>
        <w:rPr>
          <w:bCs/>
        </w:rPr>
      </w:pPr>
    </w:p>
    <w:p w14:paraId="71B76F94" w14:textId="77777777" w:rsidR="009C758C" w:rsidRPr="005A7E20" w:rsidRDefault="009C758C" w:rsidP="00AA0057">
      <w:pPr>
        <w:widowControl w:val="0"/>
        <w:tabs>
          <w:tab w:val="left" w:pos="-720"/>
          <w:tab w:val="left" w:pos="1080"/>
          <w:tab w:val="left" w:pos="1920"/>
          <w:tab w:val="right" w:leader="dot" w:pos="5664"/>
          <w:tab w:val="right" w:leader="dot" w:pos="9062"/>
        </w:tabs>
        <w:jc w:val="both"/>
        <w:rPr>
          <w:rFonts w:ascii="Times New Roman" w:hAnsi="Times New Roman"/>
          <w:bCs/>
          <w:sz w:val="20"/>
        </w:rPr>
      </w:pPr>
      <w:r>
        <w:rPr>
          <w:bCs/>
        </w:rPr>
        <w:tab/>
      </w:r>
      <w:proofErr w:type="gramStart"/>
      <w:r w:rsidRPr="005A7E20">
        <w:rPr>
          <w:rFonts w:ascii="Times New Roman" w:hAnsi="Times New Roman"/>
          <w:bCs/>
          <w:sz w:val="18"/>
          <w:szCs w:val="18"/>
          <w:vertAlign w:val="superscript"/>
        </w:rPr>
        <w:t>1</w:t>
      </w:r>
      <w:r w:rsidRPr="005A7E20">
        <w:rPr>
          <w:rFonts w:ascii="Times New Roman" w:hAnsi="Times New Roman"/>
          <w:bCs/>
        </w:rPr>
        <w:t xml:space="preserve">  </w:t>
      </w:r>
      <w:r w:rsidRPr="005A7E20">
        <w:rPr>
          <w:rFonts w:ascii="Times New Roman" w:hAnsi="Times New Roman"/>
          <w:bCs/>
          <w:sz w:val="20"/>
        </w:rPr>
        <w:t>Class</w:t>
      </w:r>
      <w:proofErr w:type="gramEnd"/>
      <w:r w:rsidRPr="005A7E20">
        <w:rPr>
          <w:rFonts w:ascii="Times New Roman" w:hAnsi="Times New Roman"/>
          <w:bCs/>
          <w:sz w:val="20"/>
        </w:rPr>
        <w:t xml:space="preserve"> 0, 1, 2, 2A or 3</w:t>
      </w:r>
    </w:p>
    <w:p w14:paraId="254071C3" w14:textId="77777777" w:rsidR="009C758C" w:rsidRPr="005A7E20" w:rsidRDefault="009C758C" w:rsidP="0046143D">
      <w:pPr>
        <w:widowControl w:val="0"/>
        <w:tabs>
          <w:tab w:val="left" w:pos="-720"/>
          <w:tab w:val="left" w:pos="1080"/>
          <w:tab w:val="left" w:pos="1920"/>
          <w:tab w:val="right" w:leader="dot" w:pos="5664"/>
          <w:tab w:val="right" w:leader="dot" w:pos="9062"/>
        </w:tabs>
        <w:jc w:val="both"/>
        <w:rPr>
          <w:rFonts w:ascii="Times New Roman" w:hAnsi="Times New Roman"/>
          <w:bCs/>
          <w:sz w:val="20"/>
        </w:rPr>
      </w:pPr>
      <w:r w:rsidRPr="005A7E20">
        <w:rPr>
          <w:rFonts w:ascii="Times New Roman" w:hAnsi="Times New Roman"/>
          <w:bCs/>
        </w:rPr>
        <w:tab/>
        <w:t xml:space="preserve"> </w:t>
      </w:r>
      <w:r w:rsidRPr="005A7E20">
        <w:rPr>
          <w:rFonts w:ascii="Times New Roman" w:hAnsi="Times New Roman"/>
          <w:bCs/>
          <w:color w:val="FF0000"/>
          <w:sz w:val="18"/>
          <w:szCs w:val="18"/>
          <w:vertAlign w:val="superscript"/>
        </w:rPr>
        <w:t>2</w:t>
      </w:r>
      <w:r w:rsidRPr="005A7E20">
        <w:rPr>
          <w:rFonts w:ascii="Times New Roman" w:hAnsi="Times New Roman"/>
          <w:bCs/>
          <w:color w:val="FF0000"/>
        </w:rPr>
        <w:t xml:space="preserve"> </w:t>
      </w:r>
      <w:r w:rsidRPr="005A7E20">
        <w:rPr>
          <w:rFonts w:ascii="Times New Roman" w:hAnsi="Times New Roman"/>
          <w:bCs/>
          <w:color w:val="FF0000"/>
          <w:sz w:val="20"/>
        </w:rPr>
        <w:t>Number of extension</w:t>
      </w:r>
    </w:p>
    <w:p w14:paraId="3459018F" w14:textId="77777777" w:rsidR="009C758C" w:rsidRDefault="009C758C" w:rsidP="00AA0057">
      <w:pPr>
        <w:widowControl w:val="0"/>
        <w:tabs>
          <w:tab w:val="left" w:pos="-720"/>
          <w:tab w:val="left" w:pos="1080"/>
          <w:tab w:val="left" w:pos="1920"/>
          <w:tab w:val="right" w:leader="dot" w:pos="5664"/>
          <w:tab w:val="right" w:leader="dot" w:pos="9062"/>
        </w:tabs>
        <w:jc w:val="both"/>
        <w:rPr>
          <w:bCs/>
        </w:rPr>
      </w:pPr>
    </w:p>
    <w:p w14:paraId="559D9BDF" w14:textId="3CD7660E" w:rsidR="009C758C" w:rsidRPr="0046143D" w:rsidRDefault="009C758C" w:rsidP="0046143D">
      <w:pPr>
        <w:ind w:left="1701"/>
        <w:jc w:val="both"/>
        <w:rPr>
          <w:rFonts w:ascii="Times New Roman" w:hAnsi="Times New Roman"/>
          <w:b/>
        </w:rPr>
      </w:pPr>
      <w:r w:rsidRPr="0046143D">
        <w:rPr>
          <w:rFonts w:ascii="Times New Roman" w:hAnsi="Times New Roman"/>
        </w:rPr>
        <w:t xml:space="preserve">The above approval mark affixed to the LPG equipment shows that this equipment has been approved in the </w:t>
      </w:r>
      <w:smartTag w:uri="urn:schemas-microsoft-com:office:smarttags" w:element="country-region">
        <w:smartTag w:uri="urn:schemas-microsoft-com:office:smarttags" w:element="place">
          <w:r w:rsidRPr="0046143D">
            <w:rPr>
              <w:rFonts w:ascii="Times New Roman" w:hAnsi="Times New Roman"/>
            </w:rPr>
            <w:t>Netherlands</w:t>
          </w:r>
        </w:smartTag>
      </w:smartTag>
      <w:r w:rsidRPr="0046143D">
        <w:rPr>
          <w:rFonts w:ascii="Times New Roman" w:hAnsi="Times New Roman"/>
        </w:rPr>
        <w:t xml:space="preserve"> (E 4), pursuant to Regulation No. 67 under approval number 012439, </w:t>
      </w:r>
      <w:r w:rsidRPr="0046143D">
        <w:rPr>
          <w:rFonts w:ascii="Times New Roman" w:hAnsi="Times New Roman"/>
          <w:b/>
          <w:color w:val="FF0000"/>
        </w:rPr>
        <w:t>second extension</w:t>
      </w:r>
      <w:r>
        <w:rPr>
          <w:rFonts w:ascii="Times New Roman" w:hAnsi="Times New Roman"/>
          <w:b/>
          <w:color w:val="FF0000"/>
        </w:rPr>
        <w:t xml:space="preserve"> of type-approval</w:t>
      </w:r>
      <w:r w:rsidRPr="0046143D">
        <w:rPr>
          <w:rFonts w:ascii="Times New Roman" w:hAnsi="Times New Roman"/>
        </w:rPr>
        <w:t>.  The first two digits of the approval number indicate that the approval was granted in accordance with the requirements of Regulation No. 67 as amended by the 01 series of amendments.</w:t>
      </w:r>
      <w:r w:rsidRPr="0046143D">
        <w:rPr>
          <w:rFonts w:ascii="Times New Roman" w:hAnsi="Times New Roman"/>
          <w:b/>
          <w:color w:val="FF0000"/>
        </w:rPr>
        <w:t xml:space="preserve"> The number of extension (</w:t>
      </w:r>
      <w:smartTag w:uri="urn:schemas-microsoft-com:office:smarttags" w:element="metricconverter">
        <w:smartTagPr>
          <w:attr w:name="ProductID" w:val="02 in"/>
        </w:smartTagPr>
        <w:r w:rsidRPr="0046143D">
          <w:rPr>
            <w:rFonts w:ascii="Times New Roman" w:hAnsi="Times New Roman"/>
            <w:b/>
            <w:color w:val="FF0000"/>
          </w:rPr>
          <w:t>02 in</w:t>
        </w:r>
      </w:smartTag>
      <w:r w:rsidR="0021257D">
        <w:rPr>
          <w:rFonts w:ascii="Times New Roman" w:hAnsi="Times New Roman"/>
          <w:b/>
          <w:color w:val="FF0000"/>
        </w:rPr>
        <w:t xml:space="preserve"> the example) is</w:t>
      </w:r>
      <w:r w:rsidRPr="0046143D">
        <w:rPr>
          <w:rFonts w:ascii="Times New Roman" w:hAnsi="Times New Roman"/>
          <w:b/>
          <w:color w:val="FF0000"/>
        </w:rPr>
        <w:t xml:space="preserve"> preceded by </w:t>
      </w:r>
      <w:r w:rsidR="0021257D">
        <w:rPr>
          <w:rFonts w:ascii="Times New Roman" w:hAnsi="Times New Roman"/>
          <w:b/>
          <w:color w:val="FF0000"/>
        </w:rPr>
        <w:t xml:space="preserve">an </w:t>
      </w:r>
      <w:proofErr w:type="spellStart"/>
      <w:r w:rsidR="0021257D">
        <w:rPr>
          <w:rFonts w:ascii="Times New Roman" w:hAnsi="Times New Roman"/>
          <w:b/>
          <w:color w:val="FF0000"/>
        </w:rPr>
        <w:t>asterix</w:t>
      </w:r>
      <w:proofErr w:type="spellEnd"/>
      <w:r w:rsidR="0021257D">
        <w:rPr>
          <w:rFonts w:ascii="Times New Roman" w:hAnsi="Times New Roman"/>
          <w:b/>
          <w:color w:val="FF0000"/>
        </w:rPr>
        <w:t xml:space="preserve">. </w:t>
      </w:r>
    </w:p>
    <w:p w14:paraId="1A719A72" w14:textId="77777777" w:rsidR="009C758C" w:rsidRDefault="009C758C" w:rsidP="00AA0057">
      <w:pPr>
        <w:pStyle w:val="Para"/>
        <w:ind w:firstLine="567"/>
        <w:rPr>
          <w:lang w:val="en-GB"/>
        </w:rPr>
      </w:pPr>
    </w:p>
    <w:p w14:paraId="133ED87D" w14:textId="77777777" w:rsidR="009C758C" w:rsidRDefault="009C758C" w:rsidP="00F55901">
      <w:pPr>
        <w:ind w:left="600" w:right="1134"/>
        <w:jc w:val="both"/>
        <w:rPr>
          <w:b/>
          <w:bCs/>
          <w:sz w:val="28"/>
          <w:szCs w:val="28"/>
        </w:rPr>
      </w:pPr>
    </w:p>
    <w:p w14:paraId="4CD100B3" w14:textId="77777777" w:rsidR="009C758C" w:rsidRPr="009A7657" w:rsidRDefault="009C758C" w:rsidP="00165F40">
      <w:pPr>
        <w:spacing w:after="0" w:line="240" w:lineRule="auto"/>
        <w:jc w:val="both"/>
        <w:rPr>
          <w:rFonts w:ascii="Times New Roman" w:hAnsi="Times New Roman"/>
          <w:b/>
          <w:sz w:val="24"/>
          <w:szCs w:val="24"/>
          <w:lang w:val="pl-PL"/>
        </w:rPr>
      </w:pPr>
      <w:r w:rsidRPr="009A7657">
        <w:rPr>
          <w:rFonts w:ascii="Times New Roman" w:hAnsi="Times New Roman"/>
          <w:b/>
          <w:sz w:val="24"/>
          <w:szCs w:val="24"/>
          <w:lang w:val="pl-PL"/>
        </w:rPr>
        <w:t>II.</w:t>
      </w:r>
      <w:r w:rsidRPr="009A7657">
        <w:rPr>
          <w:rFonts w:ascii="Times New Roman" w:hAnsi="Times New Roman"/>
          <w:b/>
          <w:sz w:val="24"/>
          <w:szCs w:val="24"/>
          <w:lang w:val="pl-PL"/>
        </w:rPr>
        <w:tab/>
        <w:t>JUSTIFICATION</w:t>
      </w:r>
    </w:p>
    <w:p w14:paraId="0914C226" w14:textId="77777777" w:rsidR="009C758C" w:rsidRPr="009A7657" w:rsidRDefault="009C758C" w:rsidP="009A3BCD">
      <w:pPr>
        <w:spacing w:after="0" w:line="240" w:lineRule="auto"/>
        <w:rPr>
          <w:rFonts w:ascii="Times New Roman" w:hAnsi="Times New Roman"/>
          <w:sz w:val="24"/>
          <w:szCs w:val="24"/>
          <w:lang w:val="pl-PL"/>
        </w:rPr>
      </w:pPr>
    </w:p>
    <w:p w14:paraId="40373F22" w14:textId="2B5A7F2D" w:rsidR="009C758C" w:rsidRPr="00FD5868" w:rsidRDefault="009C758C" w:rsidP="009A7657">
      <w:pPr>
        <w:spacing w:after="0" w:line="240" w:lineRule="auto"/>
        <w:ind w:firstLine="284"/>
        <w:jc w:val="both"/>
        <w:rPr>
          <w:rFonts w:ascii="Times New Roman" w:hAnsi="Times New Roman"/>
          <w:sz w:val="24"/>
          <w:szCs w:val="24"/>
        </w:rPr>
      </w:pPr>
      <w:r w:rsidRPr="001071B6">
        <w:rPr>
          <w:rFonts w:ascii="Times New Roman" w:hAnsi="Times New Roman"/>
          <w:sz w:val="24"/>
          <w:szCs w:val="24"/>
        </w:rPr>
        <w:t xml:space="preserve">As </w:t>
      </w:r>
      <w:r w:rsidR="003C7DF9" w:rsidRPr="00FD5868">
        <w:rPr>
          <w:rFonts w:ascii="Times New Roman" w:hAnsi="Times New Roman"/>
          <w:sz w:val="24"/>
          <w:szCs w:val="24"/>
        </w:rPr>
        <w:t xml:space="preserve">stated </w:t>
      </w:r>
      <w:r w:rsidRPr="00FD5868">
        <w:rPr>
          <w:rFonts w:ascii="Times New Roman" w:hAnsi="Times New Roman"/>
          <w:sz w:val="24"/>
          <w:szCs w:val="24"/>
        </w:rPr>
        <w:t>in ECE/TRANS/WP.29/GRSG/2017/10, GRSG-112-20 a</w:t>
      </w:r>
      <w:r w:rsidR="006021BD">
        <w:rPr>
          <w:rFonts w:ascii="Times New Roman" w:hAnsi="Times New Roman"/>
          <w:sz w:val="24"/>
          <w:szCs w:val="24"/>
        </w:rPr>
        <w:t>nd ECE/TRANS/WP.29/GRSG/2017/30</w:t>
      </w:r>
      <w:r w:rsidRPr="00FD5868">
        <w:rPr>
          <w:rFonts w:ascii="Times New Roman" w:hAnsi="Times New Roman"/>
          <w:sz w:val="24"/>
          <w:szCs w:val="24"/>
        </w:rPr>
        <w:t>, the currently used component</w:t>
      </w:r>
      <w:r w:rsidR="006021BD">
        <w:rPr>
          <w:rFonts w:ascii="Times New Roman" w:hAnsi="Times New Roman"/>
          <w:sz w:val="24"/>
          <w:szCs w:val="24"/>
        </w:rPr>
        <w:t>s</w:t>
      </w:r>
      <w:r w:rsidRPr="00FD5868">
        <w:rPr>
          <w:rFonts w:ascii="Times New Roman" w:hAnsi="Times New Roman"/>
          <w:sz w:val="24"/>
          <w:szCs w:val="24"/>
        </w:rPr>
        <w:t xml:space="preserve"> labelling system has significant drawbacks</w:t>
      </w:r>
      <w:r w:rsidR="006021BD">
        <w:rPr>
          <w:rFonts w:ascii="Times New Roman" w:hAnsi="Times New Roman"/>
          <w:sz w:val="24"/>
          <w:szCs w:val="24"/>
        </w:rPr>
        <w:t>.</w:t>
      </w:r>
      <w:r w:rsidR="006021BD" w:rsidRPr="00FD5868">
        <w:rPr>
          <w:rFonts w:ascii="Times New Roman" w:hAnsi="Times New Roman"/>
          <w:sz w:val="24"/>
          <w:szCs w:val="24"/>
        </w:rPr>
        <w:t xml:space="preserve"> </w:t>
      </w:r>
      <w:r w:rsidR="006021BD">
        <w:rPr>
          <w:rFonts w:ascii="Times New Roman" w:hAnsi="Times New Roman"/>
          <w:sz w:val="24"/>
          <w:szCs w:val="24"/>
        </w:rPr>
        <w:t>T</w:t>
      </w:r>
      <w:r w:rsidRPr="00FD5868">
        <w:rPr>
          <w:rFonts w:ascii="Times New Roman" w:hAnsi="Times New Roman"/>
          <w:sz w:val="24"/>
          <w:szCs w:val="24"/>
        </w:rPr>
        <w:t>he identification of the components</w:t>
      </w:r>
      <w:r w:rsidR="0028657C">
        <w:rPr>
          <w:rFonts w:ascii="Times New Roman" w:hAnsi="Times New Roman"/>
          <w:sz w:val="24"/>
          <w:szCs w:val="24"/>
        </w:rPr>
        <w:t>,</w:t>
      </w:r>
      <w:r w:rsidRPr="00FD5868">
        <w:rPr>
          <w:rFonts w:ascii="Times New Roman" w:hAnsi="Times New Roman"/>
          <w:sz w:val="24"/>
          <w:szCs w:val="24"/>
        </w:rPr>
        <w:t xml:space="preserve"> for which the type-approval certificate</w:t>
      </w:r>
      <w:r w:rsidR="0028657C">
        <w:rPr>
          <w:rFonts w:ascii="Times New Roman" w:hAnsi="Times New Roman"/>
          <w:sz w:val="24"/>
          <w:szCs w:val="24"/>
        </w:rPr>
        <w:t>s</w:t>
      </w:r>
      <w:r w:rsidRPr="00FD5868">
        <w:rPr>
          <w:rFonts w:ascii="Times New Roman" w:hAnsi="Times New Roman"/>
          <w:sz w:val="24"/>
          <w:szCs w:val="24"/>
        </w:rPr>
        <w:t xml:space="preserve"> w</w:t>
      </w:r>
      <w:r w:rsidR="0028657C">
        <w:rPr>
          <w:rFonts w:ascii="Times New Roman" w:hAnsi="Times New Roman"/>
          <w:sz w:val="24"/>
          <w:szCs w:val="24"/>
        </w:rPr>
        <w:t xml:space="preserve">ere </w:t>
      </w:r>
      <w:r w:rsidRPr="00FD5868">
        <w:rPr>
          <w:rFonts w:ascii="Times New Roman" w:hAnsi="Times New Roman"/>
          <w:sz w:val="24"/>
          <w:szCs w:val="24"/>
        </w:rPr>
        <w:t>issued</w:t>
      </w:r>
      <w:r w:rsidR="0028657C">
        <w:rPr>
          <w:rFonts w:ascii="Times New Roman" w:hAnsi="Times New Roman"/>
          <w:sz w:val="24"/>
          <w:szCs w:val="24"/>
        </w:rPr>
        <w:t>, is insufficient and therefore s</w:t>
      </w:r>
      <w:r w:rsidR="006021BD">
        <w:rPr>
          <w:rFonts w:ascii="Times New Roman" w:hAnsi="Times New Roman"/>
          <w:sz w:val="24"/>
          <w:szCs w:val="24"/>
        </w:rPr>
        <w:t>hall be changed</w:t>
      </w:r>
      <w:r w:rsidRPr="006021BD">
        <w:rPr>
          <w:rFonts w:ascii="Times New Roman" w:hAnsi="Times New Roman"/>
          <w:sz w:val="24"/>
          <w:szCs w:val="24"/>
        </w:rPr>
        <w:t>.</w:t>
      </w:r>
      <w:r w:rsidRPr="00FD5868">
        <w:rPr>
          <w:rFonts w:ascii="Times New Roman" w:hAnsi="Times New Roman"/>
          <w:sz w:val="24"/>
          <w:szCs w:val="24"/>
        </w:rPr>
        <w:t xml:space="preserve"> </w:t>
      </w:r>
    </w:p>
    <w:p w14:paraId="227DC755" w14:textId="77777777" w:rsidR="009C758C" w:rsidRPr="00FD5868" w:rsidRDefault="009C758C" w:rsidP="009A7657">
      <w:pPr>
        <w:spacing w:after="0" w:line="240" w:lineRule="auto"/>
        <w:ind w:firstLine="284"/>
        <w:jc w:val="both"/>
        <w:rPr>
          <w:rFonts w:ascii="Times New Roman" w:hAnsi="Times New Roman"/>
          <w:sz w:val="24"/>
          <w:szCs w:val="24"/>
        </w:rPr>
      </w:pPr>
    </w:p>
    <w:p w14:paraId="4E54C266" w14:textId="722BCC27" w:rsidR="009C758C" w:rsidRPr="001071B6" w:rsidRDefault="009C758C" w:rsidP="005A4139">
      <w:pPr>
        <w:spacing w:after="0" w:line="240" w:lineRule="auto"/>
        <w:ind w:firstLine="284"/>
        <w:jc w:val="both"/>
        <w:rPr>
          <w:rFonts w:ascii="Times New Roman" w:hAnsi="Times New Roman"/>
          <w:sz w:val="24"/>
          <w:szCs w:val="24"/>
        </w:rPr>
      </w:pPr>
      <w:r w:rsidRPr="00FD5868">
        <w:rPr>
          <w:rFonts w:ascii="Times New Roman" w:hAnsi="Times New Roman"/>
          <w:sz w:val="24"/>
          <w:szCs w:val="24"/>
        </w:rPr>
        <w:t xml:space="preserve">Regulation </w:t>
      </w:r>
      <w:r w:rsidR="003C7DF9" w:rsidRPr="00FD5868">
        <w:rPr>
          <w:rFonts w:ascii="Times New Roman" w:hAnsi="Times New Roman"/>
          <w:sz w:val="24"/>
          <w:szCs w:val="24"/>
        </w:rPr>
        <w:t xml:space="preserve">No. </w:t>
      </w:r>
      <w:r w:rsidRPr="00FD5868">
        <w:rPr>
          <w:rFonts w:ascii="Times New Roman" w:hAnsi="Times New Roman"/>
          <w:sz w:val="24"/>
          <w:szCs w:val="24"/>
        </w:rPr>
        <w:t xml:space="preserve">67 does not envisage such concepts as versions and variants of a given type, i.e. the manufacturing of technically differentiated </w:t>
      </w:r>
      <w:r w:rsidRPr="001071B6">
        <w:rPr>
          <w:rFonts w:ascii="Times New Roman" w:hAnsi="Times New Roman"/>
          <w:sz w:val="24"/>
          <w:szCs w:val="24"/>
        </w:rPr>
        <w:t xml:space="preserve">products, covered </w:t>
      </w:r>
      <w:r w:rsidRPr="00FD5868">
        <w:rPr>
          <w:rFonts w:ascii="Times New Roman" w:hAnsi="Times New Roman"/>
          <w:sz w:val="24"/>
          <w:szCs w:val="24"/>
        </w:rPr>
        <w:t>by a single type-approval certificate. However, the practice of the type-approval activities under R</w:t>
      </w:r>
      <w:r w:rsidR="00F95817" w:rsidRPr="00FD5868">
        <w:rPr>
          <w:rFonts w:ascii="Times New Roman" w:hAnsi="Times New Roman"/>
          <w:sz w:val="24"/>
          <w:szCs w:val="24"/>
        </w:rPr>
        <w:t xml:space="preserve">egulation </w:t>
      </w:r>
      <w:r w:rsidR="003D184B" w:rsidRPr="00FD5868">
        <w:rPr>
          <w:rFonts w:ascii="Times New Roman" w:hAnsi="Times New Roman"/>
          <w:sz w:val="24"/>
          <w:szCs w:val="24"/>
        </w:rPr>
        <w:t xml:space="preserve">No. </w:t>
      </w:r>
      <w:r w:rsidR="00F95817" w:rsidRPr="00FD5868">
        <w:rPr>
          <w:rFonts w:ascii="Times New Roman" w:hAnsi="Times New Roman"/>
          <w:sz w:val="24"/>
          <w:szCs w:val="24"/>
        </w:rPr>
        <w:t xml:space="preserve">67 </w:t>
      </w:r>
      <w:r w:rsidRPr="00FD5868">
        <w:rPr>
          <w:rFonts w:ascii="Times New Roman" w:hAnsi="Times New Roman"/>
          <w:sz w:val="24"/>
          <w:szCs w:val="24"/>
        </w:rPr>
        <w:t>has long ago introduc</w:t>
      </w:r>
      <w:r w:rsidR="0021257D">
        <w:rPr>
          <w:rFonts w:ascii="Times New Roman" w:hAnsi="Times New Roman"/>
          <w:sz w:val="24"/>
          <w:szCs w:val="24"/>
        </w:rPr>
        <w:t>ed the notion of a version and</w:t>
      </w:r>
      <w:r w:rsidRPr="00FD5868">
        <w:rPr>
          <w:rFonts w:ascii="Times New Roman" w:hAnsi="Times New Roman"/>
          <w:sz w:val="24"/>
          <w:szCs w:val="24"/>
        </w:rPr>
        <w:t xml:space="preserve"> variant of a type of device into the type-approval certificates</w:t>
      </w:r>
      <w:r w:rsidR="005A4139">
        <w:rPr>
          <w:rFonts w:ascii="Times New Roman" w:hAnsi="Times New Roman"/>
          <w:sz w:val="24"/>
          <w:szCs w:val="24"/>
        </w:rPr>
        <w:t>. T</w:t>
      </w:r>
      <w:r w:rsidRPr="00FD5868">
        <w:rPr>
          <w:rFonts w:ascii="Times New Roman" w:hAnsi="Times New Roman"/>
          <w:sz w:val="24"/>
          <w:szCs w:val="24"/>
        </w:rPr>
        <w:t xml:space="preserve">he absence of relevant provisions defining the type permits </w:t>
      </w:r>
      <w:r w:rsidRPr="001071B6">
        <w:rPr>
          <w:rFonts w:ascii="Times New Roman" w:hAnsi="Times New Roman"/>
          <w:sz w:val="24"/>
          <w:szCs w:val="24"/>
        </w:rPr>
        <w:t xml:space="preserve">the approval of completely different products </w:t>
      </w:r>
      <w:r w:rsidRPr="00E965A7">
        <w:rPr>
          <w:rFonts w:ascii="Times New Roman" w:hAnsi="Times New Roman"/>
          <w:sz w:val="24"/>
          <w:szCs w:val="24"/>
        </w:rPr>
        <w:t>and covering them with one</w:t>
      </w:r>
      <w:r w:rsidRPr="001071B6">
        <w:rPr>
          <w:rFonts w:ascii="Times New Roman" w:hAnsi="Times New Roman"/>
          <w:sz w:val="24"/>
          <w:szCs w:val="24"/>
        </w:rPr>
        <w:t xml:space="preserve"> single type-approval certificate.</w:t>
      </w:r>
    </w:p>
    <w:p w14:paraId="24B29793" w14:textId="77777777" w:rsidR="009C758C" w:rsidRPr="001071B6" w:rsidRDefault="009C758C" w:rsidP="009A7657">
      <w:pPr>
        <w:spacing w:after="0" w:line="240" w:lineRule="auto"/>
        <w:ind w:firstLine="284"/>
        <w:jc w:val="both"/>
        <w:rPr>
          <w:rFonts w:ascii="Times New Roman" w:hAnsi="Times New Roman"/>
          <w:sz w:val="24"/>
          <w:szCs w:val="24"/>
        </w:rPr>
      </w:pPr>
    </w:p>
    <w:p w14:paraId="726DB80B" w14:textId="0C2FEBB8" w:rsidR="009C758C" w:rsidRPr="001071B6" w:rsidRDefault="009C758C" w:rsidP="009A7657">
      <w:pPr>
        <w:spacing w:after="0" w:line="240" w:lineRule="auto"/>
        <w:ind w:firstLine="284"/>
        <w:jc w:val="both"/>
        <w:rPr>
          <w:rFonts w:ascii="Times New Roman" w:hAnsi="Times New Roman"/>
          <w:sz w:val="24"/>
          <w:szCs w:val="24"/>
        </w:rPr>
      </w:pPr>
      <w:r w:rsidRPr="001071B6">
        <w:rPr>
          <w:rFonts w:ascii="Times New Roman" w:hAnsi="Times New Roman"/>
          <w:sz w:val="24"/>
          <w:szCs w:val="24"/>
        </w:rPr>
        <w:t xml:space="preserve">In practice, in many cases it is not possible to unambiguously associate a component, only by its marking, with the list </w:t>
      </w:r>
      <w:r w:rsidRPr="005A4139">
        <w:rPr>
          <w:rFonts w:ascii="Times New Roman" w:hAnsi="Times New Roman"/>
          <w:sz w:val="24"/>
          <w:szCs w:val="24"/>
        </w:rPr>
        <w:t>of v</w:t>
      </w:r>
      <w:r w:rsidR="005A4139" w:rsidRPr="005A4139">
        <w:rPr>
          <w:rFonts w:ascii="Times New Roman" w:hAnsi="Times New Roman"/>
          <w:sz w:val="24"/>
          <w:szCs w:val="24"/>
        </w:rPr>
        <w:t>ersion</w:t>
      </w:r>
      <w:r w:rsidRPr="005A4139">
        <w:rPr>
          <w:rFonts w:ascii="Times New Roman" w:hAnsi="Times New Roman"/>
          <w:sz w:val="24"/>
          <w:szCs w:val="24"/>
        </w:rPr>
        <w:t xml:space="preserve"> and variants</w:t>
      </w:r>
      <w:r w:rsidRPr="001071B6">
        <w:rPr>
          <w:rFonts w:ascii="Times New Roman" w:hAnsi="Times New Roman"/>
          <w:sz w:val="24"/>
          <w:szCs w:val="24"/>
        </w:rPr>
        <w:t xml:space="preserve"> included in the type-approval certificates, so that the </w:t>
      </w:r>
      <w:r w:rsidR="005A4139">
        <w:rPr>
          <w:rFonts w:ascii="Times New Roman" w:hAnsi="Times New Roman"/>
          <w:sz w:val="24"/>
          <w:szCs w:val="24"/>
        </w:rPr>
        <w:t xml:space="preserve">LPG </w:t>
      </w:r>
      <w:r w:rsidRPr="001071B6">
        <w:rPr>
          <w:rFonts w:ascii="Times New Roman" w:hAnsi="Times New Roman"/>
          <w:sz w:val="24"/>
          <w:szCs w:val="24"/>
        </w:rPr>
        <w:t>system installers are unable to verify the components and may make mistake assembling the necessary components, while fitting the gas-installation kit in the vehicles.</w:t>
      </w:r>
    </w:p>
    <w:p w14:paraId="763A6F6F" w14:textId="77777777" w:rsidR="009C758C" w:rsidRPr="001071B6" w:rsidRDefault="009C758C" w:rsidP="009A7657">
      <w:pPr>
        <w:spacing w:after="0" w:line="240" w:lineRule="auto"/>
        <w:ind w:firstLine="284"/>
        <w:jc w:val="both"/>
        <w:rPr>
          <w:rFonts w:ascii="Times New Roman" w:hAnsi="Times New Roman"/>
          <w:sz w:val="24"/>
          <w:szCs w:val="24"/>
        </w:rPr>
      </w:pPr>
    </w:p>
    <w:p w14:paraId="3AD1F5D4" w14:textId="0C7BFB35" w:rsidR="009C758C" w:rsidRPr="001071B6" w:rsidRDefault="009C758C" w:rsidP="009A7657">
      <w:pPr>
        <w:spacing w:after="0" w:line="240" w:lineRule="auto"/>
        <w:ind w:firstLine="284"/>
        <w:jc w:val="both"/>
        <w:rPr>
          <w:rFonts w:ascii="Times New Roman" w:hAnsi="Times New Roman"/>
          <w:sz w:val="24"/>
          <w:szCs w:val="24"/>
        </w:rPr>
      </w:pPr>
      <w:r w:rsidRPr="001071B6">
        <w:rPr>
          <w:rFonts w:ascii="Times New Roman" w:hAnsi="Times New Roman"/>
          <w:sz w:val="24"/>
          <w:szCs w:val="24"/>
        </w:rPr>
        <w:t>There is currently no link between the designation of the components and the changes to their design resulting from periodic technical changes, which are covered by subsequent extensions of the type-approval certificate, but do not affect the component type-approval marking.</w:t>
      </w:r>
    </w:p>
    <w:p w14:paraId="23D08D46" w14:textId="77777777" w:rsidR="009C758C" w:rsidRPr="001071B6" w:rsidRDefault="009C758C" w:rsidP="009A7657">
      <w:pPr>
        <w:spacing w:after="0" w:line="240" w:lineRule="auto"/>
        <w:ind w:firstLine="284"/>
        <w:jc w:val="both"/>
        <w:rPr>
          <w:rFonts w:ascii="Times New Roman" w:hAnsi="Times New Roman"/>
          <w:sz w:val="24"/>
          <w:szCs w:val="24"/>
        </w:rPr>
      </w:pPr>
    </w:p>
    <w:p w14:paraId="12C8864E" w14:textId="50A64992" w:rsidR="009C758C" w:rsidRPr="001071B6" w:rsidRDefault="009C758C" w:rsidP="009A7657">
      <w:pPr>
        <w:spacing w:after="0" w:line="240" w:lineRule="auto"/>
        <w:ind w:firstLine="284"/>
        <w:jc w:val="both"/>
        <w:rPr>
          <w:rFonts w:ascii="Times New Roman" w:hAnsi="Times New Roman"/>
          <w:sz w:val="24"/>
          <w:szCs w:val="24"/>
        </w:rPr>
      </w:pPr>
      <w:r w:rsidRPr="001071B6">
        <w:rPr>
          <w:rFonts w:ascii="Times New Roman" w:hAnsi="Times New Roman"/>
          <w:sz w:val="24"/>
          <w:szCs w:val="24"/>
        </w:rPr>
        <w:t xml:space="preserve">It is therefore proposed to introduce the obligation to label the products with the designation of the version, variant and the number of type-approval certificate extension based on which the product </w:t>
      </w:r>
      <w:r w:rsidRPr="00FD5868">
        <w:rPr>
          <w:rFonts w:ascii="Times New Roman" w:hAnsi="Times New Roman"/>
          <w:sz w:val="24"/>
          <w:szCs w:val="24"/>
        </w:rPr>
        <w:t xml:space="preserve">was </w:t>
      </w:r>
      <w:r w:rsidR="003D184B" w:rsidRPr="00FD5868">
        <w:rPr>
          <w:rFonts w:ascii="Times New Roman" w:hAnsi="Times New Roman"/>
          <w:sz w:val="24"/>
          <w:szCs w:val="24"/>
        </w:rPr>
        <w:t xml:space="preserve">approved </w:t>
      </w:r>
      <w:r w:rsidRPr="001071B6">
        <w:rPr>
          <w:rFonts w:ascii="Times New Roman" w:hAnsi="Times New Roman"/>
          <w:sz w:val="24"/>
          <w:szCs w:val="24"/>
        </w:rPr>
        <w:t>for sale. This will ensure combining the technical documentation with the product designation and will improve the ability to verify the design of the components.</w:t>
      </w:r>
    </w:p>
    <w:p w14:paraId="31D529F1" w14:textId="77777777" w:rsidR="009C758C" w:rsidRPr="001071B6" w:rsidRDefault="009C758C" w:rsidP="009A7657">
      <w:pPr>
        <w:spacing w:after="0" w:line="240" w:lineRule="auto"/>
        <w:ind w:firstLine="284"/>
        <w:jc w:val="both"/>
        <w:rPr>
          <w:rFonts w:ascii="Times New Roman" w:hAnsi="Times New Roman"/>
          <w:sz w:val="24"/>
          <w:szCs w:val="24"/>
        </w:rPr>
      </w:pPr>
      <w:r w:rsidRPr="001071B6">
        <w:rPr>
          <w:rFonts w:ascii="Times New Roman" w:hAnsi="Times New Roman"/>
          <w:sz w:val="24"/>
          <w:szCs w:val="24"/>
        </w:rPr>
        <w:t>1. Introducing the obligation to mark the variant and version on the component (4.1.).</w:t>
      </w:r>
    </w:p>
    <w:p w14:paraId="59B6C097" w14:textId="5F384355" w:rsidR="009C758C" w:rsidRPr="001071B6" w:rsidRDefault="009C758C" w:rsidP="009A7657">
      <w:pPr>
        <w:spacing w:after="0" w:line="240" w:lineRule="auto"/>
        <w:ind w:firstLine="284"/>
        <w:jc w:val="both"/>
        <w:rPr>
          <w:rFonts w:ascii="Times New Roman" w:hAnsi="Times New Roman"/>
          <w:sz w:val="24"/>
          <w:szCs w:val="24"/>
        </w:rPr>
      </w:pPr>
      <w:r w:rsidRPr="001071B6">
        <w:rPr>
          <w:rFonts w:ascii="Times New Roman" w:hAnsi="Times New Roman"/>
          <w:sz w:val="24"/>
          <w:szCs w:val="24"/>
        </w:rPr>
        <w:t xml:space="preserve">2. Introduction of the type-approval certificate extension marking by modifying the type-approval labelling (Annex2A), according to the slightly modified AEGPL proposal contained in GRSG-112-20. The modification involves the application of the proposed type-approval marking for all components covered by UN Regulation </w:t>
      </w:r>
      <w:r w:rsidR="00927A59">
        <w:rPr>
          <w:rFonts w:ascii="Times New Roman" w:hAnsi="Times New Roman"/>
          <w:sz w:val="24"/>
          <w:szCs w:val="24"/>
        </w:rPr>
        <w:t xml:space="preserve">No. </w:t>
      </w:r>
      <w:r w:rsidRPr="001071B6">
        <w:rPr>
          <w:rFonts w:ascii="Times New Roman" w:hAnsi="Times New Roman"/>
          <w:sz w:val="24"/>
          <w:szCs w:val="24"/>
        </w:rPr>
        <w:t>67, i.e. the extending its applicability.</w:t>
      </w:r>
    </w:p>
    <w:p w14:paraId="530749FB" w14:textId="77777777" w:rsidR="009C758C" w:rsidRPr="001071B6" w:rsidRDefault="009C758C" w:rsidP="009A7657">
      <w:pPr>
        <w:spacing w:after="0" w:line="240" w:lineRule="auto"/>
        <w:ind w:firstLine="284"/>
        <w:jc w:val="both"/>
        <w:rPr>
          <w:rFonts w:ascii="Times New Roman" w:hAnsi="Times New Roman"/>
          <w:sz w:val="24"/>
          <w:szCs w:val="24"/>
        </w:rPr>
      </w:pPr>
    </w:p>
    <w:p w14:paraId="59ADF5F4" w14:textId="3BC89E96" w:rsidR="009C758C" w:rsidRPr="00B179F4" w:rsidRDefault="009C758C" w:rsidP="009A7657">
      <w:pPr>
        <w:spacing w:after="0" w:line="240" w:lineRule="auto"/>
        <w:ind w:firstLine="284"/>
        <w:jc w:val="both"/>
        <w:rPr>
          <w:rFonts w:ascii="Times New Roman" w:hAnsi="Times New Roman"/>
          <w:b/>
          <w:strike/>
          <w:sz w:val="24"/>
          <w:szCs w:val="24"/>
        </w:rPr>
      </w:pPr>
      <w:r w:rsidRPr="001071B6">
        <w:rPr>
          <w:rFonts w:ascii="Times New Roman" w:hAnsi="Times New Roman"/>
          <w:b/>
          <w:sz w:val="24"/>
          <w:szCs w:val="24"/>
        </w:rPr>
        <w:t xml:space="preserve">Comment to </w:t>
      </w:r>
      <w:r w:rsidR="00F463CE">
        <w:rPr>
          <w:rFonts w:ascii="Times New Roman" w:hAnsi="Times New Roman"/>
          <w:b/>
          <w:sz w:val="24"/>
          <w:szCs w:val="24"/>
        </w:rPr>
        <w:t>ECE/TRANS/WP.29/GRSG/2017/30</w:t>
      </w:r>
    </w:p>
    <w:p w14:paraId="01C16E55" w14:textId="77777777" w:rsidR="009C758C" w:rsidRPr="001071B6" w:rsidRDefault="009C758C" w:rsidP="009A7657">
      <w:pPr>
        <w:spacing w:after="0" w:line="240" w:lineRule="auto"/>
        <w:ind w:firstLine="284"/>
        <w:jc w:val="both"/>
        <w:rPr>
          <w:rFonts w:ascii="Times New Roman" w:hAnsi="Times New Roman"/>
          <w:sz w:val="24"/>
          <w:szCs w:val="24"/>
        </w:rPr>
      </w:pPr>
    </w:p>
    <w:p w14:paraId="74B25A70" w14:textId="57CB3FC6" w:rsidR="009C758C" w:rsidRPr="001071B6" w:rsidRDefault="009C758C" w:rsidP="009A7657">
      <w:pPr>
        <w:spacing w:after="0" w:line="240" w:lineRule="auto"/>
        <w:ind w:firstLine="284"/>
        <w:jc w:val="both"/>
        <w:rPr>
          <w:rFonts w:ascii="Times New Roman" w:hAnsi="Times New Roman"/>
          <w:sz w:val="24"/>
          <w:szCs w:val="24"/>
        </w:rPr>
      </w:pPr>
      <w:r w:rsidRPr="001071B6">
        <w:rPr>
          <w:rFonts w:ascii="Times New Roman" w:hAnsi="Times New Roman"/>
          <w:sz w:val="24"/>
          <w:szCs w:val="24"/>
        </w:rPr>
        <w:t xml:space="preserve">The proposed </w:t>
      </w:r>
      <w:proofErr w:type="gramStart"/>
      <w:r w:rsidRPr="001071B6">
        <w:rPr>
          <w:rFonts w:ascii="Times New Roman" w:hAnsi="Times New Roman"/>
          <w:sz w:val="24"/>
          <w:szCs w:val="24"/>
        </w:rPr>
        <w:t xml:space="preserve">changes in the labelling presented in </w:t>
      </w:r>
      <w:r w:rsidRPr="001071B6">
        <w:rPr>
          <w:rFonts w:ascii="Times New Roman" w:hAnsi="Times New Roman"/>
        </w:rPr>
        <w:t>ECE/TRANS/WP.29/GRSG/2017/30</w:t>
      </w:r>
      <w:r w:rsidRPr="001071B6">
        <w:rPr>
          <w:rFonts w:ascii="Times New Roman" w:hAnsi="Times New Roman"/>
          <w:sz w:val="24"/>
          <w:szCs w:val="24"/>
        </w:rPr>
        <w:t xml:space="preserve"> is</w:t>
      </w:r>
      <w:proofErr w:type="gramEnd"/>
      <w:r w:rsidRPr="001071B6">
        <w:rPr>
          <w:rFonts w:ascii="Times New Roman" w:hAnsi="Times New Roman"/>
          <w:sz w:val="24"/>
          <w:szCs w:val="24"/>
        </w:rPr>
        <w:t xml:space="preserve"> based on the addition of the designation - "technical modification", i.e. essentially the version or variant to the type-approval marking for the gas tank accessories only. In our opinion this is an ineffective action since this proposal does not provide a clear definition of "technical modification". If so, there is the possibility of freely modifying the product under this "technical modification", that is, the labelling status may improve but will not lead to the systemic changes. There is also no indication of the type-approval certificate extension. </w:t>
      </w:r>
      <w:r w:rsidRPr="00FD5868">
        <w:rPr>
          <w:rFonts w:ascii="Times New Roman" w:hAnsi="Times New Roman"/>
          <w:sz w:val="24"/>
          <w:szCs w:val="24"/>
        </w:rPr>
        <w:t xml:space="preserve">Creating </w:t>
      </w:r>
      <w:r w:rsidR="003D184B" w:rsidRPr="00FD5868">
        <w:rPr>
          <w:rFonts w:ascii="Times New Roman" w:hAnsi="Times New Roman"/>
          <w:sz w:val="24"/>
          <w:szCs w:val="24"/>
        </w:rPr>
        <w:t xml:space="preserve">such </w:t>
      </w:r>
      <w:r w:rsidRPr="001071B6">
        <w:rPr>
          <w:rFonts w:ascii="Times New Roman" w:hAnsi="Times New Roman"/>
          <w:sz w:val="24"/>
          <w:szCs w:val="24"/>
        </w:rPr>
        <w:t>exceptions is also a wrong direction of action, i.e. separate markings only for the selected group of components, instead of making system changes</w:t>
      </w:r>
      <w:r w:rsidR="003D184B">
        <w:rPr>
          <w:rFonts w:ascii="Times New Roman" w:hAnsi="Times New Roman"/>
          <w:sz w:val="24"/>
          <w:szCs w:val="24"/>
        </w:rPr>
        <w:t>,</w:t>
      </w:r>
      <w:r w:rsidRPr="001071B6">
        <w:rPr>
          <w:rFonts w:ascii="Times New Roman" w:hAnsi="Times New Roman"/>
          <w:sz w:val="24"/>
          <w:szCs w:val="24"/>
        </w:rPr>
        <w:t xml:space="preserve"> when possible.</w:t>
      </w:r>
    </w:p>
    <w:p w14:paraId="7944774B" w14:textId="5BE84554" w:rsidR="009C758C" w:rsidRDefault="009C758C" w:rsidP="009A7657">
      <w:pPr>
        <w:spacing w:after="0" w:line="240" w:lineRule="auto"/>
        <w:ind w:firstLine="284"/>
        <w:jc w:val="both"/>
        <w:rPr>
          <w:rFonts w:ascii="Times New Roman" w:hAnsi="Times New Roman"/>
          <w:sz w:val="24"/>
          <w:szCs w:val="24"/>
        </w:rPr>
      </w:pPr>
      <w:r w:rsidRPr="001071B6">
        <w:rPr>
          <w:rFonts w:ascii="Times New Roman" w:hAnsi="Times New Roman"/>
          <w:sz w:val="24"/>
          <w:szCs w:val="24"/>
        </w:rPr>
        <w:t xml:space="preserve">Implementing the changes to the labelling of components is a positive and necessary step, but it will not substitute a well-defined component type definition, which is one of the key elements of the </w:t>
      </w:r>
      <w:r w:rsidR="003D184B" w:rsidRPr="00FD5868">
        <w:rPr>
          <w:rFonts w:ascii="Times New Roman" w:hAnsi="Times New Roman"/>
          <w:sz w:val="24"/>
          <w:szCs w:val="24"/>
        </w:rPr>
        <w:t xml:space="preserve">type-approval </w:t>
      </w:r>
      <w:r w:rsidRPr="00FD5868">
        <w:rPr>
          <w:rFonts w:ascii="Times New Roman" w:hAnsi="Times New Roman"/>
          <w:sz w:val="24"/>
          <w:szCs w:val="24"/>
        </w:rPr>
        <w:t>system</w:t>
      </w:r>
      <w:r w:rsidRPr="001071B6">
        <w:rPr>
          <w:rFonts w:ascii="Times New Roman" w:hAnsi="Times New Roman"/>
          <w:sz w:val="24"/>
          <w:szCs w:val="24"/>
        </w:rPr>
        <w:t xml:space="preserve">. Therefore, the proposed revision of the labelling should be considered as complementary to </w:t>
      </w:r>
      <w:r w:rsidR="00927A59">
        <w:rPr>
          <w:rFonts w:ascii="Times New Roman" w:hAnsi="Times New Roman"/>
          <w:sz w:val="24"/>
          <w:szCs w:val="24"/>
        </w:rPr>
        <w:t xml:space="preserve">the </w:t>
      </w:r>
      <w:r w:rsidR="00927A59" w:rsidRPr="001071B6">
        <w:rPr>
          <w:rFonts w:ascii="Times New Roman" w:hAnsi="Times New Roman"/>
          <w:sz w:val="24"/>
          <w:szCs w:val="24"/>
        </w:rPr>
        <w:t>proposal</w:t>
      </w:r>
      <w:r w:rsidR="00927A59" w:rsidRPr="001071B6">
        <w:rPr>
          <w:rFonts w:ascii="Times New Roman" w:hAnsi="Times New Roman"/>
        </w:rPr>
        <w:t xml:space="preserve"> </w:t>
      </w:r>
      <w:r w:rsidRPr="001071B6">
        <w:rPr>
          <w:rFonts w:ascii="Times New Roman" w:hAnsi="Times New Roman"/>
        </w:rPr>
        <w:t>ECE/TRANS/WP</w:t>
      </w:r>
      <w:r w:rsidR="00927A59">
        <w:rPr>
          <w:rFonts w:ascii="Times New Roman" w:hAnsi="Times New Roman"/>
        </w:rPr>
        <w:t>.</w:t>
      </w:r>
      <w:r w:rsidRPr="001071B6">
        <w:rPr>
          <w:rFonts w:ascii="Times New Roman" w:hAnsi="Times New Roman"/>
        </w:rPr>
        <w:t>29/GRSG/2017/10</w:t>
      </w:r>
      <w:r w:rsidRPr="001071B6">
        <w:rPr>
          <w:rFonts w:ascii="Times New Roman" w:hAnsi="Times New Roman"/>
          <w:sz w:val="24"/>
          <w:szCs w:val="24"/>
        </w:rPr>
        <w:t xml:space="preserve"> on the definition of the component type, but refers to another area, so it </w:t>
      </w:r>
      <w:r w:rsidR="009051D3" w:rsidRPr="001071B6">
        <w:rPr>
          <w:rFonts w:ascii="Times New Roman" w:hAnsi="Times New Roman"/>
          <w:sz w:val="24"/>
          <w:szCs w:val="24"/>
        </w:rPr>
        <w:t>can</w:t>
      </w:r>
      <w:r w:rsidR="009051D3">
        <w:rPr>
          <w:rFonts w:ascii="Times New Roman" w:hAnsi="Times New Roman"/>
          <w:sz w:val="24"/>
          <w:szCs w:val="24"/>
        </w:rPr>
        <w:t>’</w:t>
      </w:r>
      <w:r w:rsidR="009051D3" w:rsidRPr="001071B6">
        <w:rPr>
          <w:rFonts w:ascii="Times New Roman" w:hAnsi="Times New Roman"/>
          <w:sz w:val="24"/>
          <w:szCs w:val="24"/>
        </w:rPr>
        <w:t>t</w:t>
      </w:r>
      <w:r w:rsidRPr="001071B6">
        <w:rPr>
          <w:rFonts w:ascii="Times New Roman" w:hAnsi="Times New Roman"/>
          <w:sz w:val="24"/>
          <w:szCs w:val="24"/>
        </w:rPr>
        <w:t xml:space="preserve"> be a substitute to that document.</w:t>
      </w:r>
    </w:p>
    <w:p w14:paraId="779A6B2F" w14:textId="77777777" w:rsidR="000D13E3" w:rsidRDefault="000D13E3" w:rsidP="000D13E3">
      <w:pPr>
        <w:jc w:val="both"/>
        <w:rPr>
          <w:rFonts w:ascii="Times New Roman" w:hAnsi="Times New Roman"/>
          <w:b/>
          <w:sz w:val="24"/>
          <w:szCs w:val="24"/>
        </w:rPr>
      </w:pPr>
    </w:p>
    <w:p w14:paraId="048123A9" w14:textId="6941B57A" w:rsidR="00792D1A" w:rsidRDefault="00792D1A" w:rsidP="00792D1A">
      <w:pPr>
        <w:jc w:val="center"/>
        <w:rPr>
          <w:rFonts w:ascii="Times New Roman" w:hAnsi="Times New Roman"/>
          <w:b/>
          <w:sz w:val="24"/>
          <w:szCs w:val="24"/>
        </w:rPr>
      </w:pPr>
      <w:r>
        <w:rPr>
          <w:rFonts w:ascii="Times New Roman" w:hAnsi="Times New Roman"/>
          <w:b/>
          <w:sz w:val="24"/>
          <w:szCs w:val="24"/>
        </w:rPr>
        <w:t>_________________</w:t>
      </w:r>
      <w:bookmarkStart w:id="6" w:name="_GoBack"/>
      <w:bookmarkEnd w:id="6"/>
    </w:p>
    <w:sectPr w:rsidR="00792D1A" w:rsidSect="000D13E3">
      <w:footerReference w:type="default" r:id="rId11"/>
      <w:pgSz w:w="11906" w:h="16838"/>
      <w:pgMar w:top="567" w:right="851" w:bottom="1276"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7DE91D" w14:textId="77777777" w:rsidR="003142E6" w:rsidRDefault="003142E6" w:rsidP="007F1DBD">
      <w:pPr>
        <w:spacing w:after="0" w:line="240" w:lineRule="auto"/>
      </w:pPr>
      <w:r>
        <w:separator/>
      </w:r>
    </w:p>
  </w:endnote>
  <w:endnote w:type="continuationSeparator" w:id="0">
    <w:p w14:paraId="395C92E9" w14:textId="77777777" w:rsidR="003142E6" w:rsidRDefault="003142E6" w:rsidP="007F1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0DF35" w14:textId="00638D7B" w:rsidR="009C758C" w:rsidRDefault="00F95817">
    <w:pPr>
      <w:pStyle w:val="Footer"/>
      <w:jc w:val="center"/>
    </w:pPr>
    <w:r>
      <w:fldChar w:fldCharType="begin"/>
    </w:r>
    <w:r>
      <w:instrText xml:space="preserve"> PAGE   \* MERGEFORMAT </w:instrText>
    </w:r>
    <w:r>
      <w:fldChar w:fldCharType="separate"/>
    </w:r>
    <w:r w:rsidR="00792D1A">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E0A001" w14:textId="77777777" w:rsidR="003142E6" w:rsidRDefault="003142E6" w:rsidP="007F1DBD">
      <w:pPr>
        <w:spacing w:after="0" w:line="240" w:lineRule="auto"/>
      </w:pPr>
      <w:r>
        <w:separator/>
      </w:r>
    </w:p>
  </w:footnote>
  <w:footnote w:type="continuationSeparator" w:id="0">
    <w:p w14:paraId="5B711D69" w14:textId="77777777" w:rsidR="003142E6" w:rsidRDefault="003142E6" w:rsidP="007F1D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54E36"/>
    <w:multiLevelType w:val="hybridMultilevel"/>
    <w:tmpl w:val="3E603D80"/>
    <w:lvl w:ilvl="0" w:tplc="7C94A944">
      <w:start w:val="1"/>
      <w:numFmt w:val="decimal"/>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
    <w:nsid w:val="1E346F04"/>
    <w:multiLevelType w:val="hybridMultilevel"/>
    <w:tmpl w:val="ACDCEAE2"/>
    <w:lvl w:ilvl="0" w:tplc="36BAC48C">
      <w:start w:val="1"/>
      <w:numFmt w:val="lowerLetter"/>
      <w:lvlText w:val="%1)"/>
      <w:lvlJc w:val="left"/>
      <w:pPr>
        <w:ind w:left="928" w:hanging="360"/>
      </w:pPr>
      <w:rPr>
        <w:rFonts w:cs="Times New Roman" w:hint="default"/>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
    <w:nsid w:val="3EED4E44"/>
    <w:multiLevelType w:val="hybridMultilevel"/>
    <w:tmpl w:val="28D4AE9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45D545F6"/>
    <w:multiLevelType w:val="hybridMultilevel"/>
    <w:tmpl w:val="800CB07A"/>
    <w:lvl w:ilvl="0" w:tplc="04100015">
      <w:start w:val="1"/>
      <w:numFmt w:val="upperLetter"/>
      <w:lvlText w:val="%1."/>
      <w:lvlJc w:val="left"/>
      <w:pPr>
        <w:ind w:left="1287" w:hanging="360"/>
      </w:pPr>
      <w:rPr>
        <w:rFonts w:cs="Times New Roman"/>
      </w:rPr>
    </w:lvl>
    <w:lvl w:ilvl="1" w:tplc="04100019" w:tentative="1">
      <w:start w:val="1"/>
      <w:numFmt w:val="lowerLetter"/>
      <w:lvlText w:val="%2."/>
      <w:lvlJc w:val="left"/>
      <w:pPr>
        <w:ind w:left="2007" w:hanging="360"/>
      </w:pPr>
      <w:rPr>
        <w:rFonts w:cs="Times New Roman"/>
      </w:rPr>
    </w:lvl>
    <w:lvl w:ilvl="2" w:tplc="0410001B" w:tentative="1">
      <w:start w:val="1"/>
      <w:numFmt w:val="lowerRoman"/>
      <w:lvlText w:val="%3."/>
      <w:lvlJc w:val="right"/>
      <w:pPr>
        <w:ind w:left="2727" w:hanging="180"/>
      </w:pPr>
      <w:rPr>
        <w:rFonts w:cs="Times New Roman"/>
      </w:rPr>
    </w:lvl>
    <w:lvl w:ilvl="3" w:tplc="0410000F" w:tentative="1">
      <w:start w:val="1"/>
      <w:numFmt w:val="decimal"/>
      <w:lvlText w:val="%4."/>
      <w:lvlJc w:val="left"/>
      <w:pPr>
        <w:ind w:left="3447" w:hanging="360"/>
      </w:pPr>
      <w:rPr>
        <w:rFonts w:cs="Times New Roman"/>
      </w:rPr>
    </w:lvl>
    <w:lvl w:ilvl="4" w:tplc="04100019" w:tentative="1">
      <w:start w:val="1"/>
      <w:numFmt w:val="lowerLetter"/>
      <w:lvlText w:val="%5."/>
      <w:lvlJc w:val="left"/>
      <w:pPr>
        <w:ind w:left="4167" w:hanging="360"/>
      </w:pPr>
      <w:rPr>
        <w:rFonts w:cs="Times New Roman"/>
      </w:rPr>
    </w:lvl>
    <w:lvl w:ilvl="5" w:tplc="0410001B" w:tentative="1">
      <w:start w:val="1"/>
      <w:numFmt w:val="lowerRoman"/>
      <w:lvlText w:val="%6."/>
      <w:lvlJc w:val="right"/>
      <w:pPr>
        <w:ind w:left="4887" w:hanging="180"/>
      </w:pPr>
      <w:rPr>
        <w:rFonts w:cs="Times New Roman"/>
      </w:rPr>
    </w:lvl>
    <w:lvl w:ilvl="6" w:tplc="0410000F" w:tentative="1">
      <w:start w:val="1"/>
      <w:numFmt w:val="decimal"/>
      <w:lvlText w:val="%7."/>
      <w:lvlJc w:val="left"/>
      <w:pPr>
        <w:ind w:left="5607" w:hanging="360"/>
      </w:pPr>
      <w:rPr>
        <w:rFonts w:cs="Times New Roman"/>
      </w:rPr>
    </w:lvl>
    <w:lvl w:ilvl="7" w:tplc="04100019" w:tentative="1">
      <w:start w:val="1"/>
      <w:numFmt w:val="lowerLetter"/>
      <w:lvlText w:val="%8."/>
      <w:lvlJc w:val="left"/>
      <w:pPr>
        <w:ind w:left="6327" w:hanging="360"/>
      </w:pPr>
      <w:rPr>
        <w:rFonts w:cs="Times New Roman"/>
      </w:rPr>
    </w:lvl>
    <w:lvl w:ilvl="8" w:tplc="0410001B" w:tentative="1">
      <w:start w:val="1"/>
      <w:numFmt w:val="lowerRoman"/>
      <w:lvlText w:val="%9."/>
      <w:lvlJc w:val="right"/>
      <w:pPr>
        <w:ind w:left="7047" w:hanging="180"/>
      </w:pPr>
      <w:rPr>
        <w:rFonts w:cs="Times New Roman"/>
      </w:rPr>
    </w:lvl>
  </w:abstractNum>
  <w:abstractNum w:abstractNumId="4">
    <w:nsid w:val="66645509"/>
    <w:multiLevelType w:val="hybridMultilevel"/>
    <w:tmpl w:val="27F436D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nsid w:val="7ABD6A1D"/>
    <w:multiLevelType w:val="hybridMultilevel"/>
    <w:tmpl w:val="400C8DB4"/>
    <w:lvl w:ilvl="0" w:tplc="A26A435A">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440"/>
    <w:rsid w:val="00002DB2"/>
    <w:rsid w:val="00060DB4"/>
    <w:rsid w:val="000645F8"/>
    <w:rsid w:val="00092580"/>
    <w:rsid w:val="000C5918"/>
    <w:rsid w:val="000D13E3"/>
    <w:rsid w:val="000F015C"/>
    <w:rsid w:val="000F7D5E"/>
    <w:rsid w:val="001071B6"/>
    <w:rsid w:val="00107C2C"/>
    <w:rsid w:val="0012695A"/>
    <w:rsid w:val="001427A5"/>
    <w:rsid w:val="00165F40"/>
    <w:rsid w:val="00166762"/>
    <w:rsid w:val="00180DC6"/>
    <w:rsid w:val="0018115B"/>
    <w:rsid w:val="00181440"/>
    <w:rsid w:val="00183B9A"/>
    <w:rsid w:val="00190B87"/>
    <w:rsid w:val="00196926"/>
    <w:rsid w:val="001A2C19"/>
    <w:rsid w:val="001A5A3B"/>
    <w:rsid w:val="001C3B40"/>
    <w:rsid w:val="001C3EDD"/>
    <w:rsid w:val="001D3B92"/>
    <w:rsid w:val="001E4549"/>
    <w:rsid w:val="0021257D"/>
    <w:rsid w:val="00245618"/>
    <w:rsid w:val="00263D90"/>
    <w:rsid w:val="002714D4"/>
    <w:rsid w:val="00277D58"/>
    <w:rsid w:val="0028657C"/>
    <w:rsid w:val="002965DE"/>
    <w:rsid w:val="002A23B1"/>
    <w:rsid w:val="00313BDA"/>
    <w:rsid w:val="003142E6"/>
    <w:rsid w:val="0032682C"/>
    <w:rsid w:val="003337D5"/>
    <w:rsid w:val="00351306"/>
    <w:rsid w:val="003642DA"/>
    <w:rsid w:val="00373330"/>
    <w:rsid w:val="003A6C65"/>
    <w:rsid w:val="003A7255"/>
    <w:rsid w:val="003B0A9B"/>
    <w:rsid w:val="003B7602"/>
    <w:rsid w:val="003C0C96"/>
    <w:rsid w:val="003C7DF9"/>
    <w:rsid w:val="003D184B"/>
    <w:rsid w:val="003D3FE1"/>
    <w:rsid w:val="003D56C9"/>
    <w:rsid w:val="003E1C52"/>
    <w:rsid w:val="00400562"/>
    <w:rsid w:val="00432EBE"/>
    <w:rsid w:val="00446340"/>
    <w:rsid w:val="00452E90"/>
    <w:rsid w:val="0046143D"/>
    <w:rsid w:val="00462208"/>
    <w:rsid w:val="004A0084"/>
    <w:rsid w:val="004A1786"/>
    <w:rsid w:val="004B7D52"/>
    <w:rsid w:val="004C4AF8"/>
    <w:rsid w:val="00506A08"/>
    <w:rsid w:val="00535D1F"/>
    <w:rsid w:val="00537B9B"/>
    <w:rsid w:val="0056010B"/>
    <w:rsid w:val="00585C48"/>
    <w:rsid w:val="005A4139"/>
    <w:rsid w:val="005A6293"/>
    <w:rsid w:val="005A7E20"/>
    <w:rsid w:val="005C5725"/>
    <w:rsid w:val="005C573A"/>
    <w:rsid w:val="005F1C79"/>
    <w:rsid w:val="00600534"/>
    <w:rsid w:val="006021BD"/>
    <w:rsid w:val="006042A2"/>
    <w:rsid w:val="0061336E"/>
    <w:rsid w:val="00662555"/>
    <w:rsid w:val="0066501D"/>
    <w:rsid w:val="006779DD"/>
    <w:rsid w:val="00693A27"/>
    <w:rsid w:val="006C6E5E"/>
    <w:rsid w:val="007001D6"/>
    <w:rsid w:val="0071138D"/>
    <w:rsid w:val="00744DB4"/>
    <w:rsid w:val="00770976"/>
    <w:rsid w:val="00771F8C"/>
    <w:rsid w:val="00792D1A"/>
    <w:rsid w:val="00793F32"/>
    <w:rsid w:val="0079704C"/>
    <w:rsid w:val="007A44AD"/>
    <w:rsid w:val="007C4356"/>
    <w:rsid w:val="007D087F"/>
    <w:rsid w:val="007E286D"/>
    <w:rsid w:val="007F1DBD"/>
    <w:rsid w:val="008000FE"/>
    <w:rsid w:val="00800E5B"/>
    <w:rsid w:val="00850AD1"/>
    <w:rsid w:val="00856E1E"/>
    <w:rsid w:val="0089773A"/>
    <w:rsid w:val="008A20CC"/>
    <w:rsid w:val="008D2843"/>
    <w:rsid w:val="00900F0F"/>
    <w:rsid w:val="009051D3"/>
    <w:rsid w:val="00927A59"/>
    <w:rsid w:val="009A234A"/>
    <w:rsid w:val="009A3BCD"/>
    <w:rsid w:val="009A7657"/>
    <w:rsid w:val="009B3A55"/>
    <w:rsid w:val="009B5B7E"/>
    <w:rsid w:val="009C758C"/>
    <w:rsid w:val="00A12C65"/>
    <w:rsid w:val="00A22E03"/>
    <w:rsid w:val="00A340C6"/>
    <w:rsid w:val="00A538AC"/>
    <w:rsid w:val="00A84880"/>
    <w:rsid w:val="00AA0057"/>
    <w:rsid w:val="00AD5DA7"/>
    <w:rsid w:val="00AE3D79"/>
    <w:rsid w:val="00B179F4"/>
    <w:rsid w:val="00B25BF3"/>
    <w:rsid w:val="00B43633"/>
    <w:rsid w:val="00B44B9E"/>
    <w:rsid w:val="00B532AC"/>
    <w:rsid w:val="00B64810"/>
    <w:rsid w:val="00BB710A"/>
    <w:rsid w:val="00BC22A0"/>
    <w:rsid w:val="00BD3EA9"/>
    <w:rsid w:val="00C126C8"/>
    <w:rsid w:val="00C26E3E"/>
    <w:rsid w:val="00CA6564"/>
    <w:rsid w:val="00CB0979"/>
    <w:rsid w:val="00CB3237"/>
    <w:rsid w:val="00CC5D1F"/>
    <w:rsid w:val="00CC6068"/>
    <w:rsid w:val="00CE51A8"/>
    <w:rsid w:val="00CE6BC8"/>
    <w:rsid w:val="00CF3A3F"/>
    <w:rsid w:val="00CF46A2"/>
    <w:rsid w:val="00D05439"/>
    <w:rsid w:val="00D46A8D"/>
    <w:rsid w:val="00D54A43"/>
    <w:rsid w:val="00D81927"/>
    <w:rsid w:val="00D8210A"/>
    <w:rsid w:val="00D97853"/>
    <w:rsid w:val="00DA6133"/>
    <w:rsid w:val="00DC394C"/>
    <w:rsid w:val="00DC413E"/>
    <w:rsid w:val="00DC7498"/>
    <w:rsid w:val="00DD0D58"/>
    <w:rsid w:val="00DE4F32"/>
    <w:rsid w:val="00DF1E9C"/>
    <w:rsid w:val="00DF248B"/>
    <w:rsid w:val="00E03415"/>
    <w:rsid w:val="00E05C4B"/>
    <w:rsid w:val="00E2211B"/>
    <w:rsid w:val="00E228A1"/>
    <w:rsid w:val="00E236F9"/>
    <w:rsid w:val="00E36589"/>
    <w:rsid w:val="00E41123"/>
    <w:rsid w:val="00E66A15"/>
    <w:rsid w:val="00E73044"/>
    <w:rsid w:val="00E832B3"/>
    <w:rsid w:val="00E90166"/>
    <w:rsid w:val="00E965A7"/>
    <w:rsid w:val="00EA42E4"/>
    <w:rsid w:val="00EF16C0"/>
    <w:rsid w:val="00F00158"/>
    <w:rsid w:val="00F269D8"/>
    <w:rsid w:val="00F420BB"/>
    <w:rsid w:val="00F42952"/>
    <w:rsid w:val="00F463CE"/>
    <w:rsid w:val="00F55901"/>
    <w:rsid w:val="00F6480A"/>
    <w:rsid w:val="00F67700"/>
    <w:rsid w:val="00F95817"/>
    <w:rsid w:val="00FB37DA"/>
    <w:rsid w:val="00FD5868"/>
    <w:rsid w:val="00FD7772"/>
    <w:rsid w:val="00FE4D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B472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534"/>
    <w:pPr>
      <w:spacing w:after="160" w:line="259" w:lineRule="auto"/>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46340"/>
    <w:pPr>
      <w:spacing w:after="0" w:line="240" w:lineRule="auto"/>
    </w:pPr>
    <w:rPr>
      <w:rFonts w:ascii="Tahoma" w:hAnsi="Tahoma" w:cs="Tahoma"/>
      <w:sz w:val="16"/>
      <w:szCs w:val="16"/>
      <w:lang w:val="pl-PL" w:eastAsia="pl-PL"/>
    </w:rPr>
  </w:style>
  <w:style w:type="character" w:customStyle="1" w:styleId="BalloonTextChar">
    <w:name w:val="Balloon Text Char"/>
    <w:basedOn w:val="DefaultParagraphFont"/>
    <w:link w:val="BalloonText"/>
    <w:uiPriority w:val="99"/>
    <w:semiHidden/>
    <w:locked/>
    <w:rsid w:val="00183B9A"/>
    <w:rPr>
      <w:rFonts w:ascii="Times New Roman" w:hAnsi="Times New Roman" w:cs="Times New Roman"/>
      <w:sz w:val="2"/>
      <w:lang w:val="en-GB" w:eastAsia="en-US"/>
    </w:rPr>
  </w:style>
  <w:style w:type="paragraph" w:styleId="ListParagraph">
    <w:name w:val="List Paragraph"/>
    <w:basedOn w:val="Normal"/>
    <w:uiPriority w:val="99"/>
    <w:qFormat/>
    <w:rsid w:val="00F42952"/>
    <w:pPr>
      <w:ind w:left="720"/>
      <w:contextualSpacing/>
    </w:pPr>
  </w:style>
  <w:style w:type="paragraph" w:customStyle="1" w:styleId="Para">
    <w:name w:val="Para"/>
    <w:basedOn w:val="Normal"/>
    <w:uiPriority w:val="99"/>
    <w:rsid w:val="000645F8"/>
    <w:pPr>
      <w:widowControl w:val="0"/>
      <w:spacing w:after="120" w:line="240" w:lineRule="exact"/>
      <w:ind w:left="2268" w:right="1134" w:hanging="1134"/>
      <w:jc w:val="both"/>
    </w:pPr>
    <w:rPr>
      <w:rFonts w:ascii="Times New Roman" w:hAnsi="Times New Roman"/>
      <w:sz w:val="20"/>
      <w:szCs w:val="20"/>
      <w:lang w:val="en-US"/>
    </w:rPr>
  </w:style>
  <w:style w:type="paragraph" w:styleId="Header">
    <w:name w:val="header"/>
    <w:basedOn w:val="Normal"/>
    <w:link w:val="HeaderChar"/>
    <w:uiPriority w:val="99"/>
    <w:rsid w:val="007F1DBD"/>
    <w:pPr>
      <w:tabs>
        <w:tab w:val="center" w:pos="4513"/>
        <w:tab w:val="right" w:pos="9026"/>
      </w:tabs>
    </w:pPr>
  </w:style>
  <w:style w:type="character" w:customStyle="1" w:styleId="HeaderChar">
    <w:name w:val="Header Char"/>
    <w:basedOn w:val="DefaultParagraphFont"/>
    <w:link w:val="Header"/>
    <w:uiPriority w:val="99"/>
    <w:locked/>
    <w:rsid w:val="007F1DBD"/>
    <w:rPr>
      <w:rFonts w:cs="Times New Roman"/>
      <w:sz w:val="22"/>
      <w:lang w:val="en-GB" w:eastAsia="en-US"/>
    </w:rPr>
  </w:style>
  <w:style w:type="paragraph" w:styleId="Footer">
    <w:name w:val="footer"/>
    <w:basedOn w:val="Normal"/>
    <w:link w:val="FooterChar"/>
    <w:uiPriority w:val="99"/>
    <w:rsid w:val="007F1DBD"/>
    <w:pPr>
      <w:tabs>
        <w:tab w:val="center" w:pos="4513"/>
        <w:tab w:val="right" w:pos="9026"/>
      </w:tabs>
    </w:pPr>
  </w:style>
  <w:style w:type="character" w:customStyle="1" w:styleId="FooterChar">
    <w:name w:val="Footer Char"/>
    <w:basedOn w:val="DefaultParagraphFont"/>
    <w:link w:val="Footer"/>
    <w:uiPriority w:val="99"/>
    <w:locked/>
    <w:rsid w:val="007F1DBD"/>
    <w:rPr>
      <w:rFonts w:cs="Times New Roman"/>
      <w:sz w:val="22"/>
      <w:lang w:val="en-GB" w:eastAsia="en-US"/>
    </w:rPr>
  </w:style>
  <w:style w:type="paragraph" w:customStyle="1" w:styleId="SingleTxtG">
    <w:name w:val="_ Single Txt_G"/>
    <w:basedOn w:val="Normal"/>
    <w:link w:val="SingleTxtGChar"/>
    <w:uiPriority w:val="99"/>
    <w:rsid w:val="00107C2C"/>
    <w:pPr>
      <w:spacing w:after="120" w:line="240" w:lineRule="auto"/>
      <w:ind w:left="1134" w:right="1134"/>
      <w:jc w:val="both"/>
    </w:pPr>
    <w:rPr>
      <w:rFonts w:ascii="Times New Roman" w:hAnsi="Times New Roman"/>
      <w:sz w:val="20"/>
      <w:szCs w:val="20"/>
      <w:lang w:val="en-US"/>
    </w:rPr>
  </w:style>
  <w:style w:type="character" w:customStyle="1" w:styleId="SingleTxtGChar">
    <w:name w:val="_ Single Txt_G Char"/>
    <w:link w:val="SingleTxtG"/>
    <w:uiPriority w:val="99"/>
    <w:locked/>
    <w:rsid w:val="00107C2C"/>
    <w:rPr>
      <w:rFonts w:ascii="Times New Roman" w:hAnsi="Times New Roman"/>
      <w:sz w:val="20"/>
      <w:lang w:val="en-US" w:eastAsia="en-US"/>
    </w:rPr>
  </w:style>
  <w:style w:type="paragraph" w:customStyle="1" w:styleId="HChG">
    <w:name w:val="_ H _Ch_G"/>
    <w:basedOn w:val="Normal"/>
    <w:next w:val="Normal"/>
    <w:link w:val="HChGChar"/>
    <w:uiPriority w:val="99"/>
    <w:rsid w:val="00107C2C"/>
    <w:pPr>
      <w:keepNext/>
      <w:keepLines/>
      <w:tabs>
        <w:tab w:val="right" w:pos="851"/>
      </w:tabs>
      <w:spacing w:before="360" w:after="240" w:line="300" w:lineRule="exact"/>
      <w:ind w:left="1134" w:right="1134" w:hanging="1134"/>
    </w:pPr>
    <w:rPr>
      <w:rFonts w:ascii="Times New Roman" w:hAnsi="Times New Roman"/>
      <w:b/>
      <w:sz w:val="20"/>
      <w:szCs w:val="20"/>
      <w:lang w:val="en-US"/>
    </w:rPr>
  </w:style>
  <w:style w:type="character" w:styleId="FootnoteReference">
    <w:name w:val="footnote reference"/>
    <w:aliases w:val="4_G,(Footnote Reference)"/>
    <w:basedOn w:val="DefaultParagraphFont"/>
    <w:uiPriority w:val="99"/>
    <w:rsid w:val="00107C2C"/>
    <w:rPr>
      <w:rFonts w:ascii="Times New Roman" w:hAnsi="Times New Roman" w:cs="Times New Roman"/>
      <w:sz w:val="18"/>
      <w:vertAlign w:val="superscript"/>
    </w:rPr>
  </w:style>
  <w:style w:type="paragraph" w:styleId="FootnoteText">
    <w:name w:val="footnote text"/>
    <w:aliases w:val="5_G"/>
    <w:basedOn w:val="Normal"/>
    <w:link w:val="FootnoteTextChar"/>
    <w:uiPriority w:val="99"/>
    <w:rsid w:val="00107C2C"/>
    <w:pPr>
      <w:tabs>
        <w:tab w:val="right" w:pos="1021"/>
      </w:tabs>
      <w:spacing w:after="0" w:line="220" w:lineRule="exact"/>
      <w:ind w:left="1134" w:right="1134" w:hanging="1134"/>
    </w:pPr>
    <w:rPr>
      <w:rFonts w:ascii="Times New Roman" w:eastAsia="Times New Roman" w:hAnsi="Times New Roman"/>
      <w:sz w:val="18"/>
      <w:szCs w:val="20"/>
      <w:lang w:val="en-US"/>
    </w:rPr>
  </w:style>
  <w:style w:type="character" w:customStyle="1" w:styleId="FootnoteTextChar">
    <w:name w:val="Footnote Text Char"/>
    <w:aliases w:val="5_G Char"/>
    <w:basedOn w:val="DefaultParagraphFont"/>
    <w:link w:val="FootnoteText"/>
    <w:uiPriority w:val="99"/>
    <w:locked/>
    <w:rsid w:val="00107C2C"/>
    <w:rPr>
      <w:rFonts w:ascii="Times New Roman" w:hAnsi="Times New Roman" w:cs="Times New Roman"/>
      <w:sz w:val="20"/>
      <w:szCs w:val="20"/>
      <w:lang w:val="en-US" w:eastAsia="en-US"/>
    </w:rPr>
  </w:style>
  <w:style w:type="character" w:customStyle="1" w:styleId="HChGChar">
    <w:name w:val="_ H _Ch_G Char"/>
    <w:link w:val="HChG"/>
    <w:uiPriority w:val="99"/>
    <w:locked/>
    <w:rsid w:val="00107C2C"/>
    <w:rPr>
      <w:rFonts w:ascii="Times New Roman" w:hAnsi="Times New Roman"/>
      <w:b/>
      <w:sz w:val="20"/>
      <w:lang w:val="en-US" w:eastAsia="en-US"/>
    </w:rPr>
  </w:style>
  <w:style w:type="character" w:customStyle="1" w:styleId="alt-edited1">
    <w:name w:val="alt-edited1"/>
    <w:basedOn w:val="DefaultParagraphFont"/>
    <w:uiPriority w:val="99"/>
    <w:rsid w:val="001D3B92"/>
    <w:rPr>
      <w:rFonts w:cs="Times New Roman"/>
      <w:color w:val="4D90F0"/>
    </w:rPr>
  </w:style>
  <w:style w:type="character" w:styleId="CommentReference">
    <w:name w:val="annotation reference"/>
    <w:basedOn w:val="DefaultParagraphFont"/>
    <w:uiPriority w:val="99"/>
    <w:semiHidden/>
    <w:unhideWhenUsed/>
    <w:rsid w:val="003C7DF9"/>
    <w:rPr>
      <w:sz w:val="16"/>
      <w:szCs w:val="16"/>
    </w:rPr>
  </w:style>
  <w:style w:type="paragraph" w:styleId="CommentText">
    <w:name w:val="annotation text"/>
    <w:basedOn w:val="Normal"/>
    <w:link w:val="CommentTextChar"/>
    <w:uiPriority w:val="99"/>
    <w:semiHidden/>
    <w:unhideWhenUsed/>
    <w:rsid w:val="003C7DF9"/>
    <w:pPr>
      <w:spacing w:line="240" w:lineRule="auto"/>
    </w:pPr>
    <w:rPr>
      <w:sz w:val="20"/>
      <w:szCs w:val="20"/>
    </w:rPr>
  </w:style>
  <w:style w:type="character" w:customStyle="1" w:styleId="CommentTextChar">
    <w:name w:val="Comment Text Char"/>
    <w:basedOn w:val="DefaultParagraphFont"/>
    <w:link w:val="CommentText"/>
    <w:uiPriority w:val="99"/>
    <w:semiHidden/>
    <w:rsid w:val="003C7DF9"/>
    <w:rPr>
      <w:sz w:val="20"/>
      <w:szCs w:val="20"/>
      <w:lang w:val="en-GB" w:eastAsia="en-US"/>
    </w:rPr>
  </w:style>
  <w:style w:type="paragraph" w:styleId="CommentSubject">
    <w:name w:val="annotation subject"/>
    <w:basedOn w:val="CommentText"/>
    <w:next w:val="CommentText"/>
    <w:link w:val="CommentSubjectChar"/>
    <w:uiPriority w:val="99"/>
    <w:semiHidden/>
    <w:unhideWhenUsed/>
    <w:rsid w:val="003C7DF9"/>
    <w:rPr>
      <w:b/>
      <w:bCs/>
    </w:rPr>
  </w:style>
  <w:style w:type="character" w:customStyle="1" w:styleId="CommentSubjectChar">
    <w:name w:val="Comment Subject Char"/>
    <w:basedOn w:val="CommentTextChar"/>
    <w:link w:val="CommentSubject"/>
    <w:uiPriority w:val="99"/>
    <w:semiHidden/>
    <w:rsid w:val="003C7DF9"/>
    <w:rPr>
      <w:b/>
      <w:bCs/>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534"/>
    <w:pPr>
      <w:spacing w:after="160" w:line="259" w:lineRule="auto"/>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46340"/>
    <w:pPr>
      <w:spacing w:after="0" w:line="240" w:lineRule="auto"/>
    </w:pPr>
    <w:rPr>
      <w:rFonts w:ascii="Tahoma" w:hAnsi="Tahoma" w:cs="Tahoma"/>
      <w:sz w:val="16"/>
      <w:szCs w:val="16"/>
      <w:lang w:val="pl-PL" w:eastAsia="pl-PL"/>
    </w:rPr>
  </w:style>
  <w:style w:type="character" w:customStyle="1" w:styleId="BalloonTextChar">
    <w:name w:val="Balloon Text Char"/>
    <w:basedOn w:val="DefaultParagraphFont"/>
    <w:link w:val="BalloonText"/>
    <w:uiPriority w:val="99"/>
    <w:semiHidden/>
    <w:locked/>
    <w:rsid w:val="00183B9A"/>
    <w:rPr>
      <w:rFonts w:ascii="Times New Roman" w:hAnsi="Times New Roman" w:cs="Times New Roman"/>
      <w:sz w:val="2"/>
      <w:lang w:val="en-GB" w:eastAsia="en-US"/>
    </w:rPr>
  </w:style>
  <w:style w:type="paragraph" w:styleId="ListParagraph">
    <w:name w:val="List Paragraph"/>
    <w:basedOn w:val="Normal"/>
    <w:uiPriority w:val="99"/>
    <w:qFormat/>
    <w:rsid w:val="00F42952"/>
    <w:pPr>
      <w:ind w:left="720"/>
      <w:contextualSpacing/>
    </w:pPr>
  </w:style>
  <w:style w:type="paragraph" w:customStyle="1" w:styleId="Para">
    <w:name w:val="Para"/>
    <w:basedOn w:val="Normal"/>
    <w:uiPriority w:val="99"/>
    <w:rsid w:val="000645F8"/>
    <w:pPr>
      <w:widowControl w:val="0"/>
      <w:spacing w:after="120" w:line="240" w:lineRule="exact"/>
      <w:ind w:left="2268" w:right="1134" w:hanging="1134"/>
      <w:jc w:val="both"/>
    </w:pPr>
    <w:rPr>
      <w:rFonts w:ascii="Times New Roman" w:hAnsi="Times New Roman"/>
      <w:sz w:val="20"/>
      <w:szCs w:val="20"/>
      <w:lang w:val="en-US"/>
    </w:rPr>
  </w:style>
  <w:style w:type="paragraph" w:styleId="Header">
    <w:name w:val="header"/>
    <w:basedOn w:val="Normal"/>
    <w:link w:val="HeaderChar"/>
    <w:uiPriority w:val="99"/>
    <w:rsid w:val="007F1DBD"/>
    <w:pPr>
      <w:tabs>
        <w:tab w:val="center" w:pos="4513"/>
        <w:tab w:val="right" w:pos="9026"/>
      </w:tabs>
    </w:pPr>
  </w:style>
  <w:style w:type="character" w:customStyle="1" w:styleId="HeaderChar">
    <w:name w:val="Header Char"/>
    <w:basedOn w:val="DefaultParagraphFont"/>
    <w:link w:val="Header"/>
    <w:uiPriority w:val="99"/>
    <w:locked/>
    <w:rsid w:val="007F1DBD"/>
    <w:rPr>
      <w:rFonts w:cs="Times New Roman"/>
      <w:sz w:val="22"/>
      <w:lang w:val="en-GB" w:eastAsia="en-US"/>
    </w:rPr>
  </w:style>
  <w:style w:type="paragraph" w:styleId="Footer">
    <w:name w:val="footer"/>
    <w:basedOn w:val="Normal"/>
    <w:link w:val="FooterChar"/>
    <w:uiPriority w:val="99"/>
    <w:rsid w:val="007F1DBD"/>
    <w:pPr>
      <w:tabs>
        <w:tab w:val="center" w:pos="4513"/>
        <w:tab w:val="right" w:pos="9026"/>
      </w:tabs>
    </w:pPr>
  </w:style>
  <w:style w:type="character" w:customStyle="1" w:styleId="FooterChar">
    <w:name w:val="Footer Char"/>
    <w:basedOn w:val="DefaultParagraphFont"/>
    <w:link w:val="Footer"/>
    <w:uiPriority w:val="99"/>
    <w:locked/>
    <w:rsid w:val="007F1DBD"/>
    <w:rPr>
      <w:rFonts w:cs="Times New Roman"/>
      <w:sz w:val="22"/>
      <w:lang w:val="en-GB" w:eastAsia="en-US"/>
    </w:rPr>
  </w:style>
  <w:style w:type="paragraph" w:customStyle="1" w:styleId="SingleTxtG">
    <w:name w:val="_ Single Txt_G"/>
    <w:basedOn w:val="Normal"/>
    <w:link w:val="SingleTxtGChar"/>
    <w:uiPriority w:val="99"/>
    <w:rsid w:val="00107C2C"/>
    <w:pPr>
      <w:spacing w:after="120" w:line="240" w:lineRule="auto"/>
      <w:ind w:left="1134" w:right="1134"/>
      <w:jc w:val="both"/>
    </w:pPr>
    <w:rPr>
      <w:rFonts w:ascii="Times New Roman" w:hAnsi="Times New Roman"/>
      <w:sz w:val="20"/>
      <w:szCs w:val="20"/>
      <w:lang w:val="en-US"/>
    </w:rPr>
  </w:style>
  <w:style w:type="character" w:customStyle="1" w:styleId="SingleTxtGChar">
    <w:name w:val="_ Single Txt_G Char"/>
    <w:link w:val="SingleTxtG"/>
    <w:uiPriority w:val="99"/>
    <w:locked/>
    <w:rsid w:val="00107C2C"/>
    <w:rPr>
      <w:rFonts w:ascii="Times New Roman" w:hAnsi="Times New Roman"/>
      <w:sz w:val="20"/>
      <w:lang w:val="en-US" w:eastAsia="en-US"/>
    </w:rPr>
  </w:style>
  <w:style w:type="paragraph" w:customStyle="1" w:styleId="HChG">
    <w:name w:val="_ H _Ch_G"/>
    <w:basedOn w:val="Normal"/>
    <w:next w:val="Normal"/>
    <w:link w:val="HChGChar"/>
    <w:uiPriority w:val="99"/>
    <w:rsid w:val="00107C2C"/>
    <w:pPr>
      <w:keepNext/>
      <w:keepLines/>
      <w:tabs>
        <w:tab w:val="right" w:pos="851"/>
      </w:tabs>
      <w:spacing w:before="360" w:after="240" w:line="300" w:lineRule="exact"/>
      <w:ind w:left="1134" w:right="1134" w:hanging="1134"/>
    </w:pPr>
    <w:rPr>
      <w:rFonts w:ascii="Times New Roman" w:hAnsi="Times New Roman"/>
      <w:b/>
      <w:sz w:val="20"/>
      <w:szCs w:val="20"/>
      <w:lang w:val="en-US"/>
    </w:rPr>
  </w:style>
  <w:style w:type="character" w:styleId="FootnoteReference">
    <w:name w:val="footnote reference"/>
    <w:aliases w:val="4_G,(Footnote Reference)"/>
    <w:basedOn w:val="DefaultParagraphFont"/>
    <w:uiPriority w:val="99"/>
    <w:rsid w:val="00107C2C"/>
    <w:rPr>
      <w:rFonts w:ascii="Times New Roman" w:hAnsi="Times New Roman" w:cs="Times New Roman"/>
      <w:sz w:val="18"/>
      <w:vertAlign w:val="superscript"/>
    </w:rPr>
  </w:style>
  <w:style w:type="paragraph" w:styleId="FootnoteText">
    <w:name w:val="footnote text"/>
    <w:aliases w:val="5_G"/>
    <w:basedOn w:val="Normal"/>
    <w:link w:val="FootnoteTextChar"/>
    <w:uiPriority w:val="99"/>
    <w:rsid w:val="00107C2C"/>
    <w:pPr>
      <w:tabs>
        <w:tab w:val="right" w:pos="1021"/>
      </w:tabs>
      <w:spacing w:after="0" w:line="220" w:lineRule="exact"/>
      <w:ind w:left="1134" w:right="1134" w:hanging="1134"/>
    </w:pPr>
    <w:rPr>
      <w:rFonts w:ascii="Times New Roman" w:eastAsia="Times New Roman" w:hAnsi="Times New Roman"/>
      <w:sz w:val="18"/>
      <w:szCs w:val="20"/>
      <w:lang w:val="en-US"/>
    </w:rPr>
  </w:style>
  <w:style w:type="character" w:customStyle="1" w:styleId="FootnoteTextChar">
    <w:name w:val="Footnote Text Char"/>
    <w:aliases w:val="5_G Char"/>
    <w:basedOn w:val="DefaultParagraphFont"/>
    <w:link w:val="FootnoteText"/>
    <w:uiPriority w:val="99"/>
    <w:locked/>
    <w:rsid w:val="00107C2C"/>
    <w:rPr>
      <w:rFonts w:ascii="Times New Roman" w:hAnsi="Times New Roman" w:cs="Times New Roman"/>
      <w:sz w:val="20"/>
      <w:szCs w:val="20"/>
      <w:lang w:val="en-US" w:eastAsia="en-US"/>
    </w:rPr>
  </w:style>
  <w:style w:type="character" w:customStyle="1" w:styleId="HChGChar">
    <w:name w:val="_ H _Ch_G Char"/>
    <w:link w:val="HChG"/>
    <w:uiPriority w:val="99"/>
    <w:locked/>
    <w:rsid w:val="00107C2C"/>
    <w:rPr>
      <w:rFonts w:ascii="Times New Roman" w:hAnsi="Times New Roman"/>
      <w:b/>
      <w:sz w:val="20"/>
      <w:lang w:val="en-US" w:eastAsia="en-US"/>
    </w:rPr>
  </w:style>
  <w:style w:type="character" w:customStyle="1" w:styleId="alt-edited1">
    <w:name w:val="alt-edited1"/>
    <w:basedOn w:val="DefaultParagraphFont"/>
    <w:uiPriority w:val="99"/>
    <w:rsid w:val="001D3B92"/>
    <w:rPr>
      <w:rFonts w:cs="Times New Roman"/>
      <w:color w:val="4D90F0"/>
    </w:rPr>
  </w:style>
  <w:style w:type="character" w:styleId="CommentReference">
    <w:name w:val="annotation reference"/>
    <w:basedOn w:val="DefaultParagraphFont"/>
    <w:uiPriority w:val="99"/>
    <w:semiHidden/>
    <w:unhideWhenUsed/>
    <w:rsid w:val="003C7DF9"/>
    <w:rPr>
      <w:sz w:val="16"/>
      <w:szCs w:val="16"/>
    </w:rPr>
  </w:style>
  <w:style w:type="paragraph" w:styleId="CommentText">
    <w:name w:val="annotation text"/>
    <w:basedOn w:val="Normal"/>
    <w:link w:val="CommentTextChar"/>
    <w:uiPriority w:val="99"/>
    <w:semiHidden/>
    <w:unhideWhenUsed/>
    <w:rsid w:val="003C7DF9"/>
    <w:pPr>
      <w:spacing w:line="240" w:lineRule="auto"/>
    </w:pPr>
    <w:rPr>
      <w:sz w:val="20"/>
      <w:szCs w:val="20"/>
    </w:rPr>
  </w:style>
  <w:style w:type="character" w:customStyle="1" w:styleId="CommentTextChar">
    <w:name w:val="Comment Text Char"/>
    <w:basedOn w:val="DefaultParagraphFont"/>
    <w:link w:val="CommentText"/>
    <w:uiPriority w:val="99"/>
    <w:semiHidden/>
    <w:rsid w:val="003C7DF9"/>
    <w:rPr>
      <w:sz w:val="20"/>
      <w:szCs w:val="20"/>
      <w:lang w:val="en-GB" w:eastAsia="en-US"/>
    </w:rPr>
  </w:style>
  <w:style w:type="paragraph" w:styleId="CommentSubject">
    <w:name w:val="annotation subject"/>
    <w:basedOn w:val="CommentText"/>
    <w:next w:val="CommentText"/>
    <w:link w:val="CommentSubjectChar"/>
    <w:uiPriority w:val="99"/>
    <w:semiHidden/>
    <w:unhideWhenUsed/>
    <w:rsid w:val="003C7DF9"/>
    <w:rPr>
      <w:b/>
      <w:bCs/>
    </w:rPr>
  </w:style>
  <w:style w:type="character" w:customStyle="1" w:styleId="CommentSubjectChar">
    <w:name w:val="Comment Subject Char"/>
    <w:basedOn w:val="CommentTextChar"/>
    <w:link w:val="CommentSubject"/>
    <w:uiPriority w:val="99"/>
    <w:semiHidden/>
    <w:rsid w:val="003C7DF9"/>
    <w:rPr>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813683">
      <w:marLeft w:val="0"/>
      <w:marRight w:val="0"/>
      <w:marTop w:val="0"/>
      <w:marBottom w:val="0"/>
      <w:divBdr>
        <w:top w:val="none" w:sz="0" w:space="0" w:color="auto"/>
        <w:left w:val="none" w:sz="0" w:space="0" w:color="auto"/>
        <w:bottom w:val="none" w:sz="0" w:space="0" w:color="auto"/>
        <w:right w:val="none" w:sz="0" w:space="0" w:color="auto"/>
      </w:divBdr>
      <w:divsChild>
        <w:div w:id="394813681">
          <w:marLeft w:val="0"/>
          <w:marRight w:val="0"/>
          <w:marTop w:val="0"/>
          <w:marBottom w:val="0"/>
          <w:divBdr>
            <w:top w:val="none" w:sz="0" w:space="0" w:color="auto"/>
            <w:left w:val="none" w:sz="0" w:space="0" w:color="auto"/>
            <w:bottom w:val="none" w:sz="0" w:space="0" w:color="auto"/>
            <w:right w:val="none" w:sz="0" w:space="0" w:color="auto"/>
          </w:divBdr>
          <w:divsChild>
            <w:div w:id="394813692">
              <w:marLeft w:val="0"/>
              <w:marRight w:val="0"/>
              <w:marTop w:val="0"/>
              <w:marBottom w:val="0"/>
              <w:divBdr>
                <w:top w:val="none" w:sz="0" w:space="0" w:color="auto"/>
                <w:left w:val="none" w:sz="0" w:space="0" w:color="auto"/>
                <w:bottom w:val="none" w:sz="0" w:space="0" w:color="auto"/>
                <w:right w:val="none" w:sz="0" w:space="0" w:color="auto"/>
              </w:divBdr>
              <w:divsChild>
                <w:div w:id="394813685">
                  <w:marLeft w:val="0"/>
                  <w:marRight w:val="0"/>
                  <w:marTop w:val="0"/>
                  <w:marBottom w:val="0"/>
                  <w:divBdr>
                    <w:top w:val="none" w:sz="0" w:space="0" w:color="auto"/>
                    <w:left w:val="none" w:sz="0" w:space="0" w:color="auto"/>
                    <w:bottom w:val="none" w:sz="0" w:space="0" w:color="auto"/>
                    <w:right w:val="none" w:sz="0" w:space="0" w:color="auto"/>
                  </w:divBdr>
                  <w:divsChild>
                    <w:div w:id="394813687">
                      <w:marLeft w:val="0"/>
                      <w:marRight w:val="0"/>
                      <w:marTop w:val="0"/>
                      <w:marBottom w:val="0"/>
                      <w:divBdr>
                        <w:top w:val="none" w:sz="0" w:space="0" w:color="auto"/>
                        <w:left w:val="none" w:sz="0" w:space="0" w:color="auto"/>
                        <w:bottom w:val="none" w:sz="0" w:space="0" w:color="auto"/>
                        <w:right w:val="none" w:sz="0" w:space="0" w:color="auto"/>
                      </w:divBdr>
                      <w:divsChild>
                        <w:div w:id="394813689">
                          <w:marLeft w:val="0"/>
                          <w:marRight w:val="0"/>
                          <w:marTop w:val="0"/>
                          <w:marBottom w:val="0"/>
                          <w:divBdr>
                            <w:top w:val="none" w:sz="0" w:space="0" w:color="auto"/>
                            <w:left w:val="none" w:sz="0" w:space="0" w:color="auto"/>
                            <w:bottom w:val="none" w:sz="0" w:space="0" w:color="auto"/>
                            <w:right w:val="none" w:sz="0" w:space="0" w:color="auto"/>
                          </w:divBdr>
                          <w:divsChild>
                            <w:div w:id="394813690">
                              <w:marLeft w:val="0"/>
                              <w:marRight w:val="0"/>
                              <w:marTop w:val="0"/>
                              <w:marBottom w:val="0"/>
                              <w:divBdr>
                                <w:top w:val="none" w:sz="0" w:space="0" w:color="auto"/>
                                <w:left w:val="none" w:sz="0" w:space="0" w:color="auto"/>
                                <w:bottom w:val="none" w:sz="0" w:space="0" w:color="auto"/>
                                <w:right w:val="none" w:sz="0" w:space="0" w:color="auto"/>
                              </w:divBdr>
                              <w:divsChild>
                                <w:div w:id="394813688">
                                  <w:marLeft w:val="0"/>
                                  <w:marRight w:val="0"/>
                                  <w:marTop w:val="0"/>
                                  <w:marBottom w:val="0"/>
                                  <w:divBdr>
                                    <w:top w:val="none" w:sz="0" w:space="0" w:color="auto"/>
                                    <w:left w:val="none" w:sz="0" w:space="0" w:color="auto"/>
                                    <w:bottom w:val="none" w:sz="0" w:space="0" w:color="auto"/>
                                    <w:right w:val="none" w:sz="0" w:space="0" w:color="auto"/>
                                  </w:divBdr>
                                  <w:divsChild>
                                    <w:div w:id="394813686">
                                      <w:marLeft w:val="60"/>
                                      <w:marRight w:val="0"/>
                                      <w:marTop w:val="0"/>
                                      <w:marBottom w:val="0"/>
                                      <w:divBdr>
                                        <w:top w:val="none" w:sz="0" w:space="0" w:color="auto"/>
                                        <w:left w:val="none" w:sz="0" w:space="0" w:color="auto"/>
                                        <w:bottom w:val="none" w:sz="0" w:space="0" w:color="auto"/>
                                        <w:right w:val="none" w:sz="0" w:space="0" w:color="auto"/>
                                      </w:divBdr>
                                      <w:divsChild>
                                        <w:div w:id="394813682">
                                          <w:marLeft w:val="0"/>
                                          <w:marRight w:val="0"/>
                                          <w:marTop w:val="0"/>
                                          <w:marBottom w:val="0"/>
                                          <w:divBdr>
                                            <w:top w:val="none" w:sz="0" w:space="0" w:color="auto"/>
                                            <w:left w:val="none" w:sz="0" w:space="0" w:color="auto"/>
                                            <w:bottom w:val="none" w:sz="0" w:space="0" w:color="auto"/>
                                            <w:right w:val="none" w:sz="0" w:space="0" w:color="auto"/>
                                          </w:divBdr>
                                          <w:divsChild>
                                            <w:div w:id="394813680">
                                              <w:marLeft w:val="0"/>
                                              <w:marRight w:val="0"/>
                                              <w:marTop w:val="0"/>
                                              <w:marBottom w:val="120"/>
                                              <w:divBdr>
                                                <w:top w:val="single" w:sz="6" w:space="0" w:color="F5F5F5"/>
                                                <w:left w:val="single" w:sz="6" w:space="0" w:color="F5F5F5"/>
                                                <w:bottom w:val="single" w:sz="6" w:space="0" w:color="F5F5F5"/>
                                                <w:right w:val="single" w:sz="6" w:space="0" w:color="F5F5F5"/>
                                              </w:divBdr>
                                              <w:divsChild>
                                                <w:div w:id="394813684">
                                                  <w:marLeft w:val="0"/>
                                                  <w:marRight w:val="0"/>
                                                  <w:marTop w:val="0"/>
                                                  <w:marBottom w:val="0"/>
                                                  <w:divBdr>
                                                    <w:top w:val="none" w:sz="0" w:space="0" w:color="auto"/>
                                                    <w:left w:val="none" w:sz="0" w:space="0" w:color="auto"/>
                                                    <w:bottom w:val="none" w:sz="0" w:space="0" w:color="auto"/>
                                                    <w:right w:val="none" w:sz="0" w:space="0" w:color="auto"/>
                                                  </w:divBdr>
                                                  <w:divsChild>
                                                    <w:div w:id="39481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8136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wmf"/><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BB359-2B00-46B5-A7A6-31980FFC5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740</Words>
  <Characters>4219</Characters>
  <Application>Microsoft Office Word</Application>
  <DocSecurity>0</DocSecurity>
  <Lines>35</Lines>
  <Paragraphs>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This proposal concerns changes to the UN Regulation 67 with regard to the area of definition of the LPG container type approved accessories</vt:lpstr>
      <vt:lpstr>This proposal concerns changes to the UN Regulation 67 with regard to the area of definition of the LPG container type approved accessories</vt:lpstr>
    </vt:vector>
  </TitlesOfParts>
  <Company>ECE-ISU</Company>
  <LinksUpToDate>false</LinksUpToDate>
  <CharactersWithSpaces>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proposal concerns changes to the UN Regulation 67 with regard to the area of definition of the LPG container type approved accessories</dc:title>
  <dc:creator>Adam</dc:creator>
  <cp:lastModifiedBy>Hubert Romain</cp:lastModifiedBy>
  <cp:revision>4</cp:revision>
  <cp:lastPrinted>2017-09-26T08:55:00Z</cp:lastPrinted>
  <dcterms:created xsi:type="dcterms:W3CDTF">2017-09-26T08:54:00Z</dcterms:created>
  <dcterms:modified xsi:type="dcterms:W3CDTF">2017-09-26T09:04:00Z</dcterms:modified>
</cp:coreProperties>
</file>