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184E5C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184E5C" w:rsidRDefault="00A658DB" w:rsidP="007B199D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184E5C">
              <w:rPr>
                <w:lang w:val="en-US"/>
              </w:rPr>
              <w:t>/</w:t>
            </w:r>
            <w:r>
              <w:fldChar w:fldCharType="begin"/>
            </w:r>
            <w:r w:rsidRPr="00184E5C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184E5C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184E5C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184E5C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184E5C">
              <w:rPr>
                <w:lang w:val="en-US"/>
              </w:rPr>
              <w:instrText xml:space="preserve">CE/"  \* MERGEFORMAT </w:instrText>
            </w:r>
            <w:r w:rsidR="00184E5C">
              <w:fldChar w:fldCharType="separate"/>
            </w:r>
            <w:r w:rsidR="00184E5C" w:rsidRPr="00184E5C">
              <w:rPr>
                <w:lang w:val="en-US"/>
              </w:rPr>
              <w:t>TRANS/WP.29/GRSG/2017/1/Add.1</w:t>
            </w:r>
            <w:r>
              <w:fldChar w:fldCharType="end"/>
            </w:r>
            <w:r w:rsidRPr="00184E5C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76457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="00184E5C">
              <w:fldChar w:fldCharType="separate"/>
            </w:r>
            <w:r w:rsidR="00184E5C">
              <w:t xml:space="preserve">8 </w:t>
            </w:r>
            <w:proofErr w:type="spellStart"/>
            <w:r w:rsidR="00184E5C">
              <w:t>February</w:t>
            </w:r>
            <w:proofErr w:type="spellEnd"/>
            <w:r w:rsidR="00184E5C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7645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84E5C" w:rsidRPr="00184E5C" w:rsidRDefault="00184E5C" w:rsidP="00184E5C">
      <w:pPr>
        <w:spacing w:before="120" w:after="120" w:line="240" w:lineRule="auto"/>
        <w:rPr>
          <w:sz w:val="28"/>
          <w:szCs w:val="28"/>
        </w:rPr>
      </w:pPr>
      <w:r w:rsidRPr="00184E5C">
        <w:rPr>
          <w:sz w:val="28"/>
          <w:szCs w:val="28"/>
        </w:rPr>
        <w:t>Комитет по внутреннему транспорту</w:t>
      </w:r>
    </w:p>
    <w:p w:rsidR="00184E5C" w:rsidRPr="00184E5C" w:rsidRDefault="00184E5C" w:rsidP="00184E5C">
      <w:pPr>
        <w:spacing w:line="240" w:lineRule="auto"/>
        <w:rPr>
          <w:b/>
          <w:sz w:val="24"/>
          <w:szCs w:val="24"/>
        </w:rPr>
      </w:pPr>
      <w:r w:rsidRPr="00184E5C">
        <w:rPr>
          <w:b/>
          <w:sz w:val="24"/>
          <w:szCs w:val="24"/>
        </w:rPr>
        <w:t xml:space="preserve">Всемирный форум для согласования правил </w:t>
      </w:r>
      <w:r w:rsidRPr="00184E5C">
        <w:rPr>
          <w:b/>
          <w:sz w:val="24"/>
          <w:szCs w:val="24"/>
        </w:rPr>
        <w:br/>
        <w:t>в области транспортных средств</w:t>
      </w:r>
    </w:p>
    <w:p w:rsidR="00184E5C" w:rsidRPr="00184E5C" w:rsidRDefault="00184E5C" w:rsidP="00184E5C">
      <w:pPr>
        <w:spacing w:before="120" w:after="120" w:line="240" w:lineRule="auto"/>
        <w:rPr>
          <w:b/>
        </w:rPr>
      </w:pPr>
      <w:r w:rsidRPr="00184E5C">
        <w:rPr>
          <w:b/>
        </w:rPr>
        <w:t xml:space="preserve">Рабочая группа по общим предписаниям, </w:t>
      </w:r>
      <w:r w:rsidRPr="00184E5C">
        <w:rPr>
          <w:b/>
        </w:rPr>
        <w:br/>
        <w:t>касающимся безопасности</w:t>
      </w:r>
    </w:p>
    <w:p w:rsidR="00184E5C" w:rsidRPr="00184E5C" w:rsidRDefault="00184E5C" w:rsidP="00184E5C">
      <w:pPr>
        <w:spacing w:line="240" w:lineRule="auto"/>
        <w:rPr>
          <w:b/>
        </w:rPr>
      </w:pPr>
      <w:r w:rsidRPr="00184E5C">
        <w:rPr>
          <w:b/>
        </w:rPr>
        <w:t>112-я сессия</w:t>
      </w:r>
    </w:p>
    <w:p w:rsidR="00184E5C" w:rsidRPr="00184E5C" w:rsidRDefault="00184E5C" w:rsidP="00184E5C">
      <w:pPr>
        <w:spacing w:line="240" w:lineRule="auto"/>
      </w:pPr>
      <w:r w:rsidRPr="00184E5C">
        <w:t>Женева, 24–28 апреля 2017 года</w:t>
      </w:r>
    </w:p>
    <w:p w:rsidR="00184E5C" w:rsidRPr="00184E5C" w:rsidRDefault="00184E5C" w:rsidP="00184E5C">
      <w:pPr>
        <w:spacing w:line="240" w:lineRule="auto"/>
      </w:pPr>
      <w:r w:rsidRPr="00184E5C">
        <w:t>Пункт 1 предварительной повестки дня</w:t>
      </w:r>
    </w:p>
    <w:p w:rsidR="00A658DB" w:rsidRPr="00184E5C" w:rsidRDefault="00184E5C" w:rsidP="00184E5C">
      <w:pPr>
        <w:spacing w:line="240" w:lineRule="auto"/>
        <w:rPr>
          <w:b/>
        </w:rPr>
      </w:pPr>
      <w:r w:rsidRPr="00184E5C">
        <w:rPr>
          <w:b/>
        </w:rPr>
        <w:t>Утверждение повестки дня</w:t>
      </w:r>
    </w:p>
    <w:p w:rsidR="00184E5C" w:rsidRPr="00184E5C" w:rsidRDefault="00184E5C" w:rsidP="00184E5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84E5C">
        <w:t>Предварительная повестка дня 112-й сессии</w:t>
      </w:r>
    </w:p>
    <w:p w:rsidR="00184E5C" w:rsidRPr="00184E5C" w:rsidRDefault="00184E5C" w:rsidP="00184E5C">
      <w:pPr>
        <w:pStyle w:val="H23GR"/>
      </w:pPr>
      <w:r w:rsidRPr="00184E5C">
        <w:tab/>
      </w:r>
      <w:r w:rsidRPr="00184E5C">
        <w:tab/>
        <w:t>Добавление</w:t>
      </w:r>
    </w:p>
    <w:p w:rsidR="00184E5C" w:rsidRPr="00184E5C" w:rsidRDefault="00184E5C" w:rsidP="00184E5C">
      <w:pPr>
        <w:pStyle w:val="HChGR"/>
      </w:pPr>
      <w:r>
        <w:rPr>
          <w:lang w:val="en-US"/>
        </w:rPr>
        <w:tab/>
      </w:r>
      <w:r w:rsidRPr="00184E5C">
        <w:tab/>
        <w:t>Аннотации</w:t>
      </w:r>
    </w:p>
    <w:p w:rsidR="00184E5C" w:rsidRPr="00184E5C" w:rsidRDefault="00184E5C" w:rsidP="00184E5C">
      <w:pPr>
        <w:pStyle w:val="H1GR"/>
      </w:pPr>
      <w:r>
        <w:rPr>
          <w:lang w:val="en-US"/>
        </w:rPr>
        <w:tab/>
      </w:r>
      <w:r w:rsidRPr="00184E5C">
        <w:t>1.</w:t>
      </w:r>
      <w:r w:rsidRPr="00184E5C">
        <w:tab/>
        <w:t>Утверждение повестки дня</w:t>
      </w:r>
    </w:p>
    <w:p w:rsidR="00184E5C" w:rsidRPr="00184E5C" w:rsidRDefault="00184E5C" w:rsidP="00184E5C">
      <w:pPr>
        <w:pStyle w:val="SingleTxtGR"/>
      </w:pPr>
      <w:r w:rsidRPr="00184E5C">
        <w:tab/>
        <w:t>В соответствии с правилом 7 главы III правил процедуры (TRANS/ WP.29/690, Amend.1 и 2) Всемирного форума по согласованию правил в области транспортных средств (WP.29) первым пунктом предварительной повестки дня является утверждение повестки дня.</w:t>
      </w:r>
    </w:p>
    <w:p w:rsidR="00184E5C" w:rsidRPr="00184E5C" w:rsidRDefault="00184E5C" w:rsidP="00184E5C">
      <w:pPr>
        <w:pStyle w:val="SingleTxtGR"/>
        <w:spacing w:after="0"/>
      </w:pPr>
      <w:r w:rsidRPr="00184E5C">
        <w:rPr>
          <w:b/>
          <w:bCs/>
        </w:rPr>
        <w:t>Документация</w:t>
      </w:r>
      <w:r w:rsidRPr="00165EB2">
        <w:rPr>
          <w:b/>
        </w:rPr>
        <w:t>:</w:t>
      </w:r>
      <w:r w:rsidRPr="00184E5C">
        <w:tab/>
      </w:r>
      <w:r w:rsidRPr="00184E5C">
        <w:rPr>
          <w:lang w:val="en-US"/>
        </w:rPr>
        <w:t>ECE</w:t>
      </w:r>
      <w:r w:rsidRPr="00184E5C">
        <w:t>/</w:t>
      </w:r>
      <w:r w:rsidRPr="00184E5C">
        <w:rPr>
          <w:lang w:val="en-US"/>
        </w:rPr>
        <w:t>TRANS</w:t>
      </w:r>
      <w:r w:rsidRPr="00184E5C">
        <w:t>/</w:t>
      </w:r>
      <w:r w:rsidRPr="00184E5C">
        <w:rPr>
          <w:lang w:val="en-US"/>
        </w:rPr>
        <w:t>WP</w:t>
      </w:r>
      <w:r w:rsidRPr="00184E5C">
        <w:t>.29/</w:t>
      </w:r>
      <w:r w:rsidRPr="00184E5C">
        <w:rPr>
          <w:lang w:val="en-US"/>
        </w:rPr>
        <w:t>GRSG</w:t>
      </w:r>
      <w:r w:rsidRPr="00184E5C">
        <w:t xml:space="preserve">/2017/1 и </w:t>
      </w:r>
      <w:r w:rsidRPr="00184E5C">
        <w:rPr>
          <w:lang w:val="en-US"/>
        </w:rPr>
        <w:t>Add</w:t>
      </w:r>
      <w:r w:rsidRPr="00184E5C">
        <w:t>.1</w:t>
      </w:r>
    </w:p>
    <w:p w:rsidR="00184E5C" w:rsidRPr="00184E5C" w:rsidRDefault="00184E5C" w:rsidP="00184E5C">
      <w:pPr>
        <w:pStyle w:val="SingleTxtGR"/>
        <w:tabs>
          <w:tab w:val="clear" w:pos="1701"/>
          <w:tab w:val="clear" w:pos="2268"/>
        </w:tabs>
      </w:pPr>
      <w:r w:rsidRPr="00184E5C">
        <w:tab/>
        <w:t xml:space="preserve">неофициальный документ </w:t>
      </w:r>
      <w:r w:rsidRPr="00184E5C">
        <w:rPr>
          <w:lang w:val="en-US"/>
        </w:rPr>
        <w:t>GRSG</w:t>
      </w:r>
      <w:r w:rsidRPr="00184E5C">
        <w:t>-112-01</w:t>
      </w:r>
    </w:p>
    <w:p w:rsidR="00184E5C" w:rsidRPr="00184E5C" w:rsidRDefault="00184E5C" w:rsidP="00184E5C">
      <w:pPr>
        <w:pStyle w:val="H1GR"/>
      </w:pPr>
      <w:r w:rsidRPr="00184E5C">
        <w:tab/>
        <w:t>2.</w:t>
      </w:r>
      <w:r w:rsidRPr="00184E5C">
        <w:tab/>
        <w:t>Правила № 107 (транспортные средства M</w:t>
      </w:r>
      <w:r w:rsidRPr="00184E5C">
        <w:rPr>
          <w:vertAlign w:val="subscript"/>
        </w:rPr>
        <w:t>2</w:t>
      </w:r>
      <w:r w:rsidRPr="00184E5C">
        <w:t xml:space="preserve"> и M</w:t>
      </w:r>
      <w:r w:rsidRPr="00184E5C">
        <w:rPr>
          <w:vertAlign w:val="subscript"/>
        </w:rPr>
        <w:t>3</w:t>
      </w:r>
      <w:r w:rsidRPr="00184E5C">
        <w:t>)</w:t>
      </w:r>
    </w:p>
    <w:p w:rsidR="00184E5C" w:rsidRPr="00184E5C" w:rsidRDefault="00184E5C" w:rsidP="00184E5C">
      <w:pPr>
        <w:pStyle w:val="SingleTxtGR"/>
      </w:pPr>
      <w:r>
        <w:rPr>
          <w:lang w:val="en-US"/>
        </w:rPr>
        <w:tab/>
      </w:r>
      <w:r w:rsidRPr="00184E5C">
        <w:t>Рабочая группа по общим предписаниям, касающимся безопасности (GRSG), решила рассмотреть подробный анализ, представленный Бельгией (GRSG-111-21), в котором предлагается перенести новые предписания в обл</w:t>
      </w:r>
      <w:r w:rsidRPr="00184E5C">
        <w:t>а</w:t>
      </w:r>
      <w:r w:rsidRPr="00184E5C">
        <w:t>сти безопасности для троллейбусов из Правил № 107 ООН и включить их в Правила № 100 ООН, касающиеся транспортных средств с электроприводом. Поэтому ожидается, что GRSG ознакомится с результатами обсуждения пол</w:t>
      </w:r>
      <w:r w:rsidRPr="00184E5C">
        <w:t>о</w:t>
      </w:r>
      <w:r w:rsidRPr="00184E5C">
        <w:lastRenderedPageBreak/>
        <w:t>жений о троллейбусах в правилах № 10 и 100 ООН, проведенного Рабочей группой по вопросам освещения и световой сигнализации (GRE) и Рабочей группой по пассивной безопасности (GRSP).</w:t>
      </w:r>
    </w:p>
    <w:p w:rsidR="00184E5C" w:rsidRPr="00184E5C" w:rsidRDefault="00184E5C" w:rsidP="00184E5C">
      <w:pPr>
        <w:pStyle w:val="SingleTxtGR"/>
      </w:pPr>
      <w:r>
        <w:rPr>
          <w:lang w:val="en-US"/>
        </w:rPr>
        <w:tab/>
      </w:r>
      <w:r w:rsidRPr="00184E5C">
        <w:t>GRSG, возможно, пожелает рассмотреть обновленное предложение Ге</w:t>
      </w:r>
      <w:r w:rsidRPr="00184E5C">
        <w:t>р</w:t>
      </w:r>
      <w:r w:rsidRPr="00184E5C">
        <w:t>мании, направленное на повышение уровня удобства и доступности для пасс</w:t>
      </w:r>
      <w:r w:rsidRPr="00184E5C">
        <w:t>а</w:t>
      </w:r>
      <w:r w:rsidRPr="00184E5C">
        <w:t>жиров с ограниченной мобильностью, если таковое будет представлено. GRSG решила возобновить обсуждение пересмотренного предложения Междунаро</w:t>
      </w:r>
      <w:r w:rsidRPr="00184E5C">
        <w:t>д</w:t>
      </w:r>
      <w:r w:rsidRPr="00184E5C">
        <w:t>ной организации предприятий автомобильной промышленности (МОПАП) в целях с</w:t>
      </w:r>
      <w:r w:rsidRPr="00184E5C">
        <w:t>о</w:t>
      </w:r>
      <w:r w:rsidRPr="00184E5C">
        <w:t xml:space="preserve">гласования положений Правил № 107 ООН с положениями регламента Европейского союза 1230/2012, касающегося масс и размеров, в отношении определения </w:t>
      </w:r>
      <w:r w:rsidR="00706873">
        <w:t>«</w:t>
      </w:r>
      <w:r w:rsidRPr="00184E5C">
        <w:t>масса в снаряженном состоянии</w:t>
      </w:r>
      <w:r w:rsidR="00706873">
        <w:t>»</w:t>
      </w:r>
      <w:r w:rsidRPr="00184E5C">
        <w:t>, если таковое будет представл</w:t>
      </w:r>
      <w:r w:rsidRPr="00184E5C">
        <w:t>е</w:t>
      </w:r>
      <w:r w:rsidRPr="00184E5C">
        <w:t>но.</w:t>
      </w:r>
    </w:p>
    <w:p w:rsidR="00184E5C" w:rsidRPr="00184E5C" w:rsidRDefault="00184E5C" w:rsidP="005A2066">
      <w:pPr>
        <w:pStyle w:val="SingleTxtGR"/>
        <w:spacing w:after="0"/>
        <w:rPr>
          <w:bCs/>
        </w:rPr>
      </w:pPr>
      <w:r w:rsidRPr="00184E5C">
        <w:rPr>
          <w:b/>
        </w:rPr>
        <w:t>Документация:</w:t>
      </w:r>
      <w:r w:rsidRPr="00184E5C">
        <w:rPr>
          <w:b/>
        </w:rPr>
        <w:tab/>
      </w:r>
      <w:r w:rsidRPr="00184E5C">
        <w:rPr>
          <w:bCs/>
        </w:rPr>
        <w:t>(ECE/TRANS/WP.29/GRSG/2016/5</w:t>
      </w:r>
      <w:r w:rsidR="006432BF">
        <w:rPr>
          <w:bCs/>
        </w:rPr>
        <w:t>)</w:t>
      </w:r>
    </w:p>
    <w:p w:rsidR="00184E5C" w:rsidRPr="00184E5C" w:rsidRDefault="00184E5C" w:rsidP="005A2066">
      <w:pPr>
        <w:pStyle w:val="SingleTxtGR"/>
        <w:tabs>
          <w:tab w:val="clear" w:pos="1701"/>
          <w:tab w:val="clear" w:pos="2268"/>
        </w:tabs>
      </w:pPr>
      <w:r w:rsidRPr="00184E5C">
        <w:rPr>
          <w:bCs/>
        </w:rPr>
        <w:tab/>
        <w:t>неофициальный документ GRSG-111-21</w:t>
      </w:r>
    </w:p>
    <w:p w:rsidR="00184E5C" w:rsidRPr="00184E5C" w:rsidRDefault="00184E5C" w:rsidP="005A2066">
      <w:pPr>
        <w:pStyle w:val="H1GR"/>
      </w:pPr>
      <w:r w:rsidRPr="00184E5C">
        <w:tab/>
        <w:t>3.</w:t>
      </w:r>
      <w:r w:rsidRPr="00184E5C">
        <w:tab/>
        <w:t>Правила № 39 (механизм для измерения скорости и одометр)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GRSG, возможно, рассмотрит новое предложение Международной авт</w:t>
      </w:r>
      <w:r w:rsidR="00184E5C" w:rsidRPr="00184E5C">
        <w:t>о</w:t>
      </w:r>
      <w:r w:rsidR="00184E5C" w:rsidRPr="00184E5C">
        <w:t>мобильной федерации (ФИА) относительно новых положений для защиты од</w:t>
      </w:r>
      <w:r w:rsidR="00184E5C" w:rsidRPr="00184E5C">
        <w:t>о</w:t>
      </w:r>
      <w:r w:rsidR="00184E5C" w:rsidRPr="00184E5C">
        <w:t>метра от занижения показателей пробега, если таковое будет представлено.</w:t>
      </w:r>
    </w:p>
    <w:p w:rsidR="00184E5C" w:rsidRPr="00184E5C" w:rsidRDefault="00184E5C" w:rsidP="00184E5C">
      <w:pPr>
        <w:pStyle w:val="SingleTxtGR"/>
      </w:pPr>
      <w:r w:rsidRPr="00184E5C">
        <w:rPr>
          <w:b/>
          <w:bCs/>
        </w:rPr>
        <w:t>Документация</w:t>
      </w:r>
      <w:r w:rsidRPr="00165EB2">
        <w:rPr>
          <w:b/>
        </w:rPr>
        <w:t>:</w:t>
      </w:r>
      <w:r w:rsidRPr="00184E5C">
        <w:tab/>
        <w:t>(ECE/TRANS/WP.29/GRSG/2015/16)</w:t>
      </w:r>
    </w:p>
    <w:p w:rsidR="00184E5C" w:rsidRPr="00184E5C" w:rsidRDefault="00184E5C" w:rsidP="005A2066">
      <w:pPr>
        <w:pStyle w:val="H1GR"/>
      </w:pPr>
      <w:r w:rsidRPr="00184E5C">
        <w:tab/>
        <w:t>4.</w:t>
      </w:r>
      <w:r w:rsidRPr="00184E5C">
        <w:tab/>
        <w:t xml:space="preserve">Правила № 43 (безопасные </w:t>
      </w:r>
      <w:proofErr w:type="spellStart"/>
      <w:r w:rsidRPr="00184E5C">
        <w:t>стекловые</w:t>
      </w:r>
      <w:proofErr w:type="spellEnd"/>
      <w:r w:rsidRPr="00184E5C">
        <w:t xml:space="preserve"> материалы)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 решила возобновить обсуждение пересмотренного предложения, представленного Германией (ECE/TRANS/WP.29/GRSG/2017/6), по уточнению требования испытания на абразивную стойкость на основе публикации соотве</w:t>
      </w:r>
      <w:r w:rsidR="00184E5C" w:rsidRPr="00184E5C">
        <w:t>т</w:t>
      </w:r>
      <w:r w:rsidR="00184E5C" w:rsidRPr="00184E5C">
        <w:t>ствующего стандарта Международной организации по стандартизации (ИСО).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 рассмотрит обновленное предложение Европейской ассоциации поставщиков автомобильных деталей (КСАОД) (ECE/TRANS/WP.29/GRSG/</w:t>
      </w:r>
      <w:r w:rsidRPr="005A2066">
        <w:t xml:space="preserve"> </w:t>
      </w:r>
      <w:r w:rsidR="00184E5C" w:rsidRPr="00184E5C">
        <w:t>2017/8), содержащее поправки к приложению 21.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GRSG, возможно, пожелает заслушать информацию целевой группы по вопросу о согласовании вариантов правил на французском и английском языках и уточнить определение типов и зоны с любой светонепроницаемой поверхн</w:t>
      </w:r>
      <w:r w:rsidR="00184E5C" w:rsidRPr="00184E5C">
        <w:t>о</w:t>
      </w:r>
      <w:r w:rsidR="00184E5C" w:rsidRPr="00184E5C">
        <w:t>стью.</w:t>
      </w:r>
    </w:p>
    <w:p w:rsidR="00184E5C" w:rsidRPr="00184E5C" w:rsidRDefault="00184E5C" w:rsidP="005A2066">
      <w:pPr>
        <w:pStyle w:val="SingleTxtGR"/>
        <w:ind w:left="2835" w:hanging="1701"/>
      </w:pPr>
      <w:r w:rsidRPr="00184E5C">
        <w:rPr>
          <w:b/>
          <w:bCs/>
        </w:rPr>
        <w:t>Документаци</w:t>
      </w:r>
      <w:r w:rsidRPr="00165EB2">
        <w:rPr>
          <w:b/>
          <w:bCs/>
        </w:rPr>
        <w:t>я</w:t>
      </w:r>
      <w:r w:rsidRPr="00165EB2">
        <w:rPr>
          <w:b/>
        </w:rPr>
        <w:t>:</w:t>
      </w:r>
      <w:r w:rsidRPr="00184E5C">
        <w:tab/>
        <w:t>ECE/TRANS/WP.29/GRSG/2017/6 ECE/TRANS/WP.29/GRSG/2017/8</w:t>
      </w:r>
    </w:p>
    <w:p w:rsidR="00184E5C" w:rsidRPr="00184E5C" w:rsidRDefault="00184E5C" w:rsidP="005A2066">
      <w:pPr>
        <w:pStyle w:val="H1GR"/>
      </w:pPr>
      <w:r w:rsidRPr="00184E5C">
        <w:tab/>
        <w:t>5.</w:t>
      </w:r>
      <w:r w:rsidRPr="00184E5C">
        <w:tab/>
        <w:t>Правила № 46 (устройства непрямого обзора)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 будет проинформирована Председателем неофициальной рабочей группы (НРГ) по вопросу о непосредственном поле обзора и системах обнар</w:t>
      </w:r>
      <w:r w:rsidR="00184E5C" w:rsidRPr="00184E5C">
        <w:t>у</w:t>
      </w:r>
      <w:r w:rsidR="00184E5C" w:rsidRPr="00184E5C">
        <w:t>жения препятствий о ходе работы группы над новыми требованиями, каса</w:t>
      </w:r>
      <w:r w:rsidR="00184E5C" w:rsidRPr="00184E5C">
        <w:t>ю</w:t>
      </w:r>
      <w:r w:rsidR="00184E5C" w:rsidRPr="00184E5C">
        <w:t>щимися непосредственного поля обзора. GRSG решила пересмотреть круг в</w:t>
      </w:r>
      <w:r w:rsidR="00184E5C" w:rsidRPr="00184E5C">
        <w:t>е</w:t>
      </w:r>
      <w:r w:rsidR="00184E5C" w:rsidRPr="00184E5C">
        <w:t>дения и правила процедуры НРГ (GRSG-111-29).</w:t>
      </w:r>
    </w:p>
    <w:p w:rsidR="00184E5C" w:rsidRPr="00184E5C" w:rsidRDefault="005A2066" w:rsidP="005A2066">
      <w:pPr>
        <w:pStyle w:val="SingleTxtGR"/>
        <w:keepNext/>
        <w:keepLines/>
      </w:pPr>
      <w:r>
        <w:rPr>
          <w:lang w:val="en-US"/>
        </w:rPr>
        <w:lastRenderedPageBreak/>
        <w:tab/>
      </w:r>
      <w:r w:rsidR="00184E5C" w:rsidRPr="00184E5C">
        <w:t>GRSG решила возобновить рассмотрение предложения Германии (ECE/TRANS/WP.29/GRSG/2017/2) для исправления положений пункта 16.1.3.1, касающихся коэффициента увеличения.</w:t>
      </w:r>
    </w:p>
    <w:p w:rsidR="00184E5C" w:rsidRPr="00184E5C" w:rsidRDefault="00184E5C" w:rsidP="005A2066">
      <w:pPr>
        <w:pStyle w:val="SingleTxtGR"/>
        <w:spacing w:after="0"/>
      </w:pPr>
      <w:r w:rsidRPr="00184E5C">
        <w:rPr>
          <w:b/>
          <w:bCs/>
        </w:rPr>
        <w:t>Документация</w:t>
      </w:r>
      <w:r w:rsidRPr="00165EB2">
        <w:rPr>
          <w:b/>
        </w:rPr>
        <w:t>:</w:t>
      </w:r>
      <w:r w:rsidRPr="00184E5C">
        <w:tab/>
        <w:t>ECE/TRANS/WP.29/GRSG/2017/2</w:t>
      </w:r>
    </w:p>
    <w:p w:rsidR="00184E5C" w:rsidRPr="00184E5C" w:rsidRDefault="00184E5C" w:rsidP="005A2066">
      <w:pPr>
        <w:pStyle w:val="SingleTxtGR"/>
        <w:tabs>
          <w:tab w:val="clear" w:pos="1701"/>
          <w:tab w:val="clear" w:pos="2268"/>
        </w:tabs>
      </w:pPr>
      <w:r w:rsidRPr="00184E5C">
        <w:tab/>
        <w:t>(неофициальный документ GRSG-111-29)</w:t>
      </w:r>
    </w:p>
    <w:p w:rsidR="00184E5C" w:rsidRPr="00184E5C" w:rsidRDefault="00184E5C" w:rsidP="005A2066">
      <w:pPr>
        <w:pStyle w:val="H1GR"/>
      </w:pPr>
      <w:r w:rsidRPr="00184E5C">
        <w:tab/>
        <w:t>6.</w:t>
      </w:r>
      <w:r w:rsidRPr="00184E5C">
        <w:tab/>
        <w:t>Правила № 66 (прочность силовой структуры (автобусы))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 решила возобновить рассмотрение документа ECE/TRANS/WP.29/</w:t>
      </w:r>
      <w:r w:rsidRPr="005A2066">
        <w:t xml:space="preserve"> </w:t>
      </w:r>
      <w:r w:rsidR="00184E5C" w:rsidRPr="00184E5C">
        <w:t>GRSG/2016/11 вместе с совместным предложением Франции, Соединенного Королевства и МОПАП для уточнения положений Правил ООН в отношении проникновения в остаточное пространство.</w:t>
      </w:r>
    </w:p>
    <w:p w:rsidR="00184E5C" w:rsidRPr="00184E5C" w:rsidRDefault="00184E5C" w:rsidP="005A2066">
      <w:pPr>
        <w:pStyle w:val="SingleTxtGR"/>
        <w:spacing w:after="0"/>
      </w:pPr>
      <w:r w:rsidRPr="00184E5C">
        <w:rPr>
          <w:b/>
          <w:bCs/>
        </w:rPr>
        <w:t>Документация</w:t>
      </w:r>
      <w:r w:rsidRPr="00165EB2">
        <w:rPr>
          <w:b/>
        </w:rPr>
        <w:t>:</w:t>
      </w:r>
      <w:r w:rsidRPr="00184E5C">
        <w:tab/>
        <w:t xml:space="preserve">ECE/TRANS/WP.29/GRSG/2016/11 </w:t>
      </w:r>
    </w:p>
    <w:p w:rsidR="00184E5C" w:rsidRPr="00184E5C" w:rsidRDefault="00184E5C" w:rsidP="005A2066">
      <w:pPr>
        <w:pStyle w:val="SingleTxtGR"/>
        <w:tabs>
          <w:tab w:val="clear" w:pos="1701"/>
          <w:tab w:val="clear" w:pos="2268"/>
        </w:tabs>
      </w:pPr>
      <w:r w:rsidRPr="00184E5C">
        <w:tab/>
        <w:t>неофициальный документ GRSG-110-16</w:t>
      </w:r>
    </w:p>
    <w:p w:rsidR="00184E5C" w:rsidRPr="00184E5C" w:rsidRDefault="00184E5C" w:rsidP="005A2066">
      <w:pPr>
        <w:pStyle w:val="H1GR"/>
      </w:pPr>
      <w:r w:rsidRPr="00184E5C">
        <w:tab/>
        <w:t>7.</w:t>
      </w:r>
      <w:r w:rsidRPr="00184E5C">
        <w:tab/>
        <w:t>Правила № 67 (транспортные средства СНГ)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 решила также провести окончательное рассмотрение предложения Европейской ассоциации по сжиженным нефтяным газам (ЕАСНГ) для предо</w:t>
      </w:r>
      <w:r w:rsidR="00184E5C" w:rsidRPr="00184E5C">
        <w:t>т</w:t>
      </w:r>
      <w:r w:rsidR="00184E5C" w:rsidRPr="00184E5C">
        <w:t>вращения поступления сжиженного нефтяного газа (СНГ) в бак с бензиновым или дизельным топливом и наоборот (ECE/TRANS/WP.29/GRSG/2016/15).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 решила продолжить рассмотрение обновленного предложения Н</w:t>
      </w:r>
      <w:r w:rsidR="00184E5C" w:rsidRPr="00184E5C">
        <w:t>и</w:t>
      </w:r>
      <w:r w:rsidR="00184E5C" w:rsidRPr="00184E5C">
        <w:t>дерландов (ECE/TRANS/WP.29/GRSG/2017/3), предусматривающего возмо</w:t>
      </w:r>
      <w:r w:rsidR="00184E5C" w:rsidRPr="00184E5C">
        <w:t>ж</w:t>
      </w:r>
      <w:r w:rsidR="00184E5C" w:rsidRPr="00184E5C">
        <w:t xml:space="preserve">ность применения шлангов класса 0/I с соединительными муфтами, в которых используются другие патрубки, </w:t>
      </w:r>
      <w:proofErr w:type="gramStart"/>
      <w:r w:rsidR="00184E5C" w:rsidRPr="00184E5C">
        <w:t>помимо</w:t>
      </w:r>
      <w:proofErr w:type="gramEnd"/>
      <w:r w:rsidR="00184E5C" w:rsidRPr="00184E5C">
        <w:t xml:space="preserve"> изготовленных из цельнотянутых тр</w:t>
      </w:r>
      <w:r w:rsidR="00184E5C" w:rsidRPr="00184E5C">
        <w:t>у</w:t>
      </w:r>
      <w:r w:rsidR="00184E5C" w:rsidRPr="00184E5C">
        <w:t>бок.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GRSG, как ожидается, возобновит обсуждение пересмотренного предл</w:t>
      </w:r>
      <w:r w:rsidR="00184E5C" w:rsidRPr="00184E5C">
        <w:t>о</w:t>
      </w:r>
      <w:r w:rsidR="00184E5C" w:rsidRPr="00184E5C">
        <w:t>жения Польши (ECE/TRANS/WP.29/GRSG/2017/10) для уточнения положений, касающихся официального утверждения вспомогательного оборудования ба</w:t>
      </w:r>
      <w:r w:rsidR="00184E5C" w:rsidRPr="00184E5C">
        <w:t>л</w:t>
      </w:r>
      <w:r w:rsidR="00184E5C" w:rsidRPr="00184E5C">
        <w:t>лона.</w:t>
      </w:r>
    </w:p>
    <w:p w:rsidR="00184E5C" w:rsidRPr="00184E5C" w:rsidRDefault="00184E5C" w:rsidP="005A2066">
      <w:pPr>
        <w:pStyle w:val="SingleTxtGR"/>
        <w:ind w:left="2835" w:hanging="1701"/>
      </w:pPr>
      <w:r w:rsidRPr="00184E5C">
        <w:rPr>
          <w:b/>
          <w:bCs/>
        </w:rPr>
        <w:t>Документация</w:t>
      </w:r>
      <w:r w:rsidRPr="00165EB2">
        <w:rPr>
          <w:b/>
        </w:rPr>
        <w:t>:</w:t>
      </w:r>
      <w:r w:rsidRPr="00184E5C">
        <w:tab/>
        <w:t>ECE/TRANS/WP.29/GRSG/2016/15 ECE/TRANS/WP.29/GRSG/2017/3 ECE/TRANS/WP.29/GRSG/2017/10</w:t>
      </w:r>
    </w:p>
    <w:p w:rsidR="00184E5C" w:rsidRPr="00184E5C" w:rsidRDefault="00184E5C" w:rsidP="005A2066">
      <w:pPr>
        <w:pStyle w:val="H1GR"/>
      </w:pPr>
      <w:r w:rsidRPr="00184E5C">
        <w:tab/>
        <w:t>8.</w:t>
      </w:r>
      <w:r w:rsidRPr="00184E5C">
        <w:tab/>
        <w:t xml:space="preserve">Правила № 93 (передние </w:t>
      </w:r>
      <w:proofErr w:type="spellStart"/>
      <w:r w:rsidRPr="00184E5C">
        <w:t>противоподкатные</w:t>
      </w:r>
      <w:proofErr w:type="spellEnd"/>
      <w:r w:rsidRPr="00184E5C">
        <w:t xml:space="preserve"> защитные устройства)</w:t>
      </w:r>
    </w:p>
    <w:p w:rsidR="00184E5C" w:rsidRPr="00184E5C" w:rsidRDefault="005A2066" w:rsidP="00184E5C">
      <w:pPr>
        <w:pStyle w:val="SingleTxtGR"/>
        <w:rPr>
          <w:i/>
        </w:rPr>
      </w:pPr>
      <w:r>
        <w:rPr>
          <w:lang w:val="en-US"/>
        </w:rPr>
        <w:tab/>
      </w:r>
      <w:r w:rsidR="00184E5C" w:rsidRPr="00184E5C">
        <w:t>GRSG, возможно, пожелает рассмотреть предложение Европейской фед</w:t>
      </w:r>
      <w:r w:rsidR="00184E5C" w:rsidRPr="00184E5C">
        <w:t>е</w:t>
      </w:r>
      <w:r w:rsidR="00184E5C" w:rsidRPr="00184E5C">
        <w:t>рации по транспорту и окружающей среде (ТОС), в котором предлагается уто</w:t>
      </w:r>
      <w:r w:rsidR="00184E5C" w:rsidRPr="00184E5C">
        <w:t>ч</w:t>
      </w:r>
      <w:r w:rsidR="00184E5C" w:rsidRPr="00184E5C">
        <w:t>нить положения Правил № 93 ООН, если таковое будет представлено.</w:t>
      </w:r>
    </w:p>
    <w:p w:rsidR="00184E5C" w:rsidRPr="00184E5C" w:rsidRDefault="00184E5C" w:rsidP="005A2066">
      <w:pPr>
        <w:pStyle w:val="H1GR"/>
      </w:pPr>
      <w:r w:rsidRPr="00184E5C">
        <w:tab/>
        <w:t>9.</w:t>
      </w:r>
      <w:r w:rsidRPr="00184E5C">
        <w:tab/>
        <w:t>Правила № 110 (транспортны</w:t>
      </w:r>
      <w:r w:rsidR="005A2066">
        <w:t>е средства, работающие на КПГ и</w:t>
      </w:r>
      <w:r w:rsidR="005A2066">
        <w:rPr>
          <w:lang w:val="en-US"/>
        </w:rPr>
        <w:t> </w:t>
      </w:r>
      <w:r w:rsidRPr="00184E5C">
        <w:t>СПГ)</w:t>
      </w:r>
    </w:p>
    <w:p w:rsidR="00184E5C" w:rsidRPr="00184E5C" w:rsidRDefault="005A2066" w:rsidP="00184E5C">
      <w:pPr>
        <w:pStyle w:val="SingleTxtGR"/>
        <w:rPr>
          <w:bCs/>
        </w:rPr>
      </w:pPr>
      <w:r>
        <w:rPr>
          <w:lang w:val="en-US"/>
        </w:rPr>
        <w:tab/>
      </w:r>
      <w:r w:rsidR="00184E5C" w:rsidRPr="00184E5C">
        <w:t>Предполагается, что GRSG проведет окончательное рассмотрение пре</w:t>
      </w:r>
      <w:r w:rsidR="00184E5C" w:rsidRPr="00184E5C">
        <w:t>д</w:t>
      </w:r>
      <w:r w:rsidR="00184E5C" w:rsidRPr="00184E5C">
        <w:t>ложения ИСО, нацеленное на согласование требований к баллонам КПГ с тр</w:t>
      </w:r>
      <w:r w:rsidR="00184E5C" w:rsidRPr="00184E5C">
        <w:t>е</w:t>
      </w:r>
      <w:r w:rsidR="00184E5C" w:rsidRPr="00184E5C">
        <w:t>бованиями стандарта ISO 11439:2013 (ECE/TRANS/WP.29/GRSG/2016/22).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lastRenderedPageBreak/>
        <w:tab/>
      </w:r>
      <w:r w:rsidR="00184E5C" w:rsidRPr="00184E5C">
        <w:t>GRSG решила рассмотреть предложение, подготовленное Нидерландами для исправления ошибки в определениях, связанных с ручным вентилем (ECE/TRANS/WP.29/GRSG/2017/4).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GRSG, возможно, пожелает рассмотреть предложение Франции, в кот</w:t>
      </w:r>
      <w:r w:rsidR="00184E5C" w:rsidRPr="00184E5C">
        <w:t>о</w:t>
      </w:r>
      <w:r w:rsidR="00184E5C" w:rsidRPr="00184E5C">
        <w:t>ром предлагается согласовать положения поправок серии 01 и 02 к Прав</w:t>
      </w:r>
      <w:r w:rsidR="00184E5C" w:rsidRPr="00184E5C">
        <w:t>и</w:t>
      </w:r>
      <w:r w:rsidR="00184E5C" w:rsidRPr="00184E5C">
        <w:t>лам</w:t>
      </w:r>
      <w:r w:rsidR="006432BF">
        <w:t> </w:t>
      </w:r>
      <w:r w:rsidR="00184E5C" w:rsidRPr="00184E5C">
        <w:t>№</w:t>
      </w:r>
      <w:r w:rsidR="006432BF">
        <w:t> </w:t>
      </w:r>
      <w:r w:rsidR="00184E5C" w:rsidRPr="00184E5C">
        <w:t>110 ООН (ECE/TRANS/WP.29/GRSG/2017/9).</w:t>
      </w:r>
    </w:p>
    <w:p w:rsidR="00184E5C" w:rsidRPr="00184E5C" w:rsidRDefault="00184E5C" w:rsidP="005A2066">
      <w:pPr>
        <w:pStyle w:val="SingleTxtGR"/>
        <w:ind w:left="2835" w:hanging="1701"/>
      </w:pPr>
      <w:r w:rsidRPr="00184E5C">
        <w:rPr>
          <w:b/>
          <w:bCs/>
        </w:rPr>
        <w:t>Документация</w:t>
      </w:r>
      <w:r w:rsidRPr="00165EB2">
        <w:rPr>
          <w:b/>
        </w:rPr>
        <w:t>:</w:t>
      </w:r>
      <w:r w:rsidRPr="00184E5C">
        <w:tab/>
        <w:t>ECE/TRANS/WP.29/GRSG/2016/22 ECE/TRANS/WP.29/GRSG/2017/4 ECE/TRANS/WP.29/GRSG/2017/9</w:t>
      </w:r>
    </w:p>
    <w:p w:rsidR="00184E5C" w:rsidRPr="00184E5C" w:rsidRDefault="00184E5C" w:rsidP="005A2066">
      <w:pPr>
        <w:pStyle w:val="H1GR"/>
      </w:pPr>
      <w:r w:rsidRPr="00184E5C">
        <w:tab/>
        <w:t>10.</w:t>
      </w:r>
      <w:r w:rsidRPr="00184E5C">
        <w:tab/>
        <w:t>Правила № 116 (противоугонные системы и системы охранной сигнализации)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GRSG, возможно, пожелает рассмотреть предложение целевой группы по разделению положений Правил № 116 ООН, исключению некоторых полож</w:t>
      </w:r>
      <w:r w:rsidR="00184E5C" w:rsidRPr="00184E5C">
        <w:t>е</w:t>
      </w:r>
      <w:r w:rsidR="00184E5C" w:rsidRPr="00184E5C">
        <w:t xml:space="preserve">ний и их включению в </w:t>
      </w:r>
      <w:bookmarkStart w:id="2" w:name="_GoBack"/>
      <w:bookmarkEnd w:id="2"/>
      <w:r w:rsidR="00184E5C" w:rsidRPr="00184E5C">
        <w:t>два новых правила ООН, если таковое будет представл</w:t>
      </w:r>
      <w:r w:rsidR="00184E5C" w:rsidRPr="00184E5C">
        <w:t>е</w:t>
      </w:r>
      <w:r w:rsidR="00184E5C" w:rsidRPr="00184E5C">
        <w:t>но.</w:t>
      </w:r>
    </w:p>
    <w:p w:rsidR="00184E5C" w:rsidRPr="00184E5C" w:rsidRDefault="00184E5C" w:rsidP="005A2066">
      <w:pPr>
        <w:pStyle w:val="H1GR"/>
      </w:pPr>
      <w:r w:rsidRPr="00184E5C">
        <w:tab/>
        <w:t>11.</w:t>
      </w:r>
      <w:r w:rsidRPr="00184E5C">
        <w:tab/>
        <w:t>Правила № 121 (идентификация органов управления, контрольных сигналов и индикаторов)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На предыдущей сессии GRSG полностью поддержала документ ECE/ TRANS/WP.29/GRSG/2016/17 (с исправлениями), в котором предлагается вкл</w:t>
      </w:r>
      <w:r w:rsidR="00184E5C" w:rsidRPr="00184E5C">
        <w:t>ю</w:t>
      </w:r>
      <w:r w:rsidR="00184E5C" w:rsidRPr="00184E5C">
        <w:t>чить в Правила новое обозначение для органов управления и контрольных си</w:t>
      </w:r>
      <w:r w:rsidR="00184E5C" w:rsidRPr="00184E5C">
        <w:t>г</w:t>
      </w:r>
      <w:r w:rsidR="00184E5C" w:rsidRPr="00184E5C">
        <w:t>налов системы вызова экстренных оперативных служб. GRSG решила предст</w:t>
      </w:r>
      <w:r w:rsidR="00184E5C" w:rsidRPr="00184E5C">
        <w:t>а</w:t>
      </w:r>
      <w:r w:rsidR="00184E5C" w:rsidRPr="00184E5C">
        <w:t>вить его параллельно с проектом новых правил, касающихся систем вызова экстренных оперативных служб (АСВЭС). Поэтому GRSG предпочла сохранить этот документ в повестке дня в ожидании принятия проекта новых правил, к</w:t>
      </w:r>
      <w:r w:rsidR="00184E5C" w:rsidRPr="00184E5C">
        <w:t>а</w:t>
      </w:r>
      <w:r w:rsidR="00184E5C" w:rsidRPr="00184E5C">
        <w:t>сающихся АСВЭС (пункт 12 повестки дня).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 решила возобновить рассмотрение документа ECE/TRANS/WP.29/</w:t>
      </w:r>
      <w:r w:rsidRPr="005A2066">
        <w:t xml:space="preserve"> </w:t>
      </w:r>
      <w:r w:rsidR="00184E5C" w:rsidRPr="00184E5C">
        <w:t>GRSG/2017/5, представленного МОПАП, в целях согласования положений Пр</w:t>
      </w:r>
      <w:r w:rsidR="00184E5C" w:rsidRPr="00184E5C">
        <w:t>а</w:t>
      </w:r>
      <w:r w:rsidR="00184E5C" w:rsidRPr="00184E5C">
        <w:t>вил № 121 ООН с поправками серии 07 к Правилам № 16 ООН, а также текст, касающийся сигнала № 31, со стандартом ISO 2575.</w:t>
      </w:r>
    </w:p>
    <w:p w:rsidR="00184E5C" w:rsidRPr="00184E5C" w:rsidRDefault="00184E5C" w:rsidP="005A2066">
      <w:pPr>
        <w:pStyle w:val="SingleTxtGR"/>
        <w:ind w:left="2835" w:hanging="1701"/>
      </w:pPr>
      <w:r w:rsidRPr="005A2066">
        <w:rPr>
          <w:b/>
        </w:rPr>
        <w:t>Документация:</w:t>
      </w:r>
      <w:r w:rsidRPr="00184E5C">
        <w:tab/>
        <w:t>ECE/TRANS/WP.29/GRSG/2016/17 ECE/TRANS/WP.29/GRSG/2017/5</w:t>
      </w:r>
    </w:p>
    <w:p w:rsidR="00184E5C" w:rsidRPr="00184E5C" w:rsidRDefault="005A2066" w:rsidP="005A2066">
      <w:pPr>
        <w:pStyle w:val="H1GR"/>
      </w:pPr>
      <w:r>
        <w:rPr>
          <w:lang w:val="en-US"/>
        </w:rPr>
        <w:tab/>
      </w:r>
      <w:r w:rsidR="00184E5C" w:rsidRPr="00184E5C">
        <w:t>12.</w:t>
      </w:r>
      <w:r w:rsidR="00184E5C" w:rsidRPr="00184E5C">
        <w:tab/>
        <w:t>Системы вызова экстренных оперативных служб (АСВЭС)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GRSG, возможно, пожелает заслушать информацию целевой группы по АСВЭС об итогах обсуждений по оставшимся открытым вопросам в проекте новых правил по АСВЭС (ECE/TRANS/WP.29/GRSG/2017/12). GRSG решила рассмотреть, в частности, позицию договаривающихся сторон относительно пикового значения импульсов 60g или 65g и новые положения, касающиеся официального утверждения компонентов системы вызова экстренных опер</w:t>
      </w:r>
      <w:r w:rsidR="00184E5C" w:rsidRPr="00184E5C">
        <w:t>а</w:t>
      </w:r>
      <w:r w:rsidR="00184E5C" w:rsidRPr="00184E5C">
        <w:t>тивных служб.</w:t>
      </w:r>
    </w:p>
    <w:p w:rsidR="00184E5C" w:rsidRPr="00184E5C" w:rsidRDefault="00184E5C" w:rsidP="00184E5C">
      <w:pPr>
        <w:pStyle w:val="SingleTxtGR"/>
      </w:pPr>
      <w:r w:rsidRPr="00184E5C">
        <w:rPr>
          <w:b/>
          <w:bCs/>
        </w:rPr>
        <w:t>Документация</w:t>
      </w:r>
      <w:r w:rsidRPr="005A2066">
        <w:rPr>
          <w:b/>
        </w:rPr>
        <w:t>:</w:t>
      </w:r>
      <w:r w:rsidRPr="00184E5C">
        <w:tab/>
        <w:t>ECE/TRANS/WP.29/GRSG/2017/12</w:t>
      </w:r>
    </w:p>
    <w:p w:rsidR="00184E5C" w:rsidRPr="00184E5C" w:rsidRDefault="005A2066" w:rsidP="005A2066">
      <w:pPr>
        <w:pStyle w:val="H1GR"/>
      </w:pPr>
      <w:r>
        <w:rPr>
          <w:lang w:val="en-US"/>
        </w:rPr>
        <w:lastRenderedPageBreak/>
        <w:tab/>
      </w:r>
      <w:r w:rsidR="00184E5C" w:rsidRPr="00184E5C">
        <w:t>13.</w:t>
      </w:r>
      <w:r w:rsidR="00184E5C" w:rsidRPr="00184E5C">
        <w:tab/>
        <w:t>Международное официальное утверждение типа комплектного транспортного средства (МОУТКТС)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GRSG, возможно, пожелает заслушать информацию специального пре</w:t>
      </w:r>
      <w:r w:rsidR="00184E5C" w:rsidRPr="00184E5C">
        <w:t>д</w:t>
      </w:r>
      <w:r w:rsidR="00184E5C" w:rsidRPr="00184E5C">
        <w:t>ставит</w:t>
      </w:r>
      <w:r w:rsidR="00184E5C" w:rsidRPr="00184E5C">
        <w:t>е</w:t>
      </w:r>
      <w:r w:rsidR="00184E5C" w:rsidRPr="00184E5C">
        <w:t>ля по международному официальному утверждению типа комплектного тран</w:t>
      </w:r>
      <w:r w:rsidR="00184E5C" w:rsidRPr="00184E5C">
        <w:t>с</w:t>
      </w:r>
      <w:r w:rsidR="00184E5C" w:rsidRPr="00184E5C">
        <w:t xml:space="preserve">портного средства об итогах недавних совещаний неофициальной группы по МОУТКТС. На предыдущих сессиях GRSG решила следовать принципу, в соответствии с которым в будущем нужно создать три отдельных правила ООН, касающихся a) противоугонных устройств, b) </w:t>
      </w:r>
      <w:r>
        <w:t>систем аварийной сигнализации и</w:t>
      </w:r>
      <w:r>
        <w:rPr>
          <w:lang w:val="en-US"/>
        </w:rPr>
        <w:t> </w:t>
      </w:r>
      <w:r w:rsidR="00184E5C" w:rsidRPr="00184E5C">
        <w:t xml:space="preserve">c) </w:t>
      </w:r>
      <w:proofErr w:type="spellStart"/>
      <w:r w:rsidR="00184E5C" w:rsidRPr="00184E5C">
        <w:t>иммобилизаторов</w:t>
      </w:r>
      <w:proofErr w:type="spellEnd"/>
      <w:r w:rsidR="00184E5C" w:rsidRPr="00184E5C">
        <w:t>. GRSG решила вернуться к рассмотрению этого вопроса и, возможно, пожелает рассмотреть конкретные предложения, если таковые б</w:t>
      </w:r>
      <w:r w:rsidR="00184E5C" w:rsidRPr="00184E5C">
        <w:t>у</w:t>
      </w:r>
      <w:r w:rsidR="00184E5C" w:rsidRPr="00184E5C">
        <w:t>дут представлены.</w:t>
      </w:r>
    </w:p>
    <w:p w:rsidR="00184E5C" w:rsidRPr="00184E5C" w:rsidRDefault="00184E5C" w:rsidP="00184E5C">
      <w:pPr>
        <w:pStyle w:val="SingleTxtGR"/>
      </w:pPr>
      <w:r w:rsidRPr="005A2066">
        <w:rPr>
          <w:b/>
        </w:rPr>
        <w:t>Документация:</w:t>
      </w:r>
      <w:r w:rsidRPr="00184E5C">
        <w:tab/>
        <w:t>(неофициальный документ GRSG-110-24)</w:t>
      </w:r>
    </w:p>
    <w:p w:rsidR="00184E5C" w:rsidRPr="00184E5C" w:rsidRDefault="005A2066" w:rsidP="005A2066">
      <w:pPr>
        <w:pStyle w:val="H1GR"/>
      </w:pPr>
      <w:r>
        <w:rPr>
          <w:lang w:val="en-US"/>
        </w:rPr>
        <w:tab/>
      </w:r>
      <w:r w:rsidR="00184E5C" w:rsidRPr="00184E5C">
        <w:t>14.</w:t>
      </w:r>
      <w:r w:rsidR="00184E5C" w:rsidRPr="00184E5C">
        <w:tab/>
        <w:t>Бортовые электронные системы хранения данных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 согласилась с необходимостью разработки согласованных правил о бортовых электронных системах хранения данных (БЭСХД) для автоматизир</w:t>
      </w:r>
      <w:r w:rsidR="00184E5C" w:rsidRPr="00184E5C">
        <w:t>о</w:t>
      </w:r>
      <w:r w:rsidR="00184E5C" w:rsidRPr="00184E5C">
        <w:t>ванных транспортных средств. Поэтому GSRG, как ожидается, рассмотрит р</w:t>
      </w:r>
      <w:r w:rsidR="00184E5C" w:rsidRPr="00184E5C">
        <w:t>е</w:t>
      </w:r>
      <w:r w:rsidR="00184E5C" w:rsidRPr="00184E5C">
        <w:t>комендацию Всемирного форума и его НРГ, занимающихся вопросами автом</w:t>
      </w:r>
      <w:r w:rsidR="00184E5C" w:rsidRPr="00184E5C">
        <w:t>а</w:t>
      </w:r>
      <w:r w:rsidR="00184E5C" w:rsidRPr="00184E5C">
        <w:t>тизированного вождения (ИТС/АВ), относительно возможных путей продвиж</w:t>
      </w:r>
      <w:r w:rsidR="00184E5C" w:rsidRPr="00184E5C">
        <w:t>е</w:t>
      </w:r>
      <w:r w:rsidR="00184E5C" w:rsidRPr="00184E5C">
        <w:t xml:space="preserve">ния вперед на основе руководящих положений WP.29 по </w:t>
      </w:r>
      <w:proofErr w:type="spellStart"/>
      <w:r w:rsidR="00184E5C" w:rsidRPr="00184E5C">
        <w:t>кибербезопасности</w:t>
      </w:r>
      <w:proofErr w:type="spellEnd"/>
      <w:r w:rsidR="00184E5C" w:rsidRPr="00184E5C">
        <w:t xml:space="preserve"> и защите данных (ECE/TRANS/WP.29/2017/46).</w:t>
      </w:r>
    </w:p>
    <w:p w:rsidR="00184E5C" w:rsidRPr="00184E5C" w:rsidRDefault="00184E5C" w:rsidP="00184E5C">
      <w:pPr>
        <w:pStyle w:val="SingleTxtGR"/>
      </w:pPr>
      <w:r w:rsidRPr="005A2066">
        <w:rPr>
          <w:b/>
        </w:rPr>
        <w:t>Документация:</w:t>
      </w:r>
      <w:r w:rsidRPr="00184E5C">
        <w:tab/>
        <w:t>ECE/TRANS/WP.29/2017/46</w:t>
      </w:r>
    </w:p>
    <w:p w:rsidR="00184E5C" w:rsidRPr="00184E5C" w:rsidRDefault="005A2066" w:rsidP="005A2066">
      <w:pPr>
        <w:pStyle w:val="H1GR"/>
      </w:pPr>
      <w:r>
        <w:rPr>
          <w:lang w:val="en-US"/>
        </w:rPr>
        <w:tab/>
      </w:r>
      <w:r w:rsidR="00184E5C" w:rsidRPr="00184E5C">
        <w:t>15.</w:t>
      </w:r>
      <w:r w:rsidR="00184E5C" w:rsidRPr="00184E5C">
        <w:tab/>
        <w:t xml:space="preserve">Глобальные технические правила № 6 (безопасные </w:t>
      </w:r>
      <w:proofErr w:type="spellStart"/>
      <w:r w:rsidR="00184E5C" w:rsidRPr="00184E5C">
        <w:t>стекловые</w:t>
      </w:r>
      <w:proofErr w:type="spellEnd"/>
      <w:r w:rsidR="00184E5C" w:rsidRPr="00184E5C">
        <w:t xml:space="preserve"> материалы)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GRSG, как ожидается, рассмотрит документ ECE/TRANS/WP.29/</w:t>
      </w:r>
      <w:r w:rsidRPr="005A2066">
        <w:t xml:space="preserve"> </w:t>
      </w:r>
      <w:r w:rsidR="00184E5C" w:rsidRPr="00184E5C">
        <w:t xml:space="preserve">GRSG/2017/7 НРГ по стеклам для панорамных люков автомобилей (СПЛА), предусматривающий поправки к правилам ООН, касающимся безопасных </w:t>
      </w:r>
      <w:proofErr w:type="spellStart"/>
      <w:r w:rsidR="00184E5C" w:rsidRPr="00184E5C">
        <w:t>сте</w:t>
      </w:r>
      <w:r w:rsidR="00184E5C" w:rsidRPr="00184E5C">
        <w:t>к</w:t>
      </w:r>
      <w:r w:rsidR="00184E5C" w:rsidRPr="00184E5C">
        <w:t>ловых</w:t>
      </w:r>
      <w:proofErr w:type="spellEnd"/>
      <w:r w:rsidR="00184E5C" w:rsidRPr="00184E5C">
        <w:t xml:space="preserve"> материалов, в отношении новых положений о </w:t>
      </w:r>
      <w:r w:rsidR="00706873">
        <w:t>«</w:t>
      </w:r>
      <w:r w:rsidR="00184E5C" w:rsidRPr="00184E5C">
        <w:t>зонах с керамической п</w:t>
      </w:r>
      <w:r w:rsidR="00184E5C" w:rsidRPr="00184E5C">
        <w:t>е</w:t>
      </w:r>
      <w:r w:rsidR="00184E5C" w:rsidRPr="00184E5C">
        <w:t>чатью</w:t>
      </w:r>
      <w:r w:rsidR="00706873">
        <w:t>»</w:t>
      </w:r>
      <w:r w:rsidR="00184E5C" w:rsidRPr="00184E5C">
        <w:t>.</w:t>
      </w:r>
    </w:p>
    <w:p w:rsidR="00184E5C" w:rsidRPr="00184E5C" w:rsidRDefault="00184E5C" w:rsidP="00184E5C">
      <w:pPr>
        <w:pStyle w:val="SingleTxtGR"/>
      </w:pPr>
      <w:r w:rsidRPr="005A2066">
        <w:rPr>
          <w:b/>
        </w:rPr>
        <w:t>Документация:</w:t>
      </w:r>
      <w:r w:rsidRPr="00184E5C">
        <w:tab/>
        <w:t>ECE/TRANS/WP.29/GRSG/2017/7</w:t>
      </w:r>
    </w:p>
    <w:p w:rsidR="00184E5C" w:rsidRPr="00184E5C" w:rsidRDefault="005A2066" w:rsidP="005A2066">
      <w:pPr>
        <w:pStyle w:val="H1GR"/>
      </w:pPr>
      <w:r>
        <w:rPr>
          <w:lang w:val="en-US"/>
        </w:rPr>
        <w:tab/>
      </w:r>
      <w:r w:rsidR="00184E5C" w:rsidRPr="00184E5C">
        <w:t>16.</w:t>
      </w:r>
      <w:r w:rsidR="00184E5C" w:rsidRPr="00184E5C">
        <w:tab/>
        <w:t>Новые правила, касающиеся автоматических систем помощи при вождении (АСПВ)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GRSG, возможно, пожелает рассмотреть документ ECE/TRANS/WP.29/</w:t>
      </w:r>
      <w:r w:rsidRPr="005A2066">
        <w:t xml:space="preserve"> </w:t>
      </w:r>
      <w:r w:rsidR="00184E5C" w:rsidRPr="00184E5C">
        <w:t>GRSG/2017/11, представленный Германией, по проекту новых правил, каса</w:t>
      </w:r>
      <w:r w:rsidR="00184E5C" w:rsidRPr="00184E5C">
        <w:t>ю</w:t>
      </w:r>
      <w:r w:rsidR="00184E5C" w:rsidRPr="00184E5C">
        <w:t xml:space="preserve">щихся информационных систем для выявления </w:t>
      </w:r>
      <w:r w:rsidR="00706873">
        <w:t>«</w:t>
      </w:r>
      <w:r w:rsidR="00184E5C" w:rsidRPr="00184E5C">
        <w:t>мертвых зон</w:t>
      </w:r>
      <w:r w:rsidR="00706873">
        <w:t>»</w:t>
      </w:r>
      <w:r w:rsidR="00184E5C" w:rsidRPr="00184E5C">
        <w:t>.</w:t>
      </w:r>
    </w:p>
    <w:p w:rsidR="00184E5C" w:rsidRPr="00184E5C" w:rsidRDefault="00184E5C" w:rsidP="00184E5C">
      <w:pPr>
        <w:pStyle w:val="SingleTxtGR"/>
      </w:pPr>
      <w:r w:rsidRPr="005A2066">
        <w:rPr>
          <w:b/>
        </w:rPr>
        <w:t>Документация:</w:t>
      </w:r>
      <w:r w:rsidRPr="00184E5C">
        <w:tab/>
        <w:t>ECE/TRANS/WP.29/GRSG/2017/11</w:t>
      </w:r>
    </w:p>
    <w:p w:rsidR="00184E5C" w:rsidRPr="00184E5C" w:rsidRDefault="005A2066" w:rsidP="005A2066">
      <w:pPr>
        <w:pStyle w:val="H1GR"/>
      </w:pPr>
      <w:r>
        <w:rPr>
          <w:lang w:val="en-US"/>
        </w:rPr>
        <w:tab/>
      </w:r>
      <w:r w:rsidR="00184E5C" w:rsidRPr="00184E5C">
        <w:t>17.</w:t>
      </w:r>
      <w:r w:rsidR="00184E5C" w:rsidRPr="00184E5C">
        <w:tab/>
        <w:t>Прочие вопросы</w:t>
      </w:r>
    </w:p>
    <w:p w:rsidR="00184E5C" w:rsidRPr="00184E5C" w:rsidRDefault="005A2066" w:rsidP="00184E5C">
      <w:pPr>
        <w:pStyle w:val="SingleTxtGR"/>
      </w:pPr>
      <w:r>
        <w:rPr>
          <w:lang w:val="en-US"/>
        </w:rPr>
        <w:tab/>
      </w:r>
      <w:r w:rsidR="00184E5C" w:rsidRPr="00184E5C">
        <w:t>GRSG, возможно, пожелает рассмотреть другие предложения, если так</w:t>
      </w:r>
      <w:r w:rsidR="00184E5C" w:rsidRPr="00184E5C">
        <w:t>о</w:t>
      </w:r>
      <w:r w:rsidR="00184E5C" w:rsidRPr="00184E5C">
        <w:t>вые б</w:t>
      </w:r>
      <w:r w:rsidR="00184E5C" w:rsidRPr="00184E5C">
        <w:t>у</w:t>
      </w:r>
      <w:r w:rsidR="00184E5C" w:rsidRPr="00184E5C">
        <w:t>дут представлены.</w:t>
      </w:r>
    </w:p>
    <w:p w:rsidR="00184E5C" w:rsidRPr="00184E5C" w:rsidRDefault="00184E5C" w:rsidP="005A2066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4E5C" w:rsidRPr="00184E5C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5C" w:rsidRDefault="00184E5C" w:rsidP="00B471C5">
      <w:r>
        <w:separator/>
      </w:r>
    </w:p>
  </w:endnote>
  <w:endnote w:type="continuationSeparator" w:id="0">
    <w:p w:rsidR="00184E5C" w:rsidRDefault="00184E5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432BF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A91D29">
      <w:rPr>
        <w:lang w:val="en-US"/>
      </w:rPr>
      <w:t>7</w:t>
    </w:r>
    <w:r>
      <w:rPr>
        <w:lang w:val="en-US"/>
      </w:rPr>
      <w:t>-</w:t>
    </w:r>
    <w:r w:rsidR="00A91D29">
      <w:rPr>
        <w:lang w:val="en-US"/>
      </w:rPr>
      <w:t>01898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</w:t>
    </w:r>
    <w:r w:rsidR="00A91D29">
      <w:rPr>
        <w:lang w:val="en-US"/>
      </w:rPr>
      <w:t>7</w:t>
    </w:r>
    <w:r>
      <w:rPr>
        <w:lang w:val="en-US"/>
      </w:rPr>
      <w:t>-</w:t>
    </w:r>
    <w:r w:rsidR="00A91D29">
      <w:rPr>
        <w:lang w:val="en-US"/>
      </w:rPr>
      <w:t>01898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B3FFF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A91D29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A91D29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A91D29">
            <w:rPr>
              <w:lang w:val="en-US"/>
            </w:rPr>
            <w:t>01898</w:t>
          </w:r>
          <w:r w:rsidRPr="001C3ABC">
            <w:rPr>
              <w:lang w:val="en-US"/>
            </w:rPr>
            <w:t xml:space="preserve"> (R)</w:t>
          </w:r>
          <w:r w:rsidR="00A91D29">
            <w:rPr>
              <w:lang w:val="en-US"/>
            </w:rPr>
            <w:t xml:space="preserve">  130217  140217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A91D29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G/2017/1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7/1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91D29" w:rsidRDefault="00A91D2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91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91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91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91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91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91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91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91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91D2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5C" w:rsidRPr="009141DC" w:rsidRDefault="00184E5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84E5C" w:rsidRPr="00D1261C" w:rsidRDefault="00184E5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A91D29" w:rsidRPr="00A91D29">
      <w:rPr>
        <w:lang w:val="en-US"/>
      </w:rPr>
      <w:t>TRANS/WP.29/GRSG/2017/1/Add.1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A91D29" w:rsidRPr="00A91D29">
      <w:rPr>
        <w:lang w:val="en-US"/>
      </w:rPr>
      <w:t>TRANS/WP.29/GRSG/2017/1/Add.1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C"/>
    <w:rsid w:val="000450D1"/>
    <w:rsid w:val="000B1FD5"/>
    <w:rsid w:val="000F2A4F"/>
    <w:rsid w:val="00165EB2"/>
    <w:rsid w:val="00184E5C"/>
    <w:rsid w:val="00203F84"/>
    <w:rsid w:val="00275188"/>
    <w:rsid w:val="0028687D"/>
    <w:rsid w:val="002B091C"/>
    <w:rsid w:val="002B3D40"/>
    <w:rsid w:val="002D0CCB"/>
    <w:rsid w:val="00345C79"/>
    <w:rsid w:val="00366A39"/>
    <w:rsid w:val="003757DB"/>
    <w:rsid w:val="0048005C"/>
    <w:rsid w:val="004D639B"/>
    <w:rsid w:val="004E242B"/>
    <w:rsid w:val="00544379"/>
    <w:rsid w:val="00566944"/>
    <w:rsid w:val="005A2066"/>
    <w:rsid w:val="005D56BF"/>
    <w:rsid w:val="0062027E"/>
    <w:rsid w:val="006432BF"/>
    <w:rsid w:val="00643644"/>
    <w:rsid w:val="00665D8D"/>
    <w:rsid w:val="006A7A3B"/>
    <w:rsid w:val="006B3FFF"/>
    <w:rsid w:val="006B6B57"/>
    <w:rsid w:val="006F49F1"/>
    <w:rsid w:val="007005EE"/>
    <w:rsid w:val="00705394"/>
    <w:rsid w:val="00706873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1D29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184E5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84E5C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184E5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84E5C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D04C-5CF0-442C-BFA1-3ED20C80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Marina Korotkova</cp:lastModifiedBy>
  <cp:revision>2</cp:revision>
  <cp:lastPrinted>2017-02-14T08:42:00Z</cp:lastPrinted>
  <dcterms:created xsi:type="dcterms:W3CDTF">2017-02-14T08:43:00Z</dcterms:created>
  <dcterms:modified xsi:type="dcterms:W3CDTF">2017-02-14T08:43:00Z</dcterms:modified>
</cp:coreProperties>
</file>