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271B9ED4" w14:textId="77777777" w:rsidTr="00D5792F">
        <w:trPr>
          <w:cantSplit/>
          <w:trHeight w:hRule="exact" w:val="851"/>
        </w:trPr>
        <w:tc>
          <w:tcPr>
            <w:tcW w:w="1276" w:type="dxa"/>
            <w:tcBorders>
              <w:bottom w:val="single" w:sz="4" w:space="0" w:color="auto"/>
            </w:tcBorders>
            <w:shd w:val="clear" w:color="auto" w:fill="auto"/>
            <w:vAlign w:val="bottom"/>
          </w:tcPr>
          <w:p w14:paraId="218DB299" w14:textId="77777777" w:rsidR="00B56E9C" w:rsidRPr="00593753" w:rsidRDefault="00B56E9C" w:rsidP="00D5792F">
            <w:pPr>
              <w:spacing w:after="80"/>
            </w:pPr>
          </w:p>
        </w:tc>
        <w:tc>
          <w:tcPr>
            <w:tcW w:w="2268" w:type="dxa"/>
            <w:tcBorders>
              <w:bottom w:val="single" w:sz="4" w:space="0" w:color="auto"/>
            </w:tcBorders>
            <w:shd w:val="clear" w:color="auto" w:fill="auto"/>
            <w:vAlign w:val="bottom"/>
          </w:tcPr>
          <w:p w14:paraId="54096E9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8E3D2D3" w14:textId="24977588" w:rsidR="001F20EF" w:rsidRPr="00C64574" w:rsidRDefault="00803BF8" w:rsidP="00683612">
            <w:pPr>
              <w:jc w:val="right"/>
            </w:pPr>
            <w:r w:rsidRPr="00C64574">
              <w:rPr>
                <w:sz w:val="40"/>
              </w:rPr>
              <w:t>ECE</w:t>
            </w:r>
            <w:r w:rsidRPr="00C64574">
              <w:t>/TRANS/WP.29/GR</w:t>
            </w:r>
            <w:r w:rsidR="000D4EB3" w:rsidRPr="00C64574">
              <w:t>SG</w:t>
            </w:r>
            <w:r w:rsidRPr="00C64574">
              <w:t>/201</w:t>
            </w:r>
            <w:r w:rsidR="00FE2B53">
              <w:t>7</w:t>
            </w:r>
            <w:r w:rsidR="00B61A08">
              <w:t>/</w:t>
            </w:r>
            <w:r w:rsidR="00683612">
              <w:t>30</w:t>
            </w:r>
          </w:p>
        </w:tc>
      </w:tr>
      <w:tr w:rsidR="00B56E9C" w:rsidRPr="00593753" w14:paraId="05AD1DE7"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593753" w:rsidRDefault="00D40653" w:rsidP="00D5792F">
            <w:pPr>
              <w:spacing w:before="120"/>
            </w:pPr>
            <w:r>
              <w:rPr>
                <w:noProof/>
                <w:lang w:eastAsia="en-GB"/>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77777777" w:rsidR="00803BF8" w:rsidRPr="00593753" w:rsidRDefault="00803BF8" w:rsidP="00D5792F">
            <w:pPr>
              <w:spacing w:before="240" w:line="240" w:lineRule="exact"/>
            </w:pPr>
            <w:r w:rsidRPr="00593753">
              <w:t>Distr.: General</w:t>
            </w:r>
          </w:p>
          <w:p w14:paraId="44EE55EC" w14:textId="61D7D0EC" w:rsidR="00803BF8" w:rsidRPr="00593753" w:rsidRDefault="003B4673" w:rsidP="00D5792F">
            <w:pPr>
              <w:spacing w:line="240" w:lineRule="exact"/>
            </w:pPr>
            <w:r>
              <w:t>2</w:t>
            </w:r>
            <w:r w:rsidR="00F36B7B">
              <w:t>8</w:t>
            </w:r>
            <w:r w:rsidR="0048413F">
              <w:t xml:space="preserve"> </w:t>
            </w:r>
            <w:r>
              <w:t>Jul</w:t>
            </w:r>
            <w:r w:rsidR="0048413F">
              <w:t>y</w:t>
            </w:r>
            <w:r w:rsidR="002B47CA">
              <w:t xml:space="preserve"> 201</w:t>
            </w:r>
            <w:r w:rsidR="00FE2B53">
              <w:t>7</w:t>
            </w:r>
          </w:p>
          <w:p w14:paraId="06632431" w14:textId="77777777" w:rsidR="00803BF8" w:rsidRPr="00593753" w:rsidRDefault="00803BF8" w:rsidP="00D5792F">
            <w:pPr>
              <w:spacing w:line="240" w:lineRule="exact"/>
            </w:pPr>
          </w:p>
          <w:p w14:paraId="24701D08" w14:textId="77777777" w:rsidR="003C17CC" w:rsidRPr="00593753" w:rsidRDefault="00803BF8" w:rsidP="00D5792F">
            <w:pPr>
              <w:spacing w:line="240" w:lineRule="exact"/>
            </w:pPr>
            <w:r w:rsidRPr="00593753">
              <w:t>Original: English</w:t>
            </w:r>
          </w:p>
          <w:p w14:paraId="7C167C57" w14:textId="77777777" w:rsidR="00EA2A77" w:rsidRPr="00593753" w:rsidRDefault="00EA2A77" w:rsidP="00D5792F">
            <w:pPr>
              <w:spacing w:line="240" w:lineRule="exact"/>
            </w:pP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1BDBE1AB" w:rsidR="00C96DF2" w:rsidRPr="00C64574" w:rsidRDefault="00856FAA" w:rsidP="00C96DF2">
      <w:pPr>
        <w:spacing w:before="120"/>
        <w:rPr>
          <w:b/>
        </w:rPr>
      </w:pPr>
      <w:r w:rsidRPr="00C64574">
        <w:rPr>
          <w:b/>
        </w:rPr>
        <w:t>1</w:t>
      </w:r>
      <w:r w:rsidR="002A7DBF">
        <w:rPr>
          <w:b/>
        </w:rPr>
        <w:t>1</w:t>
      </w:r>
      <w:r w:rsidR="008B03AD">
        <w:rPr>
          <w:b/>
        </w:rPr>
        <w:t>3</w:t>
      </w:r>
      <w:r w:rsidR="0003564D" w:rsidRPr="000A63F8">
        <w:rPr>
          <w:b/>
        </w:rPr>
        <w:t>th</w:t>
      </w:r>
      <w:r w:rsidR="003C17CC" w:rsidRPr="000A63F8">
        <w:rPr>
          <w:b/>
        </w:rPr>
        <w:t xml:space="preserve"> </w:t>
      </w:r>
      <w:r w:rsidR="00182290" w:rsidRPr="00C64574">
        <w:rPr>
          <w:b/>
        </w:rPr>
        <w:t>session</w:t>
      </w:r>
    </w:p>
    <w:p w14:paraId="38C43504" w14:textId="77777777" w:rsidR="003B4673" w:rsidRPr="00C64574" w:rsidRDefault="003B4673" w:rsidP="003B4673">
      <w:r w:rsidRPr="00C64574">
        <w:t xml:space="preserve">Geneva, </w:t>
      </w:r>
      <w:r>
        <w:t>10-13 October</w:t>
      </w:r>
      <w:r w:rsidRPr="00C64574">
        <w:t xml:space="preserve"> 201</w:t>
      </w:r>
      <w:r>
        <w:t>7</w:t>
      </w:r>
    </w:p>
    <w:p w14:paraId="33AA25CC" w14:textId="77777777" w:rsidR="003B4673" w:rsidRPr="00DF418A" w:rsidRDefault="003B4673" w:rsidP="003B4673">
      <w:r w:rsidRPr="00DF418A">
        <w:t xml:space="preserve">Item </w:t>
      </w:r>
      <w:r>
        <w:t>6(a)</w:t>
      </w:r>
      <w:r w:rsidRPr="00DF418A">
        <w:t xml:space="preserve"> of the provisional agenda</w:t>
      </w:r>
    </w:p>
    <w:p w14:paraId="2178DE26" w14:textId="77777777" w:rsidR="003B4673" w:rsidRDefault="003B4673" w:rsidP="003B4673">
      <w:pPr>
        <w:rPr>
          <w:b/>
        </w:rPr>
      </w:pPr>
      <w:r w:rsidRPr="00576E18">
        <w:rPr>
          <w:b/>
        </w:rPr>
        <w:t xml:space="preserve">Amendments to gas-fuelled vehicle </w:t>
      </w:r>
    </w:p>
    <w:p w14:paraId="34EF25E2" w14:textId="77777777" w:rsidR="003B4673" w:rsidRPr="001F20EF" w:rsidRDefault="003B4673" w:rsidP="003B4673">
      <w:pPr>
        <w:rPr>
          <w:b/>
          <w:lang w:val="en-US"/>
        </w:rPr>
      </w:pPr>
      <w:r w:rsidRPr="00576E18">
        <w:rPr>
          <w:b/>
        </w:rPr>
        <w:t xml:space="preserve">regulations </w:t>
      </w:r>
      <w:r>
        <w:rPr>
          <w:b/>
        </w:rPr>
        <w:t xml:space="preserve">– </w:t>
      </w:r>
      <w:r w:rsidRPr="00DF418A">
        <w:rPr>
          <w:b/>
        </w:rPr>
        <w:t xml:space="preserve">Regulation No. </w:t>
      </w:r>
      <w:r>
        <w:rPr>
          <w:b/>
        </w:rPr>
        <w:t>67</w:t>
      </w:r>
      <w:r w:rsidRPr="00DF418A">
        <w:rPr>
          <w:b/>
        </w:rPr>
        <w:t xml:space="preserve"> (</w:t>
      </w:r>
      <w:r>
        <w:rPr>
          <w:b/>
        </w:rPr>
        <w:t xml:space="preserve">LPG </w:t>
      </w:r>
      <w:r w:rsidRPr="00C768BA">
        <w:rPr>
          <w:b/>
        </w:rPr>
        <w:t>vehicles</w:t>
      </w:r>
      <w:r w:rsidRPr="00DF418A">
        <w:rPr>
          <w:b/>
        </w:rPr>
        <w:t>)</w:t>
      </w:r>
    </w:p>
    <w:p w14:paraId="1F356798" w14:textId="1EF04ABF" w:rsidR="003B4673" w:rsidRDefault="003B4673" w:rsidP="003B4673">
      <w:pPr>
        <w:pStyle w:val="HChG"/>
        <w:rPr>
          <w:sz w:val="26"/>
          <w:szCs w:val="26"/>
        </w:rPr>
      </w:pPr>
      <w:r>
        <w:rPr>
          <w:sz w:val="26"/>
          <w:szCs w:val="26"/>
        </w:rPr>
        <w:tab/>
      </w:r>
      <w:r>
        <w:rPr>
          <w:sz w:val="26"/>
          <w:szCs w:val="26"/>
        </w:rPr>
        <w:tab/>
      </w:r>
      <w:r w:rsidRPr="00142B92">
        <w:rPr>
          <w:sz w:val="26"/>
          <w:szCs w:val="26"/>
        </w:rPr>
        <w:t xml:space="preserve">Proposal for </w:t>
      </w:r>
      <w:r w:rsidR="001407D5">
        <w:rPr>
          <w:sz w:val="26"/>
          <w:szCs w:val="26"/>
        </w:rPr>
        <w:t xml:space="preserve">Supplement 15 to </w:t>
      </w:r>
      <w:r>
        <w:rPr>
          <w:sz w:val="26"/>
          <w:szCs w:val="26"/>
        </w:rPr>
        <w:t>the 0</w:t>
      </w:r>
      <w:r w:rsidR="001407D5">
        <w:rPr>
          <w:sz w:val="26"/>
          <w:szCs w:val="26"/>
        </w:rPr>
        <w:t>1</w:t>
      </w:r>
      <w:r w:rsidRPr="00142B92">
        <w:rPr>
          <w:sz w:val="26"/>
          <w:szCs w:val="26"/>
        </w:rPr>
        <w:t xml:space="preserve"> series of amendments to Regulation No. </w:t>
      </w:r>
      <w:r>
        <w:rPr>
          <w:sz w:val="26"/>
          <w:szCs w:val="26"/>
        </w:rPr>
        <w:t>6</w:t>
      </w:r>
      <w:r w:rsidRPr="00142B92">
        <w:rPr>
          <w:sz w:val="26"/>
          <w:szCs w:val="26"/>
        </w:rPr>
        <w:t>7 (</w:t>
      </w:r>
      <w:r>
        <w:rPr>
          <w:sz w:val="26"/>
          <w:szCs w:val="26"/>
        </w:rPr>
        <w:t xml:space="preserve">LPG </w:t>
      </w:r>
      <w:r w:rsidRPr="00142B92">
        <w:rPr>
          <w:sz w:val="26"/>
          <w:szCs w:val="26"/>
        </w:rPr>
        <w:t>vehicles)</w:t>
      </w:r>
    </w:p>
    <w:p w14:paraId="15C212E1" w14:textId="7353604D"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the expert</w:t>
      </w:r>
      <w:r w:rsidR="003B4673">
        <w:t>s</w:t>
      </w:r>
      <w:r w:rsidR="00DF418A" w:rsidRPr="00DF418A">
        <w:t xml:space="preserve"> </w:t>
      </w:r>
      <w:r w:rsidR="00B253FC">
        <w:t xml:space="preserve">from </w:t>
      </w:r>
      <w:r w:rsidR="007D4D27">
        <w:t>the Netherlands</w:t>
      </w:r>
      <w:r w:rsidR="0048413F">
        <w:t xml:space="preserve"> and </w:t>
      </w:r>
      <w:r w:rsidR="003B4673" w:rsidRPr="003B4673">
        <w:t xml:space="preserve">the European Liquefied Petroleum Gas Association </w:t>
      </w:r>
      <w:r w:rsidRPr="00DF418A">
        <w:rPr>
          <w:vertAlign w:val="superscript"/>
        </w:rPr>
        <w:footnoteReference w:customMarkFollows="1" w:id="2"/>
        <w:t>*</w:t>
      </w:r>
    </w:p>
    <w:p w14:paraId="515B0E8A" w14:textId="3DC44426" w:rsidR="00DF418A" w:rsidRPr="003B4673" w:rsidRDefault="0050261A" w:rsidP="00704CB6">
      <w:pPr>
        <w:ind w:left="1134" w:right="1134" w:firstLine="567"/>
        <w:jc w:val="both"/>
      </w:pPr>
      <w:r w:rsidRPr="003B4673">
        <w:t>The text reproduced below was prepared by the expert</w:t>
      </w:r>
      <w:r w:rsidR="003B4673" w:rsidRPr="003B4673">
        <w:t>s</w:t>
      </w:r>
      <w:r w:rsidRPr="003B4673">
        <w:t xml:space="preserve"> from </w:t>
      </w:r>
      <w:r w:rsidR="007D4D27" w:rsidRPr="003B4673">
        <w:t>the Netherlands</w:t>
      </w:r>
      <w:r w:rsidR="0048413F" w:rsidRPr="003B4673">
        <w:t xml:space="preserve"> and </w:t>
      </w:r>
      <w:r w:rsidR="003B4673" w:rsidRPr="003B4673">
        <w:t xml:space="preserve">the </w:t>
      </w:r>
      <w:r w:rsidR="003B4673" w:rsidRPr="003B4673">
        <w:rPr>
          <w:rFonts w:eastAsia="MS Mincho"/>
          <w:lang w:val="en-US" w:eastAsia="ja-JP"/>
        </w:rPr>
        <w:t>European Liquefied Petroleum Gas Association (AEGPL)</w:t>
      </w:r>
      <w:r w:rsidRPr="003B4673">
        <w:t xml:space="preserve"> </w:t>
      </w:r>
      <w:r w:rsidR="00557459" w:rsidRPr="003B4673">
        <w:t>to</w:t>
      </w:r>
      <w:r w:rsidR="00043B2C" w:rsidRPr="003B4673">
        <w:t xml:space="preserve"> </w:t>
      </w:r>
      <w:r w:rsidR="001407D5">
        <w:t>amend the</w:t>
      </w:r>
      <w:r w:rsidR="001407D5" w:rsidRPr="001407D5">
        <w:t xml:space="preserve"> </w:t>
      </w:r>
      <w:r w:rsidR="001407D5">
        <w:t xml:space="preserve">provisions on the </w:t>
      </w:r>
      <w:r w:rsidR="001407D5" w:rsidRPr="001407D5">
        <w:t xml:space="preserve">type approval of accessories for </w:t>
      </w:r>
      <w:r w:rsidR="00E47066" w:rsidRPr="003B4673">
        <w:t xml:space="preserve">Liquefied Petroleum Gas (LPG) </w:t>
      </w:r>
      <w:r w:rsidR="001407D5" w:rsidRPr="001407D5">
        <w:t>container</w:t>
      </w:r>
      <w:r w:rsidR="001407D5">
        <w:t>s</w:t>
      </w:r>
      <w:r w:rsidRPr="003B4673">
        <w:t xml:space="preserve">. </w:t>
      </w:r>
      <w:r w:rsidR="000703CF" w:rsidRPr="003B4673">
        <w:t>It is</w:t>
      </w:r>
      <w:r w:rsidR="00A90194">
        <w:t xml:space="preserve"> </w:t>
      </w:r>
      <w:r w:rsidR="001407D5">
        <w:t>an alternative proposal to document</w:t>
      </w:r>
      <w:r w:rsidR="000703CF" w:rsidRPr="003B4673">
        <w:t xml:space="preserve"> </w:t>
      </w:r>
      <w:r w:rsidR="00A90194" w:rsidRPr="00A90194">
        <w:t>ECE/TRANS/WP.29/GRSG</w:t>
      </w:r>
      <w:r w:rsidR="00A90194">
        <w:t>/2017/</w:t>
      </w:r>
      <w:r w:rsidR="001407D5">
        <w:t>10</w:t>
      </w:r>
      <w:r w:rsidR="00A90194">
        <w:t xml:space="preserve">, </w:t>
      </w:r>
      <w:bookmarkStart w:id="0" w:name="_GoBack"/>
      <w:bookmarkEnd w:id="0"/>
      <w:r w:rsidR="001407D5">
        <w:t xml:space="preserve">presented by Poland at the </w:t>
      </w:r>
      <w:r w:rsidR="003B4673">
        <w:t xml:space="preserve">112th </w:t>
      </w:r>
      <w:r w:rsidR="000703CF" w:rsidRPr="003B4673">
        <w:t>session of the Working Party on General Safety Provisions (GRSG) (see report</w:t>
      </w:r>
      <w:r w:rsidR="003B4673">
        <w:t xml:space="preserve"> </w:t>
      </w:r>
      <w:r w:rsidR="003B4673" w:rsidRPr="003B4673">
        <w:t>ECE/TRANS/WP.29/GRSG/9</w:t>
      </w:r>
      <w:r w:rsidR="003B4673">
        <w:t>1</w:t>
      </w:r>
      <w:r w:rsidR="003B4673" w:rsidRPr="003B4673">
        <w:t>, para. 2</w:t>
      </w:r>
      <w:r w:rsidR="001407D5">
        <w:t>2</w:t>
      </w:r>
      <w:r w:rsidR="000703CF" w:rsidRPr="003B4673">
        <w:t>).</w:t>
      </w:r>
      <w:r w:rsidR="0048413F" w:rsidRPr="003B4673">
        <w:t xml:space="preserve"> </w:t>
      </w:r>
      <w:r w:rsidRPr="003B4673">
        <w:t>The modifications to the current text o</w:t>
      </w:r>
      <w:r w:rsidR="00557459" w:rsidRPr="003B4673">
        <w:t>f</w:t>
      </w:r>
      <w:r w:rsidRPr="003B4673">
        <w:t xml:space="preserve"> UN Regulation No. </w:t>
      </w:r>
      <w:r w:rsidR="007D4D27" w:rsidRPr="003B4673">
        <w:t>67</w:t>
      </w:r>
      <w:r w:rsidRPr="003B4673">
        <w:t xml:space="preserve"> are marked in bold characters</w:t>
      </w:r>
      <w:r w:rsidR="005D6B0A" w:rsidRPr="003B4673">
        <w:rPr>
          <w:lang w:val="en-US"/>
        </w:rPr>
        <w:t>.</w:t>
      </w:r>
    </w:p>
    <w:p w14:paraId="2D49A4F1" w14:textId="77777777"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14:paraId="39B195C3" w14:textId="277E8DD6" w:rsidR="003D751D" w:rsidRPr="003D751D" w:rsidRDefault="003D751D" w:rsidP="003D751D">
      <w:pPr>
        <w:spacing w:after="120"/>
        <w:ind w:left="2268" w:right="1133" w:hanging="1134"/>
        <w:jc w:val="both"/>
        <w:rPr>
          <w:rFonts w:eastAsia="MS Mincho"/>
          <w:bCs/>
          <w:spacing w:val="-2"/>
          <w:lang w:val="en-US" w:eastAsia="ja-JP"/>
        </w:rPr>
      </w:pPr>
      <w:r w:rsidRPr="003D751D">
        <w:rPr>
          <w:rFonts w:eastAsia="MS Mincho"/>
          <w:bCs/>
          <w:i/>
          <w:spacing w:val="-2"/>
          <w:lang w:val="en-US" w:eastAsia="ja-JP"/>
        </w:rPr>
        <w:t>Annex 2A</w:t>
      </w:r>
      <w:r w:rsidRPr="003D751D">
        <w:rPr>
          <w:rFonts w:eastAsia="MS Mincho"/>
          <w:bCs/>
          <w:spacing w:val="-2"/>
          <w:lang w:val="en-US" w:eastAsia="ja-JP"/>
        </w:rPr>
        <w:t>, amend to read:</w:t>
      </w:r>
    </w:p>
    <w:p w14:paraId="481D87D1" w14:textId="3EBBD823" w:rsidR="003D751D" w:rsidRPr="00671C7E" w:rsidRDefault="003D751D" w:rsidP="00671C7E">
      <w:pPr>
        <w:pStyle w:val="HChG"/>
        <w:suppressAutoHyphens w:val="0"/>
      </w:pPr>
      <w:r>
        <w:rPr>
          <w:rFonts w:eastAsia="MS Mincho"/>
          <w:bCs/>
          <w:spacing w:val="-2"/>
          <w:lang w:val="en-US" w:eastAsia="ja-JP"/>
        </w:rPr>
        <w:t>"</w:t>
      </w:r>
      <w:r w:rsidR="006407D7">
        <w:t>Annex 2A</w:t>
      </w:r>
    </w:p>
    <w:p w14:paraId="2E9141F2" w14:textId="475F7EA6" w:rsidR="003D751D" w:rsidRPr="00671C7E" w:rsidRDefault="003D751D" w:rsidP="00671C7E">
      <w:pPr>
        <w:pStyle w:val="HChG"/>
        <w:suppressAutoHyphens w:val="0"/>
      </w:pPr>
      <w:r w:rsidRPr="00671C7E">
        <w:tab/>
      </w:r>
      <w:r w:rsidR="006407D7">
        <w:tab/>
      </w:r>
      <w:r w:rsidRPr="00671C7E">
        <w:t>Arrangement of the LPG equipment type approval mark</w:t>
      </w:r>
    </w:p>
    <w:p w14:paraId="5707D246" w14:textId="4C500C32" w:rsidR="00671C7E" w:rsidRPr="00671C7E" w:rsidRDefault="003D751D" w:rsidP="00671C7E">
      <w:pPr>
        <w:spacing w:after="120"/>
        <w:ind w:left="2268" w:right="1133" w:hanging="1134"/>
        <w:jc w:val="both"/>
      </w:pPr>
      <w:r w:rsidRPr="003D751D">
        <w:rPr>
          <w:rFonts w:eastAsia="MS Mincho"/>
          <w:bCs/>
          <w:spacing w:val="-2"/>
          <w:lang w:val="en-US" w:eastAsia="ja-JP"/>
        </w:rPr>
        <w:t>(See paragraph 5.4. of this Regulation)</w:t>
      </w:r>
    </w:p>
    <w:p w14:paraId="621A9AE6" w14:textId="77777777" w:rsidR="00671C7E" w:rsidRPr="00671C7E" w:rsidRDefault="00671C7E" w:rsidP="00671C7E">
      <w:pPr>
        <w:widowControl w:val="0"/>
        <w:suppressAutoHyphens w:val="0"/>
        <w:spacing w:after="120" w:line="240" w:lineRule="exact"/>
        <w:ind w:right="1134"/>
      </w:pPr>
    </w:p>
    <w:p w14:paraId="31B550BB" w14:textId="77777777" w:rsidR="00671C7E" w:rsidRPr="00671C7E" w:rsidRDefault="00671C7E" w:rsidP="00671C7E">
      <w:pPr>
        <w:widowControl w:val="0"/>
        <w:tabs>
          <w:tab w:val="center" w:pos="4734"/>
        </w:tabs>
        <w:suppressAutoHyphens w:val="0"/>
        <w:spacing w:line="240" w:lineRule="auto"/>
        <w:jc w:val="both"/>
        <w:rPr>
          <w:bCs/>
        </w:rPr>
      </w:pPr>
      <w:r>
        <w:rPr>
          <w:noProof/>
          <w:sz w:val="24"/>
          <w:lang w:eastAsia="en-GB"/>
        </w:rPr>
        <mc:AlternateContent>
          <mc:Choice Requires="wps">
            <w:drawing>
              <wp:anchor distT="152400" distB="152400" distL="152400" distR="152400" simplePos="0" relativeHeight="251659264" behindDoc="0" locked="0" layoutInCell="0" allowOverlap="1" wp14:anchorId="46E192D3" wp14:editId="513CAE88">
                <wp:simplePos x="0" y="0"/>
                <wp:positionH relativeFrom="margin">
                  <wp:posOffset>0</wp:posOffset>
                </wp:positionH>
                <wp:positionV relativeFrom="paragraph">
                  <wp:posOffset>0</wp:posOffset>
                </wp:positionV>
                <wp:extent cx="2840990" cy="1197610"/>
                <wp:effectExtent l="0" t="3810" r="1270" b="0"/>
                <wp:wrapSquare wrapText="r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19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2BA3" w14:textId="45369ABA" w:rsidR="00671C7E" w:rsidRDefault="00671C7E" w:rsidP="00671C7E">
                            <w:pPr>
                              <w:ind w:left="1134"/>
                              <w:rPr>
                                <w:szCs w:val="24"/>
                                <w:lang w:eastAsia="en-GB"/>
                              </w:rPr>
                            </w:pPr>
                            <w:r>
                              <w:rPr>
                                <w:noProof/>
                                <w:lang w:eastAsia="en-GB"/>
                              </w:rPr>
                              <w:drawing>
                                <wp:inline distT="0" distB="0" distL="0" distR="0" wp14:anchorId="56CA838A" wp14:editId="4925ABA4">
                                  <wp:extent cx="2122805" cy="12007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2805" cy="120078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E192D3" id="_x0000_t202" coordsize="21600,21600" o:spt="202" path="m,l,21600r21600,l21600,xe">
                <v:stroke joinstyle="miter"/>
                <v:path gradientshapeok="t" o:connecttype="rect"/>
              </v:shapetype>
              <v:shape id="Text Box 8" o:spid="_x0000_s1026" type="#_x0000_t202" style="position:absolute;left:0;text-align:left;margin-left:0;margin-top:0;width:223.7pt;height:94.3pt;z-index:251659264;visibility:visible;mso-wrap-style:non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" o:allowincell="f" stroked="f">
                <v:textbox style="mso-fit-shape-to-text:t" inset="0,0,0,0">
                  <w:txbxContent>
                    <w:p w14:paraId="32252BA3" w14:textId="45369ABA" w:rsidR="00671C7E" w:rsidRDefault="00671C7E" w:rsidP="00671C7E">
                      <w:pPr>
                        <w:ind w:left="1134"/>
                        <w:rPr>
                          <w:szCs w:val="24"/>
                          <w:lang w:eastAsia="en-GB"/>
                        </w:rPr>
                      </w:pPr>
                      <w:r>
                        <w:rPr>
                          <w:noProof/>
                          <w:lang w:eastAsia="en-GB"/>
                        </w:rPr>
                        <w:drawing>
                          <wp:inline distT="0" distB="0" distL="0" distR="0" wp14:anchorId="56CA838A" wp14:editId="4925ABA4">
                            <wp:extent cx="2122805" cy="12007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2805" cy="1200785"/>
                                    </a:xfrm>
                                    <a:prstGeom prst="rect">
                                      <a:avLst/>
                                    </a:prstGeom>
                                    <a:noFill/>
                                    <a:ln>
                                      <a:noFill/>
                                    </a:ln>
                                  </pic:spPr>
                                </pic:pic>
                              </a:graphicData>
                            </a:graphic>
                          </wp:inline>
                        </w:drawing>
                      </w:r>
                    </w:p>
                  </w:txbxContent>
                </v:textbox>
                <w10:wrap type="square" side="right" anchorx="margin"/>
              </v:shape>
            </w:pict>
          </mc:Fallback>
        </mc:AlternateContent>
      </w:r>
    </w:p>
    <w:p w14:paraId="13E6F459" w14:textId="77777777" w:rsidR="00671C7E" w:rsidRPr="00671C7E" w:rsidRDefault="00671C7E" w:rsidP="00671C7E">
      <w:pPr>
        <w:widowControl w:val="0"/>
        <w:tabs>
          <w:tab w:val="left" w:pos="-720"/>
          <w:tab w:val="left" w:pos="2154"/>
          <w:tab w:val="right" w:leader="dot" w:pos="5664"/>
          <w:tab w:val="right" w:leader="dot" w:pos="9062"/>
        </w:tabs>
        <w:suppressAutoHyphens w:val="0"/>
        <w:spacing w:line="240" w:lineRule="auto"/>
        <w:jc w:val="both"/>
        <w:rPr>
          <w:bCs/>
        </w:rPr>
      </w:pPr>
    </w:p>
    <w:p w14:paraId="71EC02EF" w14:textId="77777777" w:rsidR="00671C7E" w:rsidRPr="00671C7E" w:rsidRDefault="00671C7E" w:rsidP="00671C7E">
      <w:pPr>
        <w:widowControl w:val="0"/>
        <w:tabs>
          <w:tab w:val="left" w:pos="-720"/>
          <w:tab w:val="left" w:pos="2154"/>
          <w:tab w:val="right" w:leader="dot" w:pos="5664"/>
          <w:tab w:val="right" w:leader="dot" w:pos="9062"/>
        </w:tabs>
        <w:suppressAutoHyphens w:val="0"/>
        <w:spacing w:line="240" w:lineRule="auto"/>
        <w:jc w:val="both"/>
        <w:rPr>
          <w:bCs/>
        </w:rPr>
      </w:pPr>
    </w:p>
    <w:p w14:paraId="1E38A8B7" w14:textId="2323DBF9" w:rsidR="00671C7E" w:rsidRPr="00671C7E" w:rsidRDefault="00671C7E" w:rsidP="00671C7E">
      <w:pPr>
        <w:widowControl w:val="0"/>
        <w:tabs>
          <w:tab w:val="left" w:pos="-720"/>
          <w:tab w:val="left" w:pos="2154"/>
          <w:tab w:val="right" w:leader="dot" w:pos="5664"/>
          <w:tab w:val="right" w:leader="dot" w:pos="9062"/>
        </w:tabs>
        <w:suppressAutoHyphens w:val="0"/>
        <w:spacing w:line="240" w:lineRule="auto"/>
        <w:jc w:val="both"/>
        <w:rPr>
          <w:bCs/>
          <w:sz w:val="30"/>
          <w:szCs w:val="30"/>
        </w:rPr>
      </w:pPr>
      <w:r w:rsidRPr="00671C7E">
        <w:rPr>
          <w:sz w:val="30"/>
          <w:szCs w:val="30"/>
        </w:rPr>
        <w:t>67 R—012439</w:t>
      </w:r>
      <w:r w:rsidRPr="00671C7E">
        <w:rPr>
          <w:sz w:val="30"/>
          <w:szCs w:val="30"/>
        </w:rPr>
        <w:tab/>
        <w:t>CLASS #</w:t>
      </w:r>
      <w:r w:rsidRPr="00671C7E">
        <w:rPr>
          <w:bCs/>
          <w:sz w:val="30"/>
          <w:szCs w:val="30"/>
          <w:vertAlign w:val="superscript"/>
        </w:rPr>
        <w:t>1</w:t>
      </w:r>
      <w:r w:rsidRPr="001228BD">
        <w:rPr>
          <w:bCs/>
          <w:sz w:val="30"/>
          <w:szCs w:val="30"/>
        </w:rPr>
        <w:t xml:space="preserve"> </w:t>
      </w:r>
      <w:r w:rsidRPr="001228BD">
        <w:rPr>
          <w:b/>
          <w:bCs/>
          <w:sz w:val="30"/>
          <w:szCs w:val="30"/>
        </w:rPr>
        <w:t>* A</w:t>
      </w:r>
      <w:r w:rsidRPr="001228BD">
        <w:rPr>
          <w:bCs/>
          <w:sz w:val="30"/>
          <w:szCs w:val="30"/>
          <w:vertAlign w:val="superscript"/>
        </w:rPr>
        <w:t>2</w:t>
      </w:r>
    </w:p>
    <w:p w14:paraId="7EAD38A9" w14:textId="77777777" w:rsidR="00671C7E" w:rsidRPr="00671C7E" w:rsidRDefault="00671C7E" w:rsidP="00671C7E">
      <w:pPr>
        <w:widowControl w:val="0"/>
        <w:tabs>
          <w:tab w:val="left" w:pos="-720"/>
          <w:tab w:val="left" w:pos="2154"/>
          <w:tab w:val="right" w:leader="dot" w:pos="5664"/>
          <w:tab w:val="right" w:leader="dot" w:pos="9062"/>
        </w:tabs>
        <w:suppressAutoHyphens w:val="0"/>
        <w:spacing w:line="240" w:lineRule="auto"/>
        <w:jc w:val="both"/>
        <w:rPr>
          <w:bCs/>
        </w:rPr>
      </w:pPr>
    </w:p>
    <w:p w14:paraId="5663B6D6" w14:textId="77777777" w:rsidR="00671C7E" w:rsidRPr="00671C7E" w:rsidRDefault="00671C7E" w:rsidP="00671C7E">
      <w:pPr>
        <w:widowControl w:val="0"/>
        <w:tabs>
          <w:tab w:val="left" w:pos="-720"/>
          <w:tab w:val="left" w:pos="1080"/>
          <w:tab w:val="left" w:pos="1920"/>
          <w:tab w:val="right" w:leader="dot" w:pos="5664"/>
          <w:tab w:val="right" w:leader="dot" w:pos="9062"/>
        </w:tabs>
        <w:suppressAutoHyphens w:val="0"/>
        <w:spacing w:line="240" w:lineRule="auto"/>
        <w:jc w:val="both"/>
        <w:rPr>
          <w:bCs/>
        </w:rPr>
      </w:pPr>
    </w:p>
    <w:p w14:paraId="347FE3BC" w14:textId="77777777" w:rsidR="00671C7E" w:rsidRPr="00671C7E" w:rsidRDefault="00671C7E" w:rsidP="00671C7E">
      <w:pPr>
        <w:widowControl w:val="0"/>
        <w:tabs>
          <w:tab w:val="left" w:pos="-720"/>
          <w:tab w:val="left" w:pos="1080"/>
          <w:tab w:val="left" w:pos="1920"/>
          <w:tab w:val="right" w:leader="dot" w:pos="5664"/>
          <w:tab w:val="right" w:leader="dot" w:pos="9062"/>
        </w:tabs>
        <w:suppressAutoHyphens w:val="0"/>
        <w:spacing w:line="240" w:lineRule="auto"/>
        <w:jc w:val="both"/>
        <w:rPr>
          <w:bCs/>
        </w:rPr>
      </w:pPr>
    </w:p>
    <w:p w14:paraId="29506E74" w14:textId="77777777" w:rsidR="00671C7E" w:rsidRPr="00671C7E" w:rsidRDefault="00671C7E" w:rsidP="00671C7E">
      <w:pPr>
        <w:widowControl w:val="0"/>
        <w:tabs>
          <w:tab w:val="left" w:pos="-720"/>
          <w:tab w:val="left" w:pos="1080"/>
          <w:tab w:val="left" w:pos="1920"/>
          <w:tab w:val="right" w:leader="dot" w:pos="5664"/>
          <w:tab w:val="right" w:leader="dot" w:pos="9062"/>
        </w:tabs>
        <w:suppressAutoHyphens w:val="0"/>
        <w:spacing w:line="240" w:lineRule="auto"/>
        <w:jc w:val="both"/>
        <w:rPr>
          <w:bCs/>
        </w:rPr>
      </w:pPr>
    </w:p>
    <w:p w14:paraId="4A6A0AEE" w14:textId="77777777" w:rsidR="00671C7E" w:rsidRPr="00671C7E" w:rsidRDefault="00671C7E" w:rsidP="00671C7E">
      <w:pPr>
        <w:widowControl w:val="0"/>
        <w:tabs>
          <w:tab w:val="left" w:pos="-720"/>
          <w:tab w:val="left" w:pos="1080"/>
          <w:tab w:val="left" w:pos="1920"/>
          <w:tab w:val="right" w:leader="dot" w:pos="5664"/>
          <w:tab w:val="right" w:leader="dot" w:pos="9062"/>
        </w:tabs>
        <w:suppressAutoHyphens w:val="0"/>
        <w:spacing w:line="240" w:lineRule="auto"/>
        <w:ind w:left="4820" w:right="1134"/>
        <w:jc w:val="both"/>
        <w:rPr>
          <w:bCs/>
        </w:rPr>
      </w:pPr>
      <w:r w:rsidRPr="00671C7E">
        <w:rPr>
          <w:bCs/>
          <w:sz w:val="24"/>
        </w:rPr>
        <w:t>a</w:t>
      </w:r>
      <w:r w:rsidRPr="00671C7E">
        <w:rPr>
          <w:bCs/>
        </w:rPr>
        <w:t xml:space="preserve"> </w:t>
      </w:r>
      <w:r w:rsidRPr="00671C7E">
        <w:rPr>
          <w:bCs/>
        </w:rPr>
        <w:sym w:font="Symbol" w:char="F0B3"/>
      </w:r>
      <w:r w:rsidRPr="00671C7E">
        <w:rPr>
          <w:bCs/>
        </w:rPr>
        <w:t xml:space="preserve"> 5 mm</w:t>
      </w:r>
    </w:p>
    <w:p w14:paraId="5C4785E5" w14:textId="01102380" w:rsidR="00671C7E" w:rsidRDefault="00671C7E" w:rsidP="00671C7E">
      <w:pPr>
        <w:widowControl w:val="0"/>
        <w:tabs>
          <w:tab w:val="left" w:pos="-720"/>
          <w:tab w:val="left" w:pos="1080"/>
          <w:tab w:val="left" w:pos="1920"/>
          <w:tab w:val="left" w:pos="5103"/>
          <w:tab w:val="right" w:leader="dot" w:pos="5664"/>
          <w:tab w:val="right" w:leader="dot" w:pos="9062"/>
        </w:tabs>
        <w:suppressAutoHyphens w:val="0"/>
        <w:spacing w:line="240" w:lineRule="auto"/>
        <w:ind w:left="4820" w:right="1134"/>
        <w:jc w:val="both"/>
        <w:rPr>
          <w:bCs/>
        </w:rPr>
      </w:pPr>
      <w:r w:rsidRPr="00671C7E">
        <w:rPr>
          <w:bCs/>
          <w:sz w:val="18"/>
          <w:szCs w:val="18"/>
          <w:vertAlign w:val="superscript"/>
        </w:rPr>
        <w:t>1</w:t>
      </w:r>
      <w:r>
        <w:rPr>
          <w:bCs/>
          <w:sz w:val="24"/>
        </w:rPr>
        <w:tab/>
      </w:r>
      <w:r w:rsidRPr="00671C7E">
        <w:rPr>
          <w:bCs/>
        </w:rPr>
        <w:t>Class 0, 1, 2, 2A or 3</w:t>
      </w:r>
      <w:r>
        <w:rPr>
          <w:bCs/>
        </w:rPr>
        <w:t>.</w:t>
      </w:r>
    </w:p>
    <w:p w14:paraId="6EE4C59B" w14:textId="49C8888D" w:rsidR="00671C7E" w:rsidRPr="00671C7E" w:rsidRDefault="00671C7E" w:rsidP="00671C7E">
      <w:pPr>
        <w:widowControl w:val="0"/>
        <w:tabs>
          <w:tab w:val="left" w:pos="-720"/>
          <w:tab w:val="left" w:pos="1080"/>
          <w:tab w:val="left" w:pos="1920"/>
          <w:tab w:val="left" w:pos="5103"/>
          <w:tab w:val="right" w:leader="dot" w:pos="8505"/>
        </w:tabs>
        <w:suppressAutoHyphens w:val="0"/>
        <w:spacing w:line="240" w:lineRule="auto"/>
        <w:ind w:left="4820" w:right="1134"/>
        <w:jc w:val="both"/>
        <w:rPr>
          <w:b/>
          <w:bCs/>
        </w:rPr>
      </w:pPr>
      <w:r w:rsidRPr="00671C7E">
        <w:rPr>
          <w:b/>
          <w:bCs/>
          <w:vertAlign w:val="superscript"/>
        </w:rPr>
        <w:t>2</w:t>
      </w:r>
      <w:r>
        <w:rPr>
          <w:b/>
          <w:bCs/>
        </w:rPr>
        <w:tab/>
      </w:r>
      <w:r w:rsidRPr="00671C7E">
        <w:rPr>
          <w:b/>
          <w:bCs/>
        </w:rPr>
        <w:t>Indication mark of technical modification to be marked only on multivalve or</w:t>
      </w:r>
      <w:r w:rsidR="0070003C">
        <w:rPr>
          <w:b/>
          <w:bCs/>
        </w:rPr>
        <w:t xml:space="preserve">, </w:t>
      </w:r>
      <w:r w:rsidR="0070003C" w:rsidRPr="00671C7E">
        <w:rPr>
          <w:b/>
          <w:bCs/>
        </w:rPr>
        <w:t>when approved separately</w:t>
      </w:r>
      <w:r w:rsidR="0070003C">
        <w:rPr>
          <w:b/>
          <w:bCs/>
        </w:rPr>
        <w:t>,</w:t>
      </w:r>
      <w:r w:rsidRPr="00671C7E">
        <w:rPr>
          <w:b/>
          <w:bCs/>
        </w:rPr>
        <w:t xml:space="preserve"> </w:t>
      </w:r>
      <w:r w:rsidR="0070003C">
        <w:rPr>
          <w:b/>
          <w:bCs/>
        </w:rPr>
        <w:t xml:space="preserve">on </w:t>
      </w:r>
      <w:r w:rsidRPr="00671C7E">
        <w:rPr>
          <w:b/>
          <w:bCs/>
        </w:rPr>
        <w:t xml:space="preserve">pressure relief valve (discharge valve) </w:t>
      </w:r>
      <w:r w:rsidR="0070003C">
        <w:rPr>
          <w:b/>
          <w:bCs/>
        </w:rPr>
        <w:t>and</w:t>
      </w:r>
      <w:r w:rsidR="0070003C" w:rsidRPr="00671C7E">
        <w:rPr>
          <w:b/>
          <w:bCs/>
        </w:rPr>
        <w:t xml:space="preserve"> </w:t>
      </w:r>
      <w:r w:rsidRPr="00671C7E">
        <w:rPr>
          <w:b/>
          <w:bCs/>
        </w:rPr>
        <w:t>pressure relief device.</w:t>
      </w:r>
    </w:p>
    <w:p w14:paraId="3EE87729" w14:textId="77777777" w:rsidR="00671C7E" w:rsidRPr="00671C7E" w:rsidRDefault="00671C7E" w:rsidP="0094307E">
      <w:pPr>
        <w:tabs>
          <w:tab w:val="left" w:pos="1701"/>
        </w:tabs>
        <w:spacing w:after="120"/>
        <w:ind w:left="1134" w:right="1133"/>
        <w:jc w:val="both"/>
        <w:rPr>
          <w:bCs/>
        </w:rPr>
      </w:pPr>
    </w:p>
    <w:p w14:paraId="2BB43C64" w14:textId="2D2B54C0" w:rsidR="003D751D" w:rsidRDefault="00671C7E" w:rsidP="00671C7E">
      <w:pPr>
        <w:tabs>
          <w:tab w:val="left" w:pos="1701"/>
        </w:tabs>
        <w:spacing w:after="120"/>
        <w:ind w:left="1134" w:right="1133"/>
        <w:jc w:val="both"/>
      </w:pPr>
      <w:r w:rsidRPr="001228BD">
        <w:tab/>
        <w:t>The above approval mark affixed to the LPG equipment shows that this equipment has been approved in the Netherlands (E4), pursuant to Regulation No. 67 under approval number 012439. The first two digits of the approval number indicate that the approval was granted in accordance with the requirements of Regulation No. 67 as amended by the 01 series of amendments</w:t>
      </w:r>
      <w:r w:rsidR="001228BD" w:rsidRPr="001228BD">
        <w:t xml:space="preserve">. </w:t>
      </w:r>
      <w:r w:rsidR="001228BD" w:rsidRPr="001228BD">
        <w:rPr>
          <w:b/>
        </w:rPr>
        <w:t>The indication mark of technical modification (A in the example), preceded by the star symbol, is required only for the approval mark of the accessories of the container (multivalve</w:t>
      </w:r>
      <w:r w:rsidR="0070003C">
        <w:rPr>
          <w:b/>
        </w:rPr>
        <w:t xml:space="preserve"> or</w:t>
      </w:r>
      <w:r w:rsidR="001228BD" w:rsidRPr="001228BD">
        <w:rPr>
          <w:b/>
        </w:rPr>
        <w:t xml:space="preserve">, </w:t>
      </w:r>
      <w:r w:rsidR="0070003C" w:rsidRPr="001228BD">
        <w:rPr>
          <w:b/>
        </w:rPr>
        <w:t>when approved separately</w:t>
      </w:r>
      <w:r w:rsidR="0070003C">
        <w:rPr>
          <w:b/>
        </w:rPr>
        <w:t xml:space="preserve">, </w:t>
      </w:r>
      <w:r w:rsidR="001228BD" w:rsidRPr="001228BD">
        <w:rPr>
          <w:b/>
        </w:rPr>
        <w:t>pressure relief valve (discharge valve) and pressure relief device,</w:t>
      </w:r>
      <w:r w:rsidR="001228BD" w:rsidRPr="0094307E">
        <w:rPr>
          <w:b/>
        </w:rPr>
        <w:t>)</w:t>
      </w:r>
      <w:r w:rsidR="001228BD" w:rsidRPr="0094307E">
        <w:t>.</w:t>
      </w:r>
      <w:r w:rsidR="0094307E" w:rsidRPr="0094307E">
        <w:t>"</w:t>
      </w:r>
    </w:p>
    <w:p w14:paraId="63B0ECE4" w14:textId="77777777" w:rsidR="0094307E" w:rsidRPr="0094307E" w:rsidRDefault="0094307E" w:rsidP="00671C7E">
      <w:pPr>
        <w:tabs>
          <w:tab w:val="left" w:pos="1701"/>
        </w:tabs>
        <w:spacing w:after="120"/>
        <w:ind w:left="1134" w:right="1133"/>
        <w:jc w:val="both"/>
        <w:rPr>
          <w:rFonts w:eastAsia="MS Mincho"/>
          <w:bCs/>
          <w:spacing w:val="-2"/>
          <w:lang w:val="en-US" w:eastAsia="ja-JP"/>
        </w:rPr>
      </w:pPr>
    </w:p>
    <w:p w14:paraId="1994B826" w14:textId="27EFC61B" w:rsidR="001228BD" w:rsidRPr="003D751D" w:rsidRDefault="001228BD" w:rsidP="001228BD">
      <w:pPr>
        <w:spacing w:after="120"/>
        <w:ind w:left="1134" w:right="1133"/>
        <w:jc w:val="both"/>
        <w:rPr>
          <w:rFonts w:eastAsia="MS Mincho"/>
          <w:bCs/>
          <w:spacing w:val="-2"/>
          <w:lang w:val="en-US" w:eastAsia="ja-JP"/>
        </w:rPr>
      </w:pPr>
      <w:r w:rsidRPr="003D751D">
        <w:rPr>
          <w:rFonts w:eastAsia="MS Mincho"/>
          <w:bCs/>
          <w:i/>
          <w:spacing w:val="-2"/>
          <w:lang w:val="en-US" w:eastAsia="ja-JP"/>
        </w:rPr>
        <w:t>Annex 2</w:t>
      </w:r>
      <w:r>
        <w:rPr>
          <w:rFonts w:eastAsia="MS Mincho"/>
          <w:bCs/>
          <w:i/>
          <w:spacing w:val="-2"/>
          <w:lang w:val="en-US" w:eastAsia="ja-JP"/>
        </w:rPr>
        <w:t xml:space="preserve">B, </w:t>
      </w:r>
      <w:r w:rsidRPr="003D751D">
        <w:rPr>
          <w:rFonts w:eastAsia="MS Mincho"/>
          <w:bCs/>
          <w:i/>
          <w:spacing w:val="-2"/>
          <w:lang w:val="en-US" w:eastAsia="ja-JP"/>
        </w:rPr>
        <w:t>A</w:t>
      </w:r>
      <w:r>
        <w:rPr>
          <w:rFonts w:eastAsia="MS Mincho"/>
          <w:bCs/>
          <w:i/>
          <w:spacing w:val="-2"/>
          <w:lang w:val="en-US" w:eastAsia="ja-JP"/>
        </w:rPr>
        <w:t>ppendix, Table 1</w:t>
      </w:r>
      <w:r w:rsidRPr="003D751D">
        <w:rPr>
          <w:rFonts w:eastAsia="MS Mincho"/>
          <w:bCs/>
          <w:spacing w:val="-2"/>
          <w:lang w:val="en-US" w:eastAsia="ja-JP"/>
        </w:rPr>
        <w:t>, amend to read</w:t>
      </w:r>
      <w:r>
        <w:rPr>
          <w:rFonts w:eastAsia="MS Mincho"/>
          <w:bCs/>
          <w:spacing w:val="-2"/>
          <w:lang w:val="en-US" w:eastAsia="ja-JP"/>
        </w:rPr>
        <w:t xml:space="preserve"> (inserting a new column for the </w:t>
      </w:r>
      <w:r w:rsidRPr="001228BD">
        <w:rPr>
          <w:rFonts w:eastAsia="MS Mincho"/>
          <w:bCs/>
          <w:spacing w:val="-2"/>
          <w:lang w:val="en-US" w:eastAsia="ja-JP"/>
        </w:rPr>
        <w:t>indication mark of technical modification</w:t>
      </w:r>
      <w:r>
        <w:rPr>
          <w:rFonts w:eastAsia="MS Mincho"/>
          <w:bCs/>
          <w:spacing w:val="-2"/>
          <w:lang w:val="en-US" w:eastAsia="ja-JP"/>
        </w:rPr>
        <w:t>)</w:t>
      </w:r>
      <w:r w:rsidRPr="003D751D">
        <w:rPr>
          <w:rFonts w:eastAsia="MS Mincho"/>
          <w:bCs/>
          <w:spacing w:val="-2"/>
          <w:lang w:val="en-US" w:eastAsia="ja-JP"/>
        </w:rPr>
        <w:t>:</w:t>
      </w:r>
    </w:p>
    <w:p w14:paraId="358771AA" w14:textId="348FC09E" w:rsidR="001228BD" w:rsidRPr="001228BD" w:rsidRDefault="001228BD" w:rsidP="001228BD">
      <w:pPr>
        <w:suppressAutoHyphens w:val="0"/>
        <w:spacing w:line="240" w:lineRule="auto"/>
        <w:ind w:left="1134"/>
        <w:outlineLvl w:val="0"/>
        <w:rPr>
          <w:lang w:val="en-US"/>
        </w:rPr>
      </w:pPr>
      <w:bookmarkStart w:id="1" w:name="_Toc387935181"/>
      <w:bookmarkStart w:id="2" w:name="_Toc397517971"/>
      <w:r>
        <w:rPr>
          <w:lang w:val="en-US"/>
        </w:rPr>
        <w:t>"</w:t>
      </w:r>
      <w:r w:rsidRPr="001228BD">
        <w:rPr>
          <w:lang w:val="en-US"/>
        </w:rPr>
        <w:t>Table 1</w:t>
      </w:r>
      <w:bookmarkEnd w:id="1"/>
      <w:bookmarkEnd w:id="2"/>
    </w:p>
    <w:tbl>
      <w:tblPr>
        <w:tblW w:w="74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195"/>
        <w:gridCol w:w="1066"/>
        <w:gridCol w:w="1134"/>
        <w:gridCol w:w="1276"/>
        <w:gridCol w:w="1276"/>
      </w:tblGrid>
      <w:tr w:rsidR="001228BD" w:rsidRPr="001228BD" w14:paraId="600F9D7F" w14:textId="77777777" w:rsidTr="0094307E">
        <w:tc>
          <w:tcPr>
            <w:tcW w:w="533" w:type="dxa"/>
            <w:tcBorders>
              <w:top w:val="single" w:sz="4" w:space="0" w:color="auto"/>
              <w:left w:val="single" w:sz="4" w:space="0" w:color="auto"/>
              <w:bottom w:val="single" w:sz="12" w:space="0" w:color="auto"/>
              <w:right w:val="single" w:sz="4" w:space="0" w:color="auto"/>
            </w:tcBorders>
          </w:tcPr>
          <w:p w14:paraId="28204FD1" w14:textId="77777777" w:rsidR="001228BD" w:rsidRPr="001228BD" w:rsidRDefault="001228BD" w:rsidP="001228BD">
            <w:pPr>
              <w:suppressAutoHyphens w:val="0"/>
              <w:spacing w:before="40" w:afterLines="40" w:after="96" w:line="240" w:lineRule="auto"/>
              <w:jc w:val="center"/>
              <w:rPr>
                <w:i/>
                <w:sz w:val="16"/>
                <w:szCs w:val="16"/>
                <w:lang w:val="en-US"/>
              </w:rPr>
            </w:pPr>
            <w:r w:rsidRPr="001228BD">
              <w:rPr>
                <w:i/>
                <w:sz w:val="16"/>
                <w:szCs w:val="16"/>
                <w:lang w:val="en-US"/>
              </w:rPr>
              <w:t>No.</w:t>
            </w:r>
          </w:p>
        </w:tc>
        <w:tc>
          <w:tcPr>
            <w:tcW w:w="2195" w:type="dxa"/>
            <w:tcBorders>
              <w:top w:val="single" w:sz="4" w:space="0" w:color="auto"/>
              <w:left w:val="single" w:sz="4" w:space="0" w:color="auto"/>
              <w:bottom w:val="single" w:sz="12" w:space="0" w:color="auto"/>
              <w:right w:val="single" w:sz="4" w:space="0" w:color="auto"/>
            </w:tcBorders>
          </w:tcPr>
          <w:p w14:paraId="7AA2BC38" w14:textId="77777777" w:rsidR="001228BD" w:rsidRPr="001228BD" w:rsidRDefault="001228BD" w:rsidP="001228BD">
            <w:pPr>
              <w:suppressAutoHyphens w:val="0"/>
              <w:spacing w:before="40" w:afterLines="40" w:after="96" w:line="240" w:lineRule="auto"/>
              <w:jc w:val="center"/>
              <w:rPr>
                <w:i/>
                <w:sz w:val="16"/>
                <w:szCs w:val="16"/>
                <w:lang w:val="en-US"/>
              </w:rPr>
            </w:pPr>
            <w:r w:rsidRPr="001228BD">
              <w:rPr>
                <w:i/>
                <w:sz w:val="16"/>
                <w:szCs w:val="16"/>
                <w:lang w:val="en-US"/>
              </w:rPr>
              <w:t>Item</w:t>
            </w:r>
          </w:p>
        </w:tc>
        <w:tc>
          <w:tcPr>
            <w:tcW w:w="1066" w:type="dxa"/>
            <w:tcBorders>
              <w:top w:val="single" w:sz="4" w:space="0" w:color="auto"/>
              <w:left w:val="single" w:sz="4" w:space="0" w:color="auto"/>
              <w:bottom w:val="single" w:sz="12" w:space="0" w:color="auto"/>
              <w:right w:val="single" w:sz="4" w:space="0" w:color="auto"/>
            </w:tcBorders>
          </w:tcPr>
          <w:p w14:paraId="501BB27E" w14:textId="77777777" w:rsidR="001228BD" w:rsidRPr="001228BD" w:rsidRDefault="001228BD" w:rsidP="001228BD">
            <w:pPr>
              <w:suppressAutoHyphens w:val="0"/>
              <w:spacing w:before="40" w:afterLines="40" w:after="96" w:line="240" w:lineRule="auto"/>
              <w:jc w:val="center"/>
              <w:rPr>
                <w:i/>
                <w:sz w:val="16"/>
                <w:szCs w:val="16"/>
                <w:lang w:val="en-US"/>
              </w:rPr>
            </w:pPr>
            <w:r w:rsidRPr="001228BD">
              <w:rPr>
                <w:i/>
                <w:sz w:val="16"/>
                <w:szCs w:val="16"/>
                <w:lang w:val="en-US"/>
              </w:rPr>
              <w:t>Type</w:t>
            </w:r>
          </w:p>
        </w:tc>
        <w:tc>
          <w:tcPr>
            <w:tcW w:w="1134" w:type="dxa"/>
            <w:tcBorders>
              <w:top w:val="single" w:sz="4" w:space="0" w:color="auto"/>
              <w:left w:val="single" w:sz="4" w:space="0" w:color="auto"/>
              <w:bottom w:val="single" w:sz="12" w:space="0" w:color="auto"/>
              <w:right w:val="single" w:sz="4" w:space="0" w:color="auto"/>
            </w:tcBorders>
          </w:tcPr>
          <w:p w14:paraId="519B793E" w14:textId="77777777" w:rsidR="001228BD" w:rsidRPr="001228BD" w:rsidRDefault="001228BD" w:rsidP="001228BD">
            <w:pPr>
              <w:suppressAutoHyphens w:val="0"/>
              <w:spacing w:before="40" w:afterLines="40" w:after="96" w:line="240" w:lineRule="auto"/>
              <w:jc w:val="center"/>
              <w:rPr>
                <w:i/>
                <w:sz w:val="16"/>
                <w:szCs w:val="16"/>
                <w:lang w:val="en-US"/>
              </w:rPr>
            </w:pPr>
            <w:r w:rsidRPr="001228BD">
              <w:rPr>
                <w:i/>
                <w:sz w:val="16"/>
                <w:szCs w:val="16"/>
                <w:lang w:val="en-US"/>
              </w:rPr>
              <w:t>Approval No.</w:t>
            </w:r>
          </w:p>
        </w:tc>
        <w:tc>
          <w:tcPr>
            <w:tcW w:w="1276" w:type="dxa"/>
            <w:tcBorders>
              <w:top w:val="single" w:sz="4" w:space="0" w:color="auto"/>
              <w:left w:val="single" w:sz="4" w:space="0" w:color="auto"/>
              <w:bottom w:val="single" w:sz="12" w:space="0" w:color="auto"/>
              <w:right w:val="single" w:sz="4" w:space="0" w:color="auto"/>
            </w:tcBorders>
          </w:tcPr>
          <w:p w14:paraId="487CEC39" w14:textId="253BC3CD" w:rsidR="001228BD" w:rsidRPr="001228BD" w:rsidRDefault="001228BD" w:rsidP="001228BD">
            <w:pPr>
              <w:suppressAutoHyphens w:val="0"/>
              <w:spacing w:before="40" w:afterLines="40" w:after="96" w:line="240" w:lineRule="auto"/>
              <w:jc w:val="center"/>
              <w:rPr>
                <w:i/>
                <w:sz w:val="16"/>
                <w:szCs w:val="16"/>
                <w:lang w:val="en-US"/>
              </w:rPr>
            </w:pPr>
            <w:r w:rsidRPr="001228BD">
              <w:rPr>
                <w:i/>
                <w:sz w:val="16"/>
                <w:szCs w:val="16"/>
                <w:lang w:val="en-US"/>
              </w:rPr>
              <w:t>Extension No.</w:t>
            </w:r>
          </w:p>
        </w:tc>
        <w:tc>
          <w:tcPr>
            <w:tcW w:w="1276" w:type="dxa"/>
            <w:tcBorders>
              <w:top w:val="single" w:sz="4" w:space="0" w:color="auto"/>
              <w:left w:val="single" w:sz="4" w:space="0" w:color="auto"/>
              <w:bottom w:val="single" w:sz="12" w:space="0" w:color="auto"/>
              <w:right w:val="single" w:sz="4" w:space="0" w:color="auto"/>
            </w:tcBorders>
          </w:tcPr>
          <w:p w14:paraId="548727D3" w14:textId="725F272F" w:rsidR="001228BD" w:rsidRPr="001228BD" w:rsidRDefault="00A574F6" w:rsidP="006731C7">
            <w:pPr>
              <w:suppressAutoHyphens w:val="0"/>
              <w:spacing w:before="40" w:afterLines="40" w:after="96" w:line="240" w:lineRule="auto"/>
              <w:jc w:val="center"/>
              <w:rPr>
                <w:b/>
                <w:i/>
                <w:sz w:val="16"/>
                <w:szCs w:val="16"/>
                <w:lang w:val="en-US"/>
              </w:rPr>
            </w:pPr>
            <w:r>
              <w:rPr>
                <w:b/>
                <w:i/>
                <w:sz w:val="16"/>
                <w:szCs w:val="16"/>
                <w:lang w:val="en-US"/>
              </w:rPr>
              <w:t>Indication</w:t>
            </w:r>
            <w:r w:rsidRPr="001228BD">
              <w:rPr>
                <w:b/>
                <w:i/>
                <w:sz w:val="16"/>
                <w:szCs w:val="16"/>
                <w:lang w:val="en-US"/>
              </w:rPr>
              <w:t xml:space="preserve"> </w:t>
            </w:r>
            <w:r w:rsidR="001228BD" w:rsidRPr="001228BD">
              <w:rPr>
                <w:b/>
                <w:i/>
                <w:sz w:val="16"/>
                <w:szCs w:val="16"/>
                <w:lang w:val="en-US"/>
              </w:rPr>
              <w:t>mark</w:t>
            </w:r>
            <w:r w:rsidR="006731C7">
              <w:rPr>
                <w:b/>
                <w:i/>
                <w:sz w:val="16"/>
                <w:szCs w:val="16"/>
                <w:lang w:val="en-US"/>
              </w:rPr>
              <w:t>(s)</w:t>
            </w:r>
            <w:r w:rsidRPr="00A574F6">
              <w:rPr>
                <w:b/>
                <w:i/>
                <w:sz w:val="16"/>
                <w:szCs w:val="16"/>
                <w:vertAlign w:val="superscript"/>
                <w:lang w:val="en-US"/>
              </w:rPr>
              <w:t>1</w:t>
            </w:r>
          </w:p>
        </w:tc>
      </w:tr>
      <w:tr w:rsidR="001228BD" w:rsidRPr="001228BD" w14:paraId="242A5332" w14:textId="77777777" w:rsidTr="0094307E">
        <w:tc>
          <w:tcPr>
            <w:tcW w:w="533" w:type="dxa"/>
            <w:tcBorders>
              <w:top w:val="single" w:sz="12" w:space="0" w:color="auto"/>
              <w:left w:val="single" w:sz="4" w:space="0" w:color="auto"/>
              <w:bottom w:val="single" w:sz="4" w:space="0" w:color="auto"/>
              <w:right w:val="single" w:sz="4" w:space="0" w:color="auto"/>
            </w:tcBorders>
          </w:tcPr>
          <w:p w14:paraId="5219F4CA" w14:textId="77777777" w:rsidR="001228BD" w:rsidRPr="001228BD" w:rsidRDefault="001228BD" w:rsidP="001228BD">
            <w:pPr>
              <w:suppressAutoHyphens w:val="0"/>
              <w:spacing w:before="40" w:afterLines="40" w:after="96" w:line="240" w:lineRule="auto"/>
              <w:jc w:val="center"/>
              <w:rPr>
                <w:sz w:val="16"/>
                <w:szCs w:val="16"/>
                <w:lang w:val="en-US"/>
              </w:rPr>
            </w:pPr>
            <w:r w:rsidRPr="001228BD">
              <w:rPr>
                <w:sz w:val="16"/>
                <w:szCs w:val="16"/>
                <w:lang w:val="en-US"/>
              </w:rPr>
              <w:t>a</w:t>
            </w:r>
          </w:p>
        </w:tc>
        <w:tc>
          <w:tcPr>
            <w:tcW w:w="2195" w:type="dxa"/>
            <w:tcBorders>
              <w:top w:val="single" w:sz="12" w:space="0" w:color="auto"/>
              <w:left w:val="single" w:sz="4" w:space="0" w:color="auto"/>
              <w:bottom w:val="single" w:sz="4" w:space="0" w:color="auto"/>
              <w:right w:val="single" w:sz="4" w:space="0" w:color="auto"/>
            </w:tcBorders>
          </w:tcPr>
          <w:p w14:paraId="48D0D98D" w14:textId="77777777" w:rsidR="001228BD" w:rsidRPr="001228BD" w:rsidRDefault="001228BD" w:rsidP="001228BD">
            <w:pPr>
              <w:suppressAutoHyphens w:val="0"/>
              <w:spacing w:before="40" w:afterLines="40" w:after="96" w:line="240" w:lineRule="auto"/>
              <w:rPr>
                <w:sz w:val="16"/>
                <w:szCs w:val="16"/>
                <w:lang w:val="en-US"/>
              </w:rPr>
            </w:pPr>
            <w:r w:rsidRPr="001228BD">
              <w:rPr>
                <w:sz w:val="16"/>
                <w:szCs w:val="16"/>
                <w:lang w:val="en-US"/>
              </w:rPr>
              <w:t>80 per cent stop valve</w:t>
            </w:r>
          </w:p>
        </w:tc>
        <w:tc>
          <w:tcPr>
            <w:tcW w:w="1066" w:type="dxa"/>
            <w:tcBorders>
              <w:top w:val="single" w:sz="12" w:space="0" w:color="auto"/>
              <w:left w:val="single" w:sz="4" w:space="0" w:color="auto"/>
              <w:bottom w:val="single" w:sz="4" w:space="0" w:color="auto"/>
              <w:right w:val="single" w:sz="4" w:space="0" w:color="auto"/>
            </w:tcBorders>
          </w:tcPr>
          <w:p w14:paraId="0F36CCD8" w14:textId="77777777" w:rsidR="001228BD" w:rsidRPr="001228BD" w:rsidRDefault="001228BD" w:rsidP="001228BD">
            <w:pPr>
              <w:suppressAutoHyphens w:val="0"/>
              <w:spacing w:before="40" w:afterLines="40" w:after="96" w:line="240" w:lineRule="auto"/>
              <w:jc w:val="both"/>
              <w:rPr>
                <w:sz w:val="16"/>
                <w:szCs w:val="16"/>
                <w:lang w:val="en-US"/>
              </w:rPr>
            </w:pPr>
          </w:p>
        </w:tc>
        <w:tc>
          <w:tcPr>
            <w:tcW w:w="1134" w:type="dxa"/>
            <w:tcBorders>
              <w:top w:val="single" w:sz="12" w:space="0" w:color="auto"/>
              <w:left w:val="single" w:sz="4" w:space="0" w:color="auto"/>
              <w:bottom w:val="single" w:sz="4" w:space="0" w:color="auto"/>
              <w:right w:val="single" w:sz="4" w:space="0" w:color="auto"/>
            </w:tcBorders>
          </w:tcPr>
          <w:p w14:paraId="445D2D0C" w14:textId="77777777" w:rsidR="001228BD" w:rsidRPr="001228BD" w:rsidRDefault="001228BD" w:rsidP="001228BD">
            <w:pPr>
              <w:suppressAutoHyphens w:val="0"/>
              <w:spacing w:before="40" w:afterLines="40" w:after="96" w:line="240" w:lineRule="auto"/>
              <w:jc w:val="both"/>
              <w:rPr>
                <w:sz w:val="16"/>
                <w:szCs w:val="16"/>
                <w:lang w:val="en-US"/>
              </w:rPr>
            </w:pPr>
          </w:p>
        </w:tc>
        <w:tc>
          <w:tcPr>
            <w:tcW w:w="1276" w:type="dxa"/>
            <w:tcBorders>
              <w:top w:val="single" w:sz="12" w:space="0" w:color="auto"/>
              <w:left w:val="single" w:sz="4" w:space="0" w:color="auto"/>
              <w:bottom w:val="single" w:sz="4" w:space="0" w:color="auto"/>
              <w:right w:val="single" w:sz="4" w:space="0" w:color="auto"/>
            </w:tcBorders>
          </w:tcPr>
          <w:p w14:paraId="599CEF2C" w14:textId="77777777" w:rsidR="001228BD" w:rsidRPr="0094307E" w:rsidRDefault="001228BD" w:rsidP="001228BD">
            <w:pPr>
              <w:suppressAutoHyphens w:val="0"/>
              <w:spacing w:before="40" w:afterLines="40" w:after="96" w:line="240" w:lineRule="auto"/>
              <w:jc w:val="both"/>
              <w:rPr>
                <w:sz w:val="16"/>
                <w:szCs w:val="16"/>
                <w:lang w:val="en-US"/>
              </w:rPr>
            </w:pPr>
          </w:p>
        </w:tc>
        <w:tc>
          <w:tcPr>
            <w:tcW w:w="1276" w:type="dxa"/>
            <w:tcBorders>
              <w:top w:val="single" w:sz="12" w:space="0" w:color="auto"/>
              <w:left w:val="single" w:sz="4" w:space="0" w:color="auto"/>
              <w:bottom w:val="single" w:sz="4" w:space="0" w:color="auto"/>
              <w:right w:val="single" w:sz="4" w:space="0" w:color="auto"/>
            </w:tcBorders>
          </w:tcPr>
          <w:p w14:paraId="4595F023" w14:textId="7B7F318D" w:rsidR="001228BD" w:rsidRPr="001228BD" w:rsidRDefault="001228BD" w:rsidP="001228BD">
            <w:pPr>
              <w:suppressAutoHyphens w:val="0"/>
              <w:spacing w:before="40" w:afterLines="40" w:after="96" w:line="240" w:lineRule="auto"/>
              <w:jc w:val="both"/>
              <w:rPr>
                <w:sz w:val="16"/>
                <w:szCs w:val="16"/>
                <w:lang w:val="en-US"/>
              </w:rPr>
            </w:pPr>
          </w:p>
        </w:tc>
      </w:tr>
      <w:tr w:rsidR="001228BD" w:rsidRPr="001228BD" w14:paraId="2E30140C" w14:textId="77777777" w:rsidTr="0094307E">
        <w:tc>
          <w:tcPr>
            <w:tcW w:w="533" w:type="dxa"/>
            <w:tcBorders>
              <w:top w:val="single" w:sz="4" w:space="0" w:color="auto"/>
              <w:left w:val="single" w:sz="4" w:space="0" w:color="auto"/>
              <w:bottom w:val="single" w:sz="4" w:space="0" w:color="auto"/>
              <w:right w:val="single" w:sz="4" w:space="0" w:color="auto"/>
            </w:tcBorders>
          </w:tcPr>
          <w:p w14:paraId="06C66EE6" w14:textId="77777777" w:rsidR="001228BD" w:rsidRPr="001228BD" w:rsidRDefault="001228BD" w:rsidP="001228BD">
            <w:pPr>
              <w:suppressAutoHyphens w:val="0"/>
              <w:spacing w:before="40" w:afterLines="40" w:after="96" w:line="240" w:lineRule="auto"/>
              <w:jc w:val="center"/>
              <w:rPr>
                <w:sz w:val="16"/>
                <w:szCs w:val="16"/>
                <w:lang w:val="en-US"/>
              </w:rPr>
            </w:pPr>
            <w:r w:rsidRPr="001228BD">
              <w:rPr>
                <w:sz w:val="16"/>
                <w:szCs w:val="16"/>
                <w:lang w:val="en-US"/>
              </w:rPr>
              <w:t>b</w:t>
            </w:r>
          </w:p>
        </w:tc>
        <w:tc>
          <w:tcPr>
            <w:tcW w:w="2195" w:type="dxa"/>
            <w:tcBorders>
              <w:top w:val="single" w:sz="4" w:space="0" w:color="auto"/>
              <w:left w:val="single" w:sz="4" w:space="0" w:color="auto"/>
              <w:bottom w:val="single" w:sz="4" w:space="0" w:color="auto"/>
              <w:right w:val="single" w:sz="4" w:space="0" w:color="auto"/>
            </w:tcBorders>
          </w:tcPr>
          <w:p w14:paraId="059916D8" w14:textId="77777777" w:rsidR="001228BD" w:rsidRPr="001228BD" w:rsidRDefault="001228BD" w:rsidP="001228BD">
            <w:pPr>
              <w:suppressAutoHyphens w:val="0"/>
              <w:spacing w:before="40" w:afterLines="40" w:after="96" w:line="240" w:lineRule="auto"/>
              <w:rPr>
                <w:sz w:val="16"/>
                <w:szCs w:val="16"/>
                <w:lang w:val="en-US"/>
              </w:rPr>
            </w:pPr>
            <w:r w:rsidRPr="001228BD">
              <w:rPr>
                <w:sz w:val="16"/>
                <w:szCs w:val="16"/>
                <w:lang w:val="en-US"/>
              </w:rPr>
              <w:t>Level indicator</w:t>
            </w:r>
          </w:p>
        </w:tc>
        <w:tc>
          <w:tcPr>
            <w:tcW w:w="1066" w:type="dxa"/>
            <w:tcBorders>
              <w:top w:val="single" w:sz="4" w:space="0" w:color="auto"/>
              <w:left w:val="single" w:sz="4" w:space="0" w:color="auto"/>
              <w:bottom w:val="single" w:sz="4" w:space="0" w:color="auto"/>
              <w:right w:val="single" w:sz="4" w:space="0" w:color="auto"/>
            </w:tcBorders>
          </w:tcPr>
          <w:p w14:paraId="5D0E132A" w14:textId="77777777" w:rsidR="001228BD" w:rsidRPr="001228BD" w:rsidRDefault="001228BD" w:rsidP="001228BD">
            <w:pPr>
              <w:suppressAutoHyphens w:val="0"/>
              <w:spacing w:before="40" w:afterLines="40" w:after="96" w:line="240" w:lineRule="auto"/>
              <w:jc w:val="both"/>
              <w:rPr>
                <w:sz w:val="16"/>
                <w:szCs w:val="16"/>
                <w:lang w:val="en-US"/>
              </w:rPr>
            </w:pPr>
          </w:p>
        </w:tc>
        <w:tc>
          <w:tcPr>
            <w:tcW w:w="1134" w:type="dxa"/>
            <w:tcBorders>
              <w:top w:val="single" w:sz="4" w:space="0" w:color="auto"/>
              <w:left w:val="single" w:sz="4" w:space="0" w:color="auto"/>
              <w:bottom w:val="single" w:sz="4" w:space="0" w:color="auto"/>
              <w:right w:val="single" w:sz="4" w:space="0" w:color="auto"/>
            </w:tcBorders>
          </w:tcPr>
          <w:p w14:paraId="00022307" w14:textId="77777777" w:rsidR="001228BD" w:rsidRPr="001228BD" w:rsidRDefault="001228BD" w:rsidP="001228BD">
            <w:pPr>
              <w:suppressAutoHyphens w:val="0"/>
              <w:spacing w:before="40" w:afterLines="40" w:after="96" w:line="240" w:lineRule="auto"/>
              <w:jc w:val="both"/>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14:paraId="61283C3B" w14:textId="77777777" w:rsidR="001228BD" w:rsidRPr="0094307E" w:rsidRDefault="001228BD" w:rsidP="001228BD">
            <w:pPr>
              <w:suppressAutoHyphens w:val="0"/>
              <w:spacing w:before="40" w:afterLines="40" w:after="96" w:line="240" w:lineRule="auto"/>
              <w:jc w:val="both"/>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14:paraId="6D06852D" w14:textId="74905C0C" w:rsidR="001228BD" w:rsidRPr="001228BD" w:rsidRDefault="001228BD" w:rsidP="001228BD">
            <w:pPr>
              <w:suppressAutoHyphens w:val="0"/>
              <w:spacing w:before="40" w:afterLines="40" w:after="96" w:line="240" w:lineRule="auto"/>
              <w:jc w:val="both"/>
              <w:rPr>
                <w:sz w:val="16"/>
                <w:szCs w:val="16"/>
                <w:lang w:val="en-US"/>
              </w:rPr>
            </w:pPr>
          </w:p>
        </w:tc>
      </w:tr>
      <w:tr w:rsidR="001228BD" w:rsidRPr="001228BD" w14:paraId="562B7FF9" w14:textId="77777777" w:rsidTr="0094307E">
        <w:tc>
          <w:tcPr>
            <w:tcW w:w="533" w:type="dxa"/>
            <w:tcBorders>
              <w:top w:val="single" w:sz="4" w:space="0" w:color="auto"/>
              <w:left w:val="single" w:sz="4" w:space="0" w:color="auto"/>
              <w:bottom w:val="single" w:sz="4" w:space="0" w:color="auto"/>
              <w:right w:val="single" w:sz="4" w:space="0" w:color="auto"/>
            </w:tcBorders>
          </w:tcPr>
          <w:p w14:paraId="057DEC00" w14:textId="77777777" w:rsidR="001228BD" w:rsidRPr="001228BD" w:rsidRDefault="001228BD" w:rsidP="001228BD">
            <w:pPr>
              <w:suppressAutoHyphens w:val="0"/>
              <w:spacing w:before="40" w:afterLines="40" w:after="96" w:line="240" w:lineRule="auto"/>
              <w:jc w:val="center"/>
              <w:rPr>
                <w:sz w:val="16"/>
                <w:szCs w:val="16"/>
                <w:lang w:val="en-US"/>
              </w:rPr>
            </w:pPr>
            <w:r w:rsidRPr="001228BD">
              <w:rPr>
                <w:sz w:val="16"/>
                <w:szCs w:val="16"/>
                <w:lang w:val="en-US"/>
              </w:rPr>
              <w:t>c</w:t>
            </w:r>
          </w:p>
        </w:tc>
        <w:tc>
          <w:tcPr>
            <w:tcW w:w="2195" w:type="dxa"/>
            <w:tcBorders>
              <w:top w:val="single" w:sz="4" w:space="0" w:color="auto"/>
              <w:left w:val="single" w:sz="4" w:space="0" w:color="auto"/>
              <w:bottom w:val="single" w:sz="4" w:space="0" w:color="auto"/>
              <w:right w:val="single" w:sz="4" w:space="0" w:color="auto"/>
            </w:tcBorders>
          </w:tcPr>
          <w:p w14:paraId="4AD37518" w14:textId="77777777" w:rsidR="001228BD" w:rsidRPr="001228BD" w:rsidRDefault="001228BD" w:rsidP="001228BD">
            <w:pPr>
              <w:suppressAutoHyphens w:val="0"/>
              <w:spacing w:before="40" w:afterLines="40" w:after="96" w:line="240" w:lineRule="auto"/>
              <w:rPr>
                <w:sz w:val="16"/>
                <w:szCs w:val="16"/>
                <w:lang w:val="en-US"/>
              </w:rPr>
            </w:pPr>
            <w:r w:rsidRPr="001228BD">
              <w:rPr>
                <w:sz w:val="16"/>
                <w:szCs w:val="16"/>
                <w:lang w:val="en-US"/>
              </w:rPr>
              <w:t>Pressure relief valve</w:t>
            </w:r>
          </w:p>
        </w:tc>
        <w:tc>
          <w:tcPr>
            <w:tcW w:w="1066" w:type="dxa"/>
            <w:tcBorders>
              <w:top w:val="single" w:sz="4" w:space="0" w:color="auto"/>
              <w:left w:val="single" w:sz="4" w:space="0" w:color="auto"/>
              <w:bottom w:val="single" w:sz="4" w:space="0" w:color="auto"/>
              <w:right w:val="single" w:sz="4" w:space="0" w:color="auto"/>
            </w:tcBorders>
          </w:tcPr>
          <w:p w14:paraId="2D40034B" w14:textId="77777777" w:rsidR="001228BD" w:rsidRPr="001228BD" w:rsidRDefault="001228BD" w:rsidP="001228BD">
            <w:pPr>
              <w:suppressAutoHyphens w:val="0"/>
              <w:spacing w:before="40" w:afterLines="40" w:after="96" w:line="240" w:lineRule="auto"/>
              <w:jc w:val="both"/>
              <w:rPr>
                <w:sz w:val="16"/>
                <w:szCs w:val="16"/>
                <w:lang w:val="en-US"/>
              </w:rPr>
            </w:pPr>
          </w:p>
        </w:tc>
        <w:tc>
          <w:tcPr>
            <w:tcW w:w="1134" w:type="dxa"/>
            <w:tcBorders>
              <w:top w:val="single" w:sz="4" w:space="0" w:color="auto"/>
              <w:left w:val="single" w:sz="4" w:space="0" w:color="auto"/>
              <w:bottom w:val="single" w:sz="4" w:space="0" w:color="auto"/>
              <w:right w:val="single" w:sz="4" w:space="0" w:color="auto"/>
            </w:tcBorders>
          </w:tcPr>
          <w:p w14:paraId="0BCB2B77" w14:textId="77777777" w:rsidR="001228BD" w:rsidRPr="001228BD" w:rsidRDefault="001228BD" w:rsidP="001228BD">
            <w:pPr>
              <w:suppressAutoHyphens w:val="0"/>
              <w:spacing w:before="40" w:afterLines="40" w:after="96" w:line="240" w:lineRule="auto"/>
              <w:jc w:val="both"/>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14:paraId="6F158A94" w14:textId="77777777" w:rsidR="001228BD" w:rsidRPr="0094307E" w:rsidRDefault="001228BD" w:rsidP="001228BD">
            <w:pPr>
              <w:suppressAutoHyphens w:val="0"/>
              <w:spacing w:before="40" w:afterLines="40" w:after="96" w:line="240" w:lineRule="auto"/>
              <w:jc w:val="both"/>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14:paraId="0C4F3832" w14:textId="5F9B97A5" w:rsidR="001228BD" w:rsidRPr="001228BD" w:rsidRDefault="001228BD" w:rsidP="001228BD">
            <w:pPr>
              <w:suppressAutoHyphens w:val="0"/>
              <w:spacing w:before="40" w:afterLines="40" w:after="96" w:line="240" w:lineRule="auto"/>
              <w:jc w:val="both"/>
              <w:rPr>
                <w:sz w:val="16"/>
                <w:szCs w:val="16"/>
                <w:lang w:val="en-US"/>
              </w:rPr>
            </w:pPr>
          </w:p>
        </w:tc>
      </w:tr>
      <w:tr w:rsidR="001228BD" w:rsidRPr="001228BD" w14:paraId="10EE5ABB" w14:textId="77777777" w:rsidTr="0094307E">
        <w:tc>
          <w:tcPr>
            <w:tcW w:w="533" w:type="dxa"/>
            <w:tcBorders>
              <w:top w:val="single" w:sz="4" w:space="0" w:color="auto"/>
              <w:left w:val="single" w:sz="4" w:space="0" w:color="auto"/>
              <w:bottom w:val="single" w:sz="4" w:space="0" w:color="auto"/>
              <w:right w:val="single" w:sz="4" w:space="0" w:color="auto"/>
            </w:tcBorders>
          </w:tcPr>
          <w:p w14:paraId="5DD95AEE" w14:textId="77777777" w:rsidR="001228BD" w:rsidRPr="001228BD" w:rsidRDefault="001228BD" w:rsidP="001228BD">
            <w:pPr>
              <w:suppressAutoHyphens w:val="0"/>
              <w:spacing w:before="40" w:afterLines="40" w:after="96" w:line="240" w:lineRule="auto"/>
              <w:jc w:val="center"/>
              <w:rPr>
                <w:sz w:val="16"/>
                <w:szCs w:val="16"/>
                <w:lang w:val="en-US"/>
              </w:rPr>
            </w:pPr>
            <w:r w:rsidRPr="001228BD">
              <w:rPr>
                <w:sz w:val="16"/>
                <w:szCs w:val="16"/>
                <w:lang w:val="en-US"/>
              </w:rPr>
              <w:t>d</w:t>
            </w:r>
          </w:p>
        </w:tc>
        <w:tc>
          <w:tcPr>
            <w:tcW w:w="2195" w:type="dxa"/>
            <w:tcBorders>
              <w:top w:val="single" w:sz="4" w:space="0" w:color="auto"/>
              <w:left w:val="single" w:sz="4" w:space="0" w:color="auto"/>
              <w:bottom w:val="single" w:sz="4" w:space="0" w:color="auto"/>
              <w:right w:val="single" w:sz="4" w:space="0" w:color="auto"/>
            </w:tcBorders>
          </w:tcPr>
          <w:p w14:paraId="768256BE" w14:textId="77777777" w:rsidR="001228BD" w:rsidRPr="001228BD" w:rsidRDefault="001228BD" w:rsidP="001228BD">
            <w:pPr>
              <w:suppressAutoHyphens w:val="0"/>
              <w:spacing w:before="40" w:afterLines="40" w:after="96" w:line="240" w:lineRule="auto"/>
              <w:rPr>
                <w:sz w:val="16"/>
                <w:szCs w:val="16"/>
                <w:lang w:val="en-US"/>
              </w:rPr>
            </w:pPr>
            <w:r w:rsidRPr="001228BD">
              <w:rPr>
                <w:sz w:val="16"/>
                <w:szCs w:val="16"/>
                <w:lang w:val="en-US"/>
              </w:rPr>
              <w:t>Remotely controlled service valve with excess valve</w:t>
            </w:r>
          </w:p>
        </w:tc>
        <w:tc>
          <w:tcPr>
            <w:tcW w:w="1066" w:type="dxa"/>
            <w:tcBorders>
              <w:top w:val="single" w:sz="4" w:space="0" w:color="auto"/>
              <w:left w:val="single" w:sz="4" w:space="0" w:color="auto"/>
              <w:bottom w:val="single" w:sz="4" w:space="0" w:color="auto"/>
              <w:right w:val="single" w:sz="4" w:space="0" w:color="auto"/>
            </w:tcBorders>
          </w:tcPr>
          <w:p w14:paraId="0146A1A7" w14:textId="77777777" w:rsidR="001228BD" w:rsidRPr="001228BD" w:rsidRDefault="001228BD" w:rsidP="001228BD">
            <w:pPr>
              <w:suppressAutoHyphens w:val="0"/>
              <w:spacing w:before="40" w:afterLines="40" w:after="96" w:line="240" w:lineRule="auto"/>
              <w:jc w:val="both"/>
              <w:rPr>
                <w:sz w:val="16"/>
                <w:szCs w:val="16"/>
                <w:lang w:val="en-US"/>
              </w:rPr>
            </w:pPr>
          </w:p>
        </w:tc>
        <w:tc>
          <w:tcPr>
            <w:tcW w:w="1134" w:type="dxa"/>
            <w:tcBorders>
              <w:top w:val="single" w:sz="4" w:space="0" w:color="auto"/>
              <w:left w:val="single" w:sz="4" w:space="0" w:color="auto"/>
              <w:bottom w:val="single" w:sz="4" w:space="0" w:color="auto"/>
              <w:right w:val="single" w:sz="4" w:space="0" w:color="auto"/>
            </w:tcBorders>
          </w:tcPr>
          <w:p w14:paraId="0DB42311" w14:textId="77777777" w:rsidR="001228BD" w:rsidRPr="001228BD" w:rsidRDefault="001228BD" w:rsidP="001228BD">
            <w:pPr>
              <w:suppressAutoHyphens w:val="0"/>
              <w:spacing w:before="40" w:afterLines="40" w:after="96" w:line="240" w:lineRule="auto"/>
              <w:jc w:val="both"/>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14:paraId="3FB5A56B" w14:textId="77777777" w:rsidR="001228BD" w:rsidRPr="0094307E" w:rsidRDefault="001228BD" w:rsidP="001228BD">
            <w:pPr>
              <w:suppressAutoHyphens w:val="0"/>
              <w:spacing w:before="40" w:afterLines="40" w:after="96" w:line="240" w:lineRule="auto"/>
              <w:jc w:val="both"/>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14:paraId="52B1FAC6" w14:textId="2872305A" w:rsidR="001228BD" w:rsidRPr="001228BD" w:rsidRDefault="001228BD" w:rsidP="001228BD">
            <w:pPr>
              <w:suppressAutoHyphens w:val="0"/>
              <w:spacing w:before="40" w:afterLines="40" w:after="96" w:line="240" w:lineRule="auto"/>
              <w:jc w:val="both"/>
              <w:rPr>
                <w:sz w:val="16"/>
                <w:szCs w:val="16"/>
                <w:lang w:val="en-US"/>
              </w:rPr>
            </w:pPr>
          </w:p>
        </w:tc>
      </w:tr>
      <w:tr w:rsidR="001228BD" w:rsidRPr="001228BD" w14:paraId="0E3925C5" w14:textId="77777777" w:rsidTr="0094307E">
        <w:tc>
          <w:tcPr>
            <w:tcW w:w="533" w:type="dxa"/>
            <w:tcBorders>
              <w:top w:val="single" w:sz="4" w:space="0" w:color="auto"/>
              <w:left w:val="single" w:sz="4" w:space="0" w:color="auto"/>
              <w:bottom w:val="single" w:sz="4" w:space="0" w:color="auto"/>
              <w:right w:val="single" w:sz="4" w:space="0" w:color="auto"/>
            </w:tcBorders>
          </w:tcPr>
          <w:p w14:paraId="231B7D2B" w14:textId="77777777" w:rsidR="001228BD" w:rsidRPr="001228BD" w:rsidRDefault="001228BD" w:rsidP="001228BD">
            <w:pPr>
              <w:suppressAutoHyphens w:val="0"/>
              <w:spacing w:before="40" w:afterLines="40" w:after="96" w:line="240" w:lineRule="auto"/>
              <w:jc w:val="center"/>
              <w:rPr>
                <w:sz w:val="16"/>
                <w:szCs w:val="16"/>
                <w:lang w:val="en-US"/>
              </w:rPr>
            </w:pPr>
            <w:r w:rsidRPr="001228BD">
              <w:rPr>
                <w:sz w:val="16"/>
                <w:szCs w:val="16"/>
                <w:lang w:val="en-US"/>
              </w:rPr>
              <w:lastRenderedPageBreak/>
              <w:t>e</w:t>
            </w:r>
          </w:p>
        </w:tc>
        <w:tc>
          <w:tcPr>
            <w:tcW w:w="2195" w:type="dxa"/>
            <w:tcBorders>
              <w:top w:val="single" w:sz="4" w:space="0" w:color="auto"/>
              <w:left w:val="single" w:sz="4" w:space="0" w:color="auto"/>
              <w:bottom w:val="single" w:sz="4" w:space="0" w:color="auto"/>
              <w:right w:val="single" w:sz="4" w:space="0" w:color="auto"/>
            </w:tcBorders>
          </w:tcPr>
          <w:p w14:paraId="709DAE2A" w14:textId="77777777" w:rsidR="001228BD" w:rsidRPr="001228BD" w:rsidRDefault="001228BD" w:rsidP="001228BD">
            <w:pPr>
              <w:suppressAutoHyphens w:val="0"/>
              <w:spacing w:before="40" w:afterLines="40" w:after="96" w:line="240" w:lineRule="auto"/>
              <w:rPr>
                <w:sz w:val="16"/>
                <w:szCs w:val="16"/>
                <w:lang w:val="en-US"/>
              </w:rPr>
            </w:pPr>
            <w:r w:rsidRPr="001228BD">
              <w:rPr>
                <w:sz w:val="16"/>
                <w:szCs w:val="16"/>
                <w:lang w:val="en-US"/>
              </w:rPr>
              <w:t>Fuel pump</w:t>
            </w:r>
          </w:p>
        </w:tc>
        <w:tc>
          <w:tcPr>
            <w:tcW w:w="1066" w:type="dxa"/>
            <w:tcBorders>
              <w:top w:val="single" w:sz="4" w:space="0" w:color="auto"/>
              <w:left w:val="single" w:sz="4" w:space="0" w:color="auto"/>
              <w:bottom w:val="single" w:sz="4" w:space="0" w:color="auto"/>
              <w:right w:val="single" w:sz="4" w:space="0" w:color="auto"/>
            </w:tcBorders>
          </w:tcPr>
          <w:p w14:paraId="6C2F6F66" w14:textId="77777777" w:rsidR="001228BD" w:rsidRPr="001228BD" w:rsidRDefault="001228BD" w:rsidP="001228BD">
            <w:pPr>
              <w:suppressAutoHyphens w:val="0"/>
              <w:spacing w:before="40" w:afterLines="40" w:after="96" w:line="240" w:lineRule="auto"/>
              <w:jc w:val="both"/>
              <w:rPr>
                <w:sz w:val="16"/>
                <w:szCs w:val="16"/>
                <w:lang w:val="en-US"/>
              </w:rPr>
            </w:pPr>
          </w:p>
        </w:tc>
        <w:tc>
          <w:tcPr>
            <w:tcW w:w="1134" w:type="dxa"/>
            <w:tcBorders>
              <w:top w:val="single" w:sz="4" w:space="0" w:color="auto"/>
              <w:left w:val="single" w:sz="4" w:space="0" w:color="auto"/>
              <w:bottom w:val="single" w:sz="4" w:space="0" w:color="auto"/>
              <w:right w:val="single" w:sz="4" w:space="0" w:color="auto"/>
            </w:tcBorders>
          </w:tcPr>
          <w:p w14:paraId="72D19CDB" w14:textId="77777777" w:rsidR="001228BD" w:rsidRPr="001228BD" w:rsidRDefault="001228BD" w:rsidP="001228BD">
            <w:pPr>
              <w:suppressAutoHyphens w:val="0"/>
              <w:spacing w:before="40" w:afterLines="40" w:after="96" w:line="240" w:lineRule="auto"/>
              <w:jc w:val="both"/>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14:paraId="76C4BFC4" w14:textId="77777777" w:rsidR="001228BD" w:rsidRPr="0094307E" w:rsidRDefault="001228BD" w:rsidP="001228BD">
            <w:pPr>
              <w:suppressAutoHyphens w:val="0"/>
              <w:spacing w:before="40" w:afterLines="40" w:after="96" w:line="240" w:lineRule="auto"/>
              <w:jc w:val="both"/>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14:paraId="6E7B60B0" w14:textId="3697C09B" w:rsidR="001228BD" w:rsidRPr="001228BD" w:rsidRDefault="001228BD" w:rsidP="001228BD">
            <w:pPr>
              <w:suppressAutoHyphens w:val="0"/>
              <w:spacing w:before="40" w:afterLines="40" w:after="96" w:line="240" w:lineRule="auto"/>
              <w:jc w:val="both"/>
              <w:rPr>
                <w:sz w:val="16"/>
                <w:szCs w:val="16"/>
                <w:lang w:val="en-US"/>
              </w:rPr>
            </w:pPr>
          </w:p>
        </w:tc>
      </w:tr>
      <w:tr w:rsidR="001228BD" w:rsidRPr="001228BD" w14:paraId="2219984D" w14:textId="77777777" w:rsidTr="0094307E">
        <w:tc>
          <w:tcPr>
            <w:tcW w:w="533" w:type="dxa"/>
            <w:tcBorders>
              <w:top w:val="single" w:sz="4" w:space="0" w:color="auto"/>
              <w:left w:val="single" w:sz="4" w:space="0" w:color="auto"/>
              <w:bottom w:val="single" w:sz="4" w:space="0" w:color="auto"/>
              <w:right w:val="single" w:sz="4" w:space="0" w:color="auto"/>
            </w:tcBorders>
          </w:tcPr>
          <w:p w14:paraId="416AA459" w14:textId="77777777" w:rsidR="001228BD" w:rsidRPr="001228BD" w:rsidRDefault="001228BD" w:rsidP="001228BD">
            <w:pPr>
              <w:suppressAutoHyphens w:val="0"/>
              <w:spacing w:before="40" w:afterLines="40" w:after="96" w:line="240" w:lineRule="auto"/>
              <w:jc w:val="center"/>
              <w:rPr>
                <w:sz w:val="16"/>
                <w:szCs w:val="16"/>
                <w:lang w:val="en-US"/>
              </w:rPr>
            </w:pPr>
            <w:r w:rsidRPr="001228BD">
              <w:rPr>
                <w:sz w:val="16"/>
                <w:szCs w:val="16"/>
                <w:lang w:val="en-US"/>
              </w:rPr>
              <w:t>f</w:t>
            </w:r>
          </w:p>
        </w:tc>
        <w:tc>
          <w:tcPr>
            <w:tcW w:w="2195" w:type="dxa"/>
            <w:tcBorders>
              <w:top w:val="single" w:sz="4" w:space="0" w:color="auto"/>
              <w:left w:val="single" w:sz="4" w:space="0" w:color="auto"/>
              <w:bottom w:val="single" w:sz="4" w:space="0" w:color="auto"/>
              <w:right w:val="single" w:sz="4" w:space="0" w:color="auto"/>
            </w:tcBorders>
          </w:tcPr>
          <w:p w14:paraId="332FC37F" w14:textId="77777777" w:rsidR="001228BD" w:rsidRPr="001228BD" w:rsidRDefault="001228BD" w:rsidP="001228BD">
            <w:pPr>
              <w:suppressAutoHyphens w:val="0"/>
              <w:spacing w:before="40" w:afterLines="40" w:after="96" w:line="240" w:lineRule="auto"/>
              <w:rPr>
                <w:sz w:val="16"/>
                <w:szCs w:val="16"/>
                <w:lang w:val="en-US"/>
              </w:rPr>
            </w:pPr>
            <w:r w:rsidRPr="001228BD">
              <w:rPr>
                <w:sz w:val="16"/>
                <w:szCs w:val="16"/>
                <w:lang w:val="en-US"/>
              </w:rPr>
              <w:t>Multi-valve</w:t>
            </w:r>
          </w:p>
        </w:tc>
        <w:tc>
          <w:tcPr>
            <w:tcW w:w="1066" w:type="dxa"/>
            <w:tcBorders>
              <w:top w:val="single" w:sz="4" w:space="0" w:color="auto"/>
              <w:left w:val="single" w:sz="4" w:space="0" w:color="auto"/>
              <w:bottom w:val="single" w:sz="4" w:space="0" w:color="auto"/>
              <w:right w:val="single" w:sz="4" w:space="0" w:color="auto"/>
            </w:tcBorders>
          </w:tcPr>
          <w:p w14:paraId="4A6BBED2" w14:textId="77777777" w:rsidR="001228BD" w:rsidRPr="001228BD" w:rsidRDefault="001228BD" w:rsidP="001228BD">
            <w:pPr>
              <w:suppressAutoHyphens w:val="0"/>
              <w:spacing w:before="40" w:afterLines="40" w:after="96" w:line="240" w:lineRule="auto"/>
              <w:jc w:val="both"/>
              <w:rPr>
                <w:sz w:val="16"/>
                <w:szCs w:val="16"/>
                <w:lang w:val="en-US"/>
              </w:rPr>
            </w:pPr>
          </w:p>
        </w:tc>
        <w:tc>
          <w:tcPr>
            <w:tcW w:w="1134" w:type="dxa"/>
            <w:tcBorders>
              <w:top w:val="single" w:sz="4" w:space="0" w:color="auto"/>
              <w:left w:val="single" w:sz="4" w:space="0" w:color="auto"/>
              <w:bottom w:val="single" w:sz="4" w:space="0" w:color="auto"/>
              <w:right w:val="single" w:sz="4" w:space="0" w:color="auto"/>
            </w:tcBorders>
          </w:tcPr>
          <w:p w14:paraId="22845668" w14:textId="77777777" w:rsidR="001228BD" w:rsidRPr="001228BD" w:rsidRDefault="001228BD" w:rsidP="001228BD">
            <w:pPr>
              <w:suppressAutoHyphens w:val="0"/>
              <w:spacing w:before="40" w:afterLines="40" w:after="96" w:line="240" w:lineRule="auto"/>
              <w:jc w:val="both"/>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14:paraId="4288AA99" w14:textId="77777777" w:rsidR="001228BD" w:rsidRPr="0094307E" w:rsidRDefault="001228BD" w:rsidP="001228BD">
            <w:pPr>
              <w:suppressAutoHyphens w:val="0"/>
              <w:spacing w:before="40" w:afterLines="40" w:after="96" w:line="240" w:lineRule="auto"/>
              <w:jc w:val="both"/>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14:paraId="49F39EA2" w14:textId="74FDAAA6" w:rsidR="001228BD" w:rsidRPr="001228BD" w:rsidRDefault="001228BD" w:rsidP="001228BD">
            <w:pPr>
              <w:suppressAutoHyphens w:val="0"/>
              <w:spacing w:before="40" w:afterLines="40" w:after="96" w:line="240" w:lineRule="auto"/>
              <w:jc w:val="both"/>
              <w:rPr>
                <w:sz w:val="16"/>
                <w:szCs w:val="16"/>
                <w:lang w:val="en-US"/>
              </w:rPr>
            </w:pPr>
          </w:p>
        </w:tc>
      </w:tr>
      <w:tr w:rsidR="001228BD" w:rsidRPr="001228BD" w14:paraId="3FC263D4" w14:textId="77777777" w:rsidTr="0094307E">
        <w:tc>
          <w:tcPr>
            <w:tcW w:w="533" w:type="dxa"/>
            <w:tcBorders>
              <w:top w:val="single" w:sz="4" w:space="0" w:color="auto"/>
              <w:left w:val="single" w:sz="4" w:space="0" w:color="auto"/>
              <w:bottom w:val="single" w:sz="4" w:space="0" w:color="auto"/>
              <w:right w:val="single" w:sz="4" w:space="0" w:color="auto"/>
            </w:tcBorders>
          </w:tcPr>
          <w:p w14:paraId="4AF48795" w14:textId="77777777" w:rsidR="001228BD" w:rsidRPr="001228BD" w:rsidRDefault="001228BD" w:rsidP="001228BD">
            <w:pPr>
              <w:suppressAutoHyphens w:val="0"/>
              <w:spacing w:before="40" w:afterLines="40" w:after="96" w:line="240" w:lineRule="auto"/>
              <w:jc w:val="center"/>
              <w:rPr>
                <w:sz w:val="16"/>
                <w:szCs w:val="16"/>
                <w:lang w:val="en-US"/>
              </w:rPr>
            </w:pPr>
            <w:r w:rsidRPr="001228BD">
              <w:rPr>
                <w:sz w:val="16"/>
                <w:szCs w:val="16"/>
                <w:lang w:val="en-US"/>
              </w:rPr>
              <w:t>g</w:t>
            </w:r>
          </w:p>
        </w:tc>
        <w:tc>
          <w:tcPr>
            <w:tcW w:w="2195" w:type="dxa"/>
            <w:tcBorders>
              <w:top w:val="single" w:sz="4" w:space="0" w:color="auto"/>
              <w:left w:val="single" w:sz="4" w:space="0" w:color="auto"/>
              <w:bottom w:val="single" w:sz="4" w:space="0" w:color="auto"/>
              <w:right w:val="single" w:sz="4" w:space="0" w:color="auto"/>
            </w:tcBorders>
          </w:tcPr>
          <w:p w14:paraId="22022F28" w14:textId="77777777" w:rsidR="001228BD" w:rsidRPr="001228BD" w:rsidRDefault="001228BD" w:rsidP="001228BD">
            <w:pPr>
              <w:suppressAutoHyphens w:val="0"/>
              <w:spacing w:before="40" w:afterLines="40" w:after="96" w:line="240" w:lineRule="auto"/>
              <w:rPr>
                <w:sz w:val="16"/>
                <w:szCs w:val="16"/>
                <w:lang w:val="en-US"/>
              </w:rPr>
            </w:pPr>
            <w:r w:rsidRPr="001228BD">
              <w:rPr>
                <w:sz w:val="16"/>
                <w:szCs w:val="16"/>
                <w:lang w:val="en-US"/>
              </w:rPr>
              <w:t>Gas-tight housing</w:t>
            </w:r>
          </w:p>
        </w:tc>
        <w:tc>
          <w:tcPr>
            <w:tcW w:w="1066" w:type="dxa"/>
            <w:tcBorders>
              <w:top w:val="single" w:sz="4" w:space="0" w:color="auto"/>
              <w:left w:val="single" w:sz="4" w:space="0" w:color="auto"/>
              <w:bottom w:val="single" w:sz="4" w:space="0" w:color="auto"/>
              <w:right w:val="single" w:sz="4" w:space="0" w:color="auto"/>
            </w:tcBorders>
          </w:tcPr>
          <w:p w14:paraId="48D7C4B5" w14:textId="77777777" w:rsidR="001228BD" w:rsidRPr="001228BD" w:rsidRDefault="001228BD" w:rsidP="001228BD">
            <w:pPr>
              <w:suppressAutoHyphens w:val="0"/>
              <w:spacing w:before="40" w:afterLines="40" w:after="96" w:line="240" w:lineRule="auto"/>
              <w:jc w:val="both"/>
              <w:rPr>
                <w:sz w:val="16"/>
                <w:szCs w:val="16"/>
                <w:lang w:val="en-US"/>
              </w:rPr>
            </w:pPr>
          </w:p>
        </w:tc>
        <w:tc>
          <w:tcPr>
            <w:tcW w:w="1134" w:type="dxa"/>
            <w:tcBorders>
              <w:top w:val="single" w:sz="4" w:space="0" w:color="auto"/>
              <w:left w:val="single" w:sz="4" w:space="0" w:color="auto"/>
              <w:bottom w:val="single" w:sz="4" w:space="0" w:color="auto"/>
              <w:right w:val="single" w:sz="4" w:space="0" w:color="auto"/>
            </w:tcBorders>
          </w:tcPr>
          <w:p w14:paraId="18A22FEB" w14:textId="77777777" w:rsidR="001228BD" w:rsidRPr="001228BD" w:rsidRDefault="001228BD" w:rsidP="001228BD">
            <w:pPr>
              <w:suppressAutoHyphens w:val="0"/>
              <w:spacing w:before="40" w:afterLines="40" w:after="96" w:line="240" w:lineRule="auto"/>
              <w:jc w:val="both"/>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14:paraId="41CBAB02" w14:textId="77777777" w:rsidR="001228BD" w:rsidRPr="0094307E" w:rsidRDefault="001228BD" w:rsidP="001228BD">
            <w:pPr>
              <w:suppressAutoHyphens w:val="0"/>
              <w:spacing w:before="40" w:afterLines="40" w:after="96" w:line="240" w:lineRule="auto"/>
              <w:jc w:val="both"/>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14:paraId="21150DE2" w14:textId="10059902" w:rsidR="001228BD" w:rsidRPr="001228BD" w:rsidRDefault="001228BD" w:rsidP="001228BD">
            <w:pPr>
              <w:suppressAutoHyphens w:val="0"/>
              <w:spacing w:before="40" w:afterLines="40" w:after="96" w:line="240" w:lineRule="auto"/>
              <w:jc w:val="both"/>
              <w:rPr>
                <w:sz w:val="16"/>
                <w:szCs w:val="16"/>
                <w:lang w:val="en-US"/>
              </w:rPr>
            </w:pPr>
          </w:p>
        </w:tc>
      </w:tr>
      <w:tr w:rsidR="001228BD" w:rsidRPr="001228BD" w14:paraId="779984BF" w14:textId="77777777" w:rsidTr="0094307E">
        <w:tc>
          <w:tcPr>
            <w:tcW w:w="533" w:type="dxa"/>
            <w:tcBorders>
              <w:top w:val="single" w:sz="4" w:space="0" w:color="auto"/>
              <w:left w:val="single" w:sz="4" w:space="0" w:color="auto"/>
              <w:bottom w:val="single" w:sz="4" w:space="0" w:color="auto"/>
              <w:right w:val="single" w:sz="4" w:space="0" w:color="auto"/>
            </w:tcBorders>
          </w:tcPr>
          <w:p w14:paraId="1F7C95DB" w14:textId="77777777" w:rsidR="001228BD" w:rsidRPr="001228BD" w:rsidRDefault="001228BD" w:rsidP="001228BD">
            <w:pPr>
              <w:suppressAutoHyphens w:val="0"/>
              <w:spacing w:before="40" w:afterLines="40" w:after="96" w:line="240" w:lineRule="auto"/>
              <w:jc w:val="center"/>
              <w:rPr>
                <w:sz w:val="16"/>
                <w:szCs w:val="16"/>
                <w:lang w:val="en-US"/>
              </w:rPr>
            </w:pPr>
            <w:r w:rsidRPr="001228BD">
              <w:rPr>
                <w:sz w:val="16"/>
                <w:szCs w:val="16"/>
                <w:lang w:val="en-US"/>
              </w:rPr>
              <w:t>h</w:t>
            </w:r>
          </w:p>
        </w:tc>
        <w:tc>
          <w:tcPr>
            <w:tcW w:w="2195" w:type="dxa"/>
            <w:tcBorders>
              <w:top w:val="single" w:sz="4" w:space="0" w:color="auto"/>
              <w:left w:val="single" w:sz="4" w:space="0" w:color="auto"/>
              <w:bottom w:val="single" w:sz="4" w:space="0" w:color="auto"/>
              <w:right w:val="single" w:sz="4" w:space="0" w:color="auto"/>
            </w:tcBorders>
          </w:tcPr>
          <w:p w14:paraId="098DC43C" w14:textId="77777777" w:rsidR="001228BD" w:rsidRPr="001228BD" w:rsidRDefault="001228BD" w:rsidP="001228BD">
            <w:pPr>
              <w:suppressAutoHyphens w:val="0"/>
              <w:spacing w:before="40" w:afterLines="40" w:after="96" w:line="240" w:lineRule="auto"/>
              <w:rPr>
                <w:sz w:val="16"/>
                <w:szCs w:val="16"/>
                <w:lang w:val="en-US"/>
              </w:rPr>
            </w:pPr>
            <w:r w:rsidRPr="001228BD">
              <w:rPr>
                <w:sz w:val="16"/>
                <w:szCs w:val="16"/>
                <w:lang w:val="en-US"/>
              </w:rPr>
              <w:t>Power supply bushing</w:t>
            </w:r>
          </w:p>
        </w:tc>
        <w:tc>
          <w:tcPr>
            <w:tcW w:w="1066" w:type="dxa"/>
            <w:tcBorders>
              <w:top w:val="single" w:sz="4" w:space="0" w:color="auto"/>
              <w:left w:val="single" w:sz="4" w:space="0" w:color="auto"/>
              <w:bottom w:val="single" w:sz="4" w:space="0" w:color="auto"/>
              <w:right w:val="single" w:sz="4" w:space="0" w:color="auto"/>
            </w:tcBorders>
          </w:tcPr>
          <w:p w14:paraId="1EADE4D3" w14:textId="77777777" w:rsidR="001228BD" w:rsidRPr="001228BD" w:rsidRDefault="001228BD" w:rsidP="001228BD">
            <w:pPr>
              <w:suppressAutoHyphens w:val="0"/>
              <w:spacing w:before="40" w:afterLines="40" w:after="96" w:line="240" w:lineRule="auto"/>
              <w:jc w:val="both"/>
              <w:rPr>
                <w:sz w:val="16"/>
                <w:szCs w:val="16"/>
                <w:lang w:val="en-US"/>
              </w:rPr>
            </w:pPr>
          </w:p>
        </w:tc>
        <w:tc>
          <w:tcPr>
            <w:tcW w:w="1134" w:type="dxa"/>
            <w:tcBorders>
              <w:top w:val="single" w:sz="4" w:space="0" w:color="auto"/>
              <w:left w:val="single" w:sz="4" w:space="0" w:color="auto"/>
              <w:bottom w:val="single" w:sz="4" w:space="0" w:color="auto"/>
              <w:right w:val="single" w:sz="4" w:space="0" w:color="auto"/>
            </w:tcBorders>
          </w:tcPr>
          <w:p w14:paraId="103040E1" w14:textId="77777777" w:rsidR="001228BD" w:rsidRPr="001228BD" w:rsidRDefault="001228BD" w:rsidP="001228BD">
            <w:pPr>
              <w:suppressAutoHyphens w:val="0"/>
              <w:spacing w:before="40" w:afterLines="40" w:after="96" w:line="240" w:lineRule="auto"/>
              <w:jc w:val="both"/>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14:paraId="7BAA74E2" w14:textId="77777777" w:rsidR="001228BD" w:rsidRPr="0094307E" w:rsidRDefault="001228BD" w:rsidP="001228BD">
            <w:pPr>
              <w:suppressAutoHyphens w:val="0"/>
              <w:spacing w:before="40" w:afterLines="40" w:after="96" w:line="240" w:lineRule="auto"/>
              <w:jc w:val="both"/>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14:paraId="2635C37E" w14:textId="3D6C37EE" w:rsidR="001228BD" w:rsidRPr="001228BD" w:rsidRDefault="001228BD" w:rsidP="001228BD">
            <w:pPr>
              <w:suppressAutoHyphens w:val="0"/>
              <w:spacing w:before="40" w:afterLines="40" w:after="96" w:line="240" w:lineRule="auto"/>
              <w:jc w:val="both"/>
              <w:rPr>
                <w:sz w:val="16"/>
                <w:szCs w:val="16"/>
                <w:lang w:val="en-US"/>
              </w:rPr>
            </w:pPr>
          </w:p>
        </w:tc>
      </w:tr>
      <w:tr w:rsidR="001228BD" w:rsidRPr="001228BD" w14:paraId="7D27C43D" w14:textId="77777777" w:rsidTr="0094307E">
        <w:tc>
          <w:tcPr>
            <w:tcW w:w="533" w:type="dxa"/>
            <w:tcBorders>
              <w:top w:val="single" w:sz="4" w:space="0" w:color="auto"/>
              <w:left w:val="single" w:sz="4" w:space="0" w:color="auto"/>
              <w:bottom w:val="single" w:sz="4" w:space="0" w:color="auto"/>
              <w:right w:val="single" w:sz="4" w:space="0" w:color="auto"/>
            </w:tcBorders>
          </w:tcPr>
          <w:p w14:paraId="57869AA2" w14:textId="77777777" w:rsidR="001228BD" w:rsidRPr="001228BD" w:rsidRDefault="001228BD" w:rsidP="001228BD">
            <w:pPr>
              <w:suppressAutoHyphens w:val="0"/>
              <w:spacing w:before="40" w:afterLines="40" w:after="96" w:line="240" w:lineRule="auto"/>
              <w:jc w:val="center"/>
              <w:rPr>
                <w:sz w:val="16"/>
                <w:szCs w:val="16"/>
                <w:lang w:val="en-US"/>
              </w:rPr>
            </w:pPr>
            <w:r w:rsidRPr="001228BD">
              <w:rPr>
                <w:sz w:val="16"/>
                <w:szCs w:val="16"/>
                <w:lang w:val="en-US"/>
              </w:rPr>
              <w:t>i</w:t>
            </w:r>
          </w:p>
        </w:tc>
        <w:tc>
          <w:tcPr>
            <w:tcW w:w="2195" w:type="dxa"/>
            <w:tcBorders>
              <w:top w:val="single" w:sz="4" w:space="0" w:color="auto"/>
              <w:left w:val="single" w:sz="4" w:space="0" w:color="auto"/>
              <w:bottom w:val="single" w:sz="4" w:space="0" w:color="auto"/>
              <w:right w:val="single" w:sz="4" w:space="0" w:color="auto"/>
            </w:tcBorders>
          </w:tcPr>
          <w:p w14:paraId="61E70D72" w14:textId="77777777" w:rsidR="001228BD" w:rsidRPr="001228BD" w:rsidRDefault="001228BD" w:rsidP="001228BD">
            <w:pPr>
              <w:suppressAutoHyphens w:val="0"/>
              <w:spacing w:before="40" w:afterLines="40" w:after="96" w:line="240" w:lineRule="auto"/>
              <w:rPr>
                <w:sz w:val="16"/>
                <w:szCs w:val="16"/>
                <w:lang w:val="en-US"/>
              </w:rPr>
            </w:pPr>
            <w:r w:rsidRPr="001228BD">
              <w:rPr>
                <w:sz w:val="16"/>
                <w:szCs w:val="16"/>
                <w:lang w:val="en-US"/>
              </w:rPr>
              <w:t>Non return valve</w:t>
            </w:r>
          </w:p>
        </w:tc>
        <w:tc>
          <w:tcPr>
            <w:tcW w:w="1066" w:type="dxa"/>
            <w:tcBorders>
              <w:top w:val="single" w:sz="4" w:space="0" w:color="auto"/>
              <w:left w:val="single" w:sz="4" w:space="0" w:color="auto"/>
              <w:bottom w:val="single" w:sz="4" w:space="0" w:color="auto"/>
              <w:right w:val="single" w:sz="4" w:space="0" w:color="auto"/>
            </w:tcBorders>
          </w:tcPr>
          <w:p w14:paraId="77FBAB06" w14:textId="77777777" w:rsidR="001228BD" w:rsidRPr="001228BD" w:rsidRDefault="001228BD" w:rsidP="001228BD">
            <w:pPr>
              <w:suppressAutoHyphens w:val="0"/>
              <w:spacing w:before="40" w:afterLines="40" w:after="96" w:line="240" w:lineRule="auto"/>
              <w:jc w:val="both"/>
              <w:rPr>
                <w:sz w:val="16"/>
                <w:szCs w:val="16"/>
                <w:lang w:val="en-US"/>
              </w:rPr>
            </w:pPr>
          </w:p>
        </w:tc>
        <w:tc>
          <w:tcPr>
            <w:tcW w:w="1134" w:type="dxa"/>
            <w:tcBorders>
              <w:top w:val="single" w:sz="4" w:space="0" w:color="auto"/>
              <w:left w:val="single" w:sz="4" w:space="0" w:color="auto"/>
              <w:bottom w:val="single" w:sz="4" w:space="0" w:color="auto"/>
              <w:right w:val="single" w:sz="4" w:space="0" w:color="auto"/>
            </w:tcBorders>
          </w:tcPr>
          <w:p w14:paraId="0CDCF281" w14:textId="77777777" w:rsidR="001228BD" w:rsidRPr="001228BD" w:rsidRDefault="001228BD" w:rsidP="001228BD">
            <w:pPr>
              <w:suppressAutoHyphens w:val="0"/>
              <w:spacing w:before="40" w:afterLines="40" w:after="96" w:line="240" w:lineRule="auto"/>
              <w:jc w:val="both"/>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14:paraId="69E5DA9A" w14:textId="77777777" w:rsidR="001228BD" w:rsidRPr="0094307E" w:rsidRDefault="001228BD" w:rsidP="001228BD">
            <w:pPr>
              <w:suppressAutoHyphens w:val="0"/>
              <w:spacing w:before="40" w:afterLines="40" w:after="96" w:line="240" w:lineRule="auto"/>
              <w:jc w:val="both"/>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14:paraId="134FF2F1" w14:textId="5552F09F" w:rsidR="001228BD" w:rsidRPr="001228BD" w:rsidRDefault="001228BD" w:rsidP="001228BD">
            <w:pPr>
              <w:suppressAutoHyphens w:val="0"/>
              <w:spacing w:before="40" w:afterLines="40" w:after="96" w:line="240" w:lineRule="auto"/>
              <w:jc w:val="both"/>
              <w:rPr>
                <w:sz w:val="16"/>
                <w:szCs w:val="16"/>
                <w:lang w:val="en-US"/>
              </w:rPr>
            </w:pPr>
          </w:p>
        </w:tc>
      </w:tr>
      <w:tr w:rsidR="001228BD" w:rsidRPr="001228BD" w14:paraId="18327694" w14:textId="77777777" w:rsidTr="0094307E">
        <w:tc>
          <w:tcPr>
            <w:tcW w:w="533" w:type="dxa"/>
            <w:tcBorders>
              <w:top w:val="single" w:sz="4" w:space="0" w:color="auto"/>
              <w:left w:val="single" w:sz="4" w:space="0" w:color="auto"/>
              <w:bottom w:val="single" w:sz="12" w:space="0" w:color="auto"/>
              <w:right w:val="single" w:sz="4" w:space="0" w:color="auto"/>
            </w:tcBorders>
          </w:tcPr>
          <w:p w14:paraId="79A05D4E" w14:textId="77777777" w:rsidR="001228BD" w:rsidRPr="001228BD" w:rsidRDefault="001228BD" w:rsidP="001228BD">
            <w:pPr>
              <w:suppressAutoHyphens w:val="0"/>
              <w:spacing w:before="40" w:afterLines="40" w:after="96" w:line="240" w:lineRule="auto"/>
              <w:jc w:val="center"/>
              <w:rPr>
                <w:sz w:val="16"/>
                <w:szCs w:val="16"/>
                <w:lang w:val="en-US"/>
              </w:rPr>
            </w:pPr>
            <w:r w:rsidRPr="001228BD">
              <w:rPr>
                <w:sz w:val="16"/>
                <w:szCs w:val="16"/>
                <w:lang w:val="en-US"/>
              </w:rPr>
              <w:t>j</w:t>
            </w:r>
          </w:p>
        </w:tc>
        <w:tc>
          <w:tcPr>
            <w:tcW w:w="2195" w:type="dxa"/>
            <w:tcBorders>
              <w:top w:val="single" w:sz="4" w:space="0" w:color="auto"/>
              <w:left w:val="single" w:sz="4" w:space="0" w:color="auto"/>
              <w:bottom w:val="single" w:sz="12" w:space="0" w:color="auto"/>
              <w:right w:val="single" w:sz="4" w:space="0" w:color="auto"/>
            </w:tcBorders>
          </w:tcPr>
          <w:p w14:paraId="18287100" w14:textId="77777777" w:rsidR="001228BD" w:rsidRPr="001228BD" w:rsidRDefault="001228BD" w:rsidP="001228BD">
            <w:pPr>
              <w:suppressAutoHyphens w:val="0"/>
              <w:spacing w:before="40" w:afterLines="40" w:after="96" w:line="240" w:lineRule="auto"/>
              <w:rPr>
                <w:sz w:val="16"/>
                <w:szCs w:val="16"/>
                <w:lang w:val="en-US"/>
              </w:rPr>
            </w:pPr>
            <w:r w:rsidRPr="001228BD">
              <w:rPr>
                <w:sz w:val="16"/>
                <w:szCs w:val="16"/>
                <w:lang w:val="en-US"/>
              </w:rPr>
              <w:t>Pressure relief device</w:t>
            </w:r>
          </w:p>
        </w:tc>
        <w:tc>
          <w:tcPr>
            <w:tcW w:w="1066" w:type="dxa"/>
            <w:tcBorders>
              <w:top w:val="single" w:sz="4" w:space="0" w:color="auto"/>
              <w:left w:val="single" w:sz="4" w:space="0" w:color="auto"/>
              <w:bottom w:val="single" w:sz="12" w:space="0" w:color="auto"/>
              <w:right w:val="single" w:sz="4" w:space="0" w:color="auto"/>
            </w:tcBorders>
          </w:tcPr>
          <w:p w14:paraId="6283C39F" w14:textId="77777777" w:rsidR="001228BD" w:rsidRPr="001228BD" w:rsidRDefault="001228BD" w:rsidP="001228BD">
            <w:pPr>
              <w:suppressAutoHyphens w:val="0"/>
              <w:spacing w:before="40" w:afterLines="40" w:after="96" w:line="240" w:lineRule="auto"/>
              <w:jc w:val="both"/>
              <w:rPr>
                <w:sz w:val="16"/>
                <w:szCs w:val="16"/>
                <w:lang w:val="en-US"/>
              </w:rPr>
            </w:pPr>
          </w:p>
        </w:tc>
        <w:tc>
          <w:tcPr>
            <w:tcW w:w="1134" w:type="dxa"/>
            <w:tcBorders>
              <w:top w:val="single" w:sz="4" w:space="0" w:color="auto"/>
              <w:left w:val="single" w:sz="4" w:space="0" w:color="auto"/>
              <w:bottom w:val="single" w:sz="12" w:space="0" w:color="auto"/>
              <w:right w:val="single" w:sz="4" w:space="0" w:color="auto"/>
            </w:tcBorders>
          </w:tcPr>
          <w:p w14:paraId="73F4948F" w14:textId="77777777" w:rsidR="001228BD" w:rsidRPr="001228BD" w:rsidRDefault="001228BD" w:rsidP="001228BD">
            <w:pPr>
              <w:suppressAutoHyphens w:val="0"/>
              <w:spacing w:before="40" w:afterLines="40" w:after="96" w:line="240" w:lineRule="auto"/>
              <w:jc w:val="both"/>
              <w:rPr>
                <w:sz w:val="16"/>
                <w:szCs w:val="16"/>
                <w:lang w:val="en-US"/>
              </w:rPr>
            </w:pPr>
          </w:p>
        </w:tc>
        <w:tc>
          <w:tcPr>
            <w:tcW w:w="1276" w:type="dxa"/>
            <w:tcBorders>
              <w:top w:val="single" w:sz="4" w:space="0" w:color="auto"/>
              <w:left w:val="single" w:sz="4" w:space="0" w:color="auto"/>
              <w:bottom w:val="single" w:sz="12" w:space="0" w:color="auto"/>
              <w:right w:val="single" w:sz="4" w:space="0" w:color="auto"/>
            </w:tcBorders>
          </w:tcPr>
          <w:p w14:paraId="4CCFB129" w14:textId="77777777" w:rsidR="001228BD" w:rsidRPr="0094307E" w:rsidRDefault="001228BD" w:rsidP="001228BD">
            <w:pPr>
              <w:suppressAutoHyphens w:val="0"/>
              <w:spacing w:before="40" w:afterLines="40" w:after="96" w:line="240" w:lineRule="auto"/>
              <w:jc w:val="both"/>
              <w:rPr>
                <w:sz w:val="16"/>
                <w:szCs w:val="16"/>
                <w:lang w:val="en-US"/>
              </w:rPr>
            </w:pPr>
          </w:p>
        </w:tc>
        <w:tc>
          <w:tcPr>
            <w:tcW w:w="1276" w:type="dxa"/>
            <w:tcBorders>
              <w:top w:val="single" w:sz="4" w:space="0" w:color="auto"/>
              <w:left w:val="single" w:sz="4" w:space="0" w:color="auto"/>
              <w:bottom w:val="single" w:sz="12" w:space="0" w:color="auto"/>
              <w:right w:val="single" w:sz="4" w:space="0" w:color="auto"/>
            </w:tcBorders>
          </w:tcPr>
          <w:p w14:paraId="08F41E13" w14:textId="320033CB" w:rsidR="001228BD" w:rsidRPr="001228BD" w:rsidRDefault="001228BD" w:rsidP="001228BD">
            <w:pPr>
              <w:suppressAutoHyphens w:val="0"/>
              <w:spacing w:before="40" w:afterLines="40" w:after="96" w:line="240" w:lineRule="auto"/>
              <w:jc w:val="both"/>
              <w:rPr>
                <w:sz w:val="16"/>
                <w:szCs w:val="16"/>
                <w:lang w:val="en-US"/>
              </w:rPr>
            </w:pPr>
          </w:p>
        </w:tc>
      </w:tr>
    </w:tbl>
    <w:p w14:paraId="6939073E" w14:textId="0DAAD456" w:rsidR="001228BD" w:rsidRDefault="00A574F6" w:rsidP="00A574F6">
      <w:pPr>
        <w:spacing w:after="120"/>
        <w:ind w:left="1134" w:right="1133"/>
        <w:jc w:val="both"/>
        <w:rPr>
          <w:rFonts w:eastAsia="MS Mincho"/>
        </w:rPr>
      </w:pPr>
      <w:r w:rsidRPr="00CA3217">
        <w:rPr>
          <w:rFonts w:eastAsia="MS Mincho"/>
          <w:b/>
          <w:bCs/>
          <w:spacing w:val="-2"/>
          <w:sz w:val="18"/>
          <w:vertAlign w:val="superscript"/>
          <w:lang w:val="en-US" w:eastAsia="ja-JP"/>
        </w:rPr>
        <w:t>1</w:t>
      </w:r>
      <w:r w:rsidR="00CA3217" w:rsidRPr="00CA3217">
        <w:rPr>
          <w:rFonts w:eastAsia="MS Mincho"/>
          <w:b/>
          <w:bCs/>
          <w:spacing w:val="-2"/>
          <w:sz w:val="18"/>
          <w:lang w:val="en-US" w:eastAsia="ja-JP"/>
        </w:rPr>
        <w:tab/>
      </w:r>
      <w:r w:rsidRPr="00CA3217">
        <w:rPr>
          <w:rFonts w:eastAsia="MS Mincho"/>
          <w:b/>
          <w:bCs/>
          <w:spacing w:val="-2"/>
          <w:sz w:val="18"/>
          <w:lang w:val="en-US" w:eastAsia="ja-JP"/>
        </w:rPr>
        <w:t>The indication mark</w:t>
      </w:r>
      <w:r w:rsidR="006731C7" w:rsidRPr="00CA3217">
        <w:rPr>
          <w:rFonts w:eastAsia="MS Mincho"/>
          <w:b/>
          <w:bCs/>
          <w:spacing w:val="-2"/>
          <w:sz w:val="18"/>
          <w:lang w:val="en-US" w:eastAsia="ja-JP"/>
        </w:rPr>
        <w:t>s</w:t>
      </w:r>
      <w:r w:rsidRPr="00CA3217">
        <w:rPr>
          <w:rFonts w:eastAsia="MS Mincho"/>
          <w:b/>
          <w:bCs/>
          <w:spacing w:val="-2"/>
          <w:sz w:val="18"/>
          <w:lang w:val="en-US" w:eastAsia="ja-JP"/>
        </w:rPr>
        <w:t xml:space="preserve"> of technical modification appl</w:t>
      </w:r>
      <w:r w:rsidR="006731C7" w:rsidRPr="00CA3217">
        <w:rPr>
          <w:rFonts w:eastAsia="MS Mincho"/>
          <w:b/>
          <w:bCs/>
          <w:spacing w:val="-2"/>
          <w:sz w:val="18"/>
          <w:lang w:val="en-US" w:eastAsia="ja-JP"/>
        </w:rPr>
        <w:t>y</w:t>
      </w:r>
      <w:r w:rsidRPr="00CA3217">
        <w:rPr>
          <w:rFonts w:eastAsia="MS Mincho"/>
          <w:b/>
          <w:bCs/>
          <w:spacing w:val="-2"/>
          <w:sz w:val="18"/>
          <w:lang w:val="en-US" w:eastAsia="ja-JP"/>
        </w:rPr>
        <w:t xml:space="preserve"> only to</w:t>
      </w:r>
      <w:r w:rsidRPr="00CA3217">
        <w:rPr>
          <w:b/>
          <w:sz w:val="18"/>
        </w:rPr>
        <w:t xml:space="preserve"> </w:t>
      </w:r>
      <w:r w:rsidR="0070003C" w:rsidRPr="00CA3217">
        <w:rPr>
          <w:b/>
          <w:sz w:val="18"/>
        </w:rPr>
        <w:t xml:space="preserve">Multivalve, or, when approved separately, to </w:t>
      </w:r>
      <w:r w:rsidRPr="00CA3217">
        <w:rPr>
          <w:rFonts w:eastAsia="MS Mincho"/>
          <w:b/>
          <w:bCs/>
          <w:spacing w:val="-2"/>
          <w:sz w:val="18"/>
          <w:lang w:val="en-US" w:eastAsia="ja-JP"/>
        </w:rPr>
        <w:t>Pressure relief valve</w:t>
      </w:r>
      <w:r w:rsidR="0070003C" w:rsidRPr="00CA3217">
        <w:rPr>
          <w:rFonts w:eastAsia="MS Mincho"/>
          <w:b/>
          <w:bCs/>
          <w:spacing w:val="-2"/>
          <w:sz w:val="18"/>
          <w:lang w:val="en-US" w:eastAsia="ja-JP"/>
        </w:rPr>
        <w:t xml:space="preserve"> </w:t>
      </w:r>
      <w:r w:rsidR="00320D2F" w:rsidRPr="00CA3217">
        <w:rPr>
          <w:rFonts w:eastAsia="MS Mincho"/>
          <w:b/>
          <w:bCs/>
          <w:spacing w:val="-2"/>
          <w:sz w:val="18"/>
          <w:lang w:val="en-US" w:eastAsia="ja-JP"/>
        </w:rPr>
        <w:t xml:space="preserve">(discharge valve) </w:t>
      </w:r>
      <w:r w:rsidR="0070003C" w:rsidRPr="00CA3217">
        <w:rPr>
          <w:rFonts w:eastAsia="MS Mincho"/>
          <w:b/>
          <w:bCs/>
          <w:spacing w:val="-2"/>
          <w:sz w:val="18"/>
          <w:lang w:val="en-US" w:eastAsia="ja-JP"/>
        </w:rPr>
        <w:t>and</w:t>
      </w:r>
      <w:r w:rsidRPr="00CA3217">
        <w:rPr>
          <w:rFonts w:eastAsia="MS Mincho"/>
          <w:b/>
          <w:bCs/>
          <w:spacing w:val="-2"/>
          <w:sz w:val="18"/>
          <w:lang w:val="en-US" w:eastAsia="ja-JP"/>
        </w:rPr>
        <w:t xml:space="preserve"> Pressure relief device</w:t>
      </w:r>
      <w:r w:rsidRPr="00CA3217">
        <w:rPr>
          <w:rFonts w:eastAsia="MS Mincho"/>
          <w:bCs/>
          <w:spacing w:val="-2"/>
          <w:sz w:val="18"/>
          <w:lang w:val="en-US" w:eastAsia="ja-JP"/>
        </w:rPr>
        <w:t>.</w:t>
      </w:r>
      <w:r w:rsidR="0094307E" w:rsidRPr="00A574F6">
        <w:rPr>
          <w:rFonts w:eastAsia="MS Mincho"/>
        </w:rPr>
        <w:t>"</w:t>
      </w:r>
    </w:p>
    <w:p w14:paraId="2F76D6EF" w14:textId="77777777" w:rsidR="00F36B7B" w:rsidRPr="00A574F6" w:rsidRDefault="00F36B7B" w:rsidP="00A574F6">
      <w:pPr>
        <w:spacing w:after="120"/>
        <w:ind w:left="1134" w:right="1133"/>
        <w:jc w:val="both"/>
        <w:rPr>
          <w:rFonts w:eastAsia="MS Mincho"/>
        </w:rPr>
      </w:pPr>
    </w:p>
    <w:p w14:paraId="726A6844" w14:textId="6DA0AF05" w:rsidR="003D751D" w:rsidRPr="003D751D" w:rsidRDefault="003D751D" w:rsidP="003D751D">
      <w:pPr>
        <w:spacing w:after="120"/>
        <w:ind w:left="2268" w:right="1133" w:hanging="1134"/>
        <w:jc w:val="both"/>
        <w:rPr>
          <w:rFonts w:eastAsia="MS Mincho"/>
          <w:bCs/>
          <w:spacing w:val="-2"/>
          <w:lang w:val="en-US" w:eastAsia="ja-JP"/>
        </w:rPr>
      </w:pPr>
      <w:r w:rsidRPr="001407D5">
        <w:rPr>
          <w:rFonts w:eastAsia="MS Mincho"/>
          <w:bCs/>
          <w:i/>
          <w:spacing w:val="-2"/>
          <w:lang w:val="en-US" w:eastAsia="ja-JP"/>
        </w:rPr>
        <w:t>Annex 10</w:t>
      </w:r>
      <w:r w:rsidR="00B44C89">
        <w:rPr>
          <w:rFonts w:eastAsia="MS Mincho"/>
          <w:bCs/>
          <w:i/>
          <w:spacing w:val="-2"/>
          <w:lang w:val="en-US" w:eastAsia="ja-JP"/>
        </w:rPr>
        <w:t>, paragraph 2.6.1. (Bonfire test),</w:t>
      </w:r>
      <w:r w:rsidRPr="003D751D">
        <w:rPr>
          <w:rFonts w:eastAsia="MS Mincho"/>
          <w:bCs/>
          <w:spacing w:val="-2"/>
          <w:lang w:val="en-US" w:eastAsia="ja-JP"/>
        </w:rPr>
        <w:t xml:space="preserve"> </w:t>
      </w:r>
      <w:r w:rsidRPr="00B44C89">
        <w:rPr>
          <w:rFonts w:eastAsia="MS Mincho"/>
          <w:bCs/>
          <w:spacing w:val="-2"/>
          <w:lang w:val="en-US" w:eastAsia="ja-JP"/>
        </w:rPr>
        <w:t xml:space="preserve">amend </w:t>
      </w:r>
      <w:r w:rsidR="00B44C89" w:rsidRPr="00B44C89">
        <w:rPr>
          <w:rFonts w:eastAsia="MS Mincho"/>
          <w:bCs/>
          <w:spacing w:val="-2"/>
          <w:lang w:val="en-US" w:eastAsia="ja-JP"/>
        </w:rPr>
        <w:t xml:space="preserve">footnote </w:t>
      </w:r>
      <w:r w:rsidR="00B44C89" w:rsidRPr="00B44C89">
        <w:rPr>
          <w:rFonts w:eastAsia="MS Mincho"/>
          <w:bCs/>
          <w:spacing w:val="-2"/>
          <w:vertAlign w:val="superscript"/>
          <w:lang w:val="en-US" w:eastAsia="ja-JP"/>
        </w:rPr>
        <w:t>1</w:t>
      </w:r>
      <w:r w:rsidR="00B44C89" w:rsidRPr="00B44C89">
        <w:rPr>
          <w:rFonts w:eastAsia="MS Mincho"/>
          <w:bCs/>
          <w:spacing w:val="-2"/>
          <w:lang w:val="en-US" w:eastAsia="ja-JP"/>
        </w:rPr>
        <w:t xml:space="preserve"> </w:t>
      </w:r>
      <w:r w:rsidRPr="00B44C89">
        <w:rPr>
          <w:rFonts w:eastAsia="MS Mincho"/>
          <w:bCs/>
          <w:spacing w:val="-2"/>
          <w:lang w:val="en-US" w:eastAsia="ja-JP"/>
        </w:rPr>
        <w:t>to read</w:t>
      </w:r>
      <w:r w:rsidRPr="003D751D">
        <w:rPr>
          <w:rFonts w:eastAsia="MS Mincho"/>
          <w:bCs/>
          <w:spacing w:val="-2"/>
          <w:lang w:val="en-US" w:eastAsia="ja-JP"/>
        </w:rPr>
        <w:t>:</w:t>
      </w:r>
    </w:p>
    <w:p w14:paraId="1B378375" w14:textId="268EC7A9" w:rsidR="00B44C89" w:rsidRPr="00B44C89" w:rsidRDefault="001407D5" w:rsidP="00B44C89">
      <w:pPr>
        <w:pStyle w:val="Para0"/>
      </w:pPr>
      <w:r>
        <w:rPr>
          <w:rFonts w:eastAsia="MS Mincho"/>
          <w:bCs/>
          <w:spacing w:val="-2"/>
          <w:lang w:eastAsia="ja-JP"/>
        </w:rPr>
        <w:t>"</w:t>
      </w:r>
      <w:r w:rsidR="00B44C89" w:rsidRPr="00B44C89">
        <w:t>2.6.1.</w:t>
      </w:r>
      <w:r w:rsidR="00B44C89" w:rsidRPr="00B44C89">
        <w:tab/>
        <w:t>General</w:t>
      </w:r>
    </w:p>
    <w:p w14:paraId="3BBAE0B1" w14:textId="4E8E607B" w:rsidR="00B44C89" w:rsidRPr="00B44C89" w:rsidRDefault="00B44C89" w:rsidP="00B44C89">
      <w:pPr>
        <w:widowControl w:val="0"/>
        <w:suppressAutoHyphens w:val="0"/>
        <w:spacing w:after="120" w:line="240" w:lineRule="exact"/>
        <w:ind w:left="2268" w:right="1134"/>
        <w:jc w:val="both"/>
        <w:rPr>
          <w:lang w:val="en-US"/>
        </w:rPr>
      </w:pPr>
      <w:r w:rsidRPr="00B44C89">
        <w:rPr>
          <w:lang w:val="en-US"/>
        </w:rPr>
        <w:t>The bonfire test is designed to demonstrate that a container complete with the fire protection system, specified in the design, will prevent the burst of the container when tested under the specified fire conditions. The manufacturer shall describe the behaviour of the complete fire protection system including the designed drop to atmospheric pressure. The requirements of this test shall be deemed to be fulfilled for any container having the following characteristics in common with the parent container:</w:t>
      </w:r>
    </w:p>
    <w:p w14:paraId="0B4AC131" w14:textId="77777777" w:rsidR="00B44C89" w:rsidRPr="00B44C89" w:rsidRDefault="00B44C89" w:rsidP="00B44C89">
      <w:pPr>
        <w:widowControl w:val="0"/>
        <w:suppressAutoHyphens w:val="0"/>
        <w:spacing w:after="120" w:line="240" w:lineRule="exact"/>
        <w:ind w:left="2835" w:right="1134" w:hanging="567"/>
        <w:jc w:val="both"/>
        <w:rPr>
          <w:lang w:val="en-US"/>
        </w:rPr>
      </w:pPr>
      <w:r w:rsidRPr="00B44C89">
        <w:rPr>
          <w:lang w:val="en-US"/>
        </w:rPr>
        <w:t>(a)</w:t>
      </w:r>
      <w:r w:rsidRPr="00B44C89">
        <w:rPr>
          <w:lang w:val="en-US"/>
        </w:rPr>
        <w:tab/>
        <w:t>Same type approval owner,</w:t>
      </w:r>
    </w:p>
    <w:p w14:paraId="4DE234F0" w14:textId="77777777" w:rsidR="00B44C89" w:rsidRPr="00B44C89" w:rsidRDefault="00B44C89" w:rsidP="00B44C89">
      <w:pPr>
        <w:widowControl w:val="0"/>
        <w:suppressAutoHyphens w:val="0"/>
        <w:spacing w:after="120" w:line="240" w:lineRule="exact"/>
        <w:ind w:left="2835" w:right="1134" w:hanging="567"/>
        <w:jc w:val="both"/>
        <w:rPr>
          <w:lang w:val="en-US"/>
        </w:rPr>
      </w:pPr>
      <w:r w:rsidRPr="00B44C89">
        <w:rPr>
          <w:lang w:val="en-US"/>
        </w:rPr>
        <w:t>(b)</w:t>
      </w:r>
      <w:r w:rsidRPr="00B44C89">
        <w:rPr>
          <w:lang w:val="en-US"/>
        </w:rPr>
        <w:tab/>
        <w:t>Same shape (cylindrical, special shape),</w:t>
      </w:r>
    </w:p>
    <w:p w14:paraId="7A15C79B" w14:textId="77777777" w:rsidR="00B44C89" w:rsidRPr="00B44C89" w:rsidRDefault="00B44C89" w:rsidP="00B44C89">
      <w:pPr>
        <w:widowControl w:val="0"/>
        <w:suppressAutoHyphens w:val="0"/>
        <w:spacing w:after="120" w:line="240" w:lineRule="exact"/>
        <w:ind w:left="2835" w:right="1134" w:hanging="567"/>
        <w:jc w:val="both"/>
        <w:rPr>
          <w:bCs/>
          <w:lang w:val="en-US"/>
        </w:rPr>
      </w:pPr>
      <w:r w:rsidRPr="00B44C89">
        <w:rPr>
          <w:lang w:val="en-US"/>
        </w:rPr>
        <w:t>(c)</w:t>
      </w:r>
      <w:r w:rsidRPr="00B44C89">
        <w:rPr>
          <w:lang w:val="en-US"/>
        </w:rPr>
        <w:tab/>
        <w:t>Same material,</w:t>
      </w:r>
    </w:p>
    <w:p w14:paraId="30977F25" w14:textId="77777777" w:rsidR="00B44C89" w:rsidRPr="00B44C89" w:rsidRDefault="00B44C89" w:rsidP="00B44C89">
      <w:pPr>
        <w:widowControl w:val="0"/>
        <w:suppressAutoHyphens w:val="0"/>
        <w:spacing w:after="120" w:line="240" w:lineRule="exact"/>
        <w:ind w:left="2835" w:right="1134" w:hanging="567"/>
        <w:jc w:val="both"/>
        <w:rPr>
          <w:lang w:val="en-US"/>
        </w:rPr>
      </w:pPr>
      <w:r w:rsidRPr="00B44C89">
        <w:rPr>
          <w:lang w:val="en-US"/>
        </w:rPr>
        <w:t>(d)</w:t>
      </w:r>
      <w:r w:rsidRPr="00B44C89">
        <w:rPr>
          <w:lang w:val="en-US"/>
        </w:rPr>
        <w:tab/>
        <w:t>Same or greater wall thickness,</w:t>
      </w:r>
    </w:p>
    <w:p w14:paraId="3EF56F68" w14:textId="77777777" w:rsidR="00B44C89" w:rsidRPr="00B44C89" w:rsidRDefault="00B44C89" w:rsidP="00B44C89">
      <w:pPr>
        <w:widowControl w:val="0"/>
        <w:suppressAutoHyphens w:val="0"/>
        <w:spacing w:after="120" w:line="240" w:lineRule="exact"/>
        <w:ind w:left="2835" w:right="1134" w:hanging="567"/>
        <w:jc w:val="both"/>
        <w:rPr>
          <w:lang w:val="en-US"/>
        </w:rPr>
      </w:pPr>
      <w:r w:rsidRPr="00B44C89">
        <w:rPr>
          <w:lang w:val="en-US"/>
        </w:rPr>
        <w:t>(e)</w:t>
      </w:r>
      <w:r w:rsidRPr="00B44C89">
        <w:rPr>
          <w:lang w:val="en-US"/>
        </w:rPr>
        <w:tab/>
        <w:t>Same or smaller diameter (cylindrical container),</w:t>
      </w:r>
    </w:p>
    <w:p w14:paraId="68BFAEC3" w14:textId="77777777" w:rsidR="00B44C89" w:rsidRPr="00B44C89" w:rsidRDefault="00B44C89" w:rsidP="00B44C89">
      <w:pPr>
        <w:widowControl w:val="0"/>
        <w:suppressAutoHyphens w:val="0"/>
        <w:spacing w:after="120" w:line="240" w:lineRule="exact"/>
        <w:ind w:left="2835" w:right="1134" w:hanging="567"/>
        <w:jc w:val="both"/>
        <w:rPr>
          <w:lang w:val="en-US"/>
        </w:rPr>
      </w:pPr>
      <w:r w:rsidRPr="00B44C89">
        <w:rPr>
          <w:lang w:val="en-US"/>
        </w:rPr>
        <w:t>(f)</w:t>
      </w:r>
      <w:r w:rsidRPr="00B44C89">
        <w:rPr>
          <w:lang w:val="en-US"/>
        </w:rPr>
        <w:tab/>
        <w:t>Same height or smaller height (special container shape),</w:t>
      </w:r>
    </w:p>
    <w:p w14:paraId="1CA061B5" w14:textId="77777777" w:rsidR="00B44C89" w:rsidRPr="00B44C89" w:rsidRDefault="00B44C89" w:rsidP="00B44C89">
      <w:pPr>
        <w:widowControl w:val="0"/>
        <w:suppressAutoHyphens w:val="0"/>
        <w:spacing w:after="120" w:line="240" w:lineRule="exact"/>
        <w:ind w:left="2835" w:right="1134" w:hanging="567"/>
        <w:jc w:val="both"/>
        <w:rPr>
          <w:lang w:val="en-US"/>
        </w:rPr>
      </w:pPr>
      <w:r w:rsidRPr="00B44C89">
        <w:rPr>
          <w:lang w:val="en-US"/>
        </w:rPr>
        <w:t>(g)</w:t>
      </w:r>
      <w:r w:rsidRPr="00B44C89">
        <w:rPr>
          <w:lang w:val="en-US"/>
        </w:rPr>
        <w:tab/>
        <w:t>Same or smaller external surface,</w:t>
      </w:r>
    </w:p>
    <w:p w14:paraId="378F0FE6" w14:textId="4E62753A" w:rsidR="003D751D" w:rsidRPr="00B44C89" w:rsidRDefault="00B44C89" w:rsidP="00B44C89">
      <w:pPr>
        <w:widowControl w:val="0"/>
        <w:suppressAutoHyphens w:val="0"/>
        <w:spacing w:after="120" w:line="240" w:lineRule="exact"/>
        <w:ind w:left="2835" w:right="1134" w:hanging="567"/>
        <w:jc w:val="both"/>
        <w:rPr>
          <w:rFonts w:eastAsia="MS Mincho"/>
          <w:bCs/>
          <w:spacing w:val="-2"/>
          <w:lang w:val="en-US" w:eastAsia="ja-JP"/>
        </w:rPr>
      </w:pPr>
      <w:r w:rsidRPr="00B44C89">
        <w:rPr>
          <w:lang w:val="en-US"/>
        </w:rPr>
        <w:t>(h)</w:t>
      </w:r>
      <w:r w:rsidRPr="00B44C89">
        <w:rPr>
          <w:lang w:val="en-US"/>
        </w:rPr>
        <w:tab/>
        <w:t>Same configuration of accessories fitted to the container.</w:t>
      </w:r>
      <w:r w:rsidRPr="00B44C89">
        <w:rPr>
          <w:vertAlign w:val="superscript"/>
          <w:lang w:val="en-US"/>
        </w:rPr>
        <w:t>1</w:t>
      </w:r>
    </w:p>
    <w:p w14:paraId="1987AB76" w14:textId="77777777" w:rsidR="0026041E" w:rsidRDefault="0026041E" w:rsidP="003D751D">
      <w:pPr>
        <w:spacing w:after="120"/>
        <w:ind w:left="2268" w:right="1133" w:hanging="1134"/>
        <w:jc w:val="both"/>
        <w:rPr>
          <w:rFonts w:eastAsia="MS Mincho"/>
          <w:bCs/>
          <w:spacing w:val="-2"/>
          <w:lang w:val="en-US" w:eastAsia="ja-JP"/>
        </w:rPr>
      </w:pPr>
    </w:p>
    <w:p w14:paraId="357F8896" w14:textId="68593ABD" w:rsidR="00B44C89" w:rsidRDefault="00B44C89" w:rsidP="003D751D">
      <w:pPr>
        <w:spacing w:after="120"/>
        <w:ind w:left="2268" w:right="1133" w:hanging="1134"/>
        <w:jc w:val="both"/>
        <w:rPr>
          <w:rFonts w:eastAsia="MS Mincho"/>
          <w:bCs/>
          <w:spacing w:val="-2"/>
          <w:lang w:val="en-US" w:eastAsia="ja-JP"/>
        </w:rPr>
      </w:pPr>
      <w:r>
        <w:rPr>
          <w:rFonts w:eastAsia="MS Mincho"/>
          <w:bCs/>
          <w:spacing w:val="-2"/>
          <w:lang w:val="en-US" w:eastAsia="ja-JP"/>
        </w:rPr>
        <w:t>_______________</w:t>
      </w:r>
    </w:p>
    <w:p w14:paraId="78A7AF5E" w14:textId="3A2975BF" w:rsidR="00B44C89" w:rsidRPr="00B44C89" w:rsidRDefault="00B44C89" w:rsidP="003D751D">
      <w:pPr>
        <w:spacing w:after="120"/>
        <w:ind w:left="2268" w:right="1133" w:hanging="1134"/>
        <w:jc w:val="both"/>
        <w:rPr>
          <w:rFonts w:eastAsia="MS Mincho"/>
          <w:bCs/>
          <w:spacing w:val="-2"/>
          <w:sz w:val="18"/>
          <w:szCs w:val="18"/>
          <w:lang w:val="en-US" w:eastAsia="ja-JP"/>
        </w:rPr>
      </w:pPr>
      <w:r w:rsidRPr="00B44C89">
        <w:rPr>
          <w:rFonts w:eastAsia="MS Mincho"/>
          <w:bCs/>
          <w:spacing w:val="-2"/>
          <w:sz w:val="18"/>
          <w:szCs w:val="18"/>
          <w:vertAlign w:val="superscript"/>
          <w:lang w:val="en-US" w:eastAsia="ja-JP"/>
        </w:rPr>
        <w:t>1</w:t>
      </w:r>
      <w:r w:rsidRPr="00B44C89">
        <w:rPr>
          <w:rFonts w:eastAsia="MS Mincho"/>
          <w:bCs/>
          <w:spacing w:val="-2"/>
          <w:sz w:val="18"/>
          <w:szCs w:val="18"/>
          <w:lang w:val="en-US" w:eastAsia="ja-JP"/>
        </w:rPr>
        <w:tab/>
      </w:r>
      <w:r w:rsidRPr="00B44C89">
        <w:rPr>
          <w:sz w:val="18"/>
          <w:szCs w:val="18"/>
        </w:rPr>
        <w:t xml:space="preserve">Additional accessories, modifications and extensions of the accessories fitted to the container is possible without retesting, if notified to the Type Approval Authority which approved the container, considered to be unlikely to have </w:t>
      </w:r>
      <w:r w:rsidR="0094307E">
        <w:rPr>
          <w:sz w:val="18"/>
          <w:szCs w:val="18"/>
        </w:rPr>
        <w:t xml:space="preserve">an appreciable adverse effect. </w:t>
      </w:r>
      <w:r w:rsidRPr="00B44C89">
        <w:rPr>
          <w:sz w:val="18"/>
          <w:szCs w:val="18"/>
        </w:rPr>
        <w:t>The Type Approval Authority may require a further test report from the Technical Service responsible. The container and its configurations of accessorie</w:t>
      </w:r>
      <w:r w:rsidR="0094307E">
        <w:rPr>
          <w:sz w:val="18"/>
          <w:szCs w:val="18"/>
        </w:rPr>
        <w:t xml:space="preserve">s will be indicated in </w:t>
      </w:r>
      <w:r w:rsidR="0094307E" w:rsidRPr="0094307E">
        <w:rPr>
          <w:b/>
          <w:sz w:val="18"/>
          <w:szCs w:val="18"/>
        </w:rPr>
        <w:t xml:space="preserve">the </w:t>
      </w:r>
      <w:r w:rsidR="00F36B7B">
        <w:rPr>
          <w:b/>
          <w:sz w:val="18"/>
          <w:szCs w:val="18"/>
        </w:rPr>
        <w:t>a</w:t>
      </w:r>
      <w:r w:rsidR="0094307E" w:rsidRPr="0094307E">
        <w:rPr>
          <w:b/>
          <w:sz w:val="18"/>
          <w:szCs w:val="18"/>
        </w:rPr>
        <w:t>ppendix</w:t>
      </w:r>
      <w:r w:rsidR="0094307E">
        <w:rPr>
          <w:sz w:val="18"/>
          <w:szCs w:val="18"/>
        </w:rPr>
        <w:t xml:space="preserve"> to Annex </w:t>
      </w:r>
      <w:r w:rsidRPr="00B44C89">
        <w:rPr>
          <w:sz w:val="18"/>
          <w:szCs w:val="18"/>
        </w:rPr>
        <w:t xml:space="preserve">2B. </w:t>
      </w:r>
      <w:r w:rsidRPr="00B44C89">
        <w:rPr>
          <w:b/>
          <w:sz w:val="18"/>
          <w:szCs w:val="18"/>
        </w:rPr>
        <w:t>Multivalve or</w:t>
      </w:r>
      <w:r w:rsidR="0070003C">
        <w:rPr>
          <w:b/>
          <w:sz w:val="18"/>
          <w:szCs w:val="18"/>
        </w:rPr>
        <w:t xml:space="preserve">, </w:t>
      </w:r>
      <w:r w:rsidR="0070003C" w:rsidRPr="00B44C89">
        <w:rPr>
          <w:b/>
          <w:sz w:val="18"/>
          <w:szCs w:val="18"/>
        </w:rPr>
        <w:t>when approved separately</w:t>
      </w:r>
      <w:r w:rsidR="0070003C">
        <w:rPr>
          <w:b/>
          <w:sz w:val="18"/>
          <w:szCs w:val="18"/>
        </w:rPr>
        <w:t>,</w:t>
      </w:r>
      <w:r w:rsidRPr="00B44C89">
        <w:rPr>
          <w:b/>
          <w:sz w:val="18"/>
          <w:szCs w:val="18"/>
        </w:rPr>
        <w:t xml:space="preserve"> pressure relief valve (discharge valve) </w:t>
      </w:r>
      <w:r w:rsidR="0070003C">
        <w:rPr>
          <w:b/>
          <w:sz w:val="18"/>
          <w:szCs w:val="18"/>
        </w:rPr>
        <w:t>and</w:t>
      </w:r>
      <w:r w:rsidR="0070003C" w:rsidRPr="00B44C89">
        <w:rPr>
          <w:b/>
          <w:sz w:val="18"/>
          <w:szCs w:val="18"/>
        </w:rPr>
        <w:t xml:space="preserve"> </w:t>
      </w:r>
      <w:r w:rsidRPr="00B44C89">
        <w:rPr>
          <w:b/>
          <w:sz w:val="18"/>
          <w:szCs w:val="18"/>
        </w:rPr>
        <w:t xml:space="preserve">pressure relief device, extended for technical modifications and marked in accordance to Annex 2A need to have a new bonfire test. The container and its configurations of accessories will be indicated in </w:t>
      </w:r>
      <w:r w:rsidR="00F36B7B">
        <w:rPr>
          <w:b/>
          <w:sz w:val="18"/>
          <w:szCs w:val="18"/>
        </w:rPr>
        <w:t>the a</w:t>
      </w:r>
      <w:r w:rsidRPr="00B44C89">
        <w:rPr>
          <w:b/>
          <w:sz w:val="18"/>
          <w:szCs w:val="18"/>
        </w:rPr>
        <w:t>ppendix to Annex 2B.</w:t>
      </w:r>
      <w:r w:rsidR="00CA3217" w:rsidRPr="00CA3217">
        <w:rPr>
          <w:sz w:val="18"/>
          <w:szCs w:val="18"/>
        </w:rPr>
        <w:t>"</w:t>
      </w:r>
    </w:p>
    <w:p w14:paraId="2920BEC2" w14:textId="77777777" w:rsidR="00CD2AAC" w:rsidRDefault="00CD2AAC">
      <w:pPr>
        <w:suppressAutoHyphens w:val="0"/>
        <w:spacing w:line="240" w:lineRule="auto"/>
        <w:rPr>
          <w:b/>
          <w:sz w:val="28"/>
        </w:rPr>
      </w:pPr>
      <w:r>
        <w:br w:type="page"/>
      </w:r>
    </w:p>
    <w:p w14:paraId="552A924D" w14:textId="4A047C48" w:rsidR="00CB7013" w:rsidRPr="00BC48C8" w:rsidRDefault="00CB7013" w:rsidP="00CB7013">
      <w:pPr>
        <w:pStyle w:val="HChG"/>
      </w:pPr>
      <w:r>
        <w:lastRenderedPageBreak/>
        <w:tab/>
        <w:t>II.</w:t>
      </w:r>
      <w:r>
        <w:tab/>
      </w:r>
      <w:r w:rsidRPr="00BC48C8">
        <w:t>Justification</w:t>
      </w:r>
    </w:p>
    <w:p w14:paraId="7B8CCC33" w14:textId="0D4523A3" w:rsidR="003D751D" w:rsidRDefault="0043676F" w:rsidP="003D751D">
      <w:pPr>
        <w:pStyle w:val="SingleTxtG"/>
      </w:pPr>
      <w:r>
        <w:t>1.</w:t>
      </w:r>
      <w:r>
        <w:tab/>
      </w:r>
      <w:r w:rsidR="003D751D">
        <w:t xml:space="preserve">ECE/TRANS/WP.29/GRSG/2017/10 </w:t>
      </w:r>
      <w:r w:rsidR="00CD2AAC">
        <w:t>raise</w:t>
      </w:r>
      <w:r w:rsidR="007F4485">
        <w:t>s</w:t>
      </w:r>
      <w:r w:rsidR="00CD2AAC">
        <w:t xml:space="preserve"> </w:t>
      </w:r>
      <w:r w:rsidR="003D751D">
        <w:t xml:space="preserve">concerns </w:t>
      </w:r>
      <w:r w:rsidR="00CD2AAC">
        <w:t xml:space="preserve">on </w:t>
      </w:r>
      <w:r w:rsidR="003D751D">
        <w:t xml:space="preserve">LPG </w:t>
      </w:r>
      <w:r w:rsidR="00CD2AAC">
        <w:t>containers</w:t>
      </w:r>
      <w:r w:rsidR="003D751D">
        <w:t xml:space="preserve"> and its accessories as approved acc</w:t>
      </w:r>
      <w:r w:rsidR="00CD2AAC">
        <w:t>ording to UN Regulation No. 67.</w:t>
      </w:r>
      <w:r w:rsidR="007F4485">
        <w:t xml:space="preserve"> </w:t>
      </w:r>
      <w:r w:rsidR="003D751D">
        <w:tab/>
        <w:t>The Regulation requires a specific test (bonfire) of the container equipped with a specific configuration of accessories (combined</w:t>
      </w:r>
      <w:r w:rsidR="007F4485">
        <w:t xml:space="preserve"> in a multi-valve or separated devices).</w:t>
      </w:r>
    </w:p>
    <w:p w14:paraId="28C427B8" w14:textId="30B44422" w:rsidR="003D751D" w:rsidRDefault="007F4485" w:rsidP="003D751D">
      <w:pPr>
        <w:pStyle w:val="SingleTxtG"/>
      </w:pPr>
      <w:r>
        <w:t>2</w:t>
      </w:r>
      <w:r w:rsidR="003D751D">
        <w:t>.</w:t>
      </w:r>
      <w:r w:rsidR="003D751D">
        <w:tab/>
        <w:t xml:space="preserve">For each container, a list of the possible configurations of accessories fitted to the container is approved and communicated by means of </w:t>
      </w:r>
      <w:r>
        <w:t>T</w:t>
      </w:r>
      <w:r w:rsidR="003D751D">
        <w:t xml:space="preserve">able 3 </w:t>
      </w:r>
      <w:r>
        <w:t>in</w:t>
      </w:r>
      <w:r w:rsidR="003D751D">
        <w:t xml:space="preserve"> </w:t>
      </w:r>
      <w:r>
        <w:t xml:space="preserve">the </w:t>
      </w:r>
      <w:r w:rsidR="00F36B7B">
        <w:t>a</w:t>
      </w:r>
      <w:r>
        <w:t xml:space="preserve">ppendix of </w:t>
      </w:r>
      <w:r w:rsidR="003D751D">
        <w:t xml:space="preserve">Annex 2B </w:t>
      </w:r>
      <w:r>
        <w:t>t</w:t>
      </w:r>
      <w:r w:rsidR="003D751D">
        <w:t>o the Regulation.</w:t>
      </w:r>
      <w:r>
        <w:t xml:space="preserve"> </w:t>
      </w:r>
      <w:r w:rsidR="003D751D">
        <w:t>This list comprises also the extension number of each accessory.</w:t>
      </w:r>
    </w:p>
    <w:p w14:paraId="08348421" w14:textId="128D020A" w:rsidR="003D751D" w:rsidRDefault="007F4485" w:rsidP="003D751D">
      <w:pPr>
        <w:pStyle w:val="SingleTxtG"/>
      </w:pPr>
      <w:r>
        <w:t>3</w:t>
      </w:r>
      <w:r w:rsidR="003D751D">
        <w:t>.</w:t>
      </w:r>
      <w:r w:rsidR="003D751D">
        <w:tab/>
        <w:t xml:space="preserve">As correctly highlighted in the justification </w:t>
      </w:r>
      <w:r>
        <w:t>of</w:t>
      </w:r>
      <w:r w:rsidR="003D751D">
        <w:t xml:space="preserve"> ECE/TRANS/WP.29/GRSG/2017/10 (see point 8): </w:t>
      </w:r>
      <w:r>
        <w:t>"</w:t>
      </w:r>
      <w:r w:rsidR="003D751D" w:rsidRPr="007F4485">
        <w:rPr>
          <w:i/>
        </w:rPr>
        <w:t>the manufacturer (of the accessory) is obliged to mark the product with the type approval number, but is not obligate to mark it with the number of justification (Regulation No. 67, para</w:t>
      </w:r>
      <w:r w:rsidR="0094307E">
        <w:rPr>
          <w:i/>
        </w:rPr>
        <w:t>.</w:t>
      </w:r>
      <w:r w:rsidR="003D751D" w:rsidRPr="007F4485">
        <w:rPr>
          <w:i/>
        </w:rPr>
        <w:t xml:space="preserve"> 4.1</w:t>
      </w:r>
      <w:r w:rsidR="0094307E">
        <w:rPr>
          <w:i/>
        </w:rPr>
        <w:t>.</w:t>
      </w:r>
      <w:r w:rsidR="003D751D" w:rsidRPr="007F4485">
        <w:rPr>
          <w:i/>
        </w:rPr>
        <w:t>). This means that holding in the hand a component approved according to Regulation No. 67 you cannot be sure of the actual extension of approval</w:t>
      </w:r>
      <w:r>
        <w:t>". Therefore,</w:t>
      </w:r>
      <w:r w:rsidR="003D751D">
        <w:t xml:space="preserve"> </w:t>
      </w:r>
      <w:r>
        <w:t>it is unclear</w:t>
      </w:r>
      <w:r w:rsidR="003D751D">
        <w:t xml:space="preserve"> whether this accessory is approved to be fitted to a specific container.</w:t>
      </w:r>
    </w:p>
    <w:p w14:paraId="43E2E2D0" w14:textId="435A66A3" w:rsidR="003D751D" w:rsidRDefault="007F4485" w:rsidP="003D751D">
      <w:pPr>
        <w:pStyle w:val="SingleTxtG"/>
      </w:pPr>
      <w:r>
        <w:t>5</w:t>
      </w:r>
      <w:r w:rsidR="003D751D">
        <w:t>.</w:t>
      </w:r>
      <w:r w:rsidR="003D751D">
        <w:tab/>
      </w:r>
      <w:r>
        <w:t>T</w:t>
      </w:r>
      <w:r w:rsidR="003D751D">
        <w:t>o solve this issue, as correctly raised by the experts</w:t>
      </w:r>
      <w:r w:rsidR="0094307E">
        <w:t xml:space="preserve"> from P</w:t>
      </w:r>
      <w:r>
        <w:t>oland</w:t>
      </w:r>
      <w:r w:rsidR="003D751D">
        <w:t>, AEGPL proposes to mark the extension number on the accessories relevant to the bonfire test (multivalve or</w:t>
      </w:r>
      <w:r w:rsidR="0070003C">
        <w:t>,</w:t>
      </w:r>
      <w:r w:rsidR="0070003C" w:rsidRPr="0070003C">
        <w:t xml:space="preserve"> </w:t>
      </w:r>
      <w:r w:rsidR="0070003C">
        <w:t xml:space="preserve">when approved separately, </w:t>
      </w:r>
      <w:r w:rsidR="003D751D">
        <w:t xml:space="preserve">pressure relief valve (discharge valve) </w:t>
      </w:r>
      <w:r w:rsidR="0070003C">
        <w:t>and</w:t>
      </w:r>
      <w:r w:rsidR="003D751D">
        <w:t xml:space="preserve"> pressure relief device,), so that the fitting of any accessory not listed in the aforesaid list of approved configurations will be prevented/forbidden.</w:t>
      </w:r>
    </w:p>
    <w:p w14:paraId="24779B67" w14:textId="5D763439" w:rsidR="004E040E" w:rsidRDefault="0094307E" w:rsidP="0094307E">
      <w:pPr>
        <w:pStyle w:val="SingleTxtG"/>
      </w:pPr>
      <w:r>
        <w:t>6</w:t>
      </w:r>
      <w:r w:rsidR="003D751D">
        <w:t>.</w:t>
      </w:r>
      <w:r w:rsidR="003D751D">
        <w:tab/>
        <w:t xml:space="preserve">As </w:t>
      </w:r>
      <w:r>
        <w:t xml:space="preserve">an </w:t>
      </w:r>
      <w:r w:rsidR="003D751D">
        <w:t xml:space="preserve">alternative to the proposal contained in ECE/TRANS/WP.29/GRSG/2017/10, the present solution would imply a new requirement in </w:t>
      </w:r>
      <w:r>
        <w:t xml:space="preserve">Annex 2A for </w:t>
      </w:r>
      <w:r w:rsidR="003D751D">
        <w:t>the marking of the accessories fitted to the containers</w:t>
      </w:r>
      <w:r>
        <w:t>,</w:t>
      </w:r>
      <w:r w:rsidR="003D751D">
        <w:t xml:space="preserve"> but it would avoid an overload of paperwork and a proliferation of accessories</w:t>
      </w:r>
      <w:r>
        <w:t>'</w:t>
      </w:r>
      <w:r w:rsidR="003D751D">
        <w:t xml:space="preserve"> type approval numbers.</w:t>
      </w:r>
      <w:r>
        <w:t xml:space="preserve"> </w:t>
      </w:r>
      <w:r w:rsidR="003D751D">
        <w:t>The safety of the system is not affect</w:t>
      </w:r>
      <w:r>
        <w:t>ed</w:t>
      </w:r>
      <w:r w:rsidR="0043676F">
        <w:t>.</w:t>
      </w:r>
    </w:p>
    <w:p w14:paraId="1B91975C" w14:textId="77777777"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10"/>
      <w:headerReference w:type="default" r:id="rId11"/>
      <w:footerReference w:type="even" r:id="rId12"/>
      <w:footerReference w:type="defaul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6A03B" w14:textId="77777777" w:rsidR="00E33C21" w:rsidRDefault="00E33C21"/>
  </w:endnote>
  <w:endnote w:type="continuationSeparator" w:id="0">
    <w:p w14:paraId="46CBF594" w14:textId="77777777" w:rsidR="00E33C21" w:rsidRDefault="00E33C21"/>
  </w:endnote>
  <w:endnote w:type="continuationNotice" w:id="1">
    <w:p w14:paraId="1FC94A06" w14:textId="77777777" w:rsidR="00E33C21" w:rsidRDefault="00E33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CD07B" w14:textId="1A49A9BC" w:rsidR="004E040E" w:rsidRPr="00803BF8" w:rsidRDefault="004E040E"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1E7CAC">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997E" w14:textId="597D11B0" w:rsidR="004E040E" w:rsidRPr="00803BF8" w:rsidRDefault="004E040E"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1E7CAC">
      <w:rPr>
        <w:b/>
        <w:noProof/>
        <w:sz w:val="18"/>
      </w:rPr>
      <w:t>3</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768DD" w14:textId="77777777" w:rsidR="00E33C21" w:rsidRPr="000B175B" w:rsidRDefault="00E33C21" w:rsidP="000B175B">
      <w:pPr>
        <w:tabs>
          <w:tab w:val="right" w:pos="2155"/>
        </w:tabs>
        <w:spacing w:after="80"/>
        <w:ind w:left="680"/>
        <w:rPr>
          <w:u w:val="single"/>
        </w:rPr>
      </w:pPr>
      <w:r>
        <w:rPr>
          <w:u w:val="single"/>
        </w:rPr>
        <w:tab/>
      </w:r>
    </w:p>
  </w:footnote>
  <w:footnote w:type="continuationSeparator" w:id="0">
    <w:p w14:paraId="126F8F21" w14:textId="77777777" w:rsidR="00E33C21" w:rsidRPr="00FC68B7" w:rsidRDefault="00E33C21" w:rsidP="00FC68B7">
      <w:pPr>
        <w:tabs>
          <w:tab w:val="left" w:pos="2155"/>
        </w:tabs>
        <w:spacing w:after="80"/>
        <w:ind w:left="680"/>
        <w:rPr>
          <w:u w:val="single"/>
        </w:rPr>
      </w:pPr>
      <w:r>
        <w:rPr>
          <w:u w:val="single"/>
        </w:rPr>
        <w:tab/>
      </w:r>
    </w:p>
  </w:footnote>
  <w:footnote w:type="continuationNotice" w:id="1">
    <w:p w14:paraId="19DBD49E" w14:textId="77777777" w:rsidR="00E33C21" w:rsidRDefault="00E33C21"/>
  </w:footnote>
  <w:footnote w:id="2">
    <w:p w14:paraId="1BC20C06" w14:textId="77777777" w:rsidR="004E040E" w:rsidRPr="00B14735" w:rsidRDefault="004E040E"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72AD0" w14:textId="31F57909" w:rsidR="004E040E" w:rsidRPr="00803BF8" w:rsidRDefault="004E040E">
    <w:pPr>
      <w:pStyle w:val="Header"/>
    </w:pPr>
    <w:r>
      <w:t>ECE/TRANS/WP.29/GRSG/</w:t>
    </w:r>
    <w:r w:rsidRPr="00DF418A">
      <w:t>201</w:t>
    </w:r>
    <w:r>
      <w:t>7/</w:t>
    </w:r>
    <w:r w:rsidR="00683612">
      <w:t>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3FB7B" w14:textId="157A8AA4" w:rsidR="004E040E" w:rsidRPr="00803BF8" w:rsidRDefault="004E040E" w:rsidP="00803BF8">
    <w:pPr>
      <w:pStyle w:val="Header"/>
      <w:jc w:val="right"/>
    </w:pPr>
    <w:r>
      <w:t>ECE/TRANS/WP.29/GRSG/2017/</w:t>
    </w:r>
    <w:r w:rsidR="00683612">
      <w:t>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1"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2"/>
  </w:num>
  <w:num w:numId="14">
    <w:abstractNumId w:val="18"/>
  </w:num>
  <w:num w:numId="15">
    <w:abstractNumId w:val="23"/>
  </w:num>
  <w:num w:numId="16">
    <w:abstractNumId w:val="10"/>
  </w:num>
  <w:num w:numId="17">
    <w:abstractNumId w:val="15"/>
  </w:num>
  <w:num w:numId="18">
    <w:abstractNumId w:val="22"/>
  </w:num>
  <w:num w:numId="19">
    <w:abstractNumId w:val="13"/>
  </w:num>
  <w:num w:numId="20">
    <w:abstractNumId w:val="19"/>
  </w:num>
  <w:num w:numId="21">
    <w:abstractNumId w:val="21"/>
  </w:num>
  <w:num w:numId="22">
    <w:abstractNumId w:val="16"/>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666B"/>
    <w:rsid w:val="001228BD"/>
    <w:rsid w:val="00122CBC"/>
    <w:rsid w:val="00123206"/>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84A77"/>
    <w:rsid w:val="0019102D"/>
    <w:rsid w:val="00192180"/>
    <w:rsid w:val="00193F1C"/>
    <w:rsid w:val="00194E3F"/>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E7CAC"/>
    <w:rsid w:val="001F20EF"/>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530E8"/>
    <w:rsid w:val="0025747D"/>
    <w:rsid w:val="0026041E"/>
    <w:rsid w:val="00263A29"/>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25FB"/>
    <w:rsid w:val="002934A0"/>
    <w:rsid w:val="002938CC"/>
    <w:rsid w:val="00294129"/>
    <w:rsid w:val="00297E26"/>
    <w:rsid w:val="002A0D4A"/>
    <w:rsid w:val="002A42DD"/>
    <w:rsid w:val="002A4687"/>
    <w:rsid w:val="002A4D51"/>
    <w:rsid w:val="002A63D3"/>
    <w:rsid w:val="002A7DBF"/>
    <w:rsid w:val="002B31F7"/>
    <w:rsid w:val="002B4079"/>
    <w:rsid w:val="002B47CA"/>
    <w:rsid w:val="002B6B22"/>
    <w:rsid w:val="002C1B3A"/>
    <w:rsid w:val="002C2315"/>
    <w:rsid w:val="002C3497"/>
    <w:rsid w:val="002C5141"/>
    <w:rsid w:val="002C567B"/>
    <w:rsid w:val="002C64E5"/>
    <w:rsid w:val="002C6BB6"/>
    <w:rsid w:val="002C73E0"/>
    <w:rsid w:val="002D046E"/>
    <w:rsid w:val="002D1AE4"/>
    <w:rsid w:val="002D4643"/>
    <w:rsid w:val="002D4CFC"/>
    <w:rsid w:val="002E093F"/>
    <w:rsid w:val="002E2EB7"/>
    <w:rsid w:val="002E4A30"/>
    <w:rsid w:val="002E5532"/>
    <w:rsid w:val="002E5684"/>
    <w:rsid w:val="002E7F93"/>
    <w:rsid w:val="002F04B8"/>
    <w:rsid w:val="002F0546"/>
    <w:rsid w:val="002F175C"/>
    <w:rsid w:val="002F1D8E"/>
    <w:rsid w:val="002F5AC5"/>
    <w:rsid w:val="002F7A67"/>
    <w:rsid w:val="002F7DE0"/>
    <w:rsid w:val="0030272D"/>
    <w:rsid w:val="00302E18"/>
    <w:rsid w:val="00312F59"/>
    <w:rsid w:val="0031733E"/>
    <w:rsid w:val="00320995"/>
    <w:rsid w:val="00320D2F"/>
    <w:rsid w:val="003229D8"/>
    <w:rsid w:val="003237A4"/>
    <w:rsid w:val="00325908"/>
    <w:rsid w:val="00326932"/>
    <w:rsid w:val="00330F1A"/>
    <w:rsid w:val="003311A6"/>
    <w:rsid w:val="00336789"/>
    <w:rsid w:val="003369B2"/>
    <w:rsid w:val="003406CC"/>
    <w:rsid w:val="0034070E"/>
    <w:rsid w:val="0034168B"/>
    <w:rsid w:val="00341F69"/>
    <w:rsid w:val="003450DD"/>
    <w:rsid w:val="003451F4"/>
    <w:rsid w:val="003516C1"/>
    <w:rsid w:val="00352181"/>
    <w:rsid w:val="00352709"/>
    <w:rsid w:val="00356E54"/>
    <w:rsid w:val="003619B5"/>
    <w:rsid w:val="00361AC3"/>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B1EDF"/>
    <w:rsid w:val="003B4673"/>
    <w:rsid w:val="003C17CC"/>
    <w:rsid w:val="003C2CC4"/>
    <w:rsid w:val="003C46E4"/>
    <w:rsid w:val="003C472E"/>
    <w:rsid w:val="003C4BA1"/>
    <w:rsid w:val="003C534D"/>
    <w:rsid w:val="003D4B23"/>
    <w:rsid w:val="003D751D"/>
    <w:rsid w:val="003E120B"/>
    <w:rsid w:val="003E130E"/>
    <w:rsid w:val="003E44F5"/>
    <w:rsid w:val="003F00E3"/>
    <w:rsid w:val="003F23F3"/>
    <w:rsid w:val="003F4275"/>
    <w:rsid w:val="003F6FC1"/>
    <w:rsid w:val="004019C4"/>
    <w:rsid w:val="00403D20"/>
    <w:rsid w:val="0040438C"/>
    <w:rsid w:val="00406C85"/>
    <w:rsid w:val="00410C89"/>
    <w:rsid w:val="00413FC7"/>
    <w:rsid w:val="00414256"/>
    <w:rsid w:val="00420557"/>
    <w:rsid w:val="00422E03"/>
    <w:rsid w:val="00423D86"/>
    <w:rsid w:val="0042591D"/>
    <w:rsid w:val="00425C32"/>
    <w:rsid w:val="00426B9B"/>
    <w:rsid w:val="004325CB"/>
    <w:rsid w:val="0043676F"/>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3F"/>
    <w:rsid w:val="0048419F"/>
    <w:rsid w:val="00485CBB"/>
    <w:rsid w:val="004866B7"/>
    <w:rsid w:val="004935FC"/>
    <w:rsid w:val="00493DB9"/>
    <w:rsid w:val="00494AC7"/>
    <w:rsid w:val="004A4BF7"/>
    <w:rsid w:val="004A79FD"/>
    <w:rsid w:val="004B05F0"/>
    <w:rsid w:val="004B3889"/>
    <w:rsid w:val="004B3B45"/>
    <w:rsid w:val="004C2461"/>
    <w:rsid w:val="004C3774"/>
    <w:rsid w:val="004C7462"/>
    <w:rsid w:val="004C7D42"/>
    <w:rsid w:val="004D0424"/>
    <w:rsid w:val="004D65FF"/>
    <w:rsid w:val="004E040E"/>
    <w:rsid w:val="004E0683"/>
    <w:rsid w:val="004E0FDB"/>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6F20"/>
    <w:rsid w:val="0052136D"/>
    <w:rsid w:val="00521B5A"/>
    <w:rsid w:val="00527001"/>
    <w:rsid w:val="0052775E"/>
    <w:rsid w:val="005305DD"/>
    <w:rsid w:val="005420F2"/>
    <w:rsid w:val="00544CB6"/>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FBD"/>
    <w:rsid w:val="0063070C"/>
    <w:rsid w:val="0063242B"/>
    <w:rsid w:val="00634F9F"/>
    <w:rsid w:val="006352A1"/>
    <w:rsid w:val="006372E5"/>
    <w:rsid w:val="006407D7"/>
    <w:rsid w:val="0064099B"/>
    <w:rsid w:val="00640B26"/>
    <w:rsid w:val="0064292F"/>
    <w:rsid w:val="00645EBB"/>
    <w:rsid w:val="006465CF"/>
    <w:rsid w:val="00647BAD"/>
    <w:rsid w:val="00652D0A"/>
    <w:rsid w:val="0065391C"/>
    <w:rsid w:val="00654889"/>
    <w:rsid w:val="00662BB6"/>
    <w:rsid w:val="00663B3A"/>
    <w:rsid w:val="00664F9E"/>
    <w:rsid w:val="00671B51"/>
    <w:rsid w:val="00671C7E"/>
    <w:rsid w:val="006731C7"/>
    <w:rsid w:val="0067362F"/>
    <w:rsid w:val="00675314"/>
    <w:rsid w:val="00676606"/>
    <w:rsid w:val="00680563"/>
    <w:rsid w:val="00682E86"/>
    <w:rsid w:val="00683612"/>
    <w:rsid w:val="0068459E"/>
    <w:rsid w:val="00684C21"/>
    <w:rsid w:val="006958E8"/>
    <w:rsid w:val="006A0BC2"/>
    <w:rsid w:val="006A2530"/>
    <w:rsid w:val="006A2748"/>
    <w:rsid w:val="006A46E9"/>
    <w:rsid w:val="006A7CA7"/>
    <w:rsid w:val="006B0475"/>
    <w:rsid w:val="006B4D98"/>
    <w:rsid w:val="006B4E99"/>
    <w:rsid w:val="006B4E9F"/>
    <w:rsid w:val="006B5488"/>
    <w:rsid w:val="006C3589"/>
    <w:rsid w:val="006C4609"/>
    <w:rsid w:val="006C70CD"/>
    <w:rsid w:val="006D37AF"/>
    <w:rsid w:val="006D4C02"/>
    <w:rsid w:val="006D51D0"/>
    <w:rsid w:val="006D5219"/>
    <w:rsid w:val="006D52CA"/>
    <w:rsid w:val="006D5FB9"/>
    <w:rsid w:val="006D658E"/>
    <w:rsid w:val="006E15CA"/>
    <w:rsid w:val="006E564B"/>
    <w:rsid w:val="006E7191"/>
    <w:rsid w:val="006E7863"/>
    <w:rsid w:val="006F0360"/>
    <w:rsid w:val="006F2D70"/>
    <w:rsid w:val="006F3D7F"/>
    <w:rsid w:val="0070003C"/>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7F2F"/>
    <w:rsid w:val="0076035A"/>
    <w:rsid w:val="007629C8"/>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4D27"/>
    <w:rsid w:val="007E01E9"/>
    <w:rsid w:val="007E3C7D"/>
    <w:rsid w:val="007E5E15"/>
    <w:rsid w:val="007E63F3"/>
    <w:rsid w:val="007F0E12"/>
    <w:rsid w:val="007F1133"/>
    <w:rsid w:val="007F3673"/>
    <w:rsid w:val="007F4485"/>
    <w:rsid w:val="007F53E5"/>
    <w:rsid w:val="007F6611"/>
    <w:rsid w:val="007F6FD3"/>
    <w:rsid w:val="00801D6A"/>
    <w:rsid w:val="00803BF8"/>
    <w:rsid w:val="00804C91"/>
    <w:rsid w:val="00806E1C"/>
    <w:rsid w:val="00811920"/>
    <w:rsid w:val="00815AD0"/>
    <w:rsid w:val="00815EDB"/>
    <w:rsid w:val="008163F1"/>
    <w:rsid w:val="00816704"/>
    <w:rsid w:val="008201B8"/>
    <w:rsid w:val="00822B44"/>
    <w:rsid w:val="008242D7"/>
    <w:rsid w:val="008257B1"/>
    <w:rsid w:val="00832334"/>
    <w:rsid w:val="008339DF"/>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2EA9"/>
    <w:rsid w:val="00873BB6"/>
    <w:rsid w:val="00875F24"/>
    <w:rsid w:val="008774E7"/>
    <w:rsid w:val="008809C1"/>
    <w:rsid w:val="00881AE2"/>
    <w:rsid w:val="00881F52"/>
    <w:rsid w:val="00883E85"/>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307E"/>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285B"/>
    <w:rsid w:val="00997605"/>
    <w:rsid w:val="00997D09"/>
    <w:rsid w:val="009A0830"/>
    <w:rsid w:val="009A08AC"/>
    <w:rsid w:val="009A0E8D"/>
    <w:rsid w:val="009A1E55"/>
    <w:rsid w:val="009A26E0"/>
    <w:rsid w:val="009A4025"/>
    <w:rsid w:val="009A43DF"/>
    <w:rsid w:val="009A5E59"/>
    <w:rsid w:val="009A6914"/>
    <w:rsid w:val="009B26E7"/>
    <w:rsid w:val="009B5B90"/>
    <w:rsid w:val="009B64BB"/>
    <w:rsid w:val="009B69E9"/>
    <w:rsid w:val="009C5020"/>
    <w:rsid w:val="009D133E"/>
    <w:rsid w:val="009D272C"/>
    <w:rsid w:val="009D4BEE"/>
    <w:rsid w:val="009D5431"/>
    <w:rsid w:val="009E15C8"/>
    <w:rsid w:val="009E5620"/>
    <w:rsid w:val="009E7B72"/>
    <w:rsid w:val="009F07C1"/>
    <w:rsid w:val="009F0B23"/>
    <w:rsid w:val="009F2CA6"/>
    <w:rsid w:val="009F36A3"/>
    <w:rsid w:val="009F71D1"/>
    <w:rsid w:val="00A00697"/>
    <w:rsid w:val="00A00A3F"/>
    <w:rsid w:val="00A01489"/>
    <w:rsid w:val="00A053B0"/>
    <w:rsid w:val="00A11337"/>
    <w:rsid w:val="00A14A4D"/>
    <w:rsid w:val="00A20DE2"/>
    <w:rsid w:val="00A23763"/>
    <w:rsid w:val="00A27E4A"/>
    <w:rsid w:val="00A3026E"/>
    <w:rsid w:val="00A32120"/>
    <w:rsid w:val="00A338F1"/>
    <w:rsid w:val="00A3529B"/>
    <w:rsid w:val="00A35BE0"/>
    <w:rsid w:val="00A4129A"/>
    <w:rsid w:val="00A44D34"/>
    <w:rsid w:val="00A508DF"/>
    <w:rsid w:val="00A51DCC"/>
    <w:rsid w:val="00A52B68"/>
    <w:rsid w:val="00A54EBE"/>
    <w:rsid w:val="00A574F6"/>
    <w:rsid w:val="00A6129C"/>
    <w:rsid w:val="00A62630"/>
    <w:rsid w:val="00A63E35"/>
    <w:rsid w:val="00A6507F"/>
    <w:rsid w:val="00A668CC"/>
    <w:rsid w:val="00A66EBD"/>
    <w:rsid w:val="00A70DD4"/>
    <w:rsid w:val="00A72F22"/>
    <w:rsid w:val="00A7360F"/>
    <w:rsid w:val="00A748A6"/>
    <w:rsid w:val="00A769F4"/>
    <w:rsid w:val="00A776B4"/>
    <w:rsid w:val="00A80D02"/>
    <w:rsid w:val="00A81C59"/>
    <w:rsid w:val="00A83C2D"/>
    <w:rsid w:val="00A85A67"/>
    <w:rsid w:val="00A86546"/>
    <w:rsid w:val="00A877CE"/>
    <w:rsid w:val="00A90194"/>
    <w:rsid w:val="00A94361"/>
    <w:rsid w:val="00A979DD"/>
    <w:rsid w:val="00AA293C"/>
    <w:rsid w:val="00AB01AB"/>
    <w:rsid w:val="00AB10D2"/>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213A0"/>
    <w:rsid w:val="00B238A5"/>
    <w:rsid w:val="00B253FC"/>
    <w:rsid w:val="00B25FAF"/>
    <w:rsid w:val="00B276F0"/>
    <w:rsid w:val="00B30179"/>
    <w:rsid w:val="00B33901"/>
    <w:rsid w:val="00B341FF"/>
    <w:rsid w:val="00B371CD"/>
    <w:rsid w:val="00B421C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73F39"/>
    <w:rsid w:val="00B74954"/>
    <w:rsid w:val="00B77D05"/>
    <w:rsid w:val="00B81206"/>
    <w:rsid w:val="00B8192C"/>
    <w:rsid w:val="00B81E12"/>
    <w:rsid w:val="00B845A8"/>
    <w:rsid w:val="00B8584A"/>
    <w:rsid w:val="00B924F0"/>
    <w:rsid w:val="00B928FA"/>
    <w:rsid w:val="00BA0141"/>
    <w:rsid w:val="00BA12BA"/>
    <w:rsid w:val="00BA22E5"/>
    <w:rsid w:val="00BA2B79"/>
    <w:rsid w:val="00BA51B3"/>
    <w:rsid w:val="00BA523F"/>
    <w:rsid w:val="00BA5FB8"/>
    <w:rsid w:val="00BA73AB"/>
    <w:rsid w:val="00BA770E"/>
    <w:rsid w:val="00BB214B"/>
    <w:rsid w:val="00BB290D"/>
    <w:rsid w:val="00BB646D"/>
    <w:rsid w:val="00BC14F0"/>
    <w:rsid w:val="00BC1657"/>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032B"/>
    <w:rsid w:val="00CA2CD1"/>
    <w:rsid w:val="00CA3217"/>
    <w:rsid w:val="00CA622E"/>
    <w:rsid w:val="00CA6DDD"/>
    <w:rsid w:val="00CA711E"/>
    <w:rsid w:val="00CB3E03"/>
    <w:rsid w:val="00CB7013"/>
    <w:rsid w:val="00CC138B"/>
    <w:rsid w:val="00CC187A"/>
    <w:rsid w:val="00CC4839"/>
    <w:rsid w:val="00CD2AAC"/>
    <w:rsid w:val="00CD4AA6"/>
    <w:rsid w:val="00CD730A"/>
    <w:rsid w:val="00CE4A8F"/>
    <w:rsid w:val="00CE5946"/>
    <w:rsid w:val="00CE7719"/>
    <w:rsid w:val="00CE7816"/>
    <w:rsid w:val="00CF1FA5"/>
    <w:rsid w:val="00CF263E"/>
    <w:rsid w:val="00CF2B7C"/>
    <w:rsid w:val="00CF7C95"/>
    <w:rsid w:val="00D03348"/>
    <w:rsid w:val="00D0541A"/>
    <w:rsid w:val="00D05E5E"/>
    <w:rsid w:val="00D12117"/>
    <w:rsid w:val="00D153A7"/>
    <w:rsid w:val="00D2031B"/>
    <w:rsid w:val="00D248B6"/>
    <w:rsid w:val="00D25FB2"/>
    <w:rsid w:val="00D25FE2"/>
    <w:rsid w:val="00D26E07"/>
    <w:rsid w:val="00D27713"/>
    <w:rsid w:val="00D32431"/>
    <w:rsid w:val="00D32DF8"/>
    <w:rsid w:val="00D342A8"/>
    <w:rsid w:val="00D40653"/>
    <w:rsid w:val="00D43252"/>
    <w:rsid w:val="00D46A88"/>
    <w:rsid w:val="00D46D61"/>
    <w:rsid w:val="00D47EEA"/>
    <w:rsid w:val="00D514CE"/>
    <w:rsid w:val="00D51801"/>
    <w:rsid w:val="00D53E7A"/>
    <w:rsid w:val="00D54E2A"/>
    <w:rsid w:val="00D57885"/>
    <w:rsid w:val="00D5792F"/>
    <w:rsid w:val="00D60A2A"/>
    <w:rsid w:val="00D66211"/>
    <w:rsid w:val="00D70083"/>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F418A"/>
    <w:rsid w:val="00DF49B0"/>
    <w:rsid w:val="00E00FC9"/>
    <w:rsid w:val="00E03443"/>
    <w:rsid w:val="00E046DF"/>
    <w:rsid w:val="00E04BE9"/>
    <w:rsid w:val="00E1085B"/>
    <w:rsid w:val="00E109DD"/>
    <w:rsid w:val="00E118EB"/>
    <w:rsid w:val="00E2018A"/>
    <w:rsid w:val="00E201F4"/>
    <w:rsid w:val="00E2176E"/>
    <w:rsid w:val="00E22B0C"/>
    <w:rsid w:val="00E27346"/>
    <w:rsid w:val="00E319F7"/>
    <w:rsid w:val="00E320F1"/>
    <w:rsid w:val="00E325A3"/>
    <w:rsid w:val="00E33C21"/>
    <w:rsid w:val="00E34CD5"/>
    <w:rsid w:val="00E36EB6"/>
    <w:rsid w:val="00E40A45"/>
    <w:rsid w:val="00E42E80"/>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215E"/>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4993"/>
    <w:rsid w:val="00EE5FCD"/>
    <w:rsid w:val="00EF088A"/>
    <w:rsid w:val="00EF1D7F"/>
    <w:rsid w:val="00EF54BA"/>
    <w:rsid w:val="00EF6DC7"/>
    <w:rsid w:val="00F02C84"/>
    <w:rsid w:val="00F06159"/>
    <w:rsid w:val="00F11455"/>
    <w:rsid w:val="00F11A60"/>
    <w:rsid w:val="00F1224B"/>
    <w:rsid w:val="00F15DC0"/>
    <w:rsid w:val="00F20293"/>
    <w:rsid w:val="00F211B8"/>
    <w:rsid w:val="00F222A3"/>
    <w:rsid w:val="00F23709"/>
    <w:rsid w:val="00F24A28"/>
    <w:rsid w:val="00F2770E"/>
    <w:rsid w:val="00F31E5F"/>
    <w:rsid w:val="00F36B7B"/>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B0E26"/>
    <w:rsid w:val="00FB1056"/>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9053C3"/>
  <w15:docId w15:val="{DFFF0DC1-CAC1-4919-8FEB-16D3B110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8B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F7ACB-033B-4DE0-8C77-350DA59B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2</TotalTime>
  <Pages>4</Pages>
  <Words>996</Words>
  <Characters>5504</Characters>
  <Application>Microsoft Office Word</Application>
  <DocSecurity>0</DocSecurity>
  <Lines>196</Lines>
  <Paragraphs>90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United Nations</vt:lpstr>
      <vt:lpstr>United Nations</vt:lpstr>
    </vt:vector>
  </TitlesOfParts>
  <Company>ECE-ISU</Company>
  <LinksUpToDate>false</LinksUpToDate>
  <CharactersWithSpaces>6410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Microsoft Office User</dc:creator>
  <cp:lastModifiedBy>Marie-Claude Collet</cp:lastModifiedBy>
  <cp:revision>3</cp:revision>
  <cp:lastPrinted>2017-07-28T08:07:00Z</cp:lastPrinted>
  <dcterms:created xsi:type="dcterms:W3CDTF">2017-07-27T14:52:00Z</dcterms:created>
  <dcterms:modified xsi:type="dcterms:W3CDTF">2017-07-28T08:09:00Z</dcterms:modified>
</cp:coreProperties>
</file>